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B9061F" w:rsidRDefault="00F355B7" w:rsidP="00F355B7">
      <w:pPr>
        <w:spacing w:line="240" w:lineRule="auto"/>
        <w:rPr>
          <w:b/>
        </w:rPr>
      </w:pPr>
      <w:r w:rsidRPr="00B9061F">
        <w:rPr>
          <w:b/>
        </w:rPr>
        <w:t xml:space="preserve">BEFORE THE </w:t>
      </w:r>
    </w:p>
    <w:p w:rsidR="00F355B7" w:rsidRPr="00B9061F" w:rsidRDefault="00F355B7" w:rsidP="00F355B7">
      <w:pPr>
        <w:spacing w:line="240" w:lineRule="auto"/>
        <w:rPr>
          <w:b/>
        </w:rPr>
      </w:pPr>
      <w:r w:rsidRPr="00B9061F">
        <w:rPr>
          <w:b/>
        </w:rPr>
        <w:t>PENNSYLVANIA PUBLIC UTILITY COMMISSION</w:t>
      </w:r>
    </w:p>
    <w:p w:rsidR="00F355B7" w:rsidRPr="00B22F59" w:rsidRDefault="00F355B7" w:rsidP="00F355B7">
      <w:pPr>
        <w:spacing w:line="240" w:lineRule="auto"/>
      </w:pPr>
    </w:p>
    <w:p w:rsidR="00B9061F" w:rsidRPr="00B22F59" w:rsidRDefault="00B9061F" w:rsidP="00F355B7">
      <w:pPr>
        <w:spacing w:line="240" w:lineRule="auto"/>
      </w:pPr>
    </w:p>
    <w:p w:rsidR="00F355B7" w:rsidRPr="00B22F59" w:rsidRDefault="00F355B7" w:rsidP="00F355B7">
      <w:pPr>
        <w:spacing w:line="240" w:lineRule="auto"/>
      </w:pPr>
    </w:p>
    <w:p w:rsidR="00F355B7" w:rsidRPr="00B9061F" w:rsidRDefault="00F355B7" w:rsidP="00F355B7">
      <w:pPr>
        <w:spacing w:line="240" w:lineRule="auto"/>
        <w:jc w:val="left"/>
      </w:pPr>
      <w:r w:rsidRPr="00B9061F">
        <w:t>Marcia Shapiro</w:t>
      </w:r>
      <w:r w:rsidRPr="00B9061F">
        <w:tab/>
      </w:r>
      <w:r w:rsidRPr="00B9061F">
        <w:tab/>
      </w:r>
      <w:r w:rsidRPr="00B9061F">
        <w:tab/>
      </w:r>
      <w:r w:rsidRPr="00B9061F">
        <w:tab/>
      </w:r>
      <w:r w:rsidRPr="00B9061F">
        <w:tab/>
        <w:t>:</w:t>
      </w:r>
    </w:p>
    <w:p w:rsidR="00F355B7" w:rsidRPr="00B9061F" w:rsidRDefault="00F355B7" w:rsidP="00F355B7">
      <w:pPr>
        <w:spacing w:line="240" w:lineRule="auto"/>
        <w:jc w:val="left"/>
      </w:pPr>
      <w:r w:rsidRPr="00B9061F">
        <w:tab/>
      </w:r>
      <w:r w:rsidRPr="00B9061F">
        <w:tab/>
      </w:r>
      <w:r w:rsidRPr="00B9061F">
        <w:tab/>
      </w:r>
      <w:r w:rsidRPr="00B9061F">
        <w:tab/>
      </w:r>
      <w:r w:rsidRPr="00B9061F">
        <w:tab/>
      </w:r>
      <w:r w:rsidRPr="00B9061F">
        <w:tab/>
      </w:r>
      <w:r w:rsidRPr="00B9061F">
        <w:tab/>
        <w:t>:</w:t>
      </w:r>
    </w:p>
    <w:p w:rsidR="00F355B7" w:rsidRPr="00B9061F" w:rsidRDefault="00F355B7" w:rsidP="00F355B7">
      <w:pPr>
        <w:spacing w:line="240" w:lineRule="auto"/>
        <w:jc w:val="left"/>
      </w:pPr>
      <w:r w:rsidRPr="00B9061F">
        <w:tab/>
        <w:t>v.</w:t>
      </w:r>
      <w:r w:rsidRPr="00B9061F">
        <w:tab/>
      </w:r>
      <w:r w:rsidRPr="00B9061F">
        <w:tab/>
      </w:r>
      <w:r w:rsidRPr="00B9061F">
        <w:tab/>
      </w:r>
      <w:r w:rsidRPr="00B9061F">
        <w:tab/>
      </w:r>
      <w:r w:rsidRPr="00B9061F">
        <w:tab/>
      </w:r>
      <w:r w:rsidRPr="00B9061F">
        <w:tab/>
        <w:t>:</w:t>
      </w:r>
      <w:r w:rsidRPr="00B9061F">
        <w:tab/>
      </w:r>
      <w:r w:rsidRPr="00B9061F">
        <w:tab/>
      </w:r>
      <w:r w:rsidRPr="00B9061F">
        <w:tab/>
        <w:t>F-2012-2318535</w:t>
      </w:r>
    </w:p>
    <w:p w:rsidR="00F355B7" w:rsidRPr="00B9061F" w:rsidRDefault="00F355B7" w:rsidP="00F355B7">
      <w:pPr>
        <w:spacing w:line="240" w:lineRule="auto"/>
        <w:jc w:val="left"/>
      </w:pPr>
      <w:r w:rsidRPr="00B9061F">
        <w:tab/>
      </w:r>
      <w:r w:rsidRPr="00B9061F">
        <w:tab/>
      </w:r>
      <w:r w:rsidRPr="00B9061F">
        <w:tab/>
      </w:r>
      <w:r w:rsidRPr="00B9061F">
        <w:tab/>
      </w:r>
      <w:r w:rsidRPr="00B9061F">
        <w:tab/>
      </w:r>
      <w:r w:rsidRPr="00B9061F">
        <w:tab/>
      </w:r>
      <w:r w:rsidRPr="00B9061F">
        <w:tab/>
        <w:t>:</w:t>
      </w:r>
    </w:p>
    <w:p w:rsidR="00F355B7" w:rsidRPr="00B9061F" w:rsidRDefault="00F355B7" w:rsidP="00F355B7">
      <w:pPr>
        <w:spacing w:line="240" w:lineRule="auto"/>
        <w:jc w:val="left"/>
      </w:pPr>
      <w:r w:rsidRPr="00B9061F">
        <w:t>Philadelphia Gas Works</w:t>
      </w:r>
      <w:r w:rsidRPr="00B9061F">
        <w:tab/>
      </w:r>
      <w:r w:rsidRPr="00B9061F">
        <w:tab/>
      </w:r>
      <w:r w:rsidRPr="00B9061F">
        <w:tab/>
      </w:r>
      <w:r w:rsidRPr="00B9061F">
        <w:tab/>
        <w:t>:</w:t>
      </w:r>
    </w:p>
    <w:p w:rsidR="00F355B7" w:rsidRDefault="00F355B7" w:rsidP="00F355B7">
      <w:pPr>
        <w:spacing w:line="240" w:lineRule="auto"/>
        <w:jc w:val="left"/>
      </w:pPr>
    </w:p>
    <w:p w:rsidR="00B9061F" w:rsidRPr="00B9061F" w:rsidRDefault="00B9061F" w:rsidP="00F355B7">
      <w:pPr>
        <w:spacing w:line="240" w:lineRule="auto"/>
        <w:jc w:val="left"/>
      </w:pPr>
    </w:p>
    <w:p w:rsidR="00F355B7" w:rsidRPr="00B9061F" w:rsidRDefault="00F355B7" w:rsidP="00F355B7">
      <w:pPr>
        <w:spacing w:line="240" w:lineRule="auto"/>
        <w:jc w:val="left"/>
      </w:pPr>
    </w:p>
    <w:p w:rsidR="00F355B7" w:rsidRPr="00B9061F" w:rsidRDefault="00F355B7" w:rsidP="00F355B7">
      <w:pPr>
        <w:spacing w:line="240" w:lineRule="auto"/>
        <w:rPr>
          <w:b/>
          <w:u w:val="single"/>
        </w:rPr>
      </w:pPr>
      <w:r w:rsidRPr="00B9061F">
        <w:rPr>
          <w:b/>
          <w:u w:val="single"/>
        </w:rPr>
        <w:t>INITIAL DECISION</w:t>
      </w:r>
    </w:p>
    <w:p w:rsidR="00F355B7" w:rsidRPr="00B9061F" w:rsidRDefault="00F355B7" w:rsidP="00F355B7">
      <w:pPr>
        <w:spacing w:line="240" w:lineRule="auto"/>
        <w:rPr>
          <w:b/>
          <w:u w:val="single"/>
        </w:rPr>
      </w:pPr>
    </w:p>
    <w:p w:rsidR="00F355B7" w:rsidRPr="00B9061F" w:rsidRDefault="00F355B7" w:rsidP="00F355B7">
      <w:pPr>
        <w:spacing w:line="240" w:lineRule="auto"/>
        <w:rPr>
          <w:b/>
          <w:u w:val="single"/>
        </w:rPr>
      </w:pPr>
    </w:p>
    <w:p w:rsidR="00F355B7" w:rsidRPr="00B9061F" w:rsidRDefault="00F355B7" w:rsidP="00F355B7">
      <w:pPr>
        <w:spacing w:line="240" w:lineRule="auto"/>
      </w:pPr>
      <w:r w:rsidRPr="00B9061F">
        <w:t>Before</w:t>
      </w:r>
    </w:p>
    <w:p w:rsidR="00F355B7" w:rsidRPr="00B9061F" w:rsidRDefault="00F355B7" w:rsidP="00F355B7">
      <w:pPr>
        <w:spacing w:line="240" w:lineRule="auto"/>
      </w:pPr>
      <w:r w:rsidRPr="00B9061F">
        <w:t>Susan D. Colwell</w:t>
      </w:r>
    </w:p>
    <w:p w:rsidR="00F355B7" w:rsidRPr="00B9061F" w:rsidRDefault="00F355B7" w:rsidP="00F355B7">
      <w:pPr>
        <w:spacing w:line="240" w:lineRule="auto"/>
      </w:pPr>
      <w:r w:rsidRPr="00B9061F">
        <w:t>Administrative Law Judge</w:t>
      </w:r>
    </w:p>
    <w:p w:rsidR="00F355B7" w:rsidRPr="00B9061F" w:rsidRDefault="00F355B7" w:rsidP="00F355B7">
      <w:pPr>
        <w:spacing w:line="240" w:lineRule="auto"/>
      </w:pPr>
    </w:p>
    <w:p w:rsidR="00F355B7" w:rsidRPr="00B9061F" w:rsidRDefault="00F355B7" w:rsidP="00F355B7">
      <w:pPr>
        <w:spacing w:line="240" w:lineRule="auto"/>
      </w:pPr>
    </w:p>
    <w:p w:rsidR="00F355B7" w:rsidRPr="00B9061F" w:rsidRDefault="00F355B7" w:rsidP="00F355B7">
      <w:pPr>
        <w:spacing w:line="240" w:lineRule="auto"/>
        <w:rPr>
          <w:u w:val="single"/>
        </w:rPr>
      </w:pPr>
      <w:r w:rsidRPr="00B9061F">
        <w:rPr>
          <w:u w:val="single"/>
        </w:rPr>
        <w:t>HISTORY OF THE PROCEEDING</w:t>
      </w:r>
    </w:p>
    <w:p w:rsidR="00F355B7" w:rsidRPr="00B9061F" w:rsidRDefault="00F355B7" w:rsidP="00F355B7">
      <w:pPr>
        <w:spacing w:line="240" w:lineRule="auto"/>
        <w:rPr>
          <w:u w:val="single"/>
        </w:rPr>
      </w:pPr>
    </w:p>
    <w:p w:rsidR="00F355B7" w:rsidRPr="00B9061F" w:rsidRDefault="00F355B7" w:rsidP="00F355B7">
      <w:pPr>
        <w:spacing w:line="240" w:lineRule="auto"/>
        <w:rPr>
          <w:u w:val="single"/>
        </w:rPr>
      </w:pPr>
    </w:p>
    <w:p w:rsidR="0048407C" w:rsidRPr="00B9061F" w:rsidRDefault="00F355B7" w:rsidP="00F355B7">
      <w:pPr>
        <w:jc w:val="left"/>
      </w:pPr>
      <w:r w:rsidRPr="00B9061F">
        <w:tab/>
      </w:r>
      <w:r w:rsidRPr="00B9061F">
        <w:tab/>
      </w:r>
      <w:r w:rsidR="0048407C" w:rsidRPr="00B9061F">
        <w:t>This Initial Decision finds that the Complainant has carried her burden of proving that the</w:t>
      </w:r>
      <w:r w:rsidR="002C5F41" w:rsidRPr="00B9061F">
        <w:t xml:space="preserve"> Respondent provided inadequate and unsafe service.</w:t>
      </w:r>
    </w:p>
    <w:p w:rsidR="0048407C" w:rsidRPr="00B9061F" w:rsidRDefault="0048407C" w:rsidP="00F355B7">
      <w:pPr>
        <w:jc w:val="left"/>
      </w:pPr>
    </w:p>
    <w:p w:rsidR="00F355B7" w:rsidRPr="00B9061F" w:rsidRDefault="0048407C" w:rsidP="00F355B7">
      <w:pPr>
        <w:jc w:val="left"/>
      </w:pPr>
      <w:r w:rsidRPr="00B9061F">
        <w:tab/>
      </w:r>
      <w:r w:rsidRPr="00B9061F">
        <w:tab/>
      </w:r>
      <w:r w:rsidR="00F355B7" w:rsidRPr="00B9061F">
        <w:t xml:space="preserve">On July 30, 2012, Marcia Shapiro (Complainant) filed a formal Complaint against Philadelphia Gas Works (PGW or Respondent or utility) alleging that she should not be responsible for </w:t>
      </w:r>
      <w:r w:rsidR="002C5F41" w:rsidRPr="00B9061F">
        <w:t xml:space="preserve">paying for </w:t>
      </w:r>
      <w:r w:rsidR="00F355B7" w:rsidRPr="00B9061F">
        <w:t xml:space="preserve">gas from January 2, 2012 to January 22, 2012, as she had reported a gas smell and the PGW investigator failed to tag the water heater until January 22, 2012.  </w:t>
      </w:r>
      <w:r w:rsidR="002C5F41" w:rsidRPr="00B9061F">
        <w:t>She had not turned on the heat, as she was worried about the gas smell</w:t>
      </w:r>
      <w:r w:rsidR="000A3256" w:rsidRPr="00B9061F">
        <w:t xml:space="preserve">, and it was an unusually warm winter.  </w:t>
      </w:r>
      <w:r w:rsidR="00F355B7" w:rsidRPr="00B9061F">
        <w:t xml:space="preserve">This is a timely appeal of an informal decision of the Commission's Bureau of Consumer Services (BCS), and the Complaint was served on the utility on </w:t>
      </w:r>
      <w:r w:rsidR="00FA285A" w:rsidRPr="00B9061F">
        <w:t>August 13, 2012.</w:t>
      </w:r>
    </w:p>
    <w:p w:rsidR="00FA285A" w:rsidRPr="00B9061F" w:rsidRDefault="00FA285A" w:rsidP="00F355B7">
      <w:pPr>
        <w:jc w:val="left"/>
      </w:pPr>
    </w:p>
    <w:p w:rsidR="00D228B8" w:rsidRDefault="00FA285A" w:rsidP="00F355B7">
      <w:pPr>
        <w:jc w:val="left"/>
        <w:sectPr w:rsidR="00D228B8" w:rsidSect="00C50DFD">
          <w:footerReference w:type="default" r:id="rId9"/>
          <w:pgSz w:w="12240" w:h="15840"/>
          <w:pgMar w:top="1440" w:right="1440" w:bottom="1440" w:left="1440" w:header="720" w:footer="720" w:gutter="0"/>
          <w:cols w:space="720"/>
          <w:titlePg/>
          <w:docGrid w:linePitch="360"/>
        </w:sectPr>
      </w:pPr>
      <w:r w:rsidRPr="00B9061F">
        <w:tab/>
      </w:r>
      <w:r w:rsidRPr="00B9061F">
        <w:tab/>
        <w:t xml:space="preserve">On September 4, 2012, PGW filed its Answer, </w:t>
      </w:r>
      <w:r w:rsidR="00797EB8" w:rsidRPr="00B9061F">
        <w:t>which denies the material allegations of the Complaint</w:t>
      </w:r>
      <w:r w:rsidR="0071448B" w:rsidRPr="00B9061F">
        <w:t xml:space="preserve">.  The Answer also admitted that the Company had shut off a leaking relief valve on January 2, 2012.  Pursuant to another call, the Company found a leaking gas valve on the automatic water heater and a fuel line leak after shut off valve for the automatic water </w:t>
      </w:r>
    </w:p>
    <w:p w:rsidR="00FA285A" w:rsidRPr="00B9061F" w:rsidRDefault="0071448B" w:rsidP="00F355B7">
      <w:pPr>
        <w:jc w:val="left"/>
      </w:pPr>
      <w:r w:rsidRPr="00B9061F">
        <w:lastRenderedPageBreak/>
        <w:t>heater.  PGW turned off the gas to the water heater at the valve and instructed the Complainant to contact a contractor.</w:t>
      </w:r>
    </w:p>
    <w:p w:rsidR="0071448B" w:rsidRPr="00B9061F" w:rsidRDefault="0071448B" w:rsidP="00F355B7">
      <w:pPr>
        <w:jc w:val="left"/>
      </w:pPr>
    </w:p>
    <w:p w:rsidR="00A66F33" w:rsidRPr="00B9061F" w:rsidRDefault="0071448B" w:rsidP="00F355B7">
      <w:pPr>
        <w:jc w:val="left"/>
      </w:pPr>
      <w:r w:rsidRPr="00B9061F">
        <w:tab/>
      </w:r>
      <w:r w:rsidRPr="00B9061F">
        <w:tab/>
        <w:t xml:space="preserve">The Answer states that the Complainant filed a high bill investigation on </w:t>
      </w:r>
    </w:p>
    <w:p w:rsidR="0071448B" w:rsidRPr="00B9061F" w:rsidRDefault="0071448B" w:rsidP="00F355B7">
      <w:pPr>
        <w:jc w:val="left"/>
      </w:pPr>
      <w:r w:rsidRPr="00B9061F">
        <w:t>February 8, 2012, stating that the bill should be lowered as the gas was being repaired from January to February 2012.  PGW cancelled the bill for $314.74 and issued an adjusted bill for $181.58 for usage from December 12, 2011 index of 3973 to February 13, 2012 index of 4070.</w:t>
      </w:r>
    </w:p>
    <w:p w:rsidR="00322AE5" w:rsidRPr="00B9061F" w:rsidRDefault="00322AE5" w:rsidP="00F355B7">
      <w:pPr>
        <w:jc w:val="left"/>
      </w:pPr>
    </w:p>
    <w:p w:rsidR="00322AE5" w:rsidRPr="00B9061F" w:rsidRDefault="00322AE5" w:rsidP="00F355B7">
      <w:pPr>
        <w:jc w:val="left"/>
      </w:pPr>
      <w:r w:rsidRPr="00B9061F">
        <w:tab/>
      </w:r>
      <w:r w:rsidRPr="00B9061F">
        <w:tab/>
        <w:t>The case was assigned to Administrative Law Judge Joel Cheskis, who issued a prehearing order on February 4, 2013.  The prehearing order set forth the basic procedures to be followed in a formal case before the Commission.</w:t>
      </w:r>
    </w:p>
    <w:p w:rsidR="00322AE5" w:rsidRPr="00B9061F" w:rsidRDefault="00322AE5" w:rsidP="00F355B7">
      <w:pPr>
        <w:jc w:val="left"/>
      </w:pPr>
    </w:p>
    <w:p w:rsidR="00322AE5" w:rsidRPr="00B9061F" w:rsidRDefault="00322AE5" w:rsidP="00F355B7">
      <w:pPr>
        <w:jc w:val="left"/>
      </w:pPr>
      <w:r w:rsidRPr="00B9061F">
        <w:tab/>
      </w:r>
      <w:r w:rsidRPr="00B9061F">
        <w:tab/>
        <w:t>By Notice issued February 28, 2013, the case was reassigned to me.</w:t>
      </w:r>
    </w:p>
    <w:p w:rsidR="00322AE5" w:rsidRPr="00B9061F" w:rsidRDefault="00322AE5" w:rsidP="00F355B7">
      <w:pPr>
        <w:jc w:val="left"/>
      </w:pPr>
    </w:p>
    <w:p w:rsidR="00322AE5" w:rsidRPr="00B9061F" w:rsidRDefault="00322AE5" w:rsidP="00F355B7">
      <w:pPr>
        <w:jc w:val="left"/>
      </w:pPr>
      <w:r w:rsidRPr="00B9061F">
        <w:tab/>
      </w:r>
      <w:r w:rsidRPr="00B9061F">
        <w:tab/>
        <w:t>The hearing was held as scheduled on Wednesday, March 6, 2013.  PGW was represented by Laureto Farinas, Esq., who presented the testimony of one witness who sponsored five exhibits.  Complainant appeared on her own behalf and presented four exhibits.</w:t>
      </w:r>
    </w:p>
    <w:p w:rsidR="00322AE5" w:rsidRPr="00B9061F" w:rsidRDefault="00322AE5" w:rsidP="00F355B7">
      <w:pPr>
        <w:jc w:val="left"/>
      </w:pPr>
    </w:p>
    <w:p w:rsidR="00FC7982" w:rsidRPr="00B9061F" w:rsidRDefault="00322AE5" w:rsidP="00F355B7">
      <w:pPr>
        <w:jc w:val="left"/>
      </w:pPr>
      <w:r w:rsidRPr="00B9061F">
        <w:tab/>
      </w:r>
      <w:r w:rsidRPr="00B9061F">
        <w:tab/>
        <w:t xml:space="preserve">The hearing generated a transcript of 58 pages, and the record was held open for additional information from PGW and a response from Complainant.  The additional information was submitted on </w:t>
      </w:r>
      <w:r w:rsidR="00FC7982" w:rsidRPr="00B9061F">
        <w:t>April 2, 2013, and a copy was served on Complain</w:t>
      </w:r>
      <w:r w:rsidR="00A66F33" w:rsidRPr="00B9061F">
        <w:t>ant.  No response was received from</w:t>
      </w:r>
      <w:r w:rsidR="00FC7982" w:rsidRPr="00B9061F">
        <w:t xml:space="preserve"> Complainant.  Twenty days after the filing of the information</w:t>
      </w:r>
      <w:r w:rsidR="0048407C" w:rsidRPr="00B9061F">
        <w:t>,</w:t>
      </w:r>
      <w:r w:rsidR="00152938" w:rsidRPr="00B9061F">
        <w:t xml:space="preserve"> plus three days for the service of the April 2, 2013, letter by first-class mail,</w:t>
      </w:r>
      <w:r w:rsidR="00FC7982" w:rsidRPr="00B9061F">
        <w:t xml:space="preserve"> the record closed</w:t>
      </w:r>
      <w:r w:rsidR="0048407C" w:rsidRPr="00B9061F">
        <w:t xml:space="preserve"> on April 2</w:t>
      </w:r>
      <w:r w:rsidR="00152938" w:rsidRPr="00B9061F">
        <w:t>5</w:t>
      </w:r>
      <w:r w:rsidR="0048407C" w:rsidRPr="00B9061F">
        <w:t>, 2013</w:t>
      </w:r>
      <w:r w:rsidR="00FC7982" w:rsidRPr="00B9061F">
        <w:t>.  The case is now ripe for disposition.</w:t>
      </w:r>
    </w:p>
    <w:p w:rsidR="00FC7982" w:rsidRPr="00B9061F" w:rsidRDefault="00FC7982" w:rsidP="00F355B7">
      <w:pPr>
        <w:jc w:val="left"/>
      </w:pPr>
    </w:p>
    <w:p w:rsidR="00FC7982" w:rsidRPr="00B9061F" w:rsidRDefault="00FC7982" w:rsidP="00FC7982">
      <w:pPr>
        <w:rPr>
          <w:u w:val="single"/>
        </w:rPr>
      </w:pPr>
      <w:r w:rsidRPr="00B9061F">
        <w:rPr>
          <w:u w:val="single"/>
        </w:rPr>
        <w:t>FINDINGS OF FACT</w:t>
      </w:r>
    </w:p>
    <w:p w:rsidR="00FC7982" w:rsidRPr="00B9061F" w:rsidRDefault="00FC7982" w:rsidP="00FC7982">
      <w:pPr>
        <w:rPr>
          <w:u w:val="single"/>
        </w:rPr>
      </w:pPr>
    </w:p>
    <w:p w:rsidR="00FC7982" w:rsidRPr="00B9061F" w:rsidRDefault="00FC7982" w:rsidP="00FC7982">
      <w:pPr>
        <w:jc w:val="left"/>
      </w:pPr>
      <w:r w:rsidRPr="00B9061F">
        <w:tab/>
      </w:r>
      <w:r w:rsidRPr="00B9061F">
        <w:tab/>
        <w:t>1.</w:t>
      </w:r>
      <w:r w:rsidRPr="00B9061F">
        <w:tab/>
        <w:t xml:space="preserve">Complainant is Marcia Shapiro, 604 </w:t>
      </w:r>
      <w:r w:rsidR="00D228B8">
        <w:t xml:space="preserve">S. Washington Square, Apartment </w:t>
      </w:r>
      <w:bookmarkStart w:id="0" w:name="_GoBack"/>
      <w:bookmarkEnd w:id="0"/>
      <w:r w:rsidRPr="00B9061F">
        <w:t>2217, Philadelphia PA 19106.</w:t>
      </w:r>
    </w:p>
    <w:p w:rsidR="00FC7982" w:rsidRPr="00B9061F" w:rsidRDefault="00FC7982" w:rsidP="00FC7982">
      <w:pPr>
        <w:jc w:val="left"/>
      </w:pPr>
    </w:p>
    <w:p w:rsidR="00FC7982" w:rsidRPr="00B9061F" w:rsidRDefault="00FC7982" w:rsidP="00FC7982">
      <w:pPr>
        <w:jc w:val="left"/>
      </w:pPr>
      <w:r w:rsidRPr="00B9061F">
        <w:tab/>
      </w:r>
      <w:r w:rsidRPr="00B9061F">
        <w:tab/>
        <w:t>2.</w:t>
      </w:r>
      <w:r w:rsidRPr="00B9061F">
        <w:tab/>
        <w:t>Respondent is Philadelphia Gas Works, a jurisdictional public utility providing residential gas service in the Commonwealth of Pennsylvania.</w:t>
      </w:r>
    </w:p>
    <w:p w:rsidR="00FC7982" w:rsidRPr="00B9061F" w:rsidRDefault="00FC7982" w:rsidP="00FC7982">
      <w:pPr>
        <w:jc w:val="left"/>
      </w:pPr>
    </w:p>
    <w:p w:rsidR="00FC7982" w:rsidRPr="00B9061F" w:rsidRDefault="00FC7982" w:rsidP="00FC7982">
      <w:pPr>
        <w:jc w:val="left"/>
      </w:pPr>
      <w:r w:rsidRPr="00B9061F">
        <w:tab/>
      </w:r>
      <w:r w:rsidRPr="00B9061F">
        <w:tab/>
        <w:t>3.</w:t>
      </w:r>
      <w:r w:rsidRPr="00B9061F">
        <w:tab/>
        <w:t>The subject address is 6025 North 13</w:t>
      </w:r>
      <w:r w:rsidRPr="00B9061F">
        <w:rPr>
          <w:vertAlign w:val="superscript"/>
        </w:rPr>
        <w:t>th</w:t>
      </w:r>
      <w:r w:rsidRPr="00B9061F">
        <w:t xml:space="preserve"> Street, Philadelphia PA.  Tr. 7.</w:t>
      </w:r>
    </w:p>
    <w:p w:rsidR="00FC7982" w:rsidRPr="00B9061F" w:rsidRDefault="00FC7982" w:rsidP="00FC7982">
      <w:pPr>
        <w:jc w:val="left"/>
      </w:pPr>
    </w:p>
    <w:p w:rsidR="00FC7982" w:rsidRPr="00B9061F" w:rsidRDefault="00FC7982" w:rsidP="00FC7982">
      <w:pPr>
        <w:jc w:val="left"/>
      </w:pPr>
      <w:r w:rsidRPr="00B9061F">
        <w:tab/>
      </w:r>
      <w:r w:rsidRPr="00B9061F">
        <w:tab/>
        <w:t>4.</w:t>
      </w:r>
      <w:r w:rsidRPr="00B9061F">
        <w:tab/>
        <w:t>On January 2, 2012, Complainant called PGW and reported that she smelled gas at the North 13</w:t>
      </w:r>
      <w:r w:rsidRPr="00B9061F">
        <w:rPr>
          <w:vertAlign w:val="superscript"/>
        </w:rPr>
        <w:t>th</w:t>
      </w:r>
      <w:r w:rsidRPr="00B9061F">
        <w:t xml:space="preserve"> Street address.  Tr. 8.</w:t>
      </w:r>
    </w:p>
    <w:p w:rsidR="00FC7982" w:rsidRPr="00B9061F" w:rsidRDefault="00FC7982" w:rsidP="00FC7982">
      <w:pPr>
        <w:jc w:val="left"/>
      </w:pPr>
    </w:p>
    <w:p w:rsidR="00FC7982" w:rsidRPr="00B9061F" w:rsidRDefault="00FC7982" w:rsidP="00FC7982">
      <w:pPr>
        <w:jc w:val="left"/>
      </w:pPr>
      <w:r w:rsidRPr="00B9061F">
        <w:tab/>
      </w:r>
      <w:r w:rsidRPr="00B9061F">
        <w:tab/>
        <w:t>5.</w:t>
      </w:r>
      <w:r w:rsidRPr="00B9061F">
        <w:tab/>
      </w:r>
      <w:r w:rsidR="00662383" w:rsidRPr="00B9061F">
        <w:t>On January 22, 2012, Complainant called PGW again to report the smell of gas at the North 13</w:t>
      </w:r>
      <w:r w:rsidR="00662383" w:rsidRPr="00B9061F">
        <w:rPr>
          <w:vertAlign w:val="superscript"/>
        </w:rPr>
        <w:t>th</w:t>
      </w:r>
      <w:r w:rsidR="00662383" w:rsidRPr="00B9061F">
        <w:t xml:space="preserve"> Street address.  Tr. 8.</w:t>
      </w:r>
    </w:p>
    <w:p w:rsidR="00662383" w:rsidRPr="00B9061F" w:rsidRDefault="00662383" w:rsidP="00FC7982">
      <w:pPr>
        <w:jc w:val="left"/>
      </w:pPr>
    </w:p>
    <w:p w:rsidR="00662383" w:rsidRPr="00B9061F" w:rsidRDefault="00662383" w:rsidP="00FC7982">
      <w:pPr>
        <w:jc w:val="left"/>
      </w:pPr>
      <w:r w:rsidRPr="00B9061F">
        <w:tab/>
      </w:r>
      <w:r w:rsidRPr="00B9061F">
        <w:tab/>
        <w:t>6.</w:t>
      </w:r>
      <w:r w:rsidRPr="00B9061F">
        <w:tab/>
        <w:t xml:space="preserve">The PGW representatives shut off the hot water heater and hung a </w:t>
      </w:r>
      <w:r w:rsidR="00F26823" w:rsidRPr="00B9061F">
        <w:t xml:space="preserve">hazard </w:t>
      </w:r>
      <w:r w:rsidRPr="00B9061F">
        <w:t>tag</w:t>
      </w:r>
      <w:r w:rsidR="000A3256" w:rsidRPr="00B9061F">
        <w:t xml:space="preserve"> on January 22, 2012</w:t>
      </w:r>
      <w:r w:rsidRPr="00B9061F">
        <w:t>.  Tr. 8.</w:t>
      </w:r>
    </w:p>
    <w:p w:rsidR="00662383" w:rsidRPr="00B9061F" w:rsidRDefault="00662383" w:rsidP="00FC7982">
      <w:pPr>
        <w:jc w:val="left"/>
      </w:pPr>
    </w:p>
    <w:p w:rsidR="00662383" w:rsidRPr="00B9061F" w:rsidRDefault="00662383" w:rsidP="00FC7982">
      <w:pPr>
        <w:jc w:val="left"/>
      </w:pPr>
      <w:r w:rsidRPr="00B9061F">
        <w:tab/>
      </w:r>
      <w:r w:rsidRPr="00B9061F">
        <w:tab/>
        <w:t>7.</w:t>
      </w:r>
      <w:r w:rsidRPr="00B9061F">
        <w:tab/>
      </w:r>
      <w:r w:rsidR="00AC18CC" w:rsidRPr="00B9061F">
        <w:t>Complainant Exhibit 1 is a photocopy of the tag left by PGW on Complainant's water heater on January 22, 2012.  Tr. 19.</w:t>
      </w:r>
    </w:p>
    <w:p w:rsidR="00AC18CC" w:rsidRPr="00B9061F" w:rsidRDefault="00AC18CC" w:rsidP="00FC7982">
      <w:pPr>
        <w:jc w:val="left"/>
      </w:pPr>
    </w:p>
    <w:p w:rsidR="00AC18CC" w:rsidRPr="00B9061F" w:rsidRDefault="00AC18CC" w:rsidP="00FC7982">
      <w:pPr>
        <w:jc w:val="left"/>
      </w:pPr>
      <w:r w:rsidRPr="00B9061F">
        <w:tab/>
      </w:r>
      <w:r w:rsidRPr="00B9061F">
        <w:tab/>
        <w:t>8.</w:t>
      </w:r>
      <w:r w:rsidRPr="00B9061F">
        <w:tab/>
        <w:t>Complainant Exhibit 2 is a photocopy of a monthly billing statement for usage from June 13, 2012 through July 13, 2012 in the amount of zero.  Tr. 20.</w:t>
      </w:r>
    </w:p>
    <w:p w:rsidR="00AC18CC" w:rsidRPr="00B9061F" w:rsidRDefault="00AC18CC" w:rsidP="00FC7982">
      <w:pPr>
        <w:jc w:val="left"/>
      </w:pPr>
    </w:p>
    <w:p w:rsidR="00AC18CC" w:rsidRPr="00B9061F" w:rsidRDefault="00AC18CC" w:rsidP="00FC7982">
      <w:pPr>
        <w:jc w:val="left"/>
      </w:pPr>
      <w:r w:rsidRPr="00B9061F">
        <w:tab/>
      </w:r>
      <w:r w:rsidRPr="00B9061F">
        <w:tab/>
        <w:t>9.</w:t>
      </w:r>
      <w:r w:rsidRPr="00B9061F">
        <w:tab/>
        <w:t>Complainant Exhibit 3 is a photocopy of a monthly billing statement for usage from September 13, 2012 through October 12, 2012 in the amount of $107.73, and a copy of the check made out to PGW for the same amount dated December 3, 2012.  Tr. 20-12.</w:t>
      </w:r>
    </w:p>
    <w:p w:rsidR="00AC18CC" w:rsidRPr="00B9061F" w:rsidRDefault="00AC18CC" w:rsidP="00FC7982">
      <w:pPr>
        <w:jc w:val="left"/>
      </w:pPr>
    </w:p>
    <w:p w:rsidR="00AC18CC" w:rsidRPr="00B9061F" w:rsidRDefault="0079284E" w:rsidP="00FC7982">
      <w:pPr>
        <w:jc w:val="left"/>
      </w:pPr>
      <w:r w:rsidRPr="00B9061F">
        <w:tab/>
      </w:r>
      <w:r w:rsidRPr="00B9061F">
        <w:tab/>
        <w:t>10.</w:t>
      </w:r>
      <w:r w:rsidRPr="00B9061F">
        <w:tab/>
        <w:t>Complainant Exhibit 4 is a photocopy of a monthly billing statement for usage from January 15, 2013 through February 13, 2013 in the amount of $638.29.  Tr. 21.</w:t>
      </w:r>
    </w:p>
    <w:p w:rsidR="0079284E" w:rsidRPr="00B9061F" w:rsidRDefault="0079284E" w:rsidP="00FC7982">
      <w:pPr>
        <w:jc w:val="left"/>
      </w:pPr>
    </w:p>
    <w:p w:rsidR="0079284E" w:rsidRPr="00B9061F" w:rsidRDefault="0079284E" w:rsidP="00FC7982">
      <w:pPr>
        <w:jc w:val="left"/>
      </w:pPr>
      <w:r w:rsidRPr="00B9061F">
        <w:tab/>
      </w:r>
      <w:r w:rsidRPr="00B9061F">
        <w:tab/>
        <w:t>11.</w:t>
      </w:r>
      <w:r w:rsidRPr="00B9061F">
        <w:tab/>
        <w:t>Susan Kelly, customer review officer for PGW, appeared and testified on behalf of Respondent.  Tr. 22.</w:t>
      </w:r>
    </w:p>
    <w:p w:rsidR="0079284E" w:rsidRPr="00B9061F" w:rsidRDefault="0079284E" w:rsidP="00FC7982">
      <w:pPr>
        <w:jc w:val="left"/>
      </w:pPr>
    </w:p>
    <w:p w:rsidR="0079284E" w:rsidRPr="00B9061F" w:rsidRDefault="0079284E" w:rsidP="00FC7982">
      <w:pPr>
        <w:jc w:val="left"/>
      </w:pPr>
      <w:r w:rsidRPr="00B9061F">
        <w:tab/>
      </w:r>
      <w:r w:rsidRPr="00B9061F">
        <w:tab/>
        <w:t>12.</w:t>
      </w:r>
      <w:r w:rsidRPr="00B9061F">
        <w:tab/>
        <w:t>PGW Exhibit 1 is a four-page document entitled Specific Service Agreement Statement of Account.  Tr. 24.</w:t>
      </w:r>
    </w:p>
    <w:p w:rsidR="0079284E" w:rsidRPr="00B9061F" w:rsidRDefault="0079284E" w:rsidP="00FC7982">
      <w:pPr>
        <w:jc w:val="left"/>
      </w:pPr>
    </w:p>
    <w:p w:rsidR="0079284E" w:rsidRPr="00B9061F" w:rsidRDefault="0079284E" w:rsidP="00FC7982">
      <w:pPr>
        <w:jc w:val="left"/>
      </w:pPr>
      <w:r w:rsidRPr="00B9061F">
        <w:tab/>
      </w:r>
      <w:r w:rsidRPr="00B9061F">
        <w:tab/>
        <w:t>13.</w:t>
      </w:r>
      <w:r w:rsidRPr="00B9061F">
        <w:tab/>
        <w:t>PGW Exhibit 2 is a four-page document entitled Contacts for Account.  Tr. 24.</w:t>
      </w:r>
    </w:p>
    <w:p w:rsidR="0079284E" w:rsidRPr="00B9061F" w:rsidRDefault="0079284E" w:rsidP="00FC7982">
      <w:pPr>
        <w:jc w:val="left"/>
      </w:pPr>
    </w:p>
    <w:p w:rsidR="0079284E" w:rsidRPr="00B9061F" w:rsidRDefault="0079284E" w:rsidP="00FC7982">
      <w:pPr>
        <w:jc w:val="left"/>
      </w:pPr>
      <w:r w:rsidRPr="00B9061F">
        <w:tab/>
      </w:r>
      <w:r w:rsidRPr="00B9061F">
        <w:tab/>
        <w:t>14.</w:t>
      </w:r>
      <w:r w:rsidRPr="00B9061F">
        <w:tab/>
        <w:t>PGW Exhibit 3 is a one-page document entitled The Office of Property Assessment, which contains information regarding the house at 6025 N. 13</w:t>
      </w:r>
      <w:r w:rsidRPr="00B9061F">
        <w:rPr>
          <w:vertAlign w:val="superscript"/>
        </w:rPr>
        <w:t>th</w:t>
      </w:r>
      <w:r w:rsidRPr="00B9061F">
        <w:t xml:space="preserve"> Street.  Tr. 25.</w:t>
      </w:r>
    </w:p>
    <w:p w:rsidR="0079284E" w:rsidRPr="00B9061F" w:rsidRDefault="0079284E" w:rsidP="00FC7982">
      <w:pPr>
        <w:jc w:val="left"/>
      </w:pPr>
    </w:p>
    <w:p w:rsidR="0079284E" w:rsidRPr="00B9061F" w:rsidRDefault="0079284E" w:rsidP="00FC7982">
      <w:pPr>
        <w:jc w:val="left"/>
      </w:pPr>
      <w:r w:rsidRPr="00B9061F">
        <w:tab/>
      </w:r>
      <w:r w:rsidRPr="00B9061F">
        <w:tab/>
        <w:t>15.</w:t>
      </w:r>
      <w:r w:rsidRPr="00B9061F">
        <w:tab/>
        <w:t>PGW Exhibit 4 is a five-page document consisting of screen shots from the Company's computer system entitled Field Information.  Tr. 25.</w:t>
      </w:r>
    </w:p>
    <w:p w:rsidR="0079284E" w:rsidRPr="00B9061F" w:rsidRDefault="0079284E" w:rsidP="00FC7982">
      <w:pPr>
        <w:jc w:val="left"/>
      </w:pPr>
    </w:p>
    <w:p w:rsidR="0079284E" w:rsidRPr="00B9061F" w:rsidRDefault="0079284E" w:rsidP="00FC7982">
      <w:pPr>
        <w:jc w:val="left"/>
      </w:pPr>
      <w:r w:rsidRPr="00B9061F">
        <w:tab/>
      </w:r>
      <w:r w:rsidRPr="00B9061F">
        <w:tab/>
        <w:t>16.</w:t>
      </w:r>
      <w:r w:rsidRPr="00B9061F">
        <w:tab/>
        <w:t>PGW Exhibit 5 is a two-page document which is the electronic representation of the BCS informal decision in case no. 2941579.  Tr. 25.</w:t>
      </w:r>
    </w:p>
    <w:p w:rsidR="0079284E" w:rsidRPr="00B9061F" w:rsidRDefault="0079284E" w:rsidP="00FC7982">
      <w:pPr>
        <w:jc w:val="left"/>
      </w:pPr>
    </w:p>
    <w:p w:rsidR="006E5F9C" w:rsidRPr="00B9061F" w:rsidRDefault="0079284E" w:rsidP="00FC7982">
      <w:pPr>
        <w:jc w:val="left"/>
      </w:pPr>
      <w:r w:rsidRPr="00B9061F">
        <w:tab/>
      </w:r>
      <w:r w:rsidRPr="00B9061F">
        <w:tab/>
      </w:r>
      <w:r w:rsidR="00160488" w:rsidRPr="00B9061F">
        <w:t>17.</w:t>
      </w:r>
      <w:r w:rsidR="00160488" w:rsidRPr="00B9061F">
        <w:tab/>
        <w:t xml:space="preserve">Company records reflect that on January 2, 2012, a Company representative entered the house </w:t>
      </w:r>
      <w:r w:rsidR="006E5F9C" w:rsidRPr="00B9061F">
        <w:t xml:space="preserve">where </w:t>
      </w:r>
      <w:r w:rsidR="00160488" w:rsidRPr="00B9061F">
        <w:t>a gas odor at the heater</w:t>
      </w:r>
      <w:r w:rsidR="006E5F9C" w:rsidRPr="00B9061F">
        <w:t xml:space="preserve"> was reported by the customer of record but no problem was found</w:t>
      </w:r>
      <w:r w:rsidR="00160488" w:rsidRPr="00B9061F">
        <w:t>.</w:t>
      </w:r>
      <w:r w:rsidR="006E5F9C" w:rsidRPr="00B9061F">
        <w:t xml:space="preserve">  Tr. 28; PGW Ex. 2.</w:t>
      </w:r>
    </w:p>
    <w:p w:rsidR="006E5F9C" w:rsidRPr="00B9061F" w:rsidRDefault="006E5F9C" w:rsidP="00FC7982">
      <w:pPr>
        <w:jc w:val="left"/>
      </w:pPr>
    </w:p>
    <w:p w:rsidR="006E5F9C" w:rsidRPr="00B9061F" w:rsidRDefault="006E5F9C" w:rsidP="00FC7982">
      <w:pPr>
        <w:jc w:val="left"/>
      </w:pPr>
      <w:r w:rsidRPr="00B9061F">
        <w:tab/>
      </w:r>
      <w:r w:rsidRPr="00B9061F">
        <w:tab/>
        <w:t>18.</w:t>
      </w:r>
      <w:r w:rsidRPr="00B9061F">
        <w:tab/>
        <w:t>On January 22, 2012, a PGW representative found a leaking relief valve and left a hazard tag.  Tr. 28; PGW Ex. 2.</w:t>
      </w:r>
    </w:p>
    <w:p w:rsidR="006E5F9C" w:rsidRPr="00B9061F" w:rsidRDefault="006E5F9C" w:rsidP="00FC7982">
      <w:pPr>
        <w:jc w:val="left"/>
      </w:pPr>
    </w:p>
    <w:p w:rsidR="006E5F9C" w:rsidRPr="00B9061F" w:rsidRDefault="006E5F9C" w:rsidP="00FC7982">
      <w:pPr>
        <w:jc w:val="left"/>
      </w:pPr>
      <w:r w:rsidRPr="00B9061F">
        <w:tab/>
      </w:r>
      <w:r w:rsidRPr="00B9061F">
        <w:tab/>
        <w:t>19.</w:t>
      </w:r>
      <w:r w:rsidRPr="00B9061F">
        <w:tab/>
      </w:r>
      <w:r w:rsidR="00160488" w:rsidRPr="00B9061F">
        <w:t xml:space="preserve"> </w:t>
      </w:r>
      <w:r w:rsidR="00A10323" w:rsidRPr="00B9061F">
        <w:t>The statement of account indicated that there was a problem with PGW's system regarding billing the Complainant's account from May 13, 2011 to January, 2012.  PGW Ex. 1.</w:t>
      </w:r>
    </w:p>
    <w:p w:rsidR="00A10323" w:rsidRPr="00B9061F" w:rsidRDefault="00A10323" w:rsidP="00FC7982">
      <w:pPr>
        <w:jc w:val="left"/>
      </w:pPr>
    </w:p>
    <w:p w:rsidR="00A10323" w:rsidRPr="00B9061F" w:rsidRDefault="00A10323" w:rsidP="00FC7982">
      <w:pPr>
        <w:jc w:val="left"/>
      </w:pPr>
      <w:r w:rsidRPr="00B9061F">
        <w:tab/>
      </w:r>
      <w:r w:rsidRPr="00B9061F">
        <w:tab/>
        <w:t>20.</w:t>
      </w:r>
      <w:r w:rsidRPr="00B9061F">
        <w:tab/>
        <w:t xml:space="preserve">The dates, usage and bill amounts for </w:t>
      </w:r>
      <w:r w:rsidR="00057EFB" w:rsidRPr="00B9061F">
        <w:t>June, 2010, to February</w:t>
      </w:r>
      <w:r w:rsidR="00C72E28" w:rsidRPr="00B9061F">
        <w:t>, 2012 are:</w:t>
      </w:r>
    </w:p>
    <w:p w:rsidR="00C72E28" w:rsidRPr="00B9061F" w:rsidRDefault="00C72E28" w:rsidP="00FC7982">
      <w:pPr>
        <w:jc w:val="left"/>
      </w:pPr>
    </w:p>
    <w:p w:rsidR="00B22F59" w:rsidRDefault="00B22F59" w:rsidP="00FC7982">
      <w:pPr>
        <w:jc w:val="left"/>
        <w:rPr>
          <w:b/>
        </w:rPr>
      </w:pPr>
      <w:r>
        <w:rPr>
          <w:b/>
        </w:rPr>
        <w:br w:type="page"/>
      </w:r>
    </w:p>
    <w:p w:rsidR="00C72E28" w:rsidRDefault="00C72E28" w:rsidP="00B22F59">
      <w:pPr>
        <w:spacing w:line="276" w:lineRule="auto"/>
        <w:jc w:val="left"/>
        <w:rPr>
          <w:b/>
        </w:rPr>
      </w:pPr>
      <w:r w:rsidRPr="00B9061F">
        <w:rPr>
          <w:b/>
        </w:rPr>
        <w:t>Due date</w:t>
      </w:r>
      <w:r w:rsidRPr="00B9061F">
        <w:rPr>
          <w:b/>
        </w:rPr>
        <w:tab/>
        <w:t>days in cycle</w:t>
      </w:r>
      <w:r w:rsidRPr="00B9061F">
        <w:rPr>
          <w:b/>
        </w:rPr>
        <w:tab/>
      </w:r>
      <w:r w:rsidRPr="00B9061F">
        <w:rPr>
          <w:b/>
        </w:rPr>
        <w:tab/>
        <w:t>CCF usage</w:t>
      </w:r>
      <w:r w:rsidRPr="00B9061F">
        <w:rPr>
          <w:b/>
        </w:rPr>
        <w:tab/>
        <w:t>degree days</w:t>
      </w:r>
      <w:r w:rsidRPr="00B9061F">
        <w:rPr>
          <w:b/>
        </w:rPr>
        <w:tab/>
      </w:r>
      <w:r w:rsidRPr="00B9061F">
        <w:rPr>
          <w:b/>
        </w:rPr>
        <w:tab/>
        <w:t>bill amount</w:t>
      </w:r>
    </w:p>
    <w:p w:rsidR="00E80822" w:rsidRPr="00E80822" w:rsidRDefault="00E80822" w:rsidP="00B22F59">
      <w:pPr>
        <w:spacing w:line="276" w:lineRule="auto"/>
        <w:jc w:val="left"/>
      </w:pPr>
      <w:r>
        <w:t>06/08/2010</w:t>
      </w:r>
      <w:r>
        <w:tab/>
      </w:r>
      <w:r>
        <w:tab/>
        <w:t>29</w:t>
      </w:r>
      <w:r>
        <w:tab/>
      </w:r>
      <w:r>
        <w:tab/>
        <w:t>19</w:t>
      </w:r>
      <w:r>
        <w:tab/>
      </w:r>
      <w:r>
        <w:tab/>
        <w:t>198</w:t>
      </w:r>
      <w:r>
        <w:tab/>
      </w:r>
      <w:r>
        <w:tab/>
      </w:r>
      <w:r>
        <w:tab/>
        <w:t>$42.25</w:t>
      </w:r>
    </w:p>
    <w:p w:rsidR="00C72E28" w:rsidRPr="00B9061F" w:rsidRDefault="00BD3B91" w:rsidP="00B22F59">
      <w:pPr>
        <w:spacing w:line="276" w:lineRule="auto"/>
        <w:jc w:val="left"/>
      </w:pPr>
      <w:r w:rsidRPr="00B9061F">
        <w:t>0</w:t>
      </w:r>
      <w:r w:rsidR="00C72E28" w:rsidRPr="00B9061F">
        <w:t>7/</w:t>
      </w:r>
      <w:r w:rsidRPr="00B9061F">
        <w:t>0</w:t>
      </w:r>
      <w:r w:rsidR="00C72E28" w:rsidRPr="00B9061F">
        <w:t>8/2010</w:t>
      </w:r>
      <w:r w:rsidR="00C72E28" w:rsidRPr="00B9061F">
        <w:tab/>
      </w:r>
      <w:r w:rsidR="00C72E28" w:rsidRPr="00B9061F">
        <w:tab/>
        <w:t>30</w:t>
      </w:r>
      <w:r w:rsidR="00C72E28" w:rsidRPr="00B9061F">
        <w:tab/>
      </w:r>
      <w:r w:rsidR="00C72E28" w:rsidRPr="00B9061F">
        <w:tab/>
        <w:t>20</w:t>
      </w:r>
      <w:r w:rsidR="00C72E28" w:rsidRPr="00B9061F">
        <w:tab/>
      </w:r>
      <w:r w:rsidR="00C72E28" w:rsidRPr="00B9061F">
        <w:tab/>
        <w:t>27</w:t>
      </w:r>
      <w:r w:rsidR="00C72E28" w:rsidRPr="00B9061F">
        <w:tab/>
      </w:r>
      <w:r w:rsidR="00C72E28" w:rsidRPr="00B9061F">
        <w:tab/>
      </w:r>
      <w:r w:rsidR="00C72E28" w:rsidRPr="00B9061F">
        <w:tab/>
        <w:t>$43.11</w:t>
      </w:r>
    </w:p>
    <w:p w:rsidR="00C72E28" w:rsidRPr="00B9061F" w:rsidRDefault="00BD3B91" w:rsidP="00B22F59">
      <w:pPr>
        <w:spacing w:line="276" w:lineRule="auto"/>
        <w:jc w:val="left"/>
      </w:pPr>
      <w:r w:rsidRPr="00B9061F">
        <w:t>0</w:t>
      </w:r>
      <w:r w:rsidR="00C72E28" w:rsidRPr="00B9061F">
        <w:t>8/06/2010</w:t>
      </w:r>
      <w:r w:rsidR="00C72E28" w:rsidRPr="00B9061F">
        <w:tab/>
      </w:r>
      <w:r w:rsidR="00C72E28" w:rsidRPr="00B9061F">
        <w:tab/>
        <w:t>32</w:t>
      </w:r>
      <w:r w:rsidR="00C72E28" w:rsidRPr="00B9061F">
        <w:tab/>
      </w:r>
      <w:r w:rsidR="00C72E28" w:rsidRPr="00B9061F">
        <w:tab/>
        <w:t>21</w:t>
      </w:r>
      <w:r w:rsidR="00C72E28" w:rsidRPr="00B9061F">
        <w:tab/>
      </w:r>
      <w:r w:rsidR="00C72E28" w:rsidRPr="00B9061F">
        <w:tab/>
        <w:t>0</w:t>
      </w:r>
      <w:r w:rsidR="00C72E28" w:rsidRPr="00B9061F">
        <w:tab/>
      </w:r>
      <w:r w:rsidR="00C72E28" w:rsidRPr="00B9061F">
        <w:tab/>
      </w:r>
      <w:r w:rsidR="00C72E28" w:rsidRPr="00B9061F">
        <w:tab/>
        <w:t>$43.44</w:t>
      </w:r>
    </w:p>
    <w:p w:rsidR="00C72E28" w:rsidRPr="00B9061F" w:rsidRDefault="00BD3B91" w:rsidP="00B22F59">
      <w:pPr>
        <w:spacing w:line="276" w:lineRule="auto"/>
        <w:jc w:val="left"/>
      </w:pPr>
      <w:r w:rsidRPr="00B9061F">
        <w:t>0</w:t>
      </w:r>
      <w:r w:rsidR="00C72E28" w:rsidRPr="00B9061F">
        <w:t>9/07/2010</w:t>
      </w:r>
      <w:r w:rsidR="00C72E28" w:rsidRPr="00B9061F">
        <w:tab/>
      </w:r>
      <w:r w:rsidR="00C72E28" w:rsidRPr="00B9061F">
        <w:tab/>
        <w:t>29</w:t>
      </w:r>
      <w:r w:rsidR="00C72E28" w:rsidRPr="00B9061F">
        <w:tab/>
      </w:r>
      <w:r w:rsidR="00C72E28" w:rsidRPr="00B9061F">
        <w:tab/>
        <w:t>19</w:t>
      </w:r>
      <w:r w:rsidR="00C72E28" w:rsidRPr="00B9061F">
        <w:tab/>
      </w:r>
      <w:r w:rsidR="00C72E28" w:rsidRPr="00B9061F">
        <w:tab/>
        <w:t>0</w:t>
      </w:r>
      <w:r w:rsidR="00C72E28" w:rsidRPr="00B9061F">
        <w:tab/>
      </w:r>
      <w:r w:rsidR="00C72E28" w:rsidRPr="00B9061F">
        <w:tab/>
      </w:r>
      <w:r w:rsidR="00C72E28" w:rsidRPr="00B9061F">
        <w:tab/>
        <w:t>$40.35</w:t>
      </w:r>
    </w:p>
    <w:p w:rsidR="00C72E28" w:rsidRPr="00B9061F" w:rsidRDefault="00C72E28" w:rsidP="00B22F59">
      <w:pPr>
        <w:spacing w:line="276" w:lineRule="auto"/>
        <w:jc w:val="left"/>
      </w:pPr>
      <w:r w:rsidRPr="00B9061F">
        <w:t>10/07/2010</w:t>
      </w:r>
      <w:r w:rsidRPr="00B9061F">
        <w:tab/>
      </w:r>
      <w:r w:rsidRPr="00B9061F">
        <w:tab/>
        <w:t>33</w:t>
      </w:r>
      <w:r w:rsidRPr="00B9061F">
        <w:tab/>
      </w:r>
      <w:r w:rsidRPr="00B9061F">
        <w:tab/>
        <w:t>21</w:t>
      </w:r>
      <w:r w:rsidRPr="00B9061F">
        <w:tab/>
      </w:r>
      <w:r w:rsidRPr="00B9061F">
        <w:tab/>
        <w:t>0</w:t>
      </w:r>
      <w:r w:rsidRPr="00B9061F">
        <w:tab/>
      </w:r>
      <w:r w:rsidRPr="00B9061F">
        <w:tab/>
      </w:r>
      <w:r w:rsidRPr="00B9061F">
        <w:tab/>
        <w:t>$44.22</w:t>
      </w:r>
    </w:p>
    <w:p w:rsidR="00C72E28" w:rsidRPr="00B9061F" w:rsidRDefault="00C72E28" w:rsidP="00B22F59">
      <w:pPr>
        <w:spacing w:line="276" w:lineRule="auto"/>
        <w:jc w:val="left"/>
      </w:pPr>
      <w:r w:rsidRPr="00B9061F">
        <w:t>11/05/2010</w:t>
      </w:r>
      <w:r w:rsidRPr="00B9061F">
        <w:tab/>
      </w:r>
      <w:r w:rsidRPr="00B9061F">
        <w:tab/>
        <w:t>29</w:t>
      </w:r>
      <w:r w:rsidRPr="00B9061F">
        <w:tab/>
      </w:r>
      <w:r w:rsidRPr="00B9061F">
        <w:tab/>
        <w:t>19</w:t>
      </w:r>
      <w:r w:rsidRPr="00B9061F">
        <w:tab/>
      </w:r>
      <w:r w:rsidRPr="00B9061F">
        <w:tab/>
        <w:t>47</w:t>
      </w:r>
      <w:r w:rsidRPr="00B9061F">
        <w:tab/>
      </w:r>
      <w:r w:rsidRPr="00B9061F">
        <w:tab/>
      </w:r>
      <w:r w:rsidRPr="00B9061F">
        <w:tab/>
        <w:t>$42.37</w:t>
      </w:r>
    </w:p>
    <w:p w:rsidR="00C72E28" w:rsidRPr="00B9061F" w:rsidRDefault="00C72E28" w:rsidP="00B22F59">
      <w:pPr>
        <w:spacing w:line="276" w:lineRule="auto"/>
        <w:jc w:val="left"/>
      </w:pPr>
      <w:r w:rsidRPr="00B9061F">
        <w:t>12/08/2010</w:t>
      </w:r>
      <w:r w:rsidRPr="00B9061F">
        <w:tab/>
      </w:r>
      <w:r w:rsidRPr="00B9061F">
        <w:tab/>
        <w:t>29</w:t>
      </w:r>
      <w:r w:rsidRPr="00B9061F">
        <w:tab/>
      </w:r>
      <w:r w:rsidRPr="00B9061F">
        <w:tab/>
        <w:t>20</w:t>
      </w:r>
      <w:r w:rsidRPr="00B9061F">
        <w:tab/>
      </w:r>
      <w:r w:rsidRPr="00B9061F">
        <w:tab/>
        <w:t>325</w:t>
      </w:r>
      <w:r w:rsidRPr="00B9061F">
        <w:tab/>
      </w:r>
      <w:r w:rsidRPr="00B9061F">
        <w:tab/>
      </w:r>
      <w:r w:rsidRPr="00B9061F">
        <w:tab/>
        <w:t>$43.97</w:t>
      </w:r>
    </w:p>
    <w:p w:rsidR="00C72E28" w:rsidRPr="00B9061F" w:rsidRDefault="00C72E28" w:rsidP="00B22F59">
      <w:pPr>
        <w:spacing w:line="276" w:lineRule="auto"/>
        <w:jc w:val="left"/>
      </w:pPr>
      <w:r w:rsidRPr="00B9061F">
        <w:t>01/10/2011</w:t>
      </w:r>
      <w:r w:rsidRPr="00B9061F">
        <w:tab/>
      </w:r>
      <w:r w:rsidRPr="00B9061F">
        <w:tab/>
        <w:t>30</w:t>
      </w:r>
      <w:r w:rsidRPr="00B9061F">
        <w:tab/>
      </w:r>
      <w:r w:rsidRPr="00B9061F">
        <w:tab/>
        <w:t>48</w:t>
      </w:r>
      <w:r w:rsidRPr="00B9061F">
        <w:tab/>
      </w:r>
      <w:r w:rsidRPr="00B9061F">
        <w:tab/>
        <w:t>620</w:t>
      </w:r>
      <w:r w:rsidRPr="00B9061F">
        <w:tab/>
      </w:r>
      <w:r w:rsidRPr="00B9061F">
        <w:tab/>
      </w:r>
      <w:r w:rsidRPr="00B9061F">
        <w:tab/>
        <w:t>$87.11</w:t>
      </w:r>
    </w:p>
    <w:p w:rsidR="00C72E28" w:rsidRPr="00B9061F" w:rsidRDefault="00C72E28" w:rsidP="00B22F59">
      <w:pPr>
        <w:spacing w:line="276" w:lineRule="auto"/>
        <w:jc w:val="left"/>
      </w:pPr>
      <w:r w:rsidRPr="00B9061F">
        <w:t>02/09/2011</w:t>
      </w:r>
      <w:r w:rsidRPr="00B9061F">
        <w:tab/>
      </w:r>
      <w:r w:rsidRPr="00B9061F">
        <w:tab/>
        <w:t>34</w:t>
      </w:r>
      <w:r w:rsidRPr="00B9061F">
        <w:tab/>
      </w:r>
      <w:r w:rsidRPr="00B9061F">
        <w:tab/>
        <w:t>149</w:t>
      </w:r>
      <w:r w:rsidRPr="00B9061F">
        <w:tab/>
      </w:r>
      <w:r w:rsidRPr="00B9061F">
        <w:tab/>
        <w:t>1137</w:t>
      </w:r>
      <w:r w:rsidRPr="00B9061F">
        <w:tab/>
      </w:r>
      <w:r w:rsidRPr="00B9061F">
        <w:tab/>
      </w:r>
      <w:r w:rsidRPr="00B9061F">
        <w:tab/>
        <w:t>$225.70</w:t>
      </w:r>
    </w:p>
    <w:p w:rsidR="00C72E28" w:rsidRPr="00B9061F" w:rsidRDefault="00B8222F" w:rsidP="00B22F59">
      <w:pPr>
        <w:spacing w:line="276" w:lineRule="auto"/>
        <w:jc w:val="left"/>
      </w:pPr>
      <w:r>
        <w:t>03/1</w:t>
      </w:r>
      <w:r w:rsidR="00C72E28" w:rsidRPr="00B9061F">
        <w:t>0/2011</w:t>
      </w:r>
      <w:r w:rsidR="00C72E28" w:rsidRPr="00B9061F">
        <w:tab/>
      </w:r>
      <w:r w:rsidR="00C72E28" w:rsidRPr="00B9061F">
        <w:tab/>
        <w:t>29</w:t>
      </w:r>
      <w:r w:rsidR="00C72E28" w:rsidRPr="00B9061F">
        <w:tab/>
      </w:r>
      <w:r w:rsidR="00C72E28" w:rsidRPr="00B9061F">
        <w:tab/>
        <w:t>131</w:t>
      </w:r>
      <w:r w:rsidR="00C72E28" w:rsidRPr="00B9061F">
        <w:tab/>
      </w:r>
      <w:r w:rsidR="00C72E28" w:rsidRPr="00B9061F">
        <w:tab/>
        <w:t>1024</w:t>
      </w:r>
      <w:r w:rsidR="00C72E28" w:rsidRPr="00B9061F">
        <w:tab/>
      </w:r>
      <w:r w:rsidR="00C72E28" w:rsidRPr="00B9061F">
        <w:tab/>
      </w:r>
      <w:r w:rsidR="00C72E28" w:rsidRPr="00B9061F">
        <w:tab/>
        <w:t>$203.00</w:t>
      </w:r>
    </w:p>
    <w:p w:rsidR="00C72E28" w:rsidRPr="00B9061F" w:rsidRDefault="00C72E28" w:rsidP="00B22F59">
      <w:pPr>
        <w:spacing w:line="276" w:lineRule="auto"/>
        <w:jc w:val="left"/>
      </w:pPr>
      <w:r w:rsidRPr="00B9061F">
        <w:t>04/08/2011</w:t>
      </w:r>
      <w:r w:rsidRPr="00B9061F">
        <w:tab/>
      </w:r>
      <w:r w:rsidRPr="00B9061F">
        <w:tab/>
        <w:t>32</w:t>
      </w:r>
      <w:r w:rsidRPr="00B9061F">
        <w:tab/>
      </w:r>
      <w:r w:rsidRPr="00B9061F">
        <w:tab/>
        <w:t>81</w:t>
      </w:r>
      <w:r w:rsidRPr="00B9061F">
        <w:tab/>
      </w:r>
      <w:r w:rsidRPr="00B9061F">
        <w:tab/>
        <w:t>716</w:t>
      </w:r>
      <w:r w:rsidRPr="00B9061F">
        <w:tab/>
      </w:r>
      <w:r w:rsidRPr="00B9061F">
        <w:tab/>
      </w:r>
      <w:r w:rsidRPr="00B9061F">
        <w:tab/>
        <w:t>$143.42</w:t>
      </w:r>
    </w:p>
    <w:p w:rsidR="00C72E28" w:rsidRDefault="00C72E28" w:rsidP="00B22F59">
      <w:pPr>
        <w:spacing w:line="276" w:lineRule="auto"/>
        <w:jc w:val="left"/>
      </w:pPr>
      <w:r w:rsidRPr="00B9061F">
        <w:t>05/09/2011</w:t>
      </w:r>
      <w:r w:rsidRPr="00B9061F">
        <w:tab/>
      </w:r>
      <w:r w:rsidRPr="00B9061F">
        <w:tab/>
        <w:t>28</w:t>
      </w:r>
      <w:r w:rsidRPr="00B9061F">
        <w:tab/>
      </w:r>
      <w:r w:rsidRPr="00B9061F">
        <w:tab/>
        <w:t>40</w:t>
      </w:r>
      <w:r w:rsidRPr="00B9061F">
        <w:tab/>
      </w:r>
      <w:r w:rsidRPr="00B9061F">
        <w:tab/>
        <w:t>478</w:t>
      </w:r>
      <w:r w:rsidRPr="00B9061F">
        <w:tab/>
      </w:r>
      <w:r w:rsidRPr="00B9061F">
        <w:tab/>
      </w:r>
      <w:r w:rsidRPr="00B9061F">
        <w:tab/>
        <w:t>$75.66</w:t>
      </w:r>
    </w:p>
    <w:p w:rsidR="00B8222F" w:rsidRPr="006B27BB" w:rsidRDefault="00B8222F" w:rsidP="00B22F59">
      <w:pPr>
        <w:spacing w:line="276" w:lineRule="auto"/>
        <w:jc w:val="left"/>
        <w:rPr>
          <w:b/>
        </w:rPr>
      </w:pPr>
      <w:r w:rsidRPr="006B27BB">
        <w:rPr>
          <w:b/>
        </w:rPr>
        <w:t>06/08/2010</w:t>
      </w:r>
      <w:r w:rsidRPr="006B27BB">
        <w:rPr>
          <w:b/>
        </w:rPr>
        <w:tab/>
      </w:r>
      <w:r w:rsidRPr="006B27BB">
        <w:rPr>
          <w:b/>
        </w:rPr>
        <w:tab/>
        <w:t>30</w:t>
      </w:r>
      <w:r w:rsidRPr="006B27BB">
        <w:rPr>
          <w:b/>
        </w:rPr>
        <w:tab/>
      </w:r>
      <w:r w:rsidRPr="006B27BB">
        <w:rPr>
          <w:b/>
        </w:rPr>
        <w:tab/>
        <w:t>5</w:t>
      </w:r>
      <w:r w:rsidRPr="006B27BB">
        <w:rPr>
          <w:b/>
        </w:rPr>
        <w:tab/>
      </w:r>
      <w:r w:rsidRPr="006B27BB">
        <w:rPr>
          <w:b/>
        </w:rPr>
        <w:tab/>
        <w:t>164</w:t>
      </w:r>
      <w:r w:rsidRPr="006B27BB">
        <w:rPr>
          <w:b/>
        </w:rPr>
        <w:tab/>
      </w:r>
      <w:r w:rsidRPr="006B27BB">
        <w:rPr>
          <w:b/>
        </w:rPr>
        <w:tab/>
      </w:r>
      <w:r w:rsidRPr="006B27BB">
        <w:rPr>
          <w:b/>
        </w:rPr>
        <w:tab/>
        <w:t>$19.96</w:t>
      </w:r>
    </w:p>
    <w:p w:rsidR="00C72E28" w:rsidRPr="00B9061F" w:rsidRDefault="00C72E28" w:rsidP="00B22F59">
      <w:pPr>
        <w:spacing w:line="276" w:lineRule="auto"/>
        <w:jc w:val="left"/>
        <w:rPr>
          <w:b/>
        </w:rPr>
      </w:pPr>
      <w:r w:rsidRPr="00B9061F">
        <w:rPr>
          <w:b/>
        </w:rPr>
        <w:t>07/08/2011</w:t>
      </w:r>
      <w:r w:rsidRPr="00B9061F">
        <w:rPr>
          <w:b/>
        </w:rPr>
        <w:tab/>
      </w:r>
      <w:r w:rsidRPr="00B9061F">
        <w:rPr>
          <w:b/>
        </w:rPr>
        <w:tab/>
        <w:t>3</w:t>
      </w:r>
      <w:r w:rsidR="00B8222F">
        <w:rPr>
          <w:b/>
        </w:rPr>
        <w:t>2</w:t>
      </w:r>
      <w:r w:rsidRPr="00B9061F">
        <w:rPr>
          <w:b/>
        </w:rPr>
        <w:tab/>
      </w:r>
      <w:r w:rsidRPr="00B9061F">
        <w:rPr>
          <w:b/>
        </w:rPr>
        <w:tab/>
        <w:t>5</w:t>
      </w:r>
      <w:r w:rsidRPr="00B9061F">
        <w:rPr>
          <w:b/>
        </w:rPr>
        <w:tab/>
      </w:r>
      <w:r w:rsidRPr="00B9061F">
        <w:rPr>
          <w:b/>
        </w:rPr>
        <w:tab/>
      </w:r>
      <w:r w:rsidR="00B8222F">
        <w:rPr>
          <w:b/>
        </w:rPr>
        <w:t>12</w:t>
      </w:r>
      <w:r w:rsidRPr="00B9061F">
        <w:rPr>
          <w:b/>
        </w:rPr>
        <w:tab/>
      </w:r>
      <w:r w:rsidRPr="00B9061F">
        <w:rPr>
          <w:b/>
        </w:rPr>
        <w:tab/>
      </w:r>
      <w:r w:rsidRPr="00B9061F">
        <w:rPr>
          <w:b/>
        </w:rPr>
        <w:tab/>
        <w:t>$</w:t>
      </w:r>
      <w:r w:rsidR="00B8222F">
        <w:rPr>
          <w:b/>
        </w:rPr>
        <w:t>19</w:t>
      </w:r>
      <w:r w:rsidRPr="00B9061F">
        <w:rPr>
          <w:b/>
        </w:rPr>
        <w:t>.</w:t>
      </w:r>
      <w:r w:rsidR="00B8222F">
        <w:rPr>
          <w:b/>
        </w:rPr>
        <w:t>89</w:t>
      </w:r>
    </w:p>
    <w:p w:rsidR="00C72E28" w:rsidRDefault="00C72E28" w:rsidP="00B22F59">
      <w:pPr>
        <w:spacing w:line="276" w:lineRule="auto"/>
        <w:jc w:val="left"/>
        <w:rPr>
          <w:b/>
        </w:rPr>
      </w:pPr>
      <w:r w:rsidRPr="00B9061F">
        <w:rPr>
          <w:b/>
        </w:rPr>
        <w:t>08/08/2011</w:t>
      </w:r>
      <w:r w:rsidRPr="00B9061F">
        <w:rPr>
          <w:b/>
        </w:rPr>
        <w:tab/>
      </w:r>
      <w:r w:rsidRPr="00B9061F">
        <w:rPr>
          <w:b/>
        </w:rPr>
        <w:tab/>
        <w:t>30</w:t>
      </w:r>
      <w:r w:rsidRPr="00B9061F">
        <w:rPr>
          <w:b/>
        </w:rPr>
        <w:tab/>
      </w:r>
      <w:r w:rsidRPr="00B9061F">
        <w:rPr>
          <w:b/>
        </w:rPr>
        <w:tab/>
        <w:t>5</w:t>
      </w:r>
      <w:r w:rsidRPr="00B9061F">
        <w:rPr>
          <w:b/>
        </w:rPr>
        <w:tab/>
      </w:r>
      <w:r w:rsidRPr="00B9061F">
        <w:rPr>
          <w:b/>
        </w:rPr>
        <w:tab/>
        <w:t>0</w:t>
      </w:r>
      <w:r w:rsidRPr="00B9061F">
        <w:rPr>
          <w:b/>
        </w:rPr>
        <w:tab/>
      </w:r>
      <w:r w:rsidRPr="00B9061F">
        <w:rPr>
          <w:b/>
        </w:rPr>
        <w:tab/>
      </w:r>
      <w:r w:rsidRPr="00B9061F">
        <w:rPr>
          <w:b/>
        </w:rPr>
        <w:tab/>
        <w:t>$19.81</w:t>
      </w:r>
    </w:p>
    <w:p w:rsidR="006B27BB" w:rsidRPr="00B9061F" w:rsidRDefault="006B27BB" w:rsidP="00B22F59">
      <w:pPr>
        <w:spacing w:line="276" w:lineRule="auto"/>
        <w:jc w:val="left"/>
        <w:rPr>
          <w:b/>
        </w:rPr>
      </w:pPr>
      <w:r>
        <w:rPr>
          <w:b/>
        </w:rPr>
        <w:t>09/07/2011</w:t>
      </w:r>
      <w:r>
        <w:rPr>
          <w:b/>
        </w:rPr>
        <w:tab/>
      </w:r>
      <w:r>
        <w:rPr>
          <w:b/>
        </w:rPr>
        <w:tab/>
        <w:t>29</w:t>
      </w:r>
      <w:r>
        <w:rPr>
          <w:b/>
        </w:rPr>
        <w:tab/>
      </w:r>
      <w:r>
        <w:rPr>
          <w:b/>
        </w:rPr>
        <w:tab/>
        <w:t>5</w:t>
      </w:r>
      <w:r>
        <w:rPr>
          <w:b/>
        </w:rPr>
        <w:tab/>
      </w:r>
      <w:r>
        <w:rPr>
          <w:b/>
        </w:rPr>
        <w:tab/>
        <w:t>0</w:t>
      </w:r>
      <w:r>
        <w:rPr>
          <w:b/>
        </w:rPr>
        <w:tab/>
      </w:r>
      <w:r>
        <w:rPr>
          <w:b/>
        </w:rPr>
        <w:tab/>
      </w:r>
      <w:r>
        <w:rPr>
          <w:b/>
        </w:rPr>
        <w:tab/>
        <w:t>$19.81</w:t>
      </w:r>
    </w:p>
    <w:p w:rsidR="00C72E28" w:rsidRPr="00B9061F" w:rsidRDefault="00C72E28" w:rsidP="00B22F59">
      <w:pPr>
        <w:spacing w:line="276" w:lineRule="auto"/>
        <w:jc w:val="left"/>
        <w:rPr>
          <w:b/>
        </w:rPr>
      </w:pPr>
      <w:r w:rsidRPr="00B9061F">
        <w:rPr>
          <w:b/>
        </w:rPr>
        <w:t>10/07/2011</w:t>
      </w:r>
      <w:r w:rsidRPr="00B9061F">
        <w:rPr>
          <w:b/>
        </w:rPr>
        <w:tab/>
      </w:r>
      <w:r w:rsidRPr="00B9061F">
        <w:rPr>
          <w:b/>
        </w:rPr>
        <w:tab/>
        <w:t>33</w:t>
      </w:r>
      <w:r w:rsidRPr="00B9061F">
        <w:rPr>
          <w:b/>
        </w:rPr>
        <w:tab/>
      </w:r>
      <w:r w:rsidRPr="00B9061F">
        <w:rPr>
          <w:b/>
        </w:rPr>
        <w:tab/>
        <w:t>5</w:t>
      </w:r>
      <w:r w:rsidRPr="00B9061F">
        <w:rPr>
          <w:b/>
        </w:rPr>
        <w:tab/>
      </w:r>
      <w:r w:rsidRPr="00B9061F">
        <w:rPr>
          <w:b/>
        </w:rPr>
        <w:tab/>
        <w:t>1</w:t>
      </w:r>
      <w:r w:rsidRPr="00B9061F">
        <w:rPr>
          <w:b/>
        </w:rPr>
        <w:tab/>
      </w:r>
      <w:r w:rsidRPr="00B9061F">
        <w:rPr>
          <w:b/>
        </w:rPr>
        <w:tab/>
      </w:r>
      <w:r w:rsidRPr="00B9061F">
        <w:rPr>
          <w:b/>
        </w:rPr>
        <w:tab/>
        <w:t>$19.73</w:t>
      </w:r>
    </w:p>
    <w:p w:rsidR="00C72E28" w:rsidRPr="00B9061F" w:rsidRDefault="00C72E28" w:rsidP="00B22F59">
      <w:pPr>
        <w:spacing w:line="276" w:lineRule="auto"/>
        <w:jc w:val="left"/>
        <w:rPr>
          <w:b/>
        </w:rPr>
      </w:pPr>
      <w:r w:rsidRPr="00B9061F">
        <w:rPr>
          <w:b/>
        </w:rPr>
        <w:t>11/07/2011</w:t>
      </w:r>
      <w:r w:rsidRPr="00B9061F">
        <w:rPr>
          <w:b/>
        </w:rPr>
        <w:tab/>
      </w:r>
      <w:r w:rsidRPr="00B9061F">
        <w:rPr>
          <w:b/>
        </w:rPr>
        <w:tab/>
        <w:t>29</w:t>
      </w:r>
      <w:r w:rsidRPr="00B9061F">
        <w:rPr>
          <w:b/>
        </w:rPr>
        <w:tab/>
      </w:r>
      <w:r w:rsidRPr="00B9061F">
        <w:rPr>
          <w:b/>
        </w:rPr>
        <w:tab/>
        <w:t>5</w:t>
      </w:r>
      <w:r w:rsidRPr="00B9061F">
        <w:rPr>
          <w:b/>
        </w:rPr>
        <w:tab/>
      </w:r>
      <w:r w:rsidRPr="00B9061F">
        <w:rPr>
          <w:b/>
        </w:rPr>
        <w:tab/>
        <w:t>73</w:t>
      </w:r>
      <w:r w:rsidRPr="00B9061F">
        <w:rPr>
          <w:b/>
        </w:rPr>
        <w:tab/>
      </w:r>
      <w:r w:rsidRPr="00B9061F">
        <w:rPr>
          <w:b/>
        </w:rPr>
        <w:tab/>
      </w:r>
      <w:r w:rsidRPr="00B9061F">
        <w:rPr>
          <w:b/>
        </w:rPr>
        <w:tab/>
        <w:t>$39.64</w:t>
      </w:r>
    </w:p>
    <w:p w:rsidR="005E33B1" w:rsidRPr="00B9061F" w:rsidRDefault="005E33B1" w:rsidP="00B22F59">
      <w:pPr>
        <w:spacing w:line="276" w:lineRule="auto"/>
        <w:jc w:val="left"/>
        <w:rPr>
          <w:b/>
        </w:rPr>
      </w:pPr>
      <w:r w:rsidRPr="00B9061F">
        <w:rPr>
          <w:b/>
        </w:rPr>
        <w:t>12/08/2011</w:t>
      </w:r>
      <w:r w:rsidRPr="00B9061F">
        <w:rPr>
          <w:b/>
        </w:rPr>
        <w:tab/>
      </w:r>
      <w:r w:rsidRPr="00B9061F">
        <w:rPr>
          <w:b/>
        </w:rPr>
        <w:tab/>
        <w:t>29</w:t>
      </w:r>
      <w:r w:rsidRPr="00B9061F">
        <w:rPr>
          <w:b/>
        </w:rPr>
        <w:tab/>
      </w:r>
      <w:r w:rsidRPr="00B9061F">
        <w:rPr>
          <w:b/>
        </w:rPr>
        <w:tab/>
        <w:t>5</w:t>
      </w:r>
      <w:r w:rsidRPr="00B9061F">
        <w:rPr>
          <w:b/>
        </w:rPr>
        <w:tab/>
      </w:r>
      <w:r w:rsidRPr="00B9061F">
        <w:rPr>
          <w:b/>
        </w:rPr>
        <w:tab/>
        <w:t>316</w:t>
      </w:r>
      <w:r w:rsidRPr="00B9061F">
        <w:rPr>
          <w:b/>
        </w:rPr>
        <w:tab/>
      </w:r>
      <w:r w:rsidRPr="00B9061F">
        <w:rPr>
          <w:b/>
        </w:rPr>
        <w:tab/>
      </w:r>
      <w:r w:rsidRPr="00B9061F">
        <w:rPr>
          <w:b/>
        </w:rPr>
        <w:tab/>
        <w:t>$19.62</w:t>
      </w:r>
    </w:p>
    <w:p w:rsidR="005E33B1" w:rsidRPr="00B9061F" w:rsidRDefault="005E33B1" w:rsidP="00B22F59">
      <w:pPr>
        <w:spacing w:line="276" w:lineRule="auto"/>
        <w:jc w:val="left"/>
        <w:rPr>
          <w:b/>
        </w:rPr>
      </w:pPr>
      <w:r w:rsidRPr="00B9061F">
        <w:rPr>
          <w:b/>
        </w:rPr>
        <w:t>01/10/2012</w:t>
      </w:r>
      <w:r w:rsidRPr="00B9061F">
        <w:rPr>
          <w:b/>
        </w:rPr>
        <w:tab/>
      </w:r>
      <w:r w:rsidRPr="00B9061F">
        <w:rPr>
          <w:b/>
        </w:rPr>
        <w:tab/>
        <w:t>32</w:t>
      </w:r>
      <w:r w:rsidRPr="00B9061F">
        <w:rPr>
          <w:b/>
        </w:rPr>
        <w:tab/>
      </w:r>
      <w:r w:rsidRPr="00B9061F">
        <w:rPr>
          <w:b/>
        </w:rPr>
        <w:tab/>
        <w:t>5</w:t>
      </w:r>
      <w:r w:rsidRPr="00B9061F">
        <w:rPr>
          <w:b/>
        </w:rPr>
        <w:tab/>
      </w:r>
      <w:r w:rsidRPr="00B9061F">
        <w:rPr>
          <w:b/>
        </w:rPr>
        <w:tab/>
        <w:t>505</w:t>
      </w:r>
      <w:r w:rsidRPr="00B9061F">
        <w:rPr>
          <w:b/>
        </w:rPr>
        <w:tab/>
      </w:r>
      <w:r w:rsidRPr="00B9061F">
        <w:rPr>
          <w:b/>
        </w:rPr>
        <w:tab/>
      </w:r>
      <w:r w:rsidRPr="00B9061F">
        <w:rPr>
          <w:b/>
        </w:rPr>
        <w:tab/>
        <w:t>$19.59</w:t>
      </w:r>
    </w:p>
    <w:p w:rsidR="005E33B1" w:rsidRDefault="005E33B1" w:rsidP="00B22F59">
      <w:pPr>
        <w:spacing w:line="276" w:lineRule="auto"/>
        <w:jc w:val="left"/>
        <w:rPr>
          <w:b/>
          <w:i/>
        </w:rPr>
      </w:pPr>
      <w:r w:rsidRPr="00B9061F">
        <w:rPr>
          <w:b/>
          <w:i/>
        </w:rPr>
        <w:t>02/08/2012</w:t>
      </w:r>
      <w:r w:rsidRPr="00B9061F">
        <w:rPr>
          <w:b/>
          <w:i/>
        </w:rPr>
        <w:tab/>
      </w:r>
      <w:r w:rsidRPr="00B9061F">
        <w:rPr>
          <w:b/>
          <w:i/>
        </w:rPr>
        <w:tab/>
        <w:t>31</w:t>
      </w:r>
      <w:r w:rsidRPr="00B9061F">
        <w:rPr>
          <w:b/>
          <w:i/>
        </w:rPr>
        <w:tab/>
      </w:r>
      <w:r w:rsidRPr="00B9061F">
        <w:rPr>
          <w:b/>
          <w:i/>
        </w:rPr>
        <w:tab/>
        <w:t>184</w:t>
      </w:r>
      <w:r w:rsidRPr="00B9061F">
        <w:rPr>
          <w:b/>
          <w:i/>
        </w:rPr>
        <w:tab/>
      </w:r>
      <w:r w:rsidRPr="00B9061F">
        <w:rPr>
          <w:b/>
          <w:i/>
        </w:rPr>
        <w:tab/>
        <w:t>736</w:t>
      </w:r>
      <w:r w:rsidRPr="00B9061F">
        <w:rPr>
          <w:b/>
          <w:i/>
        </w:rPr>
        <w:tab/>
      </w:r>
      <w:r w:rsidRPr="00B9061F">
        <w:rPr>
          <w:b/>
          <w:i/>
        </w:rPr>
        <w:tab/>
      </w:r>
      <w:r w:rsidRPr="00B9061F">
        <w:rPr>
          <w:b/>
          <w:i/>
        </w:rPr>
        <w:tab/>
        <w:t>$314.74</w:t>
      </w:r>
    </w:p>
    <w:p w:rsidR="00AD2FFC" w:rsidRDefault="00AD2FFC" w:rsidP="00B22F59">
      <w:pPr>
        <w:spacing w:line="276" w:lineRule="auto"/>
        <w:jc w:val="left"/>
      </w:pPr>
      <w:r>
        <w:t>03/2012</w:t>
      </w:r>
      <w:r>
        <w:tab/>
      </w:r>
      <w:r>
        <w:tab/>
      </w:r>
      <w:r>
        <w:tab/>
        <w:t xml:space="preserve">canceled and rebilled </w:t>
      </w:r>
    </w:p>
    <w:p w:rsidR="00E80822" w:rsidRDefault="00E80822" w:rsidP="00B22F59">
      <w:pPr>
        <w:spacing w:line="276" w:lineRule="auto"/>
        <w:jc w:val="left"/>
      </w:pPr>
      <w:r>
        <w:t>04/02/2012</w:t>
      </w:r>
      <w:r>
        <w:tab/>
      </w:r>
      <w:r>
        <w:tab/>
        <w:t>63</w:t>
      </w:r>
      <w:r>
        <w:tab/>
      </w:r>
      <w:r>
        <w:tab/>
        <w:t>97</w:t>
      </w:r>
      <w:r>
        <w:tab/>
      </w:r>
      <w:r>
        <w:tab/>
        <w:t>1595</w:t>
      </w:r>
      <w:r>
        <w:tab/>
      </w:r>
      <w:r>
        <w:tab/>
      </w:r>
      <w:r>
        <w:tab/>
        <w:t>$181.58</w:t>
      </w:r>
    </w:p>
    <w:p w:rsidR="00AD2FFC" w:rsidRDefault="00AD2FFC" w:rsidP="00B22F59">
      <w:pPr>
        <w:spacing w:line="276" w:lineRule="auto"/>
        <w:jc w:val="left"/>
      </w:pPr>
      <w:r>
        <w:t>04/10/2012</w:t>
      </w:r>
      <w:r>
        <w:tab/>
      </w:r>
      <w:r>
        <w:tab/>
        <w:t>30</w:t>
      </w:r>
      <w:r>
        <w:tab/>
      </w:r>
      <w:r>
        <w:tab/>
        <w:t>72</w:t>
      </w:r>
      <w:r>
        <w:tab/>
      </w:r>
      <w:r>
        <w:tab/>
        <w:t>575</w:t>
      </w:r>
      <w:r>
        <w:tab/>
      </w:r>
      <w:r>
        <w:tab/>
      </w:r>
      <w:r>
        <w:tab/>
        <w:t>$132.31</w:t>
      </w:r>
    </w:p>
    <w:p w:rsidR="00AD2FFC" w:rsidRDefault="00AD2FFC" w:rsidP="00B22F59">
      <w:pPr>
        <w:spacing w:line="276" w:lineRule="auto"/>
        <w:jc w:val="left"/>
      </w:pPr>
      <w:r>
        <w:t>05/09/2012</w:t>
      </w:r>
      <w:r>
        <w:tab/>
      </w:r>
      <w:r>
        <w:tab/>
        <w:t>30</w:t>
      </w:r>
      <w:r>
        <w:tab/>
      </w:r>
      <w:r>
        <w:tab/>
        <w:t>22</w:t>
      </w:r>
      <w:r>
        <w:tab/>
      </w:r>
      <w:r>
        <w:tab/>
        <w:t>323</w:t>
      </w:r>
      <w:r>
        <w:tab/>
      </w:r>
      <w:r>
        <w:tab/>
      </w:r>
      <w:r>
        <w:tab/>
        <w:t>$48.91</w:t>
      </w:r>
    </w:p>
    <w:p w:rsidR="00AD2FFC" w:rsidRDefault="00AD2FFC" w:rsidP="00B22F59">
      <w:pPr>
        <w:spacing w:line="276" w:lineRule="auto"/>
        <w:jc w:val="left"/>
      </w:pPr>
      <w:r>
        <w:t>06/08/2012</w:t>
      </w:r>
      <w:r>
        <w:tab/>
      </w:r>
      <w:r>
        <w:tab/>
        <w:t>31</w:t>
      </w:r>
      <w:r>
        <w:tab/>
      </w:r>
      <w:r>
        <w:tab/>
        <w:t>18</w:t>
      </w:r>
      <w:r>
        <w:tab/>
      </w:r>
      <w:r>
        <w:tab/>
        <w:t>171</w:t>
      </w:r>
      <w:r>
        <w:tab/>
      </w:r>
      <w:r>
        <w:tab/>
      </w:r>
      <w:r>
        <w:tab/>
        <w:t>$303.08</w:t>
      </w:r>
    </w:p>
    <w:p w:rsidR="00AD2FFC" w:rsidRDefault="00AD2FFC" w:rsidP="00B22F59">
      <w:pPr>
        <w:spacing w:line="276" w:lineRule="auto"/>
        <w:jc w:val="left"/>
      </w:pPr>
      <w:r>
        <w:t>07/10/2012</w:t>
      </w:r>
      <w:r>
        <w:tab/>
      </w:r>
      <w:r>
        <w:tab/>
        <w:t>30</w:t>
      </w:r>
      <w:r>
        <w:tab/>
      </w:r>
      <w:r>
        <w:tab/>
        <w:t>17</w:t>
      </w:r>
      <w:r>
        <w:tab/>
      </w:r>
      <w:r>
        <w:tab/>
        <w:t>8</w:t>
      </w:r>
      <w:r>
        <w:tab/>
      </w:r>
      <w:r>
        <w:tab/>
      </w:r>
      <w:r>
        <w:tab/>
        <w:t>$54.04</w:t>
      </w:r>
    </w:p>
    <w:p w:rsidR="00AD2FFC" w:rsidRDefault="00AD2FFC" w:rsidP="00B22F59">
      <w:pPr>
        <w:spacing w:line="276" w:lineRule="auto"/>
        <w:jc w:val="left"/>
      </w:pPr>
      <w:r>
        <w:t>08/08/2012</w:t>
      </w:r>
      <w:r>
        <w:tab/>
      </w:r>
      <w:r>
        <w:tab/>
        <w:t>30</w:t>
      </w:r>
      <w:r>
        <w:tab/>
      </w:r>
      <w:r>
        <w:tab/>
        <w:t>18</w:t>
      </w:r>
      <w:r>
        <w:tab/>
      </w:r>
      <w:r>
        <w:tab/>
        <w:t>0</w:t>
      </w:r>
      <w:r>
        <w:tab/>
      </w:r>
      <w:r>
        <w:tab/>
      </w:r>
      <w:r>
        <w:tab/>
        <w:t>$36.41</w:t>
      </w:r>
    </w:p>
    <w:p w:rsidR="00AD2FFC" w:rsidRDefault="00AD2FFC" w:rsidP="00B22F59">
      <w:pPr>
        <w:spacing w:line="276" w:lineRule="auto"/>
        <w:jc w:val="left"/>
      </w:pPr>
      <w:r>
        <w:t>09/07/2012</w:t>
      </w:r>
      <w:r>
        <w:tab/>
      </w:r>
      <w:r>
        <w:tab/>
        <w:t>31</w:t>
      </w:r>
      <w:r>
        <w:tab/>
      </w:r>
      <w:r>
        <w:tab/>
        <w:t>17</w:t>
      </w:r>
      <w:r>
        <w:tab/>
      </w:r>
      <w:r>
        <w:tab/>
        <w:t>0</w:t>
      </w:r>
      <w:r>
        <w:tab/>
      </w:r>
      <w:r>
        <w:tab/>
      </w:r>
      <w:r>
        <w:tab/>
        <w:t>$35.05</w:t>
      </w:r>
    </w:p>
    <w:p w:rsidR="00AD2FFC" w:rsidRDefault="00AD2FFC" w:rsidP="00B22F59">
      <w:pPr>
        <w:spacing w:line="276" w:lineRule="auto"/>
        <w:jc w:val="left"/>
      </w:pPr>
      <w:r>
        <w:t>10/09/2012</w:t>
      </w:r>
      <w:r>
        <w:tab/>
      </w:r>
      <w:r>
        <w:tab/>
        <w:t>31</w:t>
      </w:r>
      <w:r>
        <w:tab/>
      </w:r>
      <w:r>
        <w:tab/>
        <w:t>18</w:t>
      </w:r>
      <w:r>
        <w:tab/>
      </w:r>
      <w:r>
        <w:tab/>
        <w:t>0</w:t>
      </w:r>
      <w:r>
        <w:tab/>
      </w:r>
      <w:r>
        <w:tab/>
      </w:r>
      <w:r>
        <w:tab/>
        <w:t>$36.78</w:t>
      </w:r>
    </w:p>
    <w:p w:rsidR="00E80822" w:rsidRDefault="00AD2FFC" w:rsidP="00B22F59">
      <w:pPr>
        <w:spacing w:line="276" w:lineRule="auto"/>
        <w:jc w:val="left"/>
      </w:pPr>
      <w:r>
        <w:t>11/07/2012</w:t>
      </w:r>
      <w:r>
        <w:tab/>
      </w:r>
      <w:r>
        <w:tab/>
        <w:t>29</w:t>
      </w:r>
      <w:r>
        <w:tab/>
      </w:r>
      <w:r>
        <w:tab/>
        <w:t>17</w:t>
      </w:r>
      <w:r>
        <w:tab/>
      </w:r>
      <w:r>
        <w:tab/>
        <w:t>83</w:t>
      </w:r>
      <w:r>
        <w:tab/>
      </w:r>
      <w:r>
        <w:tab/>
      </w:r>
      <w:r>
        <w:tab/>
        <w:t>$</w:t>
      </w:r>
      <w:r w:rsidR="00E80822">
        <w:t>35.90</w:t>
      </w:r>
    </w:p>
    <w:p w:rsidR="00AD2FFC" w:rsidRDefault="00E80822" w:rsidP="00B22F59">
      <w:pPr>
        <w:spacing w:line="276" w:lineRule="auto"/>
        <w:jc w:val="left"/>
      </w:pPr>
      <w:r>
        <w:t>12/10/1012</w:t>
      </w:r>
      <w:r>
        <w:tab/>
      </w:r>
      <w:r>
        <w:tab/>
        <w:t>32</w:t>
      </w:r>
      <w:r>
        <w:tab/>
      </w:r>
      <w:r>
        <w:tab/>
        <w:t>19</w:t>
      </w:r>
      <w:r>
        <w:tab/>
      </w:r>
      <w:r>
        <w:tab/>
        <w:t>367</w:t>
      </w:r>
      <w:r>
        <w:tab/>
      </w:r>
      <w:r>
        <w:tab/>
      </w:r>
      <w:r>
        <w:tab/>
        <w:t>$38.74</w:t>
      </w:r>
    </w:p>
    <w:p w:rsidR="00E80822" w:rsidRPr="00AD2FFC" w:rsidRDefault="00E80822" w:rsidP="00B22F59">
      <w:pPr>
        <w:spacing w:line="276" w:lineRule="auto"/>
        <w:jc w:val="left"/>
      </w:pPr>
      <w:r>
        <w:t>01/11/2013</w:t>
      </w:r>
      <w:r>
        <w:tab/>
      </w:r>
      <w:r>
        <w:tab/>
        <w:t>30</w:t>
      </w:r>
      <w:r>
        <w:tab/>
      </w:r>
      <w:r>
        <w:tab/>
        <w:t>51</w:t>
      </w:r>
      <w:r>
        <w:tab/>
      </w:r>
      <w:r>
        <w:tab/>
        <w:t>611</w:t>
      </w:r>
      <w:r>
        <w:tab/>
      </w:r>
      <w:r>
        <w:tab/>
      </w:r>
      <w:r>
        <w:tab/>
        <w:t>$86.06</w:t>
      </w:r>
    </w:p>
    <w:p w:rsidR="00A66F33" w:rsidRPr="00B9061F" w:rsidRDefault="00A66F33" w:rsidP="00B22F59">
      <w:pPr>
        <w:spacing w:line="276" w:lineRule="auto"/>
        <w:jc w:val="left"/>
      </w:pPr>
      <w:r w:rsidRPr="00B9061F">
        <w:t>PGW Ex. 1.</w:t>
      </w:r>
    </w:p>
    <w:p w:rsidR="005E33B1" w:rsidRPr="00B9061F" w:rsidRDefault="005E33B1" w:rsidP="00FC7982">
      <w:pPr>
        <w:jc w:val="left"/>
      </w:pPr>
    </w:p>
    <w:p w:rsidR="005E33B1" w:rsidRPr="00B9061F" w:rsidRDefault="005E33B1" w:rsidP="00FC7982">
      <w:pPr>
        <w:jc w:val="left"/>
      </w:pPr>
      <w:r w:rsidRPr="00B9061F">
        <w:tab/>
      </w:r>
      <w:r w:rsidRPr="00B9061F">
        <w:tab/>
        <w:t>21.</w:t>
      </w:r>
      <w:r w:rsidRPr="00B9061F">
        <w:tab/>
        <w:t>On February 8, 2012, Complainant contacted the Company to dispute her bill.  Tr. 31.</w:t>
      </w:r>
    </w:p>
    <w:p w:rsidR="005E33B1" w:rsidRPr="00B9061F" w:rsidRDefault="005E33B1" w:rsidP="00FC7982">
      <w:pPr>
        <w:jc w:val="left"/>
      </w:pPr>
    </w:p>
    <w:p w:rsidR="005E33B1" w:rsidRPr="00B9061F" w:rsidRDefault="005E33B1" w:rsidP="00FC7982">
      <w:pPr>
        <w:jc w:val="left"/>
      </w:pPr>
      <w:r w:rsidRPr="00B9061F">
        <w:tab/>
      </w:r>
      <w:r w:rsidRPr="00B9061F">
        <w:tab/>
        <w:t>22.</w:t>
      </w:r>
      <w:r w:rsidRPr="00B9061F">
        <w:tab/>
        <w:t>On March 3, 2012, Complainant filed an informal complaint with the Commission's BCS.  Tr. 31; PGW Exhibit 5.</w:t>
      </w:r>
    </w:p>
    <w:p w:rsidR="005E33B1" w:rsidRPr="00B9061F" w:rsidRDefault="005E33B1" w:rsidP="00FC7982">
      <w:pPr>
        <w:jc w:val="left"/>
      </w:pPr>
    </w:p>
    <w:p w:rsidR="005E33B1" w:rsidRPr="00B9061F" w:rsidRDefault="005E33B1" w:rsidP="00FC7982">
      <w:pPr>
        <w:jc w:val="left"/>
      </w:pPr>
      <w:r w:rsidRPr="00B9061F">
        <w:tab/>
      </w:r>
      <w:r w:rsidRPr="00B9061F">
        <w:tab/>
        <w:t>23.</w:t>
      </w:r>
      <w:r w:rsidRPr="00B9061F">
        <w:tab/>
        <w:t>PGW canceled the bill segment fr</w:t>
      </w:r>
      <w:r w:rsidR="008C571E">
        <w:t>om December 12, 2011 to January</w:t>
      </w:r>
      <w:r w:rsidR="00B22F59">
        <w:t xml:space="preserve"> </w:t>
      </w:r>
      <w:r w:rsidR="008C571E">
        <w:t>12,</w:t>
      </w:r>
      <w:r w:rsidR="00B22F59">
        <w:t xml:space="preserve"> </w:t>
      </w:r>
      <w:r w:rsidRPr="00B9061F">
        <w:t xml:space="preserve">2012 due to a system problem and rebilled the account with a reading of </w:t>
      </w:r>
      <w:r w:rsidR="006B27BB">
        <w:t>3</w:t>
      </w:r>
      <w:r w:rsidRPr="00B9061F">
        <w:t>973, index read, to February 13, 2012, index read of 4070, for 97 cubic feet of gas.  Tr. 31.</w:t>
      </w:r>
    </w:p>
    <w:p w:rsidR="005E33B1" w:rsidRPr="00B9061F" w:rsidRDefault="005E33B1" w:rsidP="00FC7982">
      <w:pPr>
        <w:jc w:val="left"/>
      </w:pPr>
    </w:p>
    <w:p w:rsidR="005E33B1" w:rsidRPr="00B9061F" w:rsidRDefault="005E33B1" w:rsidP="00FC7982">
      <w:pPr>
        <w:jc w:val="left"/>
      </w:pPr>
      <w:r w:rsidRPr="00B9061F">
        <w:tab/>
      </w:r>
      <w:r w:rsidRPr="00B9061F">
        <w:tab/>
        <w:t>24.</w:t>
      </w:r>
      <w:r w:rsidRPr="00B9061F">
        <w:tab/>
        <w:t>On March 3, 2012, the Complainant's bill was reduced to $181.58, due April 2, 2012</w:t>
      </w:r>
      <w:r w:rsidR="000A603B" w:rsidRPr="00B9061F">
        <w:t>.</w:t>
      </w:r>
    </w:p>
    <w:p w:rsidR="000A603B" w:rsidRPr="00B9061F" w:rsidRDefault="000A603B" w:rsidP="00FC7982">
      <w:pPr>
        <w:jc w:val="left"/>
      </w:pPr>
    </w:p>
    <w:p w:rsidR="000A603B" w:rsidRPr="00B9061F" w:rsidRDefault="000A603B" w:rsidP="00FC7982">
      <w:pPr>
        <w:jc w:val="left"/>
      </w:pPr>
      <w:r w:rsidRPr="00B9061F">
        <w:tab/>
      </w:r>
      <w:r w:rsidRPr="00B9061F">
        <w:tab/>
        <w:t>25.</w:t>
      </w:r>
      <w:r w:rsidRPr="00B9061F">
        <w:tab/>
        <w:t>PGW Exhibit 1 indicates that all meter readings reported were actual readings.  PGW Ex. 1.</w:t>
      </w:r>
    </w:p>
    <w:p w:rsidR="006756CF" w:rsidRPr="00B9061F" w:rsidRDefault="006756CF" w:rsidP="00FC7982">
      <w:pPr>
        <w:jc w:val="left"/>
      </w:pPr>
    </w:p>
    <w:p w:rsidR="006756CF" w:rsidRPr="00B9061F" w:rsidRDefault="006756CF" w:rsidP="00FC7982">
      <w:pPr>
        <w:jc w:val="left"/>
      </w:pPr>
      <w:r w:rsidRPr="00B9061F">
        <w:tab/>
      </w:r>
      <w:r w:rsidRPr="00B9061F">
        <w:tab/>
        <w:t>26.</w:t>
      </w:r>
      <w:r w:rsidRPr="00B9061F">
        <w:tab/>
      </w:r>
      <w:r w:rsidR="00FC0655" w:rsidRPr="00B9061F">
        <w:t xml:space="preserve">PGW did not provide an explanation of the system error which resulted in </w:t>
      </w:r>
      <w:r w:rsidR="00A66F33" w:rsidRPr="00B9061F">
        <w:t xml:space="preserve">reporting </w:t>
      </w:r>
      <w:r w:rsidR="00FC0655" w:rsidRPr="00B9061F">
        <w:t>eight m</w:t>
      </w:r>
      <w:r w:rsidR="00CD4EEF">
        <w:t>onths of 5 CCF usage each month</w:t>
      </w:r>
      <w:r w:rsidR="00FC0655" w:rsidRPr="00B9061F">
        <w:t>.</w:t>
      </w:r>
    </w:p>
    <w:p w:rsidR="000A603B" w:rsidRPr="00B9061F" w:rsidRDefault="000A603B" w:rsidP="00FC7982">
      <w:pPr>
        <w:jc w:val="left"/>
      </w:pPr>
    </w:p>
    <w:p w:rsidR="00C72E28" w:rsidRPr="00B9061F" w:rsidRDefault="006B27BB" w:rsidP="00FC7982">
      <w:pPr>
        <w:jc w:val="left"/>
      </w:pPr>
      <w:r>
        <w:tab/>
      </w:r>
      <w:r>
        <w:tab/>
        <w:t>27</w:t>
      </w:r>
      <w:r w:rsidR="000A603B" w:rsidRPr="00B9061F">
        <w:t>.</w:t>
      </w:r>
      <w:r w:rsidR="000A603B" w:rsidRPr="00B9061F">
        <w:tab/>
      </w:r>
      <w:r w:rsidR="00FC0655" w:rsidRPr="00B9061F">
        <w:t>PGW did not provide an explanation of how it determined the correct usage and subsequently, the correct amount to bill Complainant for the time period</w:t>
      </w:r>
      <w:r>
        <w:t xml:space="preserve"> affected by the system error</w:t>
      </w:r>
      <w:r w:rsidR="00FC0655" w:rsidRPr="00B9061F">
        <w:t>.</w:t>
      </w:r>
    </w:p>
    <w:p w:rsidR="00662383" w:rsidRPr="00B9061F" w:rsidRDefault="00662383" w:rsidP="00FC7982">
      <w:pPr>
        <w:jc w:val="left"/>
      </w:pPr>
    </w:p>
    <w:p w:rsidR="00662383" w:rsidRPr="00B9061F" w:rsidRDefault="00662383" w:rsidP="00662383">
      <w:pPr>
        <w:rPr>
          <w:u w:val="single"/>
        </w:rPr>
      </w:pPr>
      <w:r w:rsidRPr="00B9061F">
        <w:rPr>
          <w:u w:val="single"/>
        </w:rPr>
        <w:t>DISCUSSION</w:t>
      </w:r>
    </w:p>
    <w:p w:rsidR="00662383" w:rsidRPr="00B9061F" w:rsidRDefault="00662383" w:rsidP="00662383">
      <w:pPr>
        <w:rPr>
          <w:u w:val="single"/>
        </w:rPr>
      </w:pPr>
    </w:p>
    <w:p w:rsidR="00A66F33" w:rsidRPr="00B9061F" w:rsidRDefault="005002A9" w:rsidP="00A66F33">
      <w:pPr>
        <w:jc w:val="left"/>
      </w:pPr>
      <w:r w:rsidRPr="00B9061F">
        <w:tab/>
      </w:r>
      <w:r w:rsidRPr="00B9061F">
        <w:tab/>
        <w:t>Complainant questions her bill for the time period of January 2, 2012, through January 22, 2012, when there was a gas leak that PGW had failed to identify</w:t>
      </w:r>
      <w:r w:rsidR="005863ED" w:rsidRPr="00B9061F">
        <w:t>,</w:t>
      </w:r>
      <w:r w:rsidRPr="00B9061F">
        <w:t xml:space="preserve"> and for reduced usage until her leak was fixed and service restored. </w:t>
      </w:r>
      <w:r w:rsidR="00815BE1">
        <w:t xml:space="preserve"> </w:t>
      </w:r>
      <w:r w:rsidR="00A66F33" w:rsidRPr="00B9061F">
        <w:t>Complainant also seeks remuneration for headaches that she endured after PGW failed to locate a leak on January 2, 2012, until the leak was located on January 22, 2012, as well as a reduction in her gas bill for that time.  She indicated at the hearing that the amount of the next billing, $181, seemed to be a reasonable amount.  Tr. 16.</w:t>
      </w:r>
    </w:p>
    <w:p w:rsidR="005002A9" w:rsidRPr="00B9061F" w:rsidRDefault="005002A9" w:rsidP="00A66F33">
      <w:pPr>
        <w:jc w:val="left"/>
        <w:rPr>
          <w:u w:val="single"/>
        </w:rPr>
      </w:pPr>
    </w:p>
    <w:p w:rsidR="00FC0655" w:rsidRPr="00B9061F" w:rsidRDefault="00FC0655" w:rsidP="00FC0655">
      <w:pPr>
        <w:ind w:firstLine="1440"/>
        <w:jc w:val="left"/>
        <w:rPr>
          <w:spacing w:val="-3"/>
        </w:rPr>
      </w:pPr>
      <w:r w:rsidRPr="00B9061F">
        <w:t>The C</w:t>
      </w:r>
      <w:r w:rsidRPr="00B9061F">
        <w:rPr>
          <w:spacing w:val="-3"/>
        </w:rPr>
        <w:t xml:space="preserve">omplainant carries the burden of showing that the utility is responsible or accountable for the problem described in the Complaint in order to prevail.  </w:t>
      </w:r>
      <w:r w:rsidRPr="00B9061F">
        <w:rPr>
          <w:i/>
          <w:spacing w:val="-3"/>
        </w:rPr>
        <w:t>Patterson v. Bell Telephone Company of Pennsylvania</w:t>
      </w:r>
      <w:r w:rsidRPr="00B9061F">
        <w:rPr>
          <w:spacing w:val="-3"/>
        </w:rPr>
        <w:t xml:space="preserve">, 72 Pa. PUC 196 (1990); </w:t>
      </w:r>
      <w:r w:rsidRPr="00B9061F">
        <w:rPr>
          <w:i/>
          <w:spacing w:val="-3"/>
        </w:rPr>
        <w:t>Feinstein v. Philadelphia Suburban Water Company</w:t>
      </w:r>
      <w:r w:rsidRPr="00B9061F">
        <w:rPr>
          <w:spacing w:val="-3"/>
        </w:rPr>
        <w:t xml:space="preserve">, 50 Pa. PUC 300 (1976).  This must be shown by a preponderance of the evidence.  </w:t>
      </w:r>
      <w:r w:rsidRPr="00B9061F">
        <w:rPr>
          <w:i/>
          <w:spacing w:val="-3"/>
        </w:rPr>
        <w:t>Samuel J. Lansberry, Inc. v. PA Public Utility Comm’n</w:t>
      </w:r>
      <w:r w:rsidRPr="00B9061F">
        <w:rPr>
          <w:spacing w:val="-3"/>
        </w:rPr>
        <w:t xml:space="preserve">, 578 A.2d 600 (Pa. Cmwlth.1990), </w:t>
      </w:r>
      <w:r w:rsidRPr="00B9061F">
        <w:rPr>
          <w:i/>
          <w:spacing w:val="-3"/>
        </w:rPr>
        <w:t>alloc. den.</w:t>
      </w:r>
      <w:r w:rsidRPr="00B9061F">
        <w:rPr>
          <w:spacing w:val="-3"/>
        </w:rPr>
        <w:t xml:space="preserve">, 529 A.2d 654, 602 A.2d 863 (1992).  That is, by presenting evidence more convincing, by even the smallest amount, than that presented by the other party.  </w:t>
      </w:r>
      <w:r w:rsidRPr="00B9061F">
        <w:rPr>
          <w:i/>
          <w:spacing w:val="-3"/>
        </w:rPr>
        <w:t>Se-Ling Hosiery v. Margulies</w:t>
      </w:r>
      <w:r w:rsidRPr="00B9061F">
        <w:rPr>
          <w:spacing w:val="-3"/>
        </w:rPr>
        <w:t>, 364 Pa. 45, 70 A.2d 854 (1950).</w:t>
      </w:r>
    </w:p>
    <w:p w:rsidR="00FC0655" w:rsidRPr="00B9061F" w:rsidRDefault="00FC0655" w:rsidP="00FC0655">
      <w:pPr>
        <w:ind w:firstLine="1440"/>
        <w:jc w:val="left"/>
        <w:rPr>
          <w:spacing w:val="-3"/>
        </w:rPr>
      </w:pPr>
    </w:p>
    <w:p w:rsidR="00FC0655" w:rsidRPr="00B9061F" w:rsidRDefault="00FC0655" w:rsidP="00FC0655">
      <w:pPr>
        <w:ind w:firstLine="1440"/>
        <w:jc w:val="left"/>
        <w:rPr>
          <w:spacing w:val="-3"/>
        </w:rPr>
      </w:pPr>
      <w:r w:rsidRPr="00B9061F">
        <w:rPr>
          <w:spacing w:val="-3"/>
        </w:rPr>
        <w:t xml:space="preserve">Additionally, any finding of fact necessary to support the Commission’s adjudication must be based upon substantial evidence.  </w:t>
      </w:r>
      <w:r w:rsidRPr="00B9061F">
        <w:rPr>
          <w:i/>
          <w:spacing w:val="-3"/>
        </w:rPr>
        <w:t>Mill v. Comm’w., PA Public Utility Comm’n</w:t>
      </w:r>
      <w:r w:rsidRPr="00B9061F">
        <w:rPr>
          <w:spacing w:val="-3"/>
        </w:rPr>
        <w:t xml:space="preserve">, 447 A.2d 1100 (Pa. Cmwlth.1982); </w:t>
      </w:r>
      <w:r w:rsidRPr="00B9061F">
        <w:rPr>
          <w:i/>
          <w:spacing w:val="-3"/>
        </w:rPr>
        <w:t>Edan Transportation Corp. v. PA Public Utility Comm’n,</w:t>
      </w:r>
      <w:r w:rsidRPr="00B9061F">
        <w:rPr>
          <w:spacing w:val="-3"/>
        </w:rPr>
        <w:t xml:space="preserve"> 623 A.2d 6 (Pa. Cmwlth.1993), 2 Pa.C.S. §704.  More is required than a mere trace of evidence or a suspicion of the existence of a fact sought to be established.  </w:t>
      </w:r>
      <w:r w:rsidRPr="00B9061F">
        <w:rPr>
          <w:i/>
          <w:spacing w:val="-3"/>
        </w:rPr>
        <w:t>Norfolk and Western Ry. v. PA Public Utility Comm’n</w:t>
      </w:r>
      <w:r w:rsidRPr="00B9061F">
        <w:rPr>
          <w:spacing w:val="-3"/>
        </w:rPr>
        <w:t xml:space="preserve">, 489 Pa. 109, 413 A.2d 1037 (1980); </w:t>
      </w:r>
      <w:r w:rsidRPr="00B9061F">
        <w:rPr>
          <w:i/>
          <w:spacing w:val="-3"/>
        </w:rPr>
        <w:t>Erie Resistor Corp. v. Unemployment Compensation Bd. of Review</w:t>
      </w:r>
      <w:r w:rsidRPr="00B9061F">
        <w:rPr>
          <w:spacing w:val="-3"/>
        </w:rPr>
        <w:t xml:space="preserve">, 166 A.2d 96 (Pa. Super.1960); </w:t>
      </w:r>
      <w:r w:rsidRPr="00B9061F">
        <w:rPr>
          <w:i/>
          <w:spacing w:val="-3"/>
        </w:rPr>
        <w:t>Murphy v. Commonwealth, Dep’t. of Public Welfare, White Haven Center</w:t>
      </w:r>
      <w:r w:rsidRPr="00B9061F">
        <w:rPr>
          <w:spacing w:val="-3"/>
        </w:rPr>
        <w:t>, 480 A.2d 382 (Pa. Cmwlth.1984).</w:t>
      </w:r>
    </w:p>
    <w:p w:rsidR="00FC0655" w:rsidRPr="00B9061F" w:rsidRDefault="00FC0655" w:rsidP="00FC0655">
      <w:pPr>
        <w:ind w:firstLine="1440"/>
        <w:jc w:val="left"/>
        <w:rPr>
          <w:spacing w:val="-3"/>
        </w:rPr>
      </w:pPr>
    </w:p>
    <w:p w:rsidR="00FC0655" w:rsidRPr="00B9061F" w:rsidRDefault="00FC0655" w:rsidP="00FC0655">
      <w:pPr>
        <w:jc w:val="left"/>
      </w:pPr>
      <w:r w:rsidRPr="00B9061F">
        <w:tab/>
      </w:r>
      <w:r w:rsidRPr="00B9061F">
        <w:tab/>
        <w:t>The offense must be a violation of the Public Utility Code, the Commission’s regulations, or an outstanding order of the Commission.  66 Pa. C.S. § 701.</w:t>
      </w:r>
    </w:p>
    <w:p w:rsidR="00FC0655" w:rsidRPr="00B9061F" w:rsidRDefault="00FC0655" w:rsidP="00FC0655"/>
    <w:p w:rsidR="007B77AD" w:rsidRPr="00B9061F" w:rsidRDefault="004B2133" w:rsidP="007B77AD">
      <w:pPr>
        <w:jc w:val="left"/>
        <w:rPr>
          <w:spacing w:val="-3"/>
        </w:rPr>
      </w:pPr>
      <w:r w:rsidRPr="00B9061F">
        <w:rPr>
          <w:spacing w:val="-3"/>
        </w:rPr>
        <w:tab/>
      </w:r>
      <w:r w:rsidRPr="00B9061F">
        <w:rPr>
          <w:spacing w:val="-3"/>
        </w:rPr>
        <w:tab/>
      </w:r>
      <w:r w:rsidR="007B77AD" w:rsidRPr="00B9061F">
        <w:rPr>
          <w:spacing w:val="-3"/>
        </w:rPr>
        <w:t xml:space="preserve">The “burden of proof” is composed of two distinct burdens: the burden of production and the burden of persuasion.  </w:t>
      </w:r>
      <w:r w:rsidR="007B77AD" w:rsidRPr="00B9061F">
        <w:rPr>
          <w:i/>
          <w:spacing w:val="-3"/>
        </w:rPr>
        <w:t>Hurley v. Hurley</w:t>
      </w:r>
      <w:r w:rsidR="007B77AD" w:rsidRPr="00B9061F">
        <w:rPr>
          <w:spacing w:val="-3"/>
        </w:rPr>
        <w:t>, 2000 Pa.Super. 178, 754 A.2d 1283 (2000).</w:t>
      </w:r>
    </w:p>
    <w:p w:rsidR="007B77AD" w:rsidRPr="00B9061F" w:rsidRDefault="007B77AD" w:rsidP="007B77AD">
      <w:pPr>
        <w:jc w:val="left"/>
        <w:rPr>
          <w:spacing w:val="-3"/>
        </w:rPr>
      </w:pPr>
    </w:p>
    <w:p w:rsidR="007B77AD" w:rsidRPr="00B9061F" w:rsidRDefault="007B77AD" w:rsidP="007B77AD">
      <w:pPr>
        <w:tabs>
          <w:tab w:val="left" w:pos="-1440"/>
          <w:tab w:val="left" w:pos="-720"/>
        </w:tabs>
        <w:suppressAutoHyphens/>
        <w:ind w:firstLine="1440"/>
        <w:jc w:val="left"/>
        <w:rPr>
          <w:spacing w:val="-3"/>
        </w:rPr>
      </w:pPr>
      <w:r w:rsidRPr="00B9061F">
        <w:rPr>
          <w:spacing w:val="-3"/>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Once the party with the initial burden of production introduces sufficient evidence to make out a prima facie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7B77AD" w:rsidRPr="00B9061F" w:rsidRDefault="007B77AD" w:rsidP="007B77AD">
      <w:pPr>
        <w:tabs>
          <w:tab w:val="left" w:pos="-1440"/>
          <w:tab w:val="left" w:pos="-720"/>
        </w:tabs>
        <w:suppressAutoHyphens/>
        <w:ind w:firstLine="1440"/>
        <w:jc w:val="left"/>
        <w:rPr>
          <w:spacing w:val="-3"/>
        </w:rPr>
      </w:pPr>
    </w:p>
    <w:p w:rsidR="006E5F9C" w:rsidRPr="00B9061F" w:rsidRDefault="00662383" w:rsidP="00662383">
      <w:pPr>
        <w:jc w:val="left"/>
      </w:pPr>
      <w:r w:rsidRPr="00B9061F">
        <w:tab/>
      </w:r>
      <w:r w:rsidRPr="00B9061F">
        <w:tab/>
      </w:r>
      <w:r w:rsidR="00F26823" w:rsidRPr="00B9061F">
        <w:t xml:space="preserve">In support of its defense that the Complainant's </w:t>
      </w:r>
      <w:r w:rsidR="002E0A25">
        <w:t>appliance was tagged on January 2, </w:t>
      </w:r>
      <w:r w:rsidR="00F26823" w:rsidRPr="00B9061F">
        <w:t>201</w:t>
      </w:r>
      <w:r w:rsidR="006B27BB">
        <w:t>2</w:t>
      </w:r>
      <w:r w:rsidR="00F26823" w:rsidRPr="00B9061F">
        <w:t xml:space="preserve">, PGW offers its business record of customer contacts.  </w:t>
      </w:r>
      <w:r w:rsidR="006E5F9C" w:rsidRPr="00B9061F">
        <w:t xml:space="preserve">The PGW customer contacts are written </w:t>
      </w:r>
      <w:r w:rsidR="000322EF" w:rsidRPr="00B9061F">
        <w:t>as follows</w:t>
      </w:r>
      <w:r w:rsidR="006E5F9C" w:rsidRPr="00B9061F">
        <w:t>:</w:t>
      </w:r>
    </w:p>
    <w:p w:rsidR="0081733A" w:rsidRDefault="0081733A" w:rsidP="005F201E">
      <w:pPr>
        <w:spacing w:line="276" w:lineRule="auto"/>
        <w:ind w:left="1440" w:right="1440"/>
        <w:jc w:val="left"/>
      </w:pPr>
    </w:p>
    <w:p w:rsidR="006E5F9C" w:rsidRPr="00B9061F" w:rsidRDefault="006E5F9C" w:rsidP="00FC0655">
      <w:pPr>
        <w:spacing w:line="240" w:lineRule="auto"/>
        <w:ind w:left="1440" w:right="1440"/>
        <w:jc w:val="left"/>
      </w:pPr>
      <w:r w:rsidRPr="00B9061F">
        <w:t>01/02/2012</w:t>
      </w:r>
      <w:r w:rsidRPr="00B9061F">
        <w:tab/>
        <w:t>entered gas odor at hh. rec'd from cor. Inst. Cust</w:t>
      </w:r>
    </w:p>
    <w:p w:rsidR="002B3882" w:rsidRPr="00B9061F" w:rsidRDefault="002B3882" w:rsidP="00FC0655">
      <w:pPr>
        <w:spacing w:line="240" w:lineRule="auto"/>
        <w:ind w:left="1440" w:right="1440"/>
        <w:jc w:val="left"/>
      </w:pPr>
      <w:r w:rsidRPr="00B9061F">
        <w:t>01/02/2012</w:t>
      </w:r>
      <w:r w:rsidRPr="00B9061F">
        <w:tab/>
        <w:t>Scott Sypherd was here on a Gas Leak Inside order with Order #3427901, with a result of Completed Found Gas ON, left Gas ON with activities of (General – Appliance Leak), with comments of "fast serv no heat shut of iss hazard leaking relief valve</w:t>
      </w:r>
      <w:r w:rsidR="000322EF" w:rsidRPr="00B9061F">
        <w:t>.</w:t>
      </w:r>
      <w:r w:rsidRPr="00B9061F">
        <w:t xml:space="preserve"> all chks no lealk no readings.left</w:t>
      </w:r>
      <w:r w:rsidR="000322EF" w:rsidRPr="00B9061F">
        <w:t xml:space="preserve"> 0</w:t>
      </w:r>
      <w:r w:rsidRPr="00B9061F">
        <w:t>percent."</w:t>
      </w:r>
    </w:p>
    <w:p w:rsidR="006E5F9C" w:rsidRPr="00B9061F" w:rsidRDefault="006E5F9C" w:rsidP="00FC0655">
      <w:pPr>
        <w:spacing w:line="240" w:lineRule="auto"/>
        <w:ind w:left="1440" w:right="1440"/>
        <w:jc w:val="left"/>
      </w:pPr>
    </w:p>
    <w:p w:rsidR="006E5F9C" w:rsidRPr="00B9061F" w:rsidRDefault="006E5F9C" w:rsidP="00FC0655">
      <w:pPr>
        <w:spacing w:line="240" w:lineRule="auto"/>
        <w:ind w:left="1440" w:right="1440"/>
        <w:jc w:val="left"/>
      </w:pPr>
      <w:r w:rsidRPr="00B9061F">
        <w:t>01/22/2012</w:t>
      </w:r>
      <w:r w:rsidRPr="00B9061F">
        <w:tab/>
        <w:t>GAS ODOR IN LIVING ROOM</w:t>
      </w:r>
    </w:p>
    <w:p w:rsidR="006E5F9C" w:rsidRDefault="006E5F9C" w:rsidP="00FC0655">
      <w:pPr>
        <w:spacing w:line="240" w:lineRule="auto"/>
        <w:ind w:left="1440" w:right="1440"/>
        <w:jc w:val="left"/>
      </w:pPr>
      <w:r w:rsidRPr="00B9061F">
        <w:t>01/22/2012</w:t>
      </w:r>
      <w:r w:rsidRPr="00B9061F">
        <w:tab/>
        <w:t>Kaiseem Scott was here on a Gas Leak Inside order with Order # 3584800, with a result of Completed Found Gas ON. Left gas ON with activities of (General – Appliance Leak), with comments of "found gas valve leaking on AWH and fuel line leak at AWH after shut off valve left off at valve issued haz. tag to cust. Instructed to contractor, made all checks."</w:t>
      </w:r>
    </w:p>
    <w:p w:rsidR="00B22F59" w:rsidRPr="00B9061F" w:rsidRDefault="00B22F59" w:rsidP="00FC0655">
      <w:pPr>
        <w:spacing w:line="240" w:lineRule="auto"/>
        <w:ind w:left="1440" w:right="1440"/>
        <w:jc w:val="left"/>
      </w:pPr>
    </w:p>
    <w:p w:rsidR="002B3882" w:rsidRPr="00B9061F" w:rsidRDefault="002B3882" w:rsidP="00662383">
      <w:pPr>
        <w:jc w:val="left"/>
      </w:pPr>
      <w:r w:rsidRPr="00B9061F">
        <w:t>PGW Exh. 2 at 2.</w:t>
      </w:r>
    </w:p>
    <w:p w:rsidR="002B3882" w:rsidRPr="00B9061F" w:rsidRDefault="002B3882" w:rsidP="005F201E">
      <w:pPr>
        <w:spacing w:line="276" w:lineRule="auto"/>
        <w:jc w:val="left"/>
      </w:pPr>
    </w:p>
    <w:p w:rsidR="009E2989" w:rsidRPr="00B9061F" w:rsidRDefault="002B3882" w:rsidP="00662383">
      <w:pPr>
        <w:jc w:val="left"/>
      </w:pPr>
      <w:r w:rsidRPr="00B9061F">
        <w:tab/>
      </w:r>
      <w:r w:rsidRPr="00B9061F">
        <w:tab/>
      </w:r>
      <w:r w:rsidR="00BD3B91" w:rsidRPr="00B9061F">
        <w:t xml:space="preserve">PGW witness </w:t>
      </w:r>
      <w:r w:rsidRPr="00B9061F">
        <w:t xml:space="preserve">Kelly </w:t>
      </w:r>
      <w:r w:rsidR="00F26823" w:rsidRPr="00B9061F">
        <w:t xml:space="preserve">neither visited the Complainant's residence nor put the information from the field notes into the system.  Despite her lack of direct contact with the formation of this record, she was presented for her </w:t>
      </w:r>
      <w:r w:rsidRPr="00B9061F">
        <w:t>interpret</w:t>
      </w:r>
      <w:r w:rsidR="00F26823" w:rsidRPr="00B9061F">
        <w:t xml:space="preserve">ation of </w:t>
      </w:r>
      <w:r w:rsidR="00AC43B4">
        <w:t>the second entry on January 2, </w:t>
      </w:r>
      <w:r w:rsidRPr="00B9061F">
        <w:t xml:space="preserve">2012, </w:t>
      </w:r>
      <w:r w:rsidR="00F26823" w:rsidRPr="00B9061F">
        <w:t xml:space="preserve">which she testified </w:t>
      </w:r>
      <w:r w:rsidRPr="00B9061F">
        <w:t>mean</w:t>
      </w:r>
      <w:r w:rsidR="00F26823" w:rsidRPr="00B9061F">
        <w:t>s</w:t>
      </w:r>
      <w:r w:rsidRPr="00B9061F">
        <w:t xml:space="preserve"> that "fast serv" </w:t>
      </w:r>
      <w:r w:rsidR="00F26823" w:rsidRPr="00B9061F">
        <w:t>is used to indicate</w:t>
      </w:r>
      <w:r w:rsidRPr="00B9061F">
        <w:t xml:space="preserve"> that the</w:t>
      </w:r>
      <w:r w:rsidR="00F26823" w:rsidRPr="00B9061F">
        <w:t xml:space="preserve"> customer service representative</w:t>
      </w:r>
      <w:r w:rsidRPr="00B9061F">
        <w:t xml:space="preserve"> went out quickly but no leaks were fo</w:t>
      </w:r>
      <w:r w:rsidR="00F6132B">
        <w:t>und, but then, "When it says is</w:t>
      </w:r>
      <w:r w:rsidRPr="00B9061F">
        <w:t xml:space="preserve"> hazard leaking relief valve, that's what was found at that time.  And it says that hazard, means a hazard tag was issued because of the leaking relief valve."  Tr. 28</w:t>
      </w:r>
      <w:r w:rsidR="00AF5C51" w:rsidRPr="00B9061F">
        <w:t>, 42-43</w:t>
      </w:r>
      <w:r w:rsidRPr="00B9061F">
        <w:t xml:space="preserve">. </w:t>
      </w:r>
      <w:r w:rsidR="009E2989" w:rsidRPr="00B9061F">
        <w:t xml:space="preserve"> However, the </w:t>
      </w:r>
      <w:r w:rsidR="00F8263B">
        <w:t>January 22, </w:t>
      </w:r>
      <w:r w:rsidR="00BD3B91" w:rsidRPr="00B9061F">
        <w:t>2012,</w:t>
      </w:r>
      <w:r w:rsidR="009E2989" w:rsidRPr="00B9061F">
        <w:t xml:space="preserve"> entry specifically states "issued haz. </w:t>
      </w:r>
      <w:r w:rsidR="00D228B8" w:rsidRPr="00B9061F">
        <w:t>tag to</w:t>
      </w:r>
      <w:r w:rsidR="009E2989" w:rsidRPr="00B9061F">
        <w:t xml:space="preserve"> cust.  Instructed to contractor."</w:t>
      </w:r>
    </w:p>
    <w:p w:rsidR="006756CF" w:rsidRPr="00B9061F" w:rsidRDefault="006756CF" w:rsidP="00662383">
      <w:pPr>
        <w:jc w:val="left"/>
      </w:pPr>
      <w:r w:rsidRPr="00B9061F">
        <w:tab/>
      </w:r>
      <w:r w:rsidRPr="00B9061F">
        <w:tab/>
        <w:t xml:space="preserve">The information found in PGW Ex. 2 originates in PGW Exhibit 4, which is the field information placed there by the service representative.  The wording is the same for the dates of entry.  </w:t>
      </w:r>
      <w:r w:rsidR="000322EF" w:rsidRPr="00B9061F">
        <w:t xml:space="preserve">However, the field information for January 2, 2012, states that there was a defective temperature/pressure relief valve found, and the notation reads "shut off valve only." </w:t>
      </w:r>
      <w:r w:rsidR="002C69BE">
        <w:t xml:space="preserve"> </w:t>
      </w:r>
      <w:r w:rsidR="006418D5" w:rsidRPr="00B9061F">
        <w:t xml:space="preserve">This did not appear in the customer contact notation in PGW Ex. 2, page 2.  </w:t>
      </w:r>
      <w:r w:rsidRPr="00B9061F">
        <w:t>In short, there is a mention of a hazard tag and a shut-off on January 22, 2012, but not on January 2, 2012.</w:t>
      </w:r>
    </w:p>
    <w:p w:rsidR="006756CF" w:rsidRPr="00B9061F" w:rsidRDefault="006756CF" w:rsidP="00662383">
      <w:pPr>
        <w:jc w:val="left"/>
      </w:pPr>
    </w:p>
    <w:p w:rsidR="002B3882" w:rsidRPr="00B9061F" w:rsidRDefault="009E2989" w:rsidP="00662383">
      <w:pPr>
        <w:jc w:val="left"/>
      </w:pPr>
      <w:r w:rsidRPr="00B9061F">
        <w:tab/>
      </w:r>
      <w:r w:rsidRPr="00B9061F">
        <w:tab/>
        <w:t>The business record</w:t>
      </w:r>
      <w:r w:rsidR="006756CF" w:rsidRPr="00B9061F">
        <w:t>s</w:t>
      </w:r>
      <w:r w:rsidRPr="00B9061F">
        <w:t xml:space="preserve"> speak for </w:t>
      </w:r>
      <w:r w:rsidR="006756CF" w:rsidRPr="00B9061F">
        <w:t>themselves</w:t>
      </w:r>
      <w:r w:rsidR="00F26823" w:rsidRPr="00B9061F">
        <w:t>.  I</w:t>
      </w:r>
      <w:r w:rsidRPr="00B9061F">
        <w:t>nformation</w:t>
      </w:r>
      <w:r w:rsidR="006418D5" w:rsidRPr="00B9061F">
        <w:t xml:space="preserve"> that does not appear in the documents</w:t>
      </w:r>
      <w:r w:rsidR="00E42F30" w:rsidRPr="00B9061F">
        <w:t xml:space="preserve">, i.e., </w:t>
      </w:r>
      <w:r w:rsidR="004B2133" w:rsidRPr="00B9061F">
        <w:t xml:space="preserve">Ms. Kelly's assumption </w:t>
      </w:r>
      <w:r w:rsidR="00E42F30" w:rsidRPr="00B9061F">
        <w:t>that a hazard tag was left on January 2, 2012</w:t>
      </w:r>
      <w:r w:rsidR="006756CF" w:rsidRPr="00B9061F">
        <w:t>, will not be read into it</w:t>
      </w:r>
      <w:r w:rsidR="00AF5C51" w:rsidRPr="00B9061F">
        <w:t xml:space="preserve"> where the person whose notes are being used is not testifying</w:t>
      </w:r>
      <w:r w:rsidRPr="00B9061F">
        <w:t>.</w:t>
      </w:r>
      <w:r w:rsidR="00AF5C51" w:rsidRPr="00B9061F">
        <w:t xml:space="preserve">  Therefore, b</w:t>
      </w:r>
      <w:r w:rsidR="00E62D00">
        <w:t xml:space="preserve">ecause: </w:t>
      </w:r>
      <w:r w:rsidR="00E42F30" w:rsidRPr="00B9061F">
        <w:t xml:space="preserve">(1) </w:t>
      </w:r>
      <w:r w:rsidRPr="00B9061F">
        <w:t>the January 2, 2012, entry does not mention a hazard tag</w:t>
      </w:r>
      <w:r w:rsidR="00E42F30" w:rsidRPr="00B9061F">
        <w:t>; (2)</w:t>
      </w:r>
      <w:r w:rsidRPr="00B9061F">
        <w:t xml:space="preserve"> the entry for </w:t>
      </w:r>
      <w:r w:rsidR="00B22F59">
        <w:t>January </w:t>
      </w:r>
      <w:r w:rsidRPr="00B9061F">
        <w:t>22, 2012, specifically includes a mention of a hazard tag</w:t>
      </w:r>
      <w:r w:rsidR="00E42F30" w:rsidRPr="00B9061F">
        <w:t>;</w:t>
      </w:r>
      <w:r w:rsidRPr="00B9061F">
        <w:t xml:space="preserve"> and </w:t>
      </w:r>
      <w:r w:rsidR="00E42F30" w:rsidRPr="00B9061F">
        <w:t xml:space="preserve">(3) </w:t>
      </w:r>
      <w:r w:rsidR="00AD7146" w:rsidRPr="00B9061F">
        <w:t>Complainant has testified that no tag was issued</w:t>
      </w:r>
      <w:r w:rsidR="00E42F30" w:rsidRPr="00B9061F">
        <w:t xml:space="preserve"> on January 2, 2012;</w:t>
      </w:r>
      <w:r w:rsidR="00AD7146" w:rsidRPr="00B9061F">
        <w:t xml:space="preserve"> and </w:t>
      </w:r>
      <w:r w:rsidR="00E42F30" w:rsidRPr="00B9061F">
        <w:t xml:space="preserve">(4) both parties agree that </w:t>
      </w:r>
      <w:r w:rsidR="00AD7146" w:rsidRPr="00B9061F">
        <w:t>the gas was left on following the January 2, 2012, visit</w:t>
      </w:r>
      <w:r w:rsidR="00E42F30" w:rsidRPr="00B9061F">
        <w:t>, then</w:t>
      </w:r>
      <w:r w:rsidR="00AD7146" w:rsidRPr="00B9061F">
        <w:t xml:space="preserve"> the w</w:t>
      </w:r>
      <w:r w:rsidR="00E42F30" w:rsidRPr="00B9061F">
        <w:t xml:space="preserve">eight of the evidence supports a </w:t>
      </w:r>
      <w:r w:rsidR="00AD7146" w:rsidRPr="00B9061F">
        <w:t xml:space="preserve">finding that </w:t>
      </w:r>
      <w:r w:rsidR="00E42F30" w:rsidRPr="00B9061F">
        <w:t>PGW left the gas on and did not tag any appliance during the January 2, 2012, service call.</w:t>
      </w:r>
    </w:p>
    <w:p w:rsidR="00BD3B91" w:rsidRPr="00B9061F" w:rsidRDefault="00BD3B91" w:rsidP="00662383">
      <w:pPr>
        <w:jc w:val="left"/>
      </w:pPr>
    </w:p>
    <w:p w:rsidR="00BD3B91" w:rsidRPr="00B9061F" w:rsidRDefault="00BD3B91" w:rsidP="00BD3B91">
      <w:pPr>
        <w:contextualSpacing/>
        <w:jc w:val="left"/>
      </w:pPr>
      <w:r w:rsidRPr="00B9061F">
        <w:tab/>
      </w:r>
      <w:r w:rsidRPr="00B9061F">
        <w:tab/>
        <w:t>“Every public utility shall furnish and maintain adequate, efficient, safe and reasonable service and facilities . . . as shall be necessary or proper for the accommodation, convenience, and safety of its patrons, employees and the public. . . .”  66 Pa. C.S. § 1501.  As the presence of a gas leak severe enough to cause headaches is a clear safety problem, Complainant has upheld her burden of proving that PGW acted in a manner which is unreasonable or inadequate within the meaning of the Public Utility Code, 66 Pa. C.S. § 1501.  The utility has failed to counter the Complainant’s evidence.</w:t>
      </w:r>
    </w:p>
    <w:p w:rsidR="00BD3B91" w:rsidRPr="00B9061F" w:rsidRDefault="00BD3B91" w:rsidP="00662383">
      <w:pPr>
        <w:jc w:val="left"/>
      </w:pPr>
    </w:p>
    <w:p w:rsidR="00EF277B" w:rsidRPr="00B9061F" w:rsidRDefault="00AF5C51" w:rsidP="00662383">
      <w:pPr>
        <w:jc w:val="left"/>
      </w:pPr>
      <w:r w:rsidRPr="00B9061F">
        <w:tab/>
      </w:r>
      <w:r w:rsidRPr="00B9061F">
        <w:tab/>
        <w:t>Next, Complainant argues that the gas leak that was not found on January 2, 2012, caused more gas to register on her meter than she actually used, and that she should not be responsible for paying for that leak.  In addition, there was a</w:t>
      </w:r>
      <w:r w:rsidR="00EF277B" w:rsidRPr="00B9061F">
        <w:t xml:space="preserve"> period of</w:t>
      </w:r>
      <w:r w:rsidRPr="00B9061F">
        <w:t xml:space="preserve"> </w:t>
      </w:r>
      <w:r w:rsidR="00EF277B" w:rsidRPr="00B9061F">
        <w:t>time when her gas service was shut off, following January 22, 2012, and before the leak was fixed, which</w:t>
      </w:r>
      <w:r w:rsidR="00233CDA" w:rsidRPr="00B9061F">
        <w:t xml:space="preserve"> she believes</w:t>
      </w:r>
      <w:r w:rsidR="00EF277B" w:rsidRPr="00B9061F">
        <w:t xml:space="preserve"> should result in a reduced gas usage.</w:t>
      </w:r>
    </w:p>
    <w:p w:rsidR="005F201E" w:rsidRDefault="005F201E" w:rsidP="005F201E">
      <w:pPr>
        <w:jc w:val="left"/>
        <w:sectPr w:rsidR="005F201E" w:rsidSect="00C50DFD">
          <w:footerReference w:type="first" r:id="rId10"/>
          <w:pgSz w:w="12240" w:h="15840"/>
          <w:pgMar w:top="1440" w:right="1440" w:bottom="1440" w:left="1440" w:header="720" w:footer="720" w:gutter="0"/>
          <w:cols w:space="720"/>
          <w:titlePg/>
          <w:docGrid w:linePitch="360"/>
        </w:sectPr>
      </w:pPr>
    </w:p>
    <w:p w:rsidR="004B2133" w:rsidRPr="00B9061F" w:rsidRDefault="004B2133" w:rsidP="004B2133">
      <w:pPr>
        <w:tabs>
          <w:tab w:val="left" w:pos="-1440"/>
          <w:tab w:val="left" w:pos="-720"/>
        </w:tabs>
        <w:suppressAutoHyphens/>
        <w:ind w:firstLine="1440"/>
        <w:jc w:val="left"/>
        <w:rPr>
          <w:spacing w:val="-3"/>
        </w:rPr>
      </w:pPr>
      <w:r w:rsidRPr="00B9061F">
        <w:rPr>
          <w:spacing w:val="-3"/>
        </w:rPr>
        <w:t xml:space="preserve">Having passed the test of legal sufficiency by establishing that PGW left the gas on and did not tag any appliance during the January 2, 2012, service call, the analysis turns to the billing.  Complainant must bear the burden of persuasion.  “[T]he burden of persuasion never leaves the party on whom it is originally cast, but the burden of production may shift during the course of the proceedings.”  </w:t>
      </w:r>
      <w:r w:rsidRPr="00B9061F">
        <w:rPr>
          <w:i/>
          <w:spacing w:val="-3"/>
        </w:rPr>
        <w:t>Riedel v. County of Allegheny</w:t>
      </w:r>
      <w:r w:rsidRPr="00B9061F">
        <w:rPr>
          <w:spacing w:val="-3"/>
        </w:rPr>
        <w:t>, 159 Pa.Cmwlth. 5</w:t>
      </w:r>
      <w:r w:rsidR="004D53F3">
        <w:rPr>
          <w:spacing w:val="-3"/>
        </w:rPr>
        <w:t>83; 591, 633 A.2d 1325; 1328 n. </w:t>
      </w:r>
      <w:r w:rsidRPr="00B9061F">
        <w:rPr>
          <w:spacing w:val="-3"/>
        </w:rPr>
        <w:t xml:space="preserve">11 (1993).  The burden of persuasion, usually placed on the complainant, applicant, or petitioner, determines which party must produce sufficient evidence to meet the applicable standard of proof.  </w:t>
      </w:r>
      <w:r w:rsidRPr="00B9061F">
        <w:rPr>
          <w:i/>
          <w:spacing w:val="-3"/>
        </w:rPr>
        <w:t>Hurley v. Hurley</w:t>
      </w:r>
      <w:r w:rsidRPr="00B9061F">
        <w:rPr>
          <w:spacing w:val="-3"/>
        </w:rPr>
        <w:t xml:space="preserve">, 2000 Pa.Super. 178, 754 A.2d 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Pr="00B9061F">
        <w:rPr>
          <w:i/>
          <w:spacing w:val="-3"/>
        </w:rPr>
        <w:t>Suber v. Pa. Comm’n on Crime and Delinquency</w:t>
      </w:r>
      <w:r w:rsidRPr="00B9061F">
        <w:rPr>
          <w:spacing w:val="-3"/>
        </w:rPr>
        <w:t>, 885 A.2d 678 (Pa.Cmwlth. 2005), app. denied, 586 Pa. 776, 895 A.2d 1264 (2006).  In order to bear the burden of proof and be entitled to a decision in his favor, a party must bear both the burden of production and the burden of persuasion.</w:t>
      </w:r>
    </w:p>
    <w:p w:rsidR="004B2133" w:rsidRPr="00B9061F" w:rsidRDefault="004B2133" w:rsidP="004B2133">
      <w:pPr>
        <w:contextualSpacing/>
        <w:jc w:val="left"/>
      </w:pPr>
    </w:p>
    <w:p w:rsidR="00233CDA" w:rsidRPr="00B9061F" w:rsidRDefault="004B2133" w:rsidP="00662383">
      <w:pPr>
        <w:contextualSpacing/>
        <w:jc w:val="left"/>
      </w:pPr>
      <w:r w:rsidRPr="00B9061F">
        <w:tab/>
      </w:r>
      <w:r w:rsidRPr="00B9061F">
        <w:tab/>
      </w:r>
      <w:r w:rsidR="00EF277B" w:rsidRPr="00B9061F">
        <w:t>Instead</w:t>
      </w:r>
      <w:r w:rsidR="00BD3B91" w:rsidRPr="00B9061F">
        <w:t xml:space="preserve"> of a reduced bill, as expected during a time when Complainant had a major appliance shut off and the other not used for at least a part of the billing cycle for fear of explosion</w:t>
      </w:r>
      <w:r w:rsidR="00EF277B" w:rsidRPr="00B9061F">
        <w:t xml:space="preserve">, </w:t>
      </w:r>
      <w:r w:rsidR="00BB69A5" w:rsidRPr="00B9061F">
        <w:t xml:space="preserve">PGW issued </w:t>
      </w:r>
      <w:r w:rsidR="00EF277B" w:rsidRPr="00B9061F">
        <w:t>a bill for $314.74</w:t>
      </w:r>
      <w:r w:rsidR="00233CDA" w:rsidRPr="00B9061F">
        <w:t>, due February 8, 2012.  The amount was reduced to $181.58</w:t>
      </w:r>
      <w:r w:rsidR="006418D5" w:rsidRPr="00B9061F">
        <w:t xml:space="preserve"> when Complainant filed an informal complaint with BCS.  Independent of the gas leak issue, billing to Complainant was compromised, as shown on PGW Exhibit 1</w:t>
      </w:r>
      <w:r w:rsidR="00233CDA" w:rsidRPr="00B9061F">
        <w:t xml:space="preserve">, </w:t>
      </w:r>
      <w:r w:rsidR="004F5A4E" w:rsidRPr="00B9061F">
        <w:t>based on a "system problem."  No</w:t>
      </w:r>
      <w:r w:rsidR="00233CDA" w:rsidRPr="00B9061F">
        <w:t xml:space="preserve"> clear explanation of</w:t>
      </w:r>
      <w:r w:rsidR="004F5A4E" w:rsidRPr="00B9061F">
        <w:t xml:space="preserve"> the nature of</w:t>
      </w:r>
      <w:r w:rsidR="00233CDA" w:rsidRPr="00B9061F">
        <w:t xml:space="preserve"> the problem was</w:t>
      </w:r>
      <w:r w:rsidR="004F5A4E" w:rsidRPr="00B9061F">
        <w:t xml:space="preserve"> offered; nor was an explanation of</w:t>
      </w:r>
      <w:r w:rsidR="00233CDA" w:rsidRPr="00B9061F">
        <w:t xml:space="preserve"> what steps were followed to determine that $181.58 was the correct amount</w:t>
      </w:r>
      <w:r w:rsidR="004F5A4E" w:rsidRPr="00B9061F">
        <w:t xml:space="preserve"> to bill Complainant</w:t>
      </w:r>
      <w:r w:rsidR="00233CDA" w:rsidRPr="00B9061F">
        <w:t>.  PGW Exhibit 1 states that each of the eight months which have "5" as the amount of CCF usage is based on an actual reading.  When asked what the system problem was, counsel for PGW stated that he did not know and would find out, and file an exhibit.  This discourse followed:</w:t>
      </w:r>
    </w:p>
    <w:p w:rsidR="00233CDA" w:rsidRPr="00B9061F" w:rsidRDefault="00233CDA" w:rsidP="00B22F59">
      <w:pPr>
        <w:spacing w:line="276" w:lineRule="auto"/>
        <w:jc w:val="left"/>
      </w:pPr>
    </w:p>
    <w:p w:rsidR="00233CDA" w:rsidRPr="00B9061F" w:rsidRDefault="006B27BB" w:rsidP="00800910">
      <w:pPr>
        <w:spacing w:line="240" w:lineRule="auto"/>
        <w:ind w:left="1440" w:right="1440"/>
        <w:jc w:val="left"/>
      </w:pPr>
      <w:r>
        <w:t>ALJ:</w:t>
      </w:r>
      <w:r>
        <w:tab/>
        <w:t>Y</w:t>
      </w:r>
      <w:r w:rsidR="00233CDA" w:rsidRPr="00B9061F">
        <w:t>ou have on your PGW Exhibit one, page three of four, you have a series of fives in the CCF usage column, and you have the five-digit difference on your readings.  And then it says that these are actual readings.  How can they be actual readings?  If you think they're wrong, then isn't that a meter issue?  And if that's a meter issue, was the meter taken down and checked?  See my confusion?</w:t>
      </w:r>
    </w:p>
    <w:p w:rsidR="00800910" w:rsidRPr="00B9061F" w:rsidRDefault="00800910" w:rsidP="00800910">
      <w:pPr>
        <w:spacing w:line="240" w:lineRule="auto"/>
        <w:ind w:left="1440" w:right="1440"/>
        <w:jc w:val="left"/>
      </w:pPr>
    </w:p>
    <w:p w:rsidR="00800910" w:rsidRPr="00B9061F" w:rsidRDefault="00233CDA" w:rsidP="00800910">
      <w:pPr>
        <w:spacing w:line="240" w:lineRule="auto"/>
        <w:ind w:left="1440" w:right="1440"/>
        <w:jc w:val="left"/>
      </w:pPr>
      <w:r w:rsidRPr="00B9061F">
        <w:t>Counsel:</w:t>
      </w:r>
      <w:r w:rsidRPr="00B9061F">
        <w:tab/>
        <w:t>Yes, we do.  Yes, we do.  I don't know</w:t>
      </w:r>
      <w:r w:rsidR="00EF277B" w:rsidRPr="00B9061F">
        <w:t xml:space="preserve"> </w:t>
      </w:r>
      <w:r w:rsidR="00800910" w:rsidRPr="00B9061F">
        <w:t>if the meter was taken down and checked.  The person that reviewed that would have mentioned it.  So my answer would be no, but I can verify that in the other answer that I will prepare.</w:t>
      </w:r>
    </w:p>
    <w:p w:rsidR="00800910" w:rsidRPr="00B9061F" w:rsidRDefault="00800910" w:rsidP="00800910">
      <w:pPr>
        <w:spacing w:line="240" w:lineRule="auto"/>
        <w:ind w:left="1440" w:right="1440"/>
        <w:jc w:val="left"/>
      </w:pPr>
    </w:p>
    <w:p w:rsidR="00AF5C51" w:rsidRPr="00B9061F" w:rsidRDefault="00800910" w:rsidP="005F201E">
      <w:pPr>
        <w:spacing w:line="240" w:lineRule="auto"/>
        <w:ind w:left="1440" w:right="1440"/>
        <w:jc w:val="left"/>
      </w:pPr>
      <w:r w:rsidRPr="00B9061F">
        <w:t>ALJ:</w:t>
      </w:r>
      <w:r w:rsidR="00EF277B" w:rsidRPr="00B9061F">
        <w:t xml:space="preserve"> </w:t>
      </w:r>
      <w:r w:rsidRPr="00B9061F">
        <w:tab/>
        <w:t>Okay.  Because also if it's a system problem, and it's fairly nebulous at this point, then how do you know what the actual usage was?  I'm just very confused about how I can be confident that these are accurate numbers.</w:t>
      </w:r>
    </w:p>
    <w:p w:rsidR="00800910" w:rsidRPr="00B9061F" w:rsidRDefault="00800910" w:rsidP="005F201E">
      <w:pPr>
        <w:spacing w:line="240" w:lineRule="auto"/>
        <w:ind w:left="1440" w:right="1440"/>
        <w:jc w:val="left"/>
      </w:pPr>
    </w:p>
    <w:p w:rsidR="00800910" w:rsidRPr="00B9061F" w:rsidRDefault="00800910" w:rsidP="005F201E">
      <w:pPr>
        <w:spacing w:line="240" w:lineRule="auto"/>
        <w:ind w:left="1440" w:right="1440"/>
        <w:jc w:val="left"/>
      </w:pPr>
      <w:r w:rsidRPr="00B9061F">
        <w:t>Counsel:  Understood.</w:t>
      </w:r>
    </w:p>
    <w:p w:rsidR="005F201E" w:rsidRDefault="005F201E" w:rsidP="005F201E">
      <w:pPr>
        <w:spacing w:line="240" w:lineRule="auto"/>
        <w:jc w:val="left"/>
      </w:pPr>
    </w:p>
    <w:p w:rsidR="00800910" w:rsidRPr="00B9061F" w:rsidRDefault="00800910" w:rsidP="005F201E">
      <w:pPr>
        <w:spacing w:line="240" w:lineRule="auto"/>
        <w:jc w:val="left"/>
      </w:pPr>
      <w:r w:rsidRPr="00B9061F">
        <w:t>Tr. 48-49.</w:t>
      </w:r>
    </w:p>
    <w:p w:rsidR="00800910" w:rsidRPr="00B9061F" w:rsidRDefault="00800910" w:rsidP="00B22F59">
      <w:pPr>
        <w:spacing w:line="276" w:lineRule="auto"/>
        <w:jc w:val="left"/>
      </w:pPr>
    </w:p>
    <w:p w:rsidR="00800910" w:rsidRPr="00B9061F" w:rsidRDefault="00800910" w:rsidP="00662383">
      <w:pPr>
        <w:jc w:val="left"/>
      </w:pPr>
      <w:r w:rsidRPr="00B9061F">
        <w:tab/>
      </w:r>
      <w:r w:rsidRPr="00B9061F">
        <w:tab/>
        <w:t>Complainant also asked for an explanation of the graphs on her bills, as they do not seem to match.  Ms. Kelly indicated that she would obtain information from the staff which works with the graphs.  Tr. 51.</w:t>
      </w:r>
    </w:p>
    <w:p w:rsidR="00800910" w:rsidRPr="00B9061F" w:rsidRDefault="00800910" w:rsidP="00662383">
      <w:pPr>
        <w:jc w:val="left"/>
      </w:pPr>
    </w:p>
    <w:p w:rsidR="00800910" w:rsidRPr="00B9061F" w:rsidRDefault="00800910" w:rsidP="00662383">
      <w:pPr>
        <w:jc w:val="left"/>
      </w:pPr>
      <w:r w:rsidRPr="00B9061F">
        <w:tab/>
      </w:r>
      <w:r w:rsidRPr="00B9061F">
        <w:tab/>
        <w:t>On April 2, 2013, counsel for PGW submitted a letter which contains the following information:</w:t>
      </w:r>
    </w:p>
    <w:p w:rsidR="00800910" w:rsidRPr="00B9061F" w:rsidRDefault="00800910" w:rsidP="005F201E">
      <w:pPr>
        <w:spacing w:line="240" w:lineRule="auto"/>
        <w:jc w:val="left"/>
      </w:pPr>
    </w:p>
    <w:p w:rsidR="00800910" w:rsidRPr="00B9061F" w:rsidRDefault="00800910" w:rsidP="00FC0655">
      <w:pPr>
        <w:spacing w:line="240" w:lineRule="auto"/>
        <w:ind w:left="1440" w:right="1440"/>
        <w:jc w:val="left"/>
      </w:pPr>
      <w:r w:rsidRPr="00B9061F">
        <w:tab/>
        <w:t xml:space="preserve">Pursuant to your instruction at the end of the hearing held March 6, 2013, in the above captioned matter this is the brief explanation of the reason PGW review </w:t>
      </w:r>
      <w:r w:rsidR="00493611">
        <w:t xml:space="preserve">[sic] </w:t>
      </w:r>
      <w:r w:rsidRPr="00B9061F">
        <w:t>of the Complainant's bill.  This explanation was prepared by PGW witness Susan Kelly, Customer Review Officer – PGW.</w:t>
      </w:r>
    </w:p>
    <w:p w:rsidR="00800910" w:rsidRPr="00B9061F" w:rsidRDefault="00800910" w:rsidP="00FC0655">
      <w:pPr>
        <w:spacing w:line="240" w:lineRule="auto"/>
        <w:ind w:left="1440" w:right="1440"/>
        <w:jc w:val="left"/>
      </w:pPr>
      <w:r w:rsidRPr="00B9061F">
        <w:tab/>
        <w:t>On March 8, 2012, the PGW Dispute Resolution Unit (DRU) reviewed the Complainant's account for gas service to 6025 N. 13</w:t>
      </w:r>
      <w:r w:rsidRPr="00B9061F">
        <w:rPr>
          <w:vertAlign w:val="superscript"/>
        </w:rPr>
        <w:t>th</w:t>
      </w:r>
      <w:r w:rsidRPr="00B9061F">
        <w:t xml:space="preserve"> Street.  The records show that DRU cancelled the bill under review issued on February 13, 2012 for $314.14 </w:t>
      </w:r>
      <w:r w:rsidR="00493611">
        <w:t xml:space="preserve">[sic] </w:t>
      </w:r>
      <w:r w:rsidRPr="00B9061F">
        <w:t>and waived $0.29 late payment charges.  That bill was reduced by $133.16 resulting in a new bill for the period issued ending February 13, 2012 for $181.58.</w:t>
      </w:r>
    </w:p>
    <w:p w:rsidR="00800910" w:rsidRPr="00B9061F" w:rsidRDefault="00800910" w:rsidP="00884F78">
      <w:pPr>
        <w:spacing w:line="240" w:lineRule="auto"/>
        <w:ind w:left="1440" w:right="1440"/>
        <w:jc w:val="left"/>
      </w:pPr>
      <w:r w:rsidRPr="00B9061F">
        <w:tab/>
        <w:t>From the DRU review, the PGW "Meter Read Query" showed that the meter index obtained was 4070.  This reading indicated a decrease in usage as of that date.  This discrepancy was</w:t>
      </w:r>
      <w:r w:rsidR="00FC0655" w:rsidRPr="00B9061F">
        <w:t xml:space="preserve"> noted as a "system error" and was sent to DRU for review.  The cause of the system error is unknown but represents a glitch which led to the review and reduction of the bill for that period.</w:t>
      </w:r>
    </w:p>
    <w:p w:rsidR="005F201E" w:rsidRDefault="005F201E" w:rsidP="00884F78">
      <w:pPr>
        <w:spacing w:line="240" w:lineRule="auto"/>
        <w:jc w:val="left"/>
      </w:pPr>
    </w:p>
    <w:p w:rsidR="005F201E" w:rsidRDefault="00FC0655" w:rsidP="00884F78">
      <w:pPr>
        <w:spacing w:line="240" w:lineRule="auto"/>
        <w:jc w:val="left"/>
        <w:sectPr w:rsidR="005F201E" w:rsidSect="005F201E">
          <w:pgSz w:w="12240" w:h="15840"/>
          <w:pgMar w:top="1296" w:right="1440" w:bottom="1296" w:left="1440" w:header="720" w:footer="720" w:gutter="0"/>
          <w:cols w:space="720"/>
          <w:titlePg/>
          <w:docGrid w:linePitch="360"/>
        </w:sectPr>
      </w:pPr>
      <w:r w:rsidRPr="00B9061F">
        <w:t>Letter Dated April 2, 2013, PGW Exhibit 6</w:t>
      </w:r>
    </w:p>
    <w:p w:rsidR="00FC0655" w:rsidRPr="00B9061F" w:rsidRDefault="00FC0655" w:rsidP="00662383">
      <w:pPr>
        <w:jc w:val="left"/>
      </w:pPr>
      <w:r w:rsidRPr="00B9061F">
        <w:tab/>
      </w:r>
      <w:r w:rsidRPr="00B9061F">
        <w:tab/>
        <w:t>As is evident, no new information was presented in this letter</w:t>
      </w:r>
      <w:r w:rsidR="004F5A4E" w:rsidRPr="00B9061F">
        <w:t>, as the letter merely restated the same information given at the hearing.  Tr. 31-32.  T</w:t>
      </w:r>
      <w:r w:rsidRPr="00B9061F">
        <w:t xml:space="preserve">he questions raised in the hearing, i.e., how a determination was made that the meter index reading was correct after eight months of errors, and how the billing for the actual usage was determined, have not been answered.  </w:t>
      </w:r>
      <w:r w:rsidR="00BB69A5" w:rsidRPr="00B9061F">
        <w:t>Respondent was asked to support its billing</w:t>
      </w:r>
      <w:r w:rsidR="004F5A4E" w:rsidRPr="00B9061F">
        <w:t xml:space="preserve"> of $181.58</w:t>
      </w:r>
      <w:r w:rsidR="00BB69A5" w:rsidRPr="00B9061F">
        <w:t>, and it failed to do so.  There is no attempt at an explanation, and without that, there is no evidence to support a finding that the billing was accurate.</w:t>
      </w:r>
      <w:r w:rsidR="00B6010B">
        <w:rPr>
          <w:rStyle w:val="FootnoteReference"/>
        </w:rPr>
        <w:footnoteReference w:id="1"/>
      </w:r>
      <w:r w:rsidR="00BB69A5" w:rsidRPr="00B9061F">
        <w:t xml:space="preserve">  </w:t>
      </w:r>
      <w:r w:rsidR="004F5A4E" w:rsidRPr="00B9061F">
        <w:t xml:space="preserve">Under these circumstances, where there is an unexplained system error, and where there was leaking gas after the Complainant informed the Company of her suspicions of a leak for twenty days until the Company turned off the gas to a leaking appliance, there needs to be a plausible explanation behind the </w:t>
      </w:r>
      <w:r w:rsidR="002E0EA6" w:rsidRPr="00B9061F">
        <w:t xml:space="preserve">rendered bill.  The Company was given an opportunity to provide the explanation and failed to do so.  Accordingly, </w:t>
      </w:r>
      <w:r w:rsidR="00BB69A5" w:rsidRPr="00B9061F">
        <w:t>the custo</w:t>
      </w:r>
      <w:r w:rsidR="002E0EA6" w:rsidRPr="00B9061F">
        <w:t>mer cannot be expected to pay the unsubstantiated bill</w:t>
      </w:r>
      <w:r w:rsidR="00BB69A5" w:rsidRPr="00B9061F">
        <w:t>.</w:t>
      </w:r>
    </w:p>
    <w:p w:rsidR="00687A18" w:rsidRPr="00B9061F" w:rsidRDefault="00687A18" w:rsidP="00662383">
      <w:pPr>
        <w:jc w:val="left"/>
      </w:pPr>
    </w:p>
    <w:p w:rsidR="00687A18" w:rsidRPr="00B9061F" w:rsidRDefault="00687A18" w:rsidP="00662383">
      <w:pPr>
        <w:jc w:val="left"/>
      </w:pPr>
      <w:r w:rsidRPr="00B9061F">
        <w:tab/>
      </w:r>
      <w:r w:rsidRPr="00B9061F">
        <w:tab/>
        <w:t>In addition, no further explanation regarding the graphs was offered.</w:t>
      </w:r>
    </w:p>
    <w:p w:rsidR="00BB69A5" w:rsidRPr="00B9061F" w:rsidRDefault="00BB69A5" w:rsidP="00662383">
      <w:pPr>
        <w:jc w:val="left"/>
      </w:pPr>
    </w:p>
    <w:p w:rsidR="002B3882" w:rsidRPr="00B9061F" w:rsidRDefault="00BB69A5" w:rsidP="00662383">
      <w:pPr>
        <w:jc w:val="left"/>
      </w:pPr>
      <w:r w:rsidRPr="00B9061F">
        <w:tab/>
      </w:r>
      <w:r w:rsidRPr="00B9061F">
        <w:tab/>
        <w:t>Therefore, the second count of the Complaint is sustained, and PGW will be directed to remove the $181.58 from the Complainant's bill, along with any late fees associated with this bill.</w:t>
      </w:r>
    </w:p>
    <w:p w:rsidR="002E0EA6" w:rsidRPr="00B9061F" w:rsidRDefault="002E0EA6" w:rsidP="00662383">
      <w:pPr>
        <w:jc w:val="left"/>
      </w:pPr>
    </w:p>
    <w:p w:rsidR="002E0EA6" w:rsidRPr="00B9061F" w:rsidRDefault="002E0EA6" w:rsidP="002E0EA6">
      <w:pPr>
        <w:jc w:val="left"/>
      </w:pPr>
      <w:r w:rsidRPr="00B9061F">
        <w:tab/>
      </w:r>
      <w:r w:rsidRPr="00B9061F">
        <w:tab/>
        <w:t xml:space="preserve">There will be no remuneration for the headaches, as the Commission is not empowered to require the payment of damages.  That the Commission is not authorized to grant monetary damages is well-settled.  The Commission must act within and cannot exceed its jurisdiction.  </w:t>
      </w:r>
      <w:r w:rsidRPr="00B9061F">
        <w:rPr>
          <w:i/>
        </w:rPr>
        <w:t>Feingold v. Bell of PA,</w:t>
      </w:r>
      <w:r w:rsidRPr="00B9061F">
        <w:t xml:space="preserve"> 383 A.2d 791 (Pa. 1977); </w:t>
      </w:r>
      <w:r w:rsidRPr="00B9061F">
        <w:rPr>
          <w:i/>
        </w:rPr>
        <w:t xml:space="preserve">Loma, Inc. v. Pa. Publ. Util. Comm’n, </w:t>
      </w:r>
      <w:r w:rsidRPr="00B9061F">
        <w:t>682</w:t>
      </w:r>
      <w:r w:rsidR="003A38E8">
        <w:t xml:space="preserve"> A.2d 425 (Pa. Cmwlth. 1996).  </w:t>
      </w:r>
      <w:r w:rsidRPr="00B9061F">
        <w:t xml:space="preserve">One measure of relief that the Commission is not authorized to grant is monetary damages.  </w:t>
      </w:r>
      <w:r w:rsidRPr="00B9061F">
        <w:rPr>
          <w:i/>
        </w:rPr>
        <w:t>Elkin v. Bell,</w:t>
      </w:r>
      <w:r w:rsidRPr="00B9061F">
        <w:t xml:space="preserve"> 491 Pa. 123, 420 A.2d 371 (1980); </w:t>
      </w:r>
      <w:r w:rsidRPr="00B9061F">
        <w:rPr>
          <w:i/>
        </w:rPr>
        <w:t>Feingold v. Bell of PA,</w:t>
      </w:r>
      <w:r w:rsidRPr="00B9061F">
        <w:t xml:space="preserve"> 383 A.2d 791 (Pa. 1977); </w:t>
      </w:r>
      <w:r w:rsidRPr="00B9061F">
        <w:rPr>
          <w:i/>
        </w:rPr>
        <w:t xml:space="preserve">Loma, Inc. v. Pa. Publ. Util. Comm’n, </w:t>
      </w:r>
      <w:r w:rsidRPr="00B9061F">
        <w:t>682 A.2d 425 (Pa. Cmwlth. 1996).</w:t>
      </w:r>
    </w:p>
    <w:p w:rsidR="00E51C75" w:rsidRPr="00B9061F" w:rsidRDefault="00E51C75" w:rsidP="002E0EA6">
      <w:pPr>
        <w:jc w:val="left"/>
      </w:pPr>
    </w:p>
    <w:p w:rsidR="00E51C75" w:rsidRPr="00B9061F" w:rsidRDefault="00E51C75" w:rsidP="002E0EA6">
      <w:pPr>
        <w:jc w:val="left"/>
      </w:pPr>
      <w:r w:rsidRPr="00B9061F">
        <w:tab/>
      </w:r>
      <w:r w:rsidRPr="00B9061F">
        <w:tab/>
        <w:t>However, the Commission is empowered to asses a civil penalty where warranted, which is then paid directly to the Commonwealth of Pennsylvania's General Fund.</w:t>
      </w:r>
    </w:p>
    <w:p w:rsidR="00687A18" w:rsidRPr="00B9061F" w:rsidRDefault="00687A18" w:rsidP="002E0EA6">
      <w:pPr>
        <w:jc w:val="left"/>
      </w:pPr>
    </w:p>
    <w:p w:rsidR="002E0EA6" w:rsidRPr="00B9061F" w:rsidRDefault="00687A18" w:rsidP="002E0EA6">
      <w:pPr>
        <w:jc w:val="left"/>
      </w:pPr>
      <w:r w:rsidRPr="00B9061F">
        <w:tab/>
      </w:r>
      <w:r w:rsidRPr="00B9061F">
        <w:tab/>
        <w:t xml:space="preserve">To determine whether there should be a civil penalty assessed, the </w:t>
      </w:r>
      <w:r w:rsidR="002E0EA6" w:rsidRPr="00B9061F">
        <w:t>Commission has adopted a policy statement setting forth the standards it will use in evaluating cases involving violations of the Public Utility Code.</w:t>
      </w:r>
    </w:p>
    <w:p w:rsidR="002E0EA6" w:rsidRPr="00B9061F" w:rsidRDefault="002E0EA6" w:rsidP="002E0EA6">
      <w:pPr>
        <w:jc w:val="left"/>
        <w:rPr>
          <w:rFonts w:eastAsia="Times New Roman"/>
        </w:rPr>
      </w:pPr>
    </w:p>
    <w:p w:rsidR="002E0EA6" w:rsidRPr="00B9061F" w:rsidRDefault="002E0EA6" w:rsidP="002E0EA6">
      <w:pPr>
        <w:spacing w:before="100" w:beforeAutospacing="1" w:after="100" w:afterAutospacing="1" w:line="240" w:lineRule="auto"/>
        <w:ind w:left="1440" w:right="1440"/>
        <w:contextualSpacing/>
        <w:jc w:val="left"/>
        <w:rPr>
          <w:rFonts w:eastAsia="Times New Roman"/>
        </w:rPr>
      </w:pPr>
      <w:r w:rsidRPr="00B9061F">
        <w:rPr>
          <w:rFonts w:eastAsia="Times New Roman"/>
        </w:rPr>
        <w:t>(c)</w:t>
      </w:r>
      <w:r w:rsidRPr="00B9061F">
        <w:rPr>
          <w:rFonts w:eastAsia="Times New Roman"/>
        </w:rPr>
        <w:tab/>
        <w:t>The factors and standards that will be considered by the Co</w:t>
      </w:r>
      <w:r w:rsidR="003005A4">
        <w:rPr>
          <w:rFonts w:eastAsia="Times New Roman"/>
        </w:rPr>
        <w:t>mmission include the following:</w:t>
      </w:r>
    </w:p>
    <w:p w:rsidR="002E0EA6" w:rsidRPr="00B9061F" w:rsidRDefault="002E0EA6" w:rsidP="002E0EA6">
      <w:pPr>
        <w:spacing w:before="100" w:beforeAutospacing="1" w:after="100" w:afterAutospacing="1" w:line="240" w:lineRule="auto"/>
        <w:ind w:left="1440" w:right="1440"/>
        <w:contextualSpacing/>
        <w:jc w:val="left"/>
        <w:rPr>
          <w:rFonts w:eastAsia="Times New Roman"/>
        </w:rPr>
      </w:pPr>
    </w:p>
    <w:p w:rsidR="002E0EA6" w:rsidRPr="00B9061F" w:rsidRDefault="002E0EA6" w:rsidP="002E0EA6">
      <w:pPr>
        <w:numPr>
          <w:ilvl w:val="0"/>
          <w:numId w:val="1"/>
        </w:numPr>
        <w:spacing w:before="100" w:beforeAutospacing="1" w:after="100" w:afterAutospacing="1" w:line="240" w:lineRule="auto"/>
        <w:ind w:left="2880" w:right="1440" w:hanging="720"/>
        <w:contextualSpacing/>
        <w:jc w:val="left"/>
        <w:rPr>
          <w:rFonts w:eastAsia="Times New Roman"/>
        </w:rPr>
      </w:pPr>
      <w:r w:rsidRPr="00B9061F">
        <w:rPr>
          <w:rFonts w:eastAsia="Times New Roman"/>
        </w:rPr>
        <w:t xml:space="preserve">Whether the conduct at issue was of a serious nature. </w:t>
      </w:r>
      <w:r w:rsidR="00B016AC">
        <w:rPr>
          <w:rFonts w:eastAsia="Times New Roman"/>
        </w:rPr>
        <w:t xml:space="preserve"> </w:t>
      </w:r>
      <w:r w:rsidRPr="00B9061F">
        <w:rPr>
          <w:rFonts w:eastAsia="Times New Roman"/>
        </w:rPr>
        <w:t xml:space="preserve">When conduct of a serious nature is involved, such as willful fraud or misrepresentation, the conduct may warrant a higher penalty. </w:t>
      </w:r>
      <w:r w:rsidR="00ED4956">
        <w:rPr>
          <w:rFonts w:eastAsia="Times New Roman"/>
        </w:rPr>
        <w:t xml:space="preserve"> </w:t>
      </w:r>
      <w:r w:rsidRPr="00B9061F">
        <w:rPr>
          <w:rFonts w:eastAsia="Times New Roman"/>
        </w:rPr>
        <w:t xml:space="preserve">When the conduct is less egregious, such as administrative filing or technical errors, </w:t>
      </w:r>
      <w:r w:rsidR="00517478">
        <w:rPr>
          <w:rFonts w:eastAsia="Times New Roman"/>
        </w:rPr>
        <w:t>it may warrant a lower penalty.</w:t>
      </w:r>
    </w:p>
    <w:p w:rsidR="002E0EA6" w:rsidRPr="00B9061F" w:rsidRDefault="002E0EA6" w:rsidP="002E0EA6">
      <w:pPr>
        <w:spacing w:before="100" w:beforeAutospacing="1" w:after="100" w:afterAutospacing="1" w:line="240" w:lineRule="auto"/>
        <w:ind w:left="2520" w:right="1440"/>
        <w:contextualSpacing/>
        <w:jc w:val="left"/>
        <w:rPr>
          <w:rFonts w:eastAsia="Times New Roman"/>
        </w:rPr>
      </w:pPr>
    </w:p>
    <w:p w:rsidR="002E0EA6" w:rsidRPr="00B9061F" w:rsidRDefault="002E0EA6" w:rsidP="002E0EA6">
      <w:pPr>
        <w:numPr>
          <w:ilvl w:val="0"/>
          <w:numId w:val="1"/>
        </w:numPr>
        <w:spacing w:before="100" w:beforeAutospacing="1" w:after="100" w:afterAutospacing="1" w:line="240" w:lineRule="auto"/>
        <w:ind w:left="2880" w:right="1440" w:hanging="720"/>
        <w:contextualSpacing/>
        <w:jc w:val="left"/>
        <w:rPr>
          <w:rFonts w:eastAsia="Times New Roman"/>
        </w:rPr>
      </w:pPr>
      <w:r w:rsidRPr="00B9061F">
        <w:rPr>
          <w:rFonts w:eastAsia="Times New Roman"/>
        </w:rPr>
        <w:t xml:space="preserve">Whether the resulting consequences of the conduct at issue were of a serious nature. </w:t>
      </w:r>
      <w:r w:rsidR="00716877">
        <w:rPr>
          <w:rFonts w:eastAsia="Times New Roman"/>
        </w:rPr>
        <w:t xml:space="preserve"> </w:t>
      </w:r>
      <w:r w:rsidRPr="00B9061F">
        <w:rPr>
          <w:rFonts w:eastAsia="Times New Roman"/>
        </w:rPr>
        <w:t>When consequences of a serious nature are involved, such as personal injury or property damage, the consequence</w:t>
      </w:r>
      <w:r w:rsidR="00353412">
        <w:rPr>
          <w:rFonts w:eastAsia="Times New Roman"/>
        </w:rPr>
        <w:t>s may warrant a higher penalty.</w:t>
      </w:r>
    </w:p>
    <w:p w:rsidR="002E0EA6" w:rsidRPr="00B9061F" w:rsidRDefault="002E0EA6" w:rsidP="002E0EA6">
      <w:pPr>
        <w:spacing w:before="100" w:beforeAutospacing="1" w:after="100" w:afterAutospacing="1" w:line="240" w:lineRule="auto"/>
        <w:ind w:left="2160" w:right="1440"/>
        <w:contextualSpacing/>
        <w:jc w:val="left"/>
        <w:rPr>
          <w:rFonts w:eastAsia="Times New Roman"/>
        </w:rPr>
      </w:pPr>
    </w:p>
    <w:p w:rsidR="002E0EA6" w:rsidRPr="00B9061F" w:rsidRDefault="002E0EA6" w:rsidP="002E0EA6">
      <w:pPr>
        <w:numPr>
          <w:ilvl w:val="0"/>
          <w:numId w:val="1"/>
        </w:numPr>
        <w:spacing w:before="100" w:beforeAutospacing="1" w:after="100" w:afterAutospacing="1" w:line="240" w:lineRule="auto"/>
        <w:ind w:left="2880" w:right="1440" w:hanging="720"/>
        <w:contextualSpacing/>
        <w:jc w:val="left"/>
        <w:rPr>
          <w:rFonts w:eastAsia="Times New Roman"/>
        </w:rPr>
      </w:pPr>
      <w:r w:rsidRPr="00B9061F">
        <w:rPr>
          <w:rFonts w:eastAsia="Times New Roman"/>
        </w:rPr>
        <w:t xml:space="preserve">Whether the conduct at issue was deemed intentional or negligent. </w:t>
      </w:r>
      <w:r w:rsidR="00412529">
        <w:rPr>
          <w:rFonts w:eastAsia="Times New Roman"/>
        </w:rPr>
        <w:t xml:space="preserve"> </w:t>
      </w:r>
      <w:r w:rsidRPr="00B9061F">
        <w:rPr>
          <w:rFonts w:eastAsia="Times New Roman"/>
        </w:rPr>
        <w:t xml:space="preserve">This factor may only be considered in evaluating litigated cases. </w:t>
      </w:r>
      <w:r w:rsidR="00C017B9">
        <w:rPr>
          <w:rFonts w:eastAsia="Times New Roman"/>
        </w:rPr>
        <w:t xml:space="preserve"> </w:t>
      </w:r>
      <w:r w:rsidRPr="00B9061F">
        <w:rPr>
          <w:rFonts w:eastAsia="Times New Roman"/>
        </w:rPr>
        <w:t xml:space="preserve">When conduct has been deemed intentional, the conduct </w:t>
      </w:r>
      <w:r w:rsidR="0018547E">
        <w:rPr>
          <w:rFonts w:eastAsia="Times New Roman"/>
        </w:rPr>
        <w:t>may result in a higher penalty.</w:t>
      </w:r>
    </w:p>
    <w:p w:rsidR="002E0EA6" w:rsidRPr="00B9061F" w:rsidRDefault="002E0EA6" w:rsidP="002E0EA6">
      <w:pPr>
        <w:spacing w:before="100" w:beforeAutospacing="1" w:after="100" w:afterAutospacing="1" w:line="240" w:lineRule="auto"/>
        <w:ind w:left="2160" w:right="1440"/>
        <w:contextualSpacing/>
        <w:jc w:val="left"/>
        <w:rPr>
          <w:rFonts w:eastAsia="Times New Roman"/>
        </w:rPr>
      </w:pPr>
    </w:p>
    <w:p w:rsidR="002E0EA6" w:rsidRPr="00B9061F" w:rsidRDefault="002E0EA6" w:rsidP="002E0EA6">
      <w:pPr>
        <w:numPr>
          <w:ilvl w:val="0"/>
          <w:numId w:val="1"/>
        </w:numPr>
        <w:spacing w:before="100" w:beforeAutospacing="1" w:after="100" w:afterAutospacing="1" w:line="240" w:lineRule="auto"/>
        <w:ind w:left="2880" w:right="1440" w:hanging="720"/>
        <w:contextualSpacing/>
        <w:jc w:val="left"/>
        <w:rPr>
          <w:rFonts w:eastAsia="Times New Roman"/>
        </w:rPr>
      </w:pPr>
      <w:r w:rsidRPr="00B9061F">
        <w:rPr>
          <w:rFonts w:eastAsia="Times New Roman"/>
        </w:rPr>
        <w:t xml:space="preserve">Whether the regulated entity made efforts to modify internal practices and procedures to address the conduct at issue and prevent similar conduct in the future. </w:t>
      </w:r>
      <w:r w:rsidR="00966EC2">
        <w:rPr>
          <w:rFonts w:eastAsia="Times New Roman"/>
        </w:rPr>
        <w:t xml:space="preserve"> </w:t>
      </w:r>
      <w:r w:rsidRPr="00B9061F">
        <w:rPr>
          <w:rFonts w:eastAsia="Times New Roman"/>
        </w:rPr>
        <w:t xml:space="preserve">These modifications may include activities such as training and improving company techniques and supervision. </w:t>
      </w:r>
      <w:r w:rsidR="00E67FB9">
        <w:rPr>
          <w:rFonts w:eastAsia="Times New Roman"/>
        </w:rPr>
        <w:t xml:space="preserve"> </w:t>
      </w:r>
      <w:r w:rsidRPr="00B9061F">
        <w:rPr>
          <w:rFonts w:eastAsia="Times New Roman"/>
        </w:rPr>
        <w:t>The amount of time it took the utility to correct the conduct once it was discovered and the involvement of top-level management in correcting</w:t>
      </w:r>
      <w:r w:rsidR="00DE1CCF">
        <w:rPr>
          <w:rFonts w:eastAsia="Times New Roman"/>
        </w:rPr>
        <w:t xml:space="preserve"> the conduct may be considered.</w:t>
      </w:r>
    </w:p>
    <w:p w:rsidR="002E0EA6" w:rsidRPr="00B9061F" w:rsidRDefault="002E0EA6" w:rsidP="002E0EA6">
      <w:pPr>
        <w:spacing w:before="100" w:beforeAutospacing="1" w:after="100" w:afterAutospacing="1" w:line="240" w:lineRule="auto"/>
        <w:ind w:left="2160" w:right="1440"/>
        <w:contextualSpacing/>
        <w:jc w:val="left"/>
        <w:rPr>
          <w:rFonts w:eastAsia="Times New Roman"/>
        </w:rPr>
      </w:pPr>
    </w:p>
    <w:p w:rsidR="002E0EA6" w:rsidRPr="00B9061F" w:rsidRDefault="002E0EA6" w:rsidP="002E0EA6">
      <w:pPr>
        <w:numPr>
          <w:ilvl w:val="0"/>
          <w:numId w:val="1"/>
        </w:numPr>
        <w:spacing w:before="100" w:beforeAutospacing="1" w:after="100" w:afterAutospacing="1" w:line="240" w:lineRule="auto"/>
        <w:ind w:left="2880" w:right="1440" w:hanging="720"/>
        <w:contextualSpacing/>
        <w:jc w:val="left"/>
        <w:rPr>
          <w:rFonts w:eastAsia="Times New Roman"/>
        </w:rPr>
      </w:pPr>
      <w:r w:rsidRPr="00B9061F">
        <w:rPr>
          <w:rFonts w:eastAsia="Times New Roman"/>
        </w:rPr>
        <w:t>The number of customers affected and</w:t>
      </w:r>
      <w:r w:rsidR="0018401B">
        <w:rPr>
          <w:rFonts w:eastAsia="Times New Roman"/>
        </w:rPr>
        <w:t xml:space="preserve"> the duration of the violation.</w:t>
      </w:r>
    </w:p>
    <w:p w:rsidR="002E0EA6" w:rsidRPr="00B9061F" w:rsidRDefault="002E0EA6" w:rsidP="002E0EA6">
      <w:pPr>
        <w:spacing w:before="100" w:beforeAutospacing="1" w:after="100" w:afterAutospacing="1" w:line="240" w:lineRule="auto"/>
        <w:ind w:left="2160" w:right="1440"/>
        <w:contextualSpacing/>
        <w:jc w:val="left"/>
        <w:rPr>
          <w:rFonts w:eastAsia="Times New Roman"/>
        </w:rPr>
      </w:pPr>
    </w:p>
    <w:p w:rsidR="002E0EA6" w:rsidRPr="00B9061F" w:rsidRDefault="002E0EA6" w:rsidP="002E0EA6">
      <w:pPr>
        <w:numPr>
          <w:ilvl w:val="0"/>
          <w:numId w:val="1"/>
        </w:numPr>
        <w:spacing w:before="100" w:beforeAutospacing="1" w:after="100" w:afterAutospacing="1" w:line="240" w:lineRule="auto"/>
        <w:ind w:left="2880" w:right="1440" w:hanging="720"/>
        <w:contextualSpacing/>
        <w:jc w:val="left"/>
        <w:rPr>
          <w:rFonts w:eastAsia="Times New Roman"/>
        </w:rPr>
      </w:pPr>
      <w:r w:rsidRPr="00B9061F">
        <w:rPr>
          <w:rFonts w:eastAsia="Times New Roman"/>
        </w:rPr>
        <w:t xml:space="preserve">The compliance history of the regulated entity which committed the violation. </w:t>
      </w:r>
      <w:r w:rsidR="007A3A13">
        <w:rPr>
          <w:rFonts w:eastAsia="Times New Roman"/>
        </w:rPr>
        <w:t xml:space="preserve"> </w:t>
      </w:r>
      <w:r w:rsidRPr="00B9061F">
        <w:rPr>
          <w:rFonts w:eastAsia="Times New Roman"/>
        </w:rPr>
        <w:t xml:space="preserve">An isolated incident from an otherwise compliant utility may result in a lower penalty, whereas frequent, recurrent violations by a utility </w:t>
      </w:r>
      <w:r w:rsidR="00E80EFC">
        <w:rPr>
          <w:rFonts w:eastAsia="Times New Roman"/>
        </w:rPr>
        <w:t>may result in a higher penalty.</w:t>
      </w:r>
    </w:p>
    <w:p w:rsidR="002E0EA6" w:rsidRPr="00B9061F" w:rsidRDefault="002E0EA6" w:rsidP="002E0EA6">
      <w:pPr>
        <w:spacing w:before="100" w:beforeAutospacing="1" w:after="100" w:afterAutospacing="1" w:line="240" w:lineRule="auto"/>
        <w:ind w:left="2160" w:right="1440"/>
        <w:contextualSpacing/>
        <w:jc w:val="left"/>
        <w:rPr>
          <w:rFonts w:eastAsia="Times New Roman"/>
        </w:rPr>
      </w:pPr>
    </w:p>
    <w:p w:rsidR="002E0EA6" w:rsidRPr="00B9061F" w:rsidRDefault="002E0EA6" w:rsidP="002E0EA6">
      <w:pPr>
        <w:numPr>
          <w:ilvl w:val="0"/>
          <w:numId w:val="1"/>
        </w:numPr>
        <w:spacing w:before="100" w:beforeAutospacing="1" w:after="100" w:afterAutospacing="1" w:line="240" w:lineRule="auto"/>
        <w:ind w:left="2880" w:right="1440" w:hanging="720"/>
        <w:contextualSpacing/>
        <w:jc w:val="left"/>
        <w:rPr>
          <w:rFonts w:eastAsia="Times New Roman"/>
        </w:rPr>
      </w:pPr>
      <w:r w:rsidRPr="00B9061F">
        <w:rPr>
          <w:rFonts w:eastAsia="Times New Roman"/>
        </w:rPr>
        <w:t xml:space="preserve">Whether the regulated entity cooperated with the Commission’s investigation. </w:t>
      </w:r>
      <w:r w:rsidR="00BF4476">
        <w:rPr>
          <w:rFonts w:eastAsia="Times New Roman"/>
        </w:rPr>
        <w:t xml:space="preserve"> </w:t>
      </w:r>
      <w:r w:rsidRPr="00B9061F">
        <w:rPr>
          <w:rFonts w:eastAsia="Times New Roman"/>
        </w:rPr>
        <w:t xml:space="preserve">Facts establishing bad faith, active concealment of violations, or attempts to interfere with Commission investigations </w:t>
      </w:r>
      <w:r w:rsidR="009E5335">
        <w:rPr>
          <w:rFonts w:eastAsia="Times New Roman"/>
        </w:rPr>
        <w:t>may result in a higher penalty.</w:t>
      </w:r>
    </w:p>
    <w:p w:rsidR="002E0EA6" w:rsidRPr="00B9061F" w:rsidRDefault="002E0EA6" w:rsidP="002E0EA6">
      <w:pPr>
        <w:spacing w:before="100" w:beforeAutospacing="1" w:after="100" w:afterAutospacing="1" w:line="240" w:lineRule="auto"/>
        <w:ind w:left="2160" w:right="1440"/>
        <w:contextualSpacing/>
        <w:jc w:val="left"/>
        <w:rPr>
          <w:rFonts w:eastAsia="Times New Roman"/>
        </w:rPr>
      </w:pPr>
    </w:p>
    <w:p w:rsidR="002E0EA6" w:rsidRPr="00B9061F" w:rsidRDefault="002E0EA6" w:rsidP="002E0EA6">
      <w:pPr>
        <w:numPr>
          <w:ilvl w:val="0"/>
          <w:numId w:val="1"/>
        </w:numPr>
        <w:spacing w:before="100" w:beforeAutospacing="1" w:after="100" w:afterAutospacing="1" w:line="240" w:lineRule="auto"/>
        <w:ind w:left="2880" w:right="1440" w:hanging="720"/>
        <w:contextualSpacing/>
        <w:jc w:val="left"/>
        <w:rPr>
          <w:rFonts w:eastAsia="Times New Roman"/>
        </w:rPr>
      </w:pPr>
      <w:r w:rsidRPr="00B9061F">
        <w:rPr>
          <w:rFonts w:eastAsia="Times New Roman"/>
        </w:rPr>
        <w:t xml:space="preserve">The amount of the civil penalty or fine necessary to deter future violations. </w:t>
      </w:r>
      <w:r w:rsidR="00500426">
        <w:rPr>
          <w:rFonts w:eastAsia="Times New Roman"/>
        </w:rPr>
        <w:t xml:space="preserve"> </w:t>
      </w:r>
      <w:r w:rsidRPr="00B9061F">
        <w:rPr>
          <w:rFonts w:eastAsia="Times New Roman"/>
        </w:rPr>
        <w:t>The size of the utility may be considered to determine</w:t>
      </w:r>
      <w:r w:rsidR="00A54737">
        <w:rPr>
          <w:rFonts w:eastAsia="Times New Roman"/>
        </w:rPr>
        <w:t xml:space="preserve"> an appropriate penalty amount.</w:t>
      </w:r>
    </w:p>
    <w:p w:rsidR="002E0EA6" w:rsidRPr="00B9061F" w:rsidRDefault="002E0EA6" w:rsidP="002E0EA6">
      <w:pPr>
        <w:spacing w:before="100" w:beforeAutospacing="1" w:after="100" w:afterAutospacing="1" w:line="240" w:lineRule="auto"/>
        <w:ind w:left="2160" w:right="1440"/>
        <w:contextualSpacing/>
        <w:jc w:val="left"/>
        <w:rPr>
          <w:rFonts w:eastAsia="Times New Roman"/>
        </w:rPr>
      </w:pPr>
    </w:p>
    <w:p w:rsidR="002E0EA6" w:rsidRDefault="002E0EA6" w:rsidP="002E0EA6">
      <w:pPr>
        <w:numPr>
          <w:ilvl w:val="0"/>
          <w:numId w:val="1"/>
        </w:numPr>
        <w:spacing w:before="100" w:beforeAutospacing="1" w:after="100" w:afterAutospacing="1" w:line="240" w:lineRule="auto"/>
        <w:ind w:left="2880" w:right="1440" w:hanging="720"/>
        <w:contextualSpacing/>
        <w:jc w:val="left"/>
        <w:rPr>
          <w:rFonts w:eastAsia="Times New Roman"/>
        </w:rPr>
      </w:pPr>
      <w:r w:rsidRPr="00B9061F">
        <w:rPr>
          <w:rFonts w:eastAsia="Times New Roman"/>
        </w:rPr>
        <w:t>Past Commission d</w:t>
      </w:r>
      <w:r w:rsidR="008811DC">
        <w:rPr>
          <w:rFonts w:eastAsia="Times New Roman"/>
        </w:rPr>
        <w:t>ecisions in similar situations.</w:t>
      </w:r>
    </w:p>
    <w:p w:rsidR="008811DC" w:rsidRPr="00B9061F" w:rsidRDefault="008811DC" w:rsidP="008811DC">
      <w:pPr>
        <w:spacing w:before="100" w:beforeAutospacing="1" w:after="100" w:afterAutospacing="1" w:line="240" w:lineRule="auto"/>
        <w:ind w:right="1440"/>
        <w:contextualSpacing/>
        <w:jc w:val="left"/>
        <w:rPr>
          <w:rFonts w:eastAsia="Times New Roman"/>
        </w:rPr>
      </w:pPr>
    </w:p>
    <w:p w:rsidR="002E0EA6" w:rsidRPr="00B9061F" w:rsidRDefault="002E0EA6" w:rsidP="002E0EA6">
      <w:pPr>
        <w:numPr>
          <w:ilvl w:val="0"/>
          <w:numId w:val="1"/>
        </w:numPr>
        <w:spacing w:before="100" w:beforeAutospacing="1" w:after="100" w:afterAutospacing="1" w:line="240" w:lineRule="auto"/>
        <w:ind w:right="1440"/>
        <w:contextualSpacing/>
        <w:jc w:val="left"/>
        <w:rPr>
          <w:rFonts w:eastAsia="Times New Roman"/>
        </w:rPr>
      </w:pPr>
      <w:r w:rsidRPr="00B9061F">
        <w:rPr>
          <w:rFonts w:eastAsia="Times New Roman"/>
        </w:rPr>
        <w:t>Other relevant factors.</w:t>
      </w:r>
    </w:p>
    <w:p w:rsidR="002E0EA6" w:rsidRPr="00B9061F" w:rsidRDefault="002E0EA6" w:rsidP="002E0EA6">
      <w:pPr>
        <w:spacing w:before="100" w:beforeAutospacing="1" w:after="100" w:afterAutospacing="1" w:line="240" w:lineRule="auto"/>
        <w:ind w:left="2160" w:right="1440"/>
        <w:contextualSpacing/>
        <w:jc w:val="left"/>
        <w:rPr>
          <w:rFonts w:eastAsia="Times New Roman"/>
        </w:rPr>
      </w:pPr>
    </w:p>
    <w:p w:rsidR="002E0EA6" w:rsidRPr="00B9061F" w:rsidRDefault="002E0EA6" w:rsidP="00884F78">
      <w:pPr>
        <w:spacing w:line="240" w:lineRule="auto"/>
        <w:ind w:left="1440" w:right="1440" w:hanging="720"/>
        <w:contextualSpacing/>
        <w:jc w:val="left"/>
        <w:rPr>
          <w:rFonts w:eastAsia="Times New Roman"/>
        </w:rPr>
      </w:pPr>
      <w:r w:rsidRPr="00B9061F">
        <w:rPr>
          <w:rFonts w:eastAsia="Times New Roman"/>
        </w:rPr>
        <w:t>52 Pa. Code §69.1201.</w:t>
      </w:r>
    </w:p>
    <w:p w:rsidR="002E0EA6" w:rsidRPr="00B9061F" w:rsidRDefault="002E0EA6" w:rsidP="008811DC">
      <w:pPr>
        <w:jc w:val="left"/>
        <w:rPr>
          <w:rFonts w:eastAsia="Times New Roman"/>
        </w:rPr>
      </w:pPr>
    </w:p>
    <w:p w:rsidR="001F3A7A" w:rsidRPr="00B9061F" w:rsidRDefault="00E51C75" w:rsidP="00885467">
      <w:pPr>
        <w:jc w:val="left"/>
        <w:rPr>
          <w:rFonts w:eastAsia="Times New Roman"/>
        </w:rPr>
      </w:pPr>
      <w:r w:rsidRPr="00B9061F">
        <w:rPr>
          <w:rFonts w:eastAsia="Times New Roman"/>
        </w:rPr>
        <w:tab/>
      </w:r>
      <w:r w:rsidRPr="00B9061F">
        <w:rPr>
          <w:rFonts w:eastAsia="Times New Roman"/>
        </w:rPr>
        <w:tab/>
        <w:t xml:space="preserve">In a standard analysis used for all Pennsylvania utilities </w:t>
      </w:r>
      <w:r w:rsidRPr="00B9061F">
        <w:rPr>
          <w:rFonts w:eastAsia="Times New Roman"/>
          <w:i/>
        </w:rPr>
        <w:t>except PGW</w:t>
      </w:r>
      <w:r w:rsidRPr="00B9061F">
        <w:rPr>
          <w:rFonts w:eastAsia="Times New Roman"/>
        </w:rPr>
        <w:t>, the result would be the assessment of a $1</w:t>
      </w:r>
      <w:r w:rsidR="008811DC">
        <w:rPr>
          <w:rFonts w:eastAsia="Times New Roman"/>
        </w:rPr>
        <w:t>,</w:t>
      </w:r>
      <w:r w:rsidRPr="00B9061F">
        <w:rPr>
          <w:rFonts w:eastAsia="Times New Roman"/>
        </w:rPr>
        <w:t>000.00 civil penalty.</w:t>
      </w:r>
      <w:r w:rsidRPr="00B9061F">
        <w:rPr>
          <w:rStyle w:val="FootnoteReference"/>
          <w:rFonts w:eastAsia="Times New Roman"/>
        </w:rPr>
        <w:footnoteReference w:id="2"/>
      </w:r>
      <w:r w:rsidR="00885467" w:rsidRPr="00B9061F">
        <w:rPr>
          <w:rFonts w:eastAsia="Times New Roman"/>
        </w:rPr>
        <w:t xml:space="preserve">  However, it is the last specific factor, a consideration of p</w:t>
      </w:r>
      <w:r w:rsidR="00687A18" w:rsidRPr="00B9061F">
        <w:rPr>
          <w:rFonts w:eastAsia="Times New Roman"/>
        </w:rPr>
        <w:t>ast Commission decisions in similar situations</w:t>
      </w:r>
      <w:r w:rsidR="00885467" w:rsidRPr="00B9061F">
        <w:rPr>
          <w:rFonts w:eastAsia="Times New Roman"/>
        </w:rPr>
        <w:t>, which trumps the rest of the factors here</w:t>
      </w:r>
      <w:r w:rsidR="00687A18" w:rsidRPr="00B9061F">
        <w:rPr>
          <w:rFonts w:eastAsia="Times New Roman"/>
        </w:rPr>
        <w:t>.</w:t>
      </w:r>
    </w:p>
    <w:p w:rsidR="009B1CEB" w:rsidRPr="00B9061F" w:rsidRDefault="009B1CEB" w:rsidP="00885467">
      <w:pPr>
        <w:jc w:val="left"/>
        <w:rPr>
          <w:rFonts w:eastAsia="Times New Roman"/>
        </w:rPr>
      </w:pPr>
    </w:p>
    <w:p w:rsidR="009B1CEB" w:rsidRPr="00B9061F" w:rsidRDefault="009B1CEB" w:rsidP="009B1CEB">
      <w:pPr>
        <w:ind w:firstLine="1440"/>
        <w:jc w:val="left"/>
        <w:rPr>
          <w:rFonts w:eastAsia="Times New Roman"/>
        </w:rPr>
      </w:pPr>
      <w:r w:rsidRPr="00B9061F">
        <w:rPr>
          <w:rFonts w:eastAsia="Times New Roman"/>
        </w:rPr>
        <w:t>Prior Commission decisions that involve violations of 66 Pa. C.S.A.</w:t>
      </w:r>
    </w:p>
    <w:p w:rsidR="009B1CEB" w:rsidRPr="00B9061F" w:rsidRDefault="009B1CEB" w:rsidP="009B1CEB">
      <w:pPr>
        <w:jc w:val="left"/>
        <w:rPr>
          <w:rFonts w:eastAsia="Times New Roman"/>
        </w:rPr>
      </w:pPr>
      <w:r w:rsidRPr="00B9061F">
        <w:rPr>
          <w:rFonts w:eastAsia="Times New Roman"/>
        </w:rPr>
        <w:t xml:space="preserve"> § 1501 by PGW reflect a reluctance to impose civil penalties upon the Company. </w:t>
      </w:r>
      <w:r w:rsidR="00DE6F4C">
        <w:rPr>
          <w:rFonts w:eastAsia="Times New Roman"/>
        </w:rPr>
        <w:t xml:space="preserve"> </w:t>
      </w:r>
      <w:r w:rsidRPr="00B9061F">
        <w:rPr>
          <w:rFonts w:eastAsia="Times New Roman"/>
          <w:i/>
        </w:rPr>
        <w:t>Malisa Alexander v. Philadelphia Gas Works</w:t>
      </w:r>
      <w:r w:rsidRPr="00B9061F">
        <w:rPr>
          <w:rFonts w:eastAsia="Times New Roman"/>
        </w:rPr>
        <w:t>, Docket No. C-20077389 (Order</w:t>
      </w:r>
      <w:r w:rsidR="00884F78">
        <w:rPr>
          <w:rFonts w:eastAsia="Times New Roman"/>
        </w:rPr>
        <w:t xml:space="preserve"> entered November 6, </w:t>
      </w:r>
      <w:r w:rsidRPr="00B9061F">
        <w:rPr>
          <w:rFonts w:eastAsia="Times New Roman"/>
        </w:rPr>
        <w:t>2008)</w:t>
      </w:r>
      <w:r w:rsidR="00980D56">
        <w:rPr>
          <w:rFonts w:eastAsia="Times New Roman"/>
        </w:rPr>
        <w:t xml:space="preserve"> </w:t>
      </w:r>
      <w:r w:rsidRPr="00B9061F">
        <w:rPr>
          <w:rFonts w:eastAsia="Times New Roman"/>
        </w:rPr>
        <w:t xml:space="preserve">(the Commission refrained from imposing a penalty upon PGW in a gas leak complaint case, noting that the imposition of fines upon PGW in the past has been futile as a deterrent for PGW); </w:t>
      </w:r>
      <w:r w:rsidRPr="00B9061F">
        <w:rPr>
          <w:rFonts w:eastAsia="Times New Roman"/>
          <w:i/>
        </w:rPr>
        <w:t>Thea Jones v. Philadelphia Gas Works</w:t>
      </w:r>
      <w:r w:rsidRPr="00B9061F">
        <w:rPr>
          <w:rFonts w:eastAsia="Times New Roman"/>
        </w:rPr>
        <w:t>, Docket No. F-2009-2138367 (Order entered December 16, 2010) (Commission uph</w:t>
      </w:r>
      <w:r w:rsidR="00493611">
        <w:rPr>
          <w:rFonts w:eastAsia="Times New Roman"/>
        </w:rPr>
        <w:t>o</w:t>
      </w:r>
      <w:r w:rsidRPr="00B9061F">
        <w:rPr>
          <w:rFonts w:eastAsia="Times New Roman"/>
        </w:rPr>
        <w:t>ld</w:t>
      </w:r>
      <w:r w:rsidR="00493611">
        <w:rPr>
          <w:rFonts w:eastAsia="Times New Roman"/>
        </w:rPr>
        <w:t>ing</w:t>
      </w:r>
      <w:r w:rsidRPr="00B9061F">
        <w:rPr>
          <w:rFonts w:eastAsia="Times New Roman"/>
        </w:rPr>
        <w:t xml:space="preserve"> PGW violated Section 1501 of the Code for a gas leak complaint but removing the $500 civil penalty, finding that PGW should</w:t>
      </w:r>
      <w:r w:rsidR="00493611">
        <w:rPr>
          <w:rFonts w:eastAsia="Times New Roman"/>
        </w:rPr>
        <w:t xml:space="preserve"> not</w:t>
      </w:r>
      <w:r w:rsidRPr="00B9061F">
        <w:rPr>
          <w:rFonts w:eastAsia="Times New Roman"/>
        </w:rPr>
        <w:t xml:space="preserve"> be assessed a civil penalty, given PGW’s status as a municipally owned gas utility, </w:t>
      </w:r>
      <w:r w:rsidR="00493611">
        <w:rPr>
          <w:rFonts w:eastAsia="Times New Roman"/>
        </w:rPr>
        <w:t xml:space="preserve">as </w:t>
      </w:r>
      <w:r w:rsidRPr="00B9061F">
        <w:rPr>
          <w:rFonts w:eastAsia="Times New Roman"/>
        </w:rPr>
        <w:t xml:space="preserve">the additional burden on the ratepayers cannot be justified); </w:t>
      </w:r>
      <w:r w:rsidRPr="00B9061F">
        <w:rPr>
          <w:rFonts w:eastAsia="Times New Roman"/>
          <w:i/>
        </w:rPr>
        <w:t xml:space="preserve">Mary Kingcade v. Philadelphia Gas Works, </w:t>
      </w:r>
      <w:r w:rsidR="00884F78">
        <w:rPr>
          <w:rFonts w:eastAsia="Times New Roman"/>
        </w:rPr>
        <w:t>Docket No. C</w:t>
      </w:r>
      <w:r w:rsidR="00884F78">
        <w:rPr>
          <w:rFonts w:eastAsia="Times New Roman"/>
        </w:rPr>
        <w:noBreakHyphen/>
      </w:r>
      <w:r w:rsidRPr="00B9061F">
        <w:rPr>
          <w:rFonts w:eastAsia="Times New Roman"/>
        </w:rPr>
        <w:t>2009-2134662 (Opinion and Order entered November 8, 2012)</w:t>
      </w:r>
      <w:r w:rsidR="00650C1B">
        <w:rPr>
          <w:rFonts w:eastAsia="Times New Roman"/>
        </w:rPr>
        <w:t xml:space="preserve"> </w:t>
      </w:r>
      <w:r w:rsidRPr="00B9061F">
        <w:rPr>
          <w:rFonts w:eastAsia="Times New Roman"/>
        </w:rPr>
        <w:t>(affirming Initial Decision of ALJ Vero which cites the above cases for her decision to not impose a civil penalty).</w:t>
      </w:r>
    </w:p>
    <w:p w:rsidR="009B1CEB" w:rsidRPr="00B9061F" w:rsidRDefault="009B1CEB" w:rsidP="00885467">
      <w:pPr>
        <w:jc w:val="left"/>
        <w:rPr>
          <w:rFonts w:eastAsia="Times New Roman"/>
        </w:rPr>
      </w:pPr>
    </w:p>
    <w:p w:rsidR="00FC7982" w:rsidRPr="00B9061F" w:rsidRDefault="009B1CEB" w:rsidP="00F355B7">
      <w:pPr>
        <w:jc w:val="left"/>
      </w:pPr>
      <w:r w:rsidRPr="00B9061F">
        <w:rPr>
          <w:rFonts w:eastAsia="Times New Roman"/>
        </w:rPr>
        <w:tab/>
      </w:r>
      <w:r w:rsidR="00E06512" w:rsidRPr="00B9061F">
        <w:rPr>
          <w:rFonts w:eastAsia="Times New Roman"/>
        </w:rPr>
        <w:tab/>
        <w:t xml:space="preserve">In conclusion, the Complainant has sustained her burden of proving that </w:t>
      </w:r>
      <w:r w:rsidR="00E11279" w:rsidRPr="00B9061F">
        <w:rPr>
          <w:rFonts w:eastAsia="Times New Roman"/>
        </w:rPr>
        <w:t>PGW has violated the Public Utility Code and that the bill rendered in the amount of $181.58, along with any late fees associated with it, should be removed from her account.  A copy of this Initial Decision shall be served upon the Law Bureau for the purpose of tracking cases where PGW is found to have violated the Public Utility Code.</w:t>
      </w:r>
    </w:p>
    <w:p w:rsidR="00B6010B" w:rsidRDefault="00FC7982" w:rsidP="00F355B7">
      <w:pPr>
        <w:jc w:val="left"/>
      </w:pPr>
      <w:r w:rsidRPr="00B9061F">
        <w:tab/>
      </w:r>
      <w:r w:rsidRPr="00B9061F">
        <w:tab/>
      </w:r>
    </w:p>
    <w:p w:rsidR="00B6010B" w:rsidRDefault="00B6010B">
      <w:r>
        <w:br w:type="page"/>
      </w:r>
    </w:p>
    <w:p w:rsidR="00FC0655" w:rsidRPr="00B9061F" w:rsidRDefault="00FC0655" w:rsidP="00FC0655">
      <w:pPr>
        <w:rPr>
          <w:u w:val="single"/>
        </w:rPr>
      </w:pPr>
      <w:r w:rsidRPr="00B9061F">
        <w:rPr>
          <w:u w:val="single"/>
        </w:rPr>
        <w:t>CONCLUSIONS OF LAW</w:t>
      </w:r>
    </w:p>
    <w:p w:rsidR="00FC0655" w:rsidRPr="00B9061F" w:rsidRDefault="00FC0655" w:rsidP="00FC0655">
      <w:pPr>
        <w:rPr>
          <w:u w:val="single"/>
        </w:rPr>
      </w:pPr>
    </w:p>
    <w:p w:rsidR="00FC0655" w:rsidRPr="00B9061F" w:rsidRDefault="00FC0655" w:rsidP="00FC0655">
      <w:pPr>
        <w:ind w:firstLine="1440"/>
        <w:jc w:val="left"/>
        <w:rPr>
          <w:spacing w:val="-3"/>
        </w:rPr>
      </w:pPr>
      <w:r w:rsidRPr="00B9061F">
        <w:t>1.</w:t>
      </w:r>
      <w:r w:rsidRPr="00B9061F">
        <w:tab/>
        <w:t>The C</w:t>
      </w:r>
      <w:r w:rsidRPr="00B9061F">
        <w:rPr>
          <w:spacing w:val="-3"/>
        </w:rPr>
        <w:t xml:space="preserve">omplainants carry the burden of showing that the utility is responsible or accountable for the problem described in the Complaint in order to prevail.  </w:t>
      </w:r>
      <w:r w:rsidRPr="00B9061F">
        <w:rPr>
          <w:i/>
          <w:spacing w:val="-3"/>
        </w:rPr>
        <w:t>Patterson v. Bell Telephone Company of Pennsylvania</w:t>
      </w:r>
      <w:r w:rsidRPr="00B9061F">
        <w:rPr>
          <w:spacing w:val="-3"/>
        </w:rPr>
        <w:t xml:space="preserve">, 72 Pa. PUC 196 (1990); </w:t>
      </w:r>
      <w:r w:rsidRPr="00B9061F">
        <w:rPr>
          <w:i/>
          <w:spacing w:val="-3"/>
        </w:rPr>
        <w:t>Feinstein v. Philadelphia Suburban Water Company</w:t>
      </w:r>
      <w:r w:rsidRPr="00B9061F">
        <w:rPr>
          <w:spacing w:val="-3"/>
        </w:rPr>
        <w:t>, 50 Pa. PUC 300 (1976).</w:t>
      </w:r>
    </w:p>
    <w:p w:rsidR="00FC0655" w:rsidRPr="00B9061F" w:rsidRDefault="00FC0655" w:rsidP="00FC0655">
      <w:pPr>
        <w:ind w:firstLine="1440"/>
        <w:jc w:val="left"/>
        <w:rPr>
          <w:spacing w:val="-3"/>
        </w:rPr>
      </w:pPr>
    </w:p>
    <w:p w:rsidR="00FC0655" w:rsidRPr="00B9061F" w:rsidRDefault="00FC0655" w:rsidP="00FC0655">
      <w:pPr>
        <w:ind w:firstLine="1440"/>
        <w:jc w:val="left"/>
        <w:rPr>
          <w:spacing w:val="-3"/>
        </w:rPr>
      </w:pPr>
      <w:r w:rsidRPr="00B9061F">
        <w:rPr>
          <w:spacing w:val="-3"/>
        </w:rPr>
        <w:t>2.</w:t>
      </w:r>
      <w:r w:rsidRPr="00B9061F">
        <w:rPr>
          <w:spacing w:val="-3"/>
        </w:rPr>
        <w:tab/>
        <w:t xml:space="preserve">The burden of proof must be carried by a preponderance of the evidence.  </w:t>
      </w:r>
      <w:r w:rsidRPr="00B9061F">
        <w:rPr>
          <w:i/>
          <w:spacing w:val="-3"/>
        </w:rPr>
        <w:t>Samuel J. Lansberry, Inc. v. PA Public Utility Comm’n</w:t>
      </w:r>
      <w:r w:rsidRPr="00B9061F">
        <w:rPr>
          <w:spacing w:val="-3"/>
        </w:rPr>
        <w:t xml:space="preserve">, 578 A.2d 600 (Pa. Cmwlth.1990), </w:t>
      </w:r>
      <w:r w:rsidRPr="00B9061F">
        <w:rPr>
          <w:i/>
          <w:spacing w:val="-3"/>
        </w:rPr>
        <w:t>alloc. den.</w:t>
      </w:r>
      <w:r w:rsidRPr="00B9061F">
        <w:rPr>
          <w:spacing w:val="-3"/>
        </w:rPr>
        <w:t xml:space="preserve">, 529 A.2d 654, 602 A.2d 863 (1992).  That is, by presenting evidence more convincing, by even the smallest amount, than that presented by the other party.  </w:t>
      </w:r>
      <w:r w:rsidRPr="00B9061F">
        <w:rPr>
          <w:i/>
          <w:spacing w:val="-3"/>
        </w:rPr>
        <w:t>Se-Ling Hosiery v. Margulies</w:t>
      </w:r>
      <w:r w:rsidRPr="00B9061F">
        <w:rPr>
          <w:spacing w:val="-3"/>
        </w:rPr>
        <w:t>, 364 Pa. 45, 70 A.2d 854 (1950).</w:t>
      </w:r>
    </w:p>
    <w:p w:rsidR="00FC0655" w:rsidRPr="00B9061F" w:rsidRDefault="00FC0655" w:rsidP="00FC0655">
      <w:pPr>
        <w:ind w:firstLine="1440"/>
        <w:jc w:val="left"/>
        <w:rPr>
          <w:spacing w:val="-3"/>
        </w:rPr>
      </w:pPr>
    </w:p>
    <w:p w:rsidR="00FC0655" w:rsidRPr="00B9061F" w:rsidRDefault="00FC0655" w:rsidP="00FC0655">
      <w:pPr>
        <w:ind w:firstLine="1440"/>
        <w:jc w:val="left"/>
        <w:rPr>
          <w:spacing w:val="-3"/>
        </w:rPr>
      </w:pPr>
      <w:r w:rsidRPr="00B9061F">
        <w:rPr>
          <w:spacing w:val="-3"/>
        </w:rPr>
        <w:t>3.</w:t>
      </w:r>
      <w:r w:rsidRPr="00B9061F">
        <w:rPr>
          <w:spacing w:val="-3"/>
        </w:rPr>
        <w:tab/>
        <w:t xml:space="preserve">Any finding of fact necessary to support the Commission’s adjudication must be based upon substantial evidence.  </w:t>
      </w:r>
      <w:r w:rsidRPr="00B9061F">
        <w:rPr>
          <w:i/>
          <w:spacing w:val="-3"/>
        </w:rPr>
        <w:t>Mill v. Comm’w., PA Public Utility Comm’n</w:t>
      </w:r>
      <w:r w:rsidR="00326C43">
        <w:rPr>
          <w:spacing w:val="-3"/>
        </w:rPr>
        <w:t>, 447 A.2d </w:t>
      </w:r>
      <w:r w:rsidRPr="00B9061F">
        <w:rPr>
          <w:spacing w:val="-3"/>
        </w:rPr>
        <w:t xml:space="preserve">1100 (Pa. Cmwlth.1982); </w:t>
      </w:r>
      <w:r w:rsidRPr="00B9061F">
        <w:rPr>
          <w:i/>
          <w:spacing w:val="-3"/>
        </w:rPr>
        <w:t>Edan Transportation Corp. v. PA Public Utility Comm’n,</w:t>
      </w:r>
      <w:r w:rsidR="00350C1D">
        <w:rPr>
          <w:spacing w:val="-3"/>
        </w:rPr>
        <w:t xml:space="preserve"> 623 A.2d </w:t>
      </w:r>
      <w:r w:rsidRPr="00B9061F">
        <w:rPr>
          <w:spacing w:val="-3"/>
        </w:rPr>
        <w:t xml:space="preserve">6 (Pa. Cmwlth.1993), 2 Pa.C.S. §704.  More is required than a mere trace of evidence or a suspicion of the existence of a fact sought to be established.  </w:t>
      </w:r>
      <w:r w:rsidRPr="00B9061F">
        <w:rPr>
          <w:i/>
          <w:spacing w:val="-3"/>
        </w:rPr>
        <w:t>Norfolk and Western Ry. v. PA Public Utility Comm’n</w:t>
      </w:r>
      <w:r w:rsidRPr="00B9061F">
        <w:rPr>
          <w:spacing w:val="-3"/>
        </w:rPr>
        <w:t xml:space="preserve">, 489 Pa. 109, 413 A.2d 1037 (1980); </w:t>
      </w:r>
      <w:r w:rsidRPr="00B9061F">
        <w:rPr>
          <w:i/>
          <w:spacing w:val="-3"/>
        </w:rPr>
        <w:t>Erie Resistor Corp. v. Unemployment Compensation Bd. of Review</w:t>
      </w:r>
      <w:r w:rsidRPr="00B9061F">
        <w:rPr>
          <w:spacing w:val="-3"/>
        </w:rPr>
        <w:t xml:space="preserve">, 166 A.2d 96 (Pa. Super.1960); </w:t>
      </w:r>
      <w:r w:rsidRPr="00B9061F">
        <w:rPr>
          <w:i/>
          <w:spacing w:val="-3"/>
        </w:rPr>
        <w:t>Murphy v. Commonwealth, Dep’t. of Public Welfare, White Haven Center</w:t>
      </w:r>
      <w:r w:rsidRPr="00B9061F">
        <w:rPr>
          <w:spacing w:val="-3"/>
        </w:rPr>
        <w:t>, 480 A.2d 382 (Pa. Cmwlth.1984).</w:t>
      </w:r>
    </w:p>
    <w:p w:rsidR="00FC0655" w:rsidRPr="00B9061F" w:rsidRDefault="00FC0655" w:rsidP="00FC0655">
      <w:pPr>
        <w:ind w:firstLine="1440"/>
        <w:jc w:val="left"/>
        <w:rPr>
          <w:spacing w:val="-3"/>
        </w:rPr>
      </w:pPr>
    </w:p>
    <w:p w:rsidR="00FC0655" w:rsidRPr="00B9061F" w:rsidRDefault="00FC0655" w:rsidP="00FC0655">
      <w:pPr>
        <w:ind w:firstLine="1440"/>
        <w:jc w:val="left"/>
      </w:pPr>
      <w:r w:rsidRPr="00B9061F">
        <w:rPr>
          <w:spacing w:val="-3"/>
        </w:rPr>
        <w:t>4.</w:t>
      </w:r>
      <w:r w:rsidRPr="00B9061F">
        <w:rPr>
          <w:spacing w:val="-3"/>
        </w:rPr>
        <w:tab/>
      </w:r>
      <w:r w:rsidRPr="00B9061F">
        <w:t>The offense must be a violation of the Public Utility Code, the Commission’s regulations, or an outstanding order of the Commission.  66 Pa. C.S. § 701.</w:t>
      </w:r>
    </w:p>
    <w:p w:rsidR="00FC0655" w:rsidRPr="00B9061F" w:rsidRDefault="00FC0655" w:rsidP="00FC0655">
      <w:pPr>
        <w:jc w:val="left"/>
      </w:pPr>
      <w:r w:rsidRPr="00B9061F">
        <w:tab/>
      </w:r>
    </w:p>
    <w:p w:rsidR="00BB69A5" w:rsidRPr="00B9061F" w:rsidRDefault="00BB69A5" w:rsidP="00BB69A5">
      <w:pPr>
        <w:jc w:val="left"/>
        <w:rPr>
          <w:spacing w:val="-3"/>
        </w:rPr>
      </w:pPr>
      <w:r w:rsidRPr="00B9061F">
        <w:tab/>
      </w:r>
      <w:r w:rsidRPr="00B9061F">
        <w:tab/>
        <w:t>5.</w:t>
      </w:r>
      <w:r w:rsidRPr="00B9061F">
        <w:tab/>
      </w:r>
      <w:r w:rsidRPr="00B9061F">
        <w:rPr>
          <w:spacing w:val="-3"/>
        </w:rPr>
        <w:t xml:space="preserve">The “burden of proof” is composed of two distinct burdens: the burden of production and the burden of persuasion.  </w:t>
      </w:r>
      <w:r w:rsidRPr="00B9061F">
        <w:rPr>
          <w:i/>
          <w:spacing w:val="-3"/>
        </w:rPr>
        <w:t>Hurley v. Hurley</w:t>
      </w:r>
      <w:r w:rsidRPr="00B9061F">
        <w:rPr>
          <w:spacing w:val="-3"/>
        </w:rPr>
        <w:t>, 2000 Pa.Super. 178, 754 A.2d 1283 (2000).</w:t>
      </w:r>
    </w:p>
    <w:p w:rsidR="00BB69A5" w:rsidRPr="00B9061F" w:rsidRDefault="00BB69A5" w:rsidP="00BB69A5">
      <w:pPr>
        <w:jc w:val="left"/>
        <w:rPr>
          <w:spacing w:val="-3"/>
        </w:rPr>
      </w:pPr>
    </w:p>
    <w:p w:rsidR="00E11279" w:rsidRPr="00B9061F" w:rsidRDefault="00BB69A5" w:rsidP="00BB69A5">
      <w:pPr>
        <w:jc w:val="left"/>
        <w:rPr>
          <w:spacing w:val="-3"/>
        </w:rPr>
      </w:pPr>
      <w:r w:rsidRPr="00B9061F">
        <w:rPr>
          <w:spacing w:val="-3"/>
        </w:rPr>
        <w:tab/>
      </w:r>
      <w:r w:rsidRPr="00B9061F">
        <w:rPr>
          <w:spacing w:val="-3"/>
        </w:rPr>
        <w:tab/>
        <w:t>6.</w:t>
      </w:r>
      <w:r w:rsidRPr="00B9061F">
        <w:rPr>
          <w:spacing w:val="-3"/>
        </w:rPr>
        <w:tab/>
        <w:t>The bu</w:t>
      </w:r>
      <w:r w:rsidR="00E11279" w:rsidRPr="00B9061F">
        <w:rPr>
          <w:spacing w:val="-3"/>
        </w:rPr>
        <w:t xml:space="preserve">rden of persuasion </w:t>
      </w:r>
      <w:r w:rsidRPr="00B9061F">
        <w:rPr>
          <w:spacing w:val="-3"/>
        </w:rPr>
        <w:t xml:space="preserve">determines which party must produce sufficient evidence to meet the applicable standard of proof.  </w:t>
      </w:r>
      <w:r w:rsidRPr="00B9061F">
        <w:rPr>
          <w:i/>
          <w:spacing w:val="-3"/>
        </w:rPr>
        <w:t>Hurley v. Hurley</w:t>
      </w:r>
      <w:r w:rsidR="00437100">
        <w:rPr>
          <w:spacing w:val="-3"/>
        </w:rPr>
        <w:t>, 2000 Pa.Super. 178, 754 A.2d </w:t>
      </w:r>
      <w:r w:rsidRPr="00B9061F">
        <w:rPr>
          <w:spacing w:val="-3"/>
        </w:rPr>
        <w:t>1283 (2000).</w:t>
      </w:r>
    </w:p>
    <w:p w:rsidR="00E11279" w:rsidRPr="00B9061F" w:rsidRDefault="00E11279" w:rsidP="00BB69A5">
      <w:pPr>
        <w:jc w:val="left"/>
        <w:rPr>
          <w:spacing w:val="-3"/>
        </w:rPr>
      </w:pPr>
    </w:p>
    <w:p w:rsidR="00BB69A5" w:rsidRPr="00B9061F" w:rsidRDefault="00E11279" w:rsidP="00BB69A5">
      <w:pPr>
        <w:jc w:val="left"/>
        <w:rPr>
          <w:spacing w:val="-3"/>
        </w:rPr>
      </w:pPr>
      <w:r w:rsidRPr="00B9061F">
        <w:rPr>
          <w:spacing w:val="-3"/>
        </w:rPr>
        <w:tab/>
      </w:r>
      <w:r w:rsidRPr="00B9061F">
        <w:rPr>
          <w:spacing w:val="-3"/>
        </w:rPr>
        <w:tab/>
        <w:t>7.</w:t>
      </w:r>
      <w:r w:rsidRPr="00B9061F">
        <w:rPr>
          <w:spacing w:val="-3"/>
        </w:rPr>
        <w:tab/>
      </w:r>
      <w:r w:rsidR="00BB69A5" w:rsidRPr="00B9061F">
        <w:rPr>
          <w:spacing w:val="-3"/>
        </w:rPr>
        <w:t xml:space="preserve">Even unrebutted evidence may be disbelieved.  </w:t>
      </w:r>
      <w:r w:rsidR="00BB69A5" w:rsidRPr="00B9061F">
        <w:rPr>
          <w:i/>
          <w:spacing w:val="-3"/>
        </w:rPr>
        <w:t>Suber v. Pa. Comm’n on Crime and Delinquency</w:t>
      </w:r>
      <w:r w:rsidR="00BB69A5" w:rsidRPr="00B9061F">
        <w:rPr>
          <w:spacing w:val="-3"/>
        </w:rPr>
        <w:t>, 885 A.2d 678 (Pa.Cmwlth. 2005), app</w:t>
      </w:r>
      <w:r w:rsidR="00BD3D10">
        <w:rPr>
          <w:spacing w:val="-3"/>
        </w:rPr>
        <w:t>. denied, 586 Pa. 776, 895 A.2d </w:t>
      </w:r>
      <w:r w:rsidR="00BB69A5" w:rsidRPr="00B9061F">
        <w:rPr>
          <w:spacing w:val="-3"/>
        </w:rPr>
        <w:t>1264 (2006</w:t>
      </w:r>
      <w:r w:rsidR="00BD3D10">
        <w:rPr>
          <w:spacing w:val="-3"/>
        </w:rPr>
        <w:t>).</w:t>
      </w:r>
    </w:p>
    <w:p w:rsidR="00F355B7" w:rsidRPr="00B9061F" w:rsidRDefault="00F355B7" w:rsidP="00FC0655">
      <w:pPr>
        <w:jc w:val="left"/>
      </w:pPr>
    </w:p>
    <w:p w:rsidR="00BB69A5" w:rsidRDefault="00BB69A5" w:rsidP="00FC0655">
      <w:pPr>
        <w:jc w:val="left"/>
      </w:pPr>
      <w:r w:rsidRPr="00B9061F">
        <w:tab/>
      </w:r>
      <w:r w:rsidRPr="00B9061F">
        <w:tab/>
      </w:r>
      <w:r w:rsidR="00E11279" w:rsidRPr="00B9061F">
        <w:t>8</w:t>
      </w:r>
      <w:r w:rsidRPr="00B9061F">
        <w:t>.</w:t>
      </w:r>
      <w:r w:rsidRPr="00B9061F">
        <w:tab/>
        <w:t>Every public utility shall furnish and maintain adequate, efficient, safe and reasonable service and facilities . . . as shall be necessary or proper for the accommodation, convenience, and safety of its patrons, employees and the public. . . .”  66 Pa. C.S. § 1501.</w:t>
      </w:r>
    </w:p>
    <w:p w:rsidR="00810169" w:rsidRPr="00B9061F" w:rsidRDefault="00810169" w:rsidP="00FC0655">
      <w:pPr>
        <w:jc w:val="left"/>
      </w:pPr>
    </w:p>
    <w:p w:rsidR="00E11279" w:rsidRPr="00B9061F" w:rsidRDefault="00E11279" w:rsidP="00E11279">
      <w:pPr>
        <w:tabs>
          <w:tab w:val="left" w:pos="-1440"/>
          <w:tab w:val="left" w:pos="-720"/>
        </w:tabs>
        <w:suppressAutoHyphens/>
        <w:ind w:firstLine="1440"/>
        <w:jc w:val="left"/>
        <w:rPr>
          <w:spacing w:val="-3"/>
        </w:rPr>
      </w:pPr>
      <w:r w:rsidRPr="00B9061F">
        <w:rPr>
          <w:spacing w:val="-3"/>
        </w:rPr>
        <w:t>9.</w:t>
      </w:r>
      <w:r w:rsidRPr="00B9061F">
        <w:rPr>
          <w:spacing w:val="-3"/>
        </w:rPr>
        <w:tab/>
        <w:t xml:space="preserve">The burden of persuasion never leaves the party on whom it is originally cast, but the burden of production may shift during the course of the proceedings.”  </w:t>
      </w:r>
      <w:r w:rsidRPr="00B9061F">
        <w:rPr>
          <w:i/>
          <w:spacing w:val="-3"/>
        </w:rPr>
        <w:t>Riedel v. County of Allegheny</w:t>
      </w:r>
      <w:r w:rsidRPr="00B9061F">
        <w:rPr>
          <w:spacing w:val="-3"/>
        </w:rPr>
        <w:t>, 159 Pa.Cmwlth. 583; 591, 633 A.2d 1325; 1328 n. 11 (1993).</w:t>
      </w:r>
    </w:p>
    <w:p w:rsidR="00E11279" w:rsidRPr="00B9061F" w:rsidRDefault="00E11279" w:rsidP="00E11279">
      <w:pPr>
        <w:tabs>
          <w:tab w:val="left" w:pos="-1440"/>
          <w:tab w:val="left" w:pos="-720"/>
        </w:tabs>
        <w:suppressAutoHyphens/>
        <w:ind w:firstLine="1440"/>
        <w:jc w:val="left"/>
        <w:rPr>
          <w:spacing w:val="-3"/>
        </w:rPr>
      </w:pPr>
    </w:p>
    <w:p w:rsidR="00E11279" w:rsidRPr="00B9061F" w:rsidRDefault="00E11279" w:rsidP="00E11279">
      <w:pPr>
        <w:tabs>
          <w:tab w:val="left" w:pos="-1440"/>
          <w:tab w:val="left" w:pos="-720"/>
        </w:tabs>
        <w:suppressAutoHyphens/>
        <w:ind w:firstLine="1440"/>
        <w:jc w:val="left"/>
      </w:pPr>
      <w:r w:rsidRPr="00B9061F">
        <w:rPr>
          <w:spacing w:val="-3"/>
        </w:rPr>
        <w:t>10.</w:t>
      </w:r>
      <w:r w:rsidRPr="00B9061F">
        <w:rPr>
          <w:spacing w:val="-3"/>
        </w:rPr>
        <w:tab/>
      </w:r>
      <w:r w:rsidRPr="00B9061F">
        <w:t xml:space="preserve">The Commission is not empowered to require the payment of damages.  That the Commission is not authorized to grant monetary damages is well-settled.  The Commission must act within and cannot exceed its jurisdiction.  </w:t>
      </w:r>
      <w:r w:rsidRPr="00B9061F">
        <w:rPr>
          <w:i/>
        </w:rPr>
        <w:t>Feingold v. Bell of PA,</w:t>
      </w:r>
      <w:r w:rsidR="00716B7A">
        <w:t xml:space="preserve"> 383 A.2d </w:t>
      </w:r>
      <w:r w:rsidRPr="00B9061F">
        <w:t xml:space="preserve">791 (Pa. 1977); </w:t>
      </w:r>
      <w:r w:rsidRPr="00B9061F">
        <w:rPr>
          <w:i/>
        </w:rPr>
        <w:t xml:space="preserve">Loma, Inc. v. Pa. Publ. Util. Comm’n, </w:t>
      </w:r>
      <w:r w:rsidRPr="00B9061F">
        <w:t>682</w:t>
      </w:r>
      <w:r w:rsidR="00DE0320">
        <w:t xml:space="preserve"> A.2d 425 (Pa. Cmwlth. 1996).  </w:t>
      </w:r>
      <w:r w:rsidRPr="00B9061F">
        <w:t xml:space="preserve">One measure of relief that the Commission is not authorized to grant is monetary damages.  </w:t>
      </w:r>
      <w:r w:rsidRPr="00B9061F">
        <w:rPr>
          <w:i/>
        </w:rPr>
        <w:t>Elkin v. Bell,</w:t>
      </w:r>
      <w:r w:rsidRPr="00B9061F">
        <w:t xml:space="preserve"> 491 Pa. 123, 420 A.2d 371 (1980); </w:t>
      </w:r>
      <w:r w:rsidRPr="00B9061F">
        <w:rPr>
          <w:i/>
        </w:rPr>
        <w:t>Feingold v. Bell of PA,</w:t>
      </w:r>
      <w:r w:rsidR="00A655F0">
        <w:t xml:space="preserve"> 383 A.2d 791 (Pa. </w:t>
      </w:r>
      <w:r w:rsidRPr="00B9061F">
        <w:t xml:space="preserve">1977); </w:t>
      </w:r>
      <w:r w:rsidRPr="00B9061F">
        <w:rPr>
          <w:i/>
        </w:rPr>
        <w:t xml:space="preserve">Loma, Inc. v. Pa. Publ. Util. Comm’n, </w:t>
      </w:r>
      <w:r w:rsidRPr="00B9061F">
        <w:t>682 A.2d 425 (Pa. Cmwlth. 1996).</w:t>
      </w:r>
    </w:p>
    <w:p w:rsidR="00BB69A5" w:rsidRPr="00B9061F" w:rsidRDefault="00BB69A5" w:rsidP="00FC0655">
      <w:pPr>
        <w:jc w:val="left"/>
      </w:pPr>
    </w:p>
    <w:p w:rsidR="00E11279" w:rsidRPr="00B9061F" w:rsidRDefault="00E11279" w:rsidP="00E11279">
      <w:pPr>
        <w:contextualSpacing/>
        <w:jc w:val="left"/>
        <w:rPr>
          <w:rFonts w:eastAsia="Times New Roman"/>
        </w:rPr>
      </w:pPr>
      <w:r w:rsidRPr="00B9061F">
        <w:rPr>
          <w:rFonts w:eastAsia="Times New Roman"/>
        </w:rPr>
        <w:tab/>
      </w:r>
      <w:r w:rsidRPr="00B9061F">
        <w:rPr>
          <w:rFonts w:eastAsia="Times New Roman"/>
        </w:rPr>
        <w:tab/>
        <w:t>11.</w:t>
      </w:r>
      <w:r w:rsidRPr="00B9061F">
        <w:rPr>
          <w:rFonts w:eastAsia="Times New Roman"/>
        </w:rPr>
        <w:tab/>
        <w:t>The Commission has adopted a policy statement for determining whether to assess a civil penalty and for what amount.  52 Pa. Code §69.1201.</w:t>
      </w:r>
    </w:p>
    <w:p w:rsidR="00E11279" w:rsidRPr="00B9061F" w:rsidRDefault="00E11279" w:rsidP="00FC0655">
      <w:pPr>
        <w:jc w:val="left"/>
      </w:pPr>
    </w:p>
    <w:p w:rsidR="00E11279" w:rsidRPr="00B9061F" w:rsidRDefault="00E11279" w:rsidP="00884F78">
      <w:pPr>
        <w:ind w:firstLine="1440"/>
        <w:jc w:val="left"/>
        <w:rPr>
          <w:rFonts w:eastAsia="Times New Roman"/>
        </w:rPr>
      </w:pPr>
      <w:r w:rsidRPr="00B9061F">
        <w:rPr>
          <w:rFonts w:eastAsia="Times New Roman"/>
        </w:rPr>
        <w:t>12.</w:t>
      </w:r>
      <w:r w:rsidRPr="00B9061F">
        <w:rPr>
          <w:rFonts w:eastAsia="Times New Roman"/>
        </w:rPr>
        <w:tab/>
        <w:t>Prior Commission decisions that involve violations of 66 Pa. C.S.A.</w:t>
      </w:r>
      <w:r w:rsidR="00884F78">
        <w:rPr>
          <w:rFonts w:eastAsia="Times New Roman"/>
        </w:rPr>
        <w:t xml:space="preserve"> § </w:t>
      </w:r>
      <w:r w:rsidRPr="00B9061F">
        <w:rPr>
          <w:rFonts w:eastAsia="Times New Roman"/>
        </w:rPr>
        <w:t xml:space="preserve">1501 by PGW reflect a reluctance to impose civil penalties upon the Company. </w:t>
      </w:r>
      <w:r w:rsidR="00C847CE">
        <w:rPr>
          <w:rFonts w:eastAsia="Times New Roman"/>
        </w:rPr>
        <w:t xml:space="preserve"> </w:t>
      </w:r>
      <w:r w:rsidRPr="00B9061F">
        <w:rPr>
          <w:rFonts w:eastAsia="Times New Roman"/>
          <w:i/>
        </w:rPr>
        <w:t>Malisa Alexander v. Philadelphia Gas Works</w:t>
      </w:r>
      <w:r w:rsidRPr="00B9061F">
        <w:rPr>
          <w:rFonts w:eastAsia="Times New Roman"/>
        </w:rPr>
        <w:t>, Docket No. C-2</w:t>
      </w:r>
      <w:r w:rsidR="00C847CE">
        <w:rPr>
          <w:rFonts w:eastAsia="Times New Roman"/>
        </w:rPr>
        <w:t>0077389 (Order entered November</w:t>
      </w:r>
      <w:r w:rsidR="00884F78">
        <w:rPr>
          <w:rFonts w:eastAsia="Times New Roman"/>
        </w:rPr>
        <w:t xml:space="preserve"> </w:t>
      </w:r>
      <w:r w:rsidR="00C847CE">
        <w:rPr>
          <w:rFonts w:eastAsia="Times New Roman"/>
        </w:rPr>
        <w:t>6,</w:t>
      </w:r>
      <w:r w:rsidR="00884F78">
        <w:rPr>
          <w:rFonts w:eastAsia="Times New Roman"/>
        </w:rPr>
        <w:t xml:space="preserve"> </w:t>
      </w:r>
      <w:r w:rsidRPr="00B9061F">
        <w:rPr>
          <w:rFonts w:eastAsia="Times New Roman"/>
        </w:rPr>
        <w:t>2008)</w:t>
      </w:r>
      <w:r w:rsidR="00C847CE">
        <w:rPr>
          <w:rFonts w:eastAsia="Times New Roman"/>
        </w:rPr>
        <w:t xml:space="preserve"> (</w:t>
      </w:r>
      <w:r w:rsidRPr="00B9061F">
        <w:rPr>
          <w:rFonts w:eastAsia="Times New Roman"/>
          <w:i/>
        </w:rPr>
        <w:t>Thea Jones v. Philadelphia Gas Works</w:t>
      </w:r>
      <w:r w:rsidRPr="00B9061F">
        <w:rPr>
          <w:rFonts w:eastAsia="Times New Roman"/>
        </w:rPr>
        <w:t>, Docket No. F-2009-2138367 (O</w:t>
      </w:r>
      <w:r w:rsidR="009B1CEB" w:rsidRPr="00B9061F">
        <w:rPr>
          <w:rFonts w:eastAsia="Times New Roman"/>
        </w:rPr>
        <w:t>rder entered December 16, 2010)</w:t>
      </w:r>
      <w:r w:rsidRPr="00B9061F">
        <w:rPr>
          <w:rFonts w:eastAsia="Times New Roman"/>
        </w:rPr>
        <w:t xml:space="preserve">; </w:t>
      </w:r>
      <w:r w:rsidRPr="00B9061F">
        <w:rPr>
          <w:rFonts w:eastAsia="Times New Roman"/>
          <w:i/>
        </w:rPr>
        <w:t xml:space="preserve">Mary Kingcade v. Philadelphia Gas Works, </w:t>
      </w:r>
      <w:r w:rsidRPr="00B9061F">
        <w:rPr>
          <w:rFonts w:eastAsia="Times New Roman"/>
        </w:rPr>
        <w:t xml:space="preserve">Docket No. C-2009-2134662 (Opinion and </w:t>
      </w:r>
      <w:r w:rsidR="009B1CEB" w:rsidRPr="00B9061F">
        <w:rPr>
          <w:rFonts w:eastAsia="Times New Roman"/>
        </w:rPr>
        <w:t>Order entered November 8, 2012)</w:t>
      </w:r>
      <w:r w:rsidRPr="00B9061F">
        <w:rPr>
          <w:rFonts w:eastAsia="Times New Roman"/>
        </w:rPr>
        <w:t>.</w:t>
      </w:r>
    </w:p>
    <w:p w:rsidR="009B1CEB" w:rsidRPr="00B9061F" w:rsidRDefault="009B1CEB" w:rsidP="00FC0655">
      <w:pPr>
        <w:jc w:val="left"/>
      </w:pPr>
    </w:p>
    <w:p w:rsidR="00BB69A5" w:rsidRPr="00B9061F" w:rsidRDefault="00EE083E" w:rsidP="00FC0655">
      <w:pPr>
        <w:jc w:val="left"/>
      </w:pPr>
      <w:r w:rsidRPr="00B9061F">
        <w:tab/>
      </w:r>
      <w:r w:rsidRPr="00B9061F">
        <w:tab/>
        <w:t>13.</w:t>
      </w:r>
      <w:r w:rsidRPr="00B9061F">
        <w:tab/>
      </w:r>
      <w:r w:rsidR="00BB69A5" w:rsidRPr="00B9061F">
        <w:t xml:space="preserve">Complainant has carried her burden of proving that she is entitled to the </w:t>
      </w:r>
      <w:r w:rsidRPr="00B9061F">
        <w:t>credit of $181.58 on her balance.</w:t>
      </w:r>
    </w:p>
    <w:p w:rsidR="00BB69A5" w:rsidRDefault="00BB69A5" w:rsidP="00FC0655">
      <w:pPr>
        <w:jc w:val="left"/>
      </w:pPr>
    </w:p>
    <w:p w:rsidR="00884F78" w:rsidRPr="00B9061F" w:rsidRDefault="00884F78" w:rsidP="00FC0655">
      <w:pPr>
        <w:jc w:val="left"/>
      </w:pPr>
    </w:p>
    <w:p w:rsidR="000A3256" w:rsidRPr="00B9061F" w:rsidRDefault="000A3256" w:rsidP="000A3256">
      <w:pPr>
        <w:rPr>
          <w:b/>
          <w:u w:val="single"/>
        </w:rPr>
      </w:pPr>
      <w:r w:rsidRPr="00B9061F">
        <w:rPr>
          <w:b/>
          <w:u w:val="single"/>
        </w:rPr>
        <w:t>ORDER</w:t>
      </w:r>
    </w:p>
    <w:p w:rsidR="000A3256" w:rsidRDefault="000A3256" w:rsidP="00FF08FE">
      <w:pPr>
        <w:rPr>
          <w:b/>
          <w:u w:val="single"/>
        </w:rPr>
      </w:pPr>
    </w:p>
    <w:p w:rsidR="00FF08FE" w:rsidRPr="00B9061F" w:rsidRDefault="00FF08FE" w:rsidP="00FF08FE">
      <w:pPr>
        <w:rPr>
          <w:b/>
          <w:u w:val="single"/>
        </w:rPr>
      </w:pPr>
    </w:p>
    <w:p w:rsidR="000A3256" w:rsidRPr="00B9061F" w:rsidRDefault="000A3256" w:rsidP="000A3256">
      <w:pPr>
        <w:jc w:val="left"/>
      </w:pPr>
      <w:r w:rsidRPr="00B9061F">
        <w:tab/>
      </w:r>
      <w:r w:rsidRPr="00B9061F">
        <w:tab/>
        <w:t>THEREFORE,</w:t>
      </w:r>
    </w:p>
    <w:p w:rsidR="000A3256" w:rsidRPr="00B9061F" w:rsidRDefault="000A3256" w:rsidP="00FF08FE">
      <w:pPr>
        <w:jc w:val="left"/>
      </w:pPr>
    </w:p>
    <w:p w:rsidR="000A3256" w:rsidRPr="00B9061F" w:rsidRDefault="000A3256" w:rsidP="000A3256">
      <w:pPr>
        <w:jc w:val="left"/>
      </w:pPr>
      <w:r w:rsidRPr="00B9061F">
        <w:tab/>
      </w:r>
      <w:r w:rsidRPr="00B9061F">
        <w:tab/>
        <w:t>IT IS ORDERED:</w:t>
      </w:r>
    </w:p>
    <w:p w:rsidR="000A3256" w:rsidRPr="00B9061F" w:rsidRDefault="000A3256" w:rsidP="00FF08FE">
      <w:pPr>
        <w:jc w:val="left"/>
      </w:pPr>
    </w:p>
    <w:p w:rsidR="000A3256" w:rsidRPr="00B9061F" w:rsidRDefault="000A3256" w:rsidP="000A3256">
      <w:pPr>
        <w:jc w:val="left"/>
      </w:pPr>
      <w:r w:rsidRPr="00B9061F">
        <w:tab/>
      </w:r>
      <w:r w:rsidRPr="00B9061F">
        <w:tab/>
        <w:t>1.</w:t>
      </w:r>
      <w:r w:rsidRPr="00B9061F">
        <w:tab/>
        <w:t>That the letter from Philadelphia Gas Works dated April 2, 2013, is admitted as PGW Exhibit 6.</w:t>
      </w:r>
    </w:p>
    <w:p w:rsidR="00BB69A5" w:rsidRPr="00B9061F" w:rsidRDefault="00BB69A5" w:rsidP="000A3256">
      <w:pPr>
        <w:jc w:val="left"/>
      </w:pPr>
    </w:p>
    <w:p w:rsidR="00BB69A5" w:rsidRPr="00B9061F" w:rsidRDefault="00BB69A5" w:rsidP="000A3256">
      <w:pPr>
        <w:jc w:val="left"/>
      </w:pPr>
      <w:r w:rsidRPr="00B9061F">
        <w:tab/>
      </w:r>
      <w:r w:rsidRPr="00B9061F">
        <w:tab/>
        <w:t>2.</w:t>
      </w:r>
      <w:r w:rsidRPr="00B9061F">
        <w:tab/>
        <w:t>That the Complaint filed by Marcia Shapiro against Philadelphia Gas Works at Docket No. F-2012-2318535, is sustained</w:t>
      </w:r>
      <w:r w:rsidR="00EE083E" w:rsidRPr="00B9061F">
        <w:t xml:space="preserve"> insofar as it seeks the removal of $181.58 from the balance of the subject account</w:t>
      </w:r>
      <w:r w:rsidRPr="00B9061F">
        <w:t>.</w:t>
      </w:r>
    </w:p>
    <w:p w:rsidR="00BB69A5" w:rsidRPr="00B9061F" w:rsidRDefault="00BB69A5" w:rsidP="000A3256">
      <w:pPr>
        <w:jc w:val="left"/>
      </w:pPr>
    </w:p>
    <w:p w:rsidR="00BB69A5" w:rsidRPr="00B9061F" w:rsidRDefault="00BB69A5" w:rsidP="000A3256">
      <w:pPr>
        <w:jc w:val="left"/>
      </w:pPr>
      <w:r w:rsidRPr="00B9061F">
        <w:tab/>
      </w:r>
      <w:r w:rsidRPr="00B9061F">
        <w:tab/>
        <w:t>3.</w:t>
      </w:r>
      <w:r w:rsidRPr="00B9061F">
        <w:tab/>
        <w:t>That Philadelphia Gas Works is directed to remove the amount of $181.58 from the balance in the subject account, along with any late fees or penalties associated with that amount.</w:t>
      </w:r>
    </w:p>
    <w:p w:rsidR="00BB69A5" w:rsidRPr="00B9061F" w:rsidRDefault="00BB69A5" w:rsidP="000A3256">
      <w:pPr>
        <w:jc w:val="left"/>
      </w:pPr>
    </w:p>
    <w:p w:rsidR="00EE083E" w:rsidRPr="00B9061F" w:rsidRDefault="00BB69A5" w:rsidP="000A3256">
      <w:pPr>
        <w:jc w:val="left"/>
      </w:pPr>
      <w:r w:rsidRPr="00B9061F">
        <w:tab/>
      </w:r>
      <w:r w:rsidRPr="00B9061F">
        <w:tab/>
        <w:t>4.</w:t>
      </w:r>
      <w:r w:rsidRPr="00B9061F">
        <w:tab/>
      </w:r>
      <w:r w:rsidR="00EE083E" w:rsidRPr="00B9061F">
        <w:t>That the Complaint filed by Marcia Shapiro against Philadelphia Gas Works at Docket No. F-2012-2318535, is denied insofar as it seeks monetary damages for headaches caused by gas leaking into her home from January 2, 2011 to January 22, 2011.</w:t>
      </w:r>
    </w:p>
    <w:p w:rsidR="00EE083E" w:rsidRPr="00B9061F" w:rsidRDefault="00EE083E" w:rsidP="000A3256">
      <w:pPr>
        <w:jc w:val="left"/>
      </w:pPr>
    </w:p>
    <w:p w:rsidR="00EE083E" w:rsidRPr="00B9061F" w:rsidRDefault="00EE083E" w:rsidP="000A3256">
      <w:pPr>
        <w:jc w:val="left"/>
      </w:pPr>
      <w:r w:rsidRPr="00B9061F">
        <w:tab/>
      </w:r>
      <w:r w:rsidRPr="00B9061F">
        <w:tab/>
        <w:t>5.</w:t>
      </w:r>
      <w:r w:rsidRPr="00B9061F">
        <w:tab/>
        <w:t xml:space="preserve">That Philadelphia Gas Works shall cease and desist from further violations of the Public Utility Code, 66 Pa. C.S. § 101 </w:t>
      </w:r>
      <w:r w:rsidRPr="00B9061F">
        <w:rPr>
          <w:i/>
        </w:rPr>
        <w:t>et seq.</w:t>
      </w:r>
      <w:r w:rsidRPr="00B9061F">
        <w:t xml:space="preserve">., the regulations of the Pennsylvania Public Utility Commission, 52 Pa. Code § 1.1 </w:t>
      </w:r>
      <w:r w:rsidRPr="00B9061F">
        <w:rPr>
          <w:i/>
        </w:rPr>
        <w:t>et seq.</w:t>
      </w:r>
      <w:r w:rsidRPr="00B9061F">
        <w:t>, and the orders of the Pennsylvania Public Utility Commission.</w:t>
      </w:r>
    </w:p>
    <w:p w:rsidR="00EE083E" w:rsidRPr="00B9061F" w:rsidRDefault="00EE083E" w:rsidP="000A3256">
      <w:pPr>
        <w:jc w:val="left"/>
      </w:pPr>
    </w:p>
    <w:p w:rsidR="00EE083E" w:rsidRPr="00B9061F" w:rsidRDefault="00EE083E" w:rsidP="000A3256">
      <w:pPr>
        <w:jc w:val="left"/>
      </w:pPr>
      <w:r w:rsidRPr="00B9061F">
        <w:tab/>
      </w:r>
      <w:r w:rsidRPr="00B9061F">
        <w:tab/>
        <w:t>6.</w:t>
      </w:r>
      <w:r w:rsidRPr="00B9061F">
        <w:tab/>
        <w:t xml:space="preserve">That a copy of this Initial Decision shall be served on the Law Bureau for the purpose of tracking cases where Philadelphia Gas Works is found to have violated the Public Utility Code, 66 Pa. C.S. § 101 </w:t>
      </w:r>
      <w:r w:rsidRPr="00B9061F">
        <w:rPr>
          <w:i/>
        </w:rPr>
        <w:t>et seq.</w:t>
      </w:r>
      <w:r w:rsidRPr="00B9061F">
        <w:t xml:space="preserve">., the regulations of the Pennsylvania Public Utility Commission, 52 Pa. Code § 1.1 </w:t>
      </w:r>
      <w:r w:rsidRPr="00B9061F">
        <w:rPr>
          <w:i/>
        </w:rPr>
        <w:t>et seq.</w:t>
      </w:r>
      <w:r w:rsidRPr="00B9061F">
        <w:t>, and the orders of the Pennsylvania Public Utility Commission.</w:t>
      </w:r>
    </w:p>
    <w:p w:rsidR="00EE083E" w:rsidRPr="00B9061F" w:rsidRDefault="00EE083E" w:rsidP="000A3256">
      <w:pPr>
        <w:jc w:val="left"/>
      </w:pPr>
    </w:p>
    <w:p w:rsidR="00EE083E" w:rsidRPr="00B9061F" w:rsidRDefault="00EE083E" w:rsidP="000A3256">
      <w:pPr>
        <w:jc w:val="left"/>
      </w:pPr>
      <w:r w:rsidRPr="00B9061F">
        <w:tab/>
      </w:r>
      <w:r w:rsidRPr="00B9061F">
        <w:tab/>
        <w:t>7.</w:t>
      </w:r>
      <w:r w:rsidRPr="00B9061F">
        <w:tab/>
        <w:t>That the Secretary mark this docket closed.</w:t>
      </w:r>
    </w:p>
    <w:p w:rsidR="00EE083E" w:rsidRDefault="00EE083E" w:rsidP="00FF08FE">
      <w:pPr>
        <w:jc w:val="left"/>
      </w:pPr>
    </w:p>
    <w:p w:rsidR="00FF08FE" w:rsidRPr="00B9061F" w:rsidRDefault="00FF08FE" w:rsidP="00FF08FE">
      <w:pPr>
        <w:jc w:val="left"/>
      </w:pPr>
    </w:p>
    <w:p w:rsidR="00EE083E" w:rsidRPr="00884F78" w:rsidRDefault="00EE083E" w:rsidP="00884F78">
      <w:pPr>
        <w:tabs>
          <w:tab w:val="left" w:pos="720"/>
          <w:tab w:val="left" w:pos="5040"/>
          <w:tab w:val="left" w:pos="5760"/>
          <w:tab w:val="left" w:pos="9270"/>
        </w:tabs>
        <w:spacing w:line="240" w:lineRule="auto"/>
        <w:jc w:val="left"/>
        <w:rPr>
          <w:u w:val="single"/>
        </w:rPr>
      </w:pPr>
      <w:r w:rsidRPr="00B9061F">
        <w:t>Dated:</w:t>
      </w:r>
      <w:r w:rsidRPr="00B9061F">
        <w:tab/>
      </w:r>
      <w:r w:rsidRPr="00B9061F">
        <w:rPr>
          <w:u w:val="single"/>
        </w:rPr>
        <w:t xml:space="preserve">April </w:t>
      </w:r>
      <w:r w:rsidR="009B1CEB" w:rsidRPr="00B9061F">
        <w:rPr>
          <w:u w:val="single"/>
        </w:rPr>
        <w:t>30</w:t>
      </w:r>
      <w:r w:rsidRPr="00B9061F">
        <w:rPr>
          <w:u w:val="single"/>
        </w:rPr>
        <w:t>, 2013</w:t>
      </w:r>
      <w:r w:rsidR="00884F78">
        <w:tab/>
      </w:r>
      <w:r w:rsidR="00884F78">
        <w:rPr>
          <w:u w:val="single"/>
        </w:rPr>
        <w:tab/>
        <w:t>/s/</w:t>
      </w:r>
      <w:r w:rsidR="00884F78">
        <w:rPr>
          <w:u w:val="single"/>
        </w:rPr>
        <w:tab/>
      </w:r>
    </w:p>
    <w:p w:rsidR="00EE083E" w:rsidRPr="00B9061F" w:rsidRDefault="00EE083E" w:rsidP="00EE083E">
      <w:pPr>
        <w:spacing w:line="240" w:lineRule="auto"/>
        <w:jc w:val="left"/>
      </w:pPr>
      <w:r w:rsidRPr="00B9061F">
        <w:tab/>
      </w:r>
      <w:r w:rsidRPr="00B9061F">
        <w:tab/>
      </w:r>
      <w:r w:rsidRPr="00B9061F">
        <w:tab/>
      </w:r>
      <w:r w:rsidRPr="00B9061F">
        <w:tab/>
      </w:r>
      <w:r w:rsidRPr="00B9061F">
        <w:tab/>
      </w:r>
      <w:r w:rsidRPr="00B9061F">
        <w:tab/>
      </w:r>
      <w:r w:rsidRPr="00B9061F">
        <w:tab/>
        <w:t>Susan D. Colwell</w:t>
      </w:r>
    </w:p>
    <w:p w:rsidR="00EE083E" w:rsidRPr="00B9061F" w:rsidRDefault="00EE083E" w:rsidP="00EE083E">
      <w:pPr>
        <w:spacing w:line="240" w:lineRule="auto"/>
        <w:jc w:val="left"/>
      </w:pPr>
      <w:r w:rsidRPr="00B9061F">
        <w:tab/>
      </w:r>
      <w:r w:rsidRPr="00B9061F">
        <w:tab/>
      </w:r>
      <w:r w:rsidRPr="00B9061F">
        <w:tab/>
      </w:r>
      <w:r w:rsidRPr="00B9061F">
        <w:tab/>
      </w:r>
      <w:r w:rsidRPr="00B9061F">
        <w:tab/>
      </w:r>
      <w:r w:rsidRPr="00B9061F">
        <w:tab/>
      </w:r>
      <w:r w:rsidRPr="00B9061F">
        <w:tab/>
        <w:t>Administrative Law Judge</w:t>
      </w:r>
    </w:p>
    <w:p w:rsidR="00EE083E" w:rsidRPr="00B9061F" w:rsidRDefault="00EE083E" w:rsidP="000A3256">
      <w:pPr>
        <w:jc w:val="left"/>
      </w:pPr>
    </w:p>
    <w:sectPr w:rsidR="00EE083E" w:rsidRPr="00B9061F" w:rsidSect="00C50DF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B85" w:rsidRDefault="00A23B85" w:rsidP="00C50DFD">
      <w:pPr>
        <w:spacing w:line="240" w:lineRule="auto"/>
      </w:pPr>
      <w:r>
        <w:separator/>
      </w:r>
    </w:p>
  </w:endnote>
  <w:endnote w:type="continuationSeparator" w:id="0">
    <w:p w:rsidR="00A23B85" w:rsidRDefault="00A23B85" w:rsidP="00C50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68032"/>
      <w:docPartObj>
        <w:docPartGallery w:val="Page Numbers (Bottom of Page)"/>
        <w:docPartUnique/>
      </w:docPartObj>
    </w:sdtPr>
    <w:sdtEndPr>
      <w:rPr>
        <w:noProof/>
        <w:sz w:val="20"/>
        <w:szCs w:val="20"/>
      </w:rPr>
    </w:sdtEndPr>
    <w:sdtContent>
      <w:p w:rsidR="00C50DFD" w:rsidRPr="004523F9" w:rsidRDefault="00C50DFD" w:rsidP="004523F9">
        <w:pPr>
          <w:pStyle w:val="Footer"/>
          <w:rPr>
            <w:sz w:val="20"/>
            <w:szCs w:val="20"/>
          </w:rPr>
        </w:pPr>
        <w:r w:rsidRPr="004523F9">
          <w:rPr>
            <w:sz w:val="20"/>
            <w:szCs w:val="20"/>
          </w:rPr>
          <w:fldChar w:fldCharType="begin"/>
        </w:r>
        <w:r w:rsidRPr="004523F9">
          <w:rPr>
            <w:sz w:val="20"/>
            <w:szCs w:val="20"/>
          </w:rPr>
          <w:instrText xml:space="preserve"> PAGE   \* MERGEFORMAT </w:instrText>
        </w:r>
        <w:r w:rsidRPr="004523F9">
          <w:rPr>
            <w:sz w:val="20"/>
            <w:szCs w:val="20"/>
          </w:rPr>
          <w:fldChar w:fldCharType="separate"/>
        </w:r>
        <w:r w:rsidR="00D228B8">
          <w:rPr>
            <w:noProof/>
            <w:sz w:val="20"/>
            <w:szCs w:val="20"/>
          </w:rPr>
          <w:t>19</w:t>
        </w:r>
        <w:r w:rsidRPr="004523F9">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786681"/>
      <w:docPartObj>
        <w:docPartGallery w:val="Page Numbers (Bottom of Page)"/>
        <w:docPartUnique/>
      </w:docPartObj>
    </w:sdtPr>
    <w:sdtEndPr>
      <w:rPr>
        <w:noProof/>
      </w:rPr>
    </w:sdtEndPr>
    <w:sdtContent>
      <w:p w:rsidR="00D228B8" w:rsidRDefault="00D228B8">
        <w:pPr>
          <w:pStyle w:val="Footer"/>
        </w:pPr>
        <w:r w:rsidRPr="005F201E">
          <w:rPr>
            <w:sz w:val="20"/>
            <w:szCs w:val="20"/>
          </w:rPr>
          <w:fldChar w:fldCharType="begin"/>
        </w:r>
        <w:r w:rsidRPr="005F201E">
          <w:rPr>
            <w:sz w:val="20"/>
            <w:szCs w:val="20"/>
          </w:rPr>
          <w:instrText xml:space="preserve"> PAGE   \* MERGEFORMAT </w:instrText>
        </w:r>
        <w:r w:rsidRPr="005F201E">
          <w:rPr>
            <w:sz w:val="20"/>
            <w:szCs w:val="20"/>
          </w:rPr>
          <w:fldChar w:fldCharType="separate"/>
        </w:r>
        <w:r>
          <w:rPr>
            <w:noProof/>
            <w:sz w:val="20"/>
            <w:szCs w:val="20"/>
          </w:rPr>
          <w:t>2</w:t>
        </w:r>
        <w:r w:rsidRPr="005F201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B85" w:rsidRDefault="00A23B85" w:rsidP="00DE6F4C">
      <w:pPr>
        <w:spacing w:line="240" w:lineRule="auto"/>
        <w:jc w:val="left"/>
      </w:pPr>
      <w:r>
        <w:separator/>
      </w:r>
    </w:p>
  </w:footnote>
  <w:footnote w:type="continuationSeparator" w:id="0">
    <w:p w:rsidR="00A23B85" w:rsidRDefault="00A23B85" w:rsidP="00C50DFD">
      <w:pPr>
        <w:spacing w:line="240" w:lineRule="auto"/>
      </w:pPr>
      <w:r>
        <w:continuationSeparator/>
      </w:r>
    </w:p>
  </w:footnote>
  <w:footnote w:id="1">
    <w:p w:rsidR="00B6010B" w:rsidRDefault="00B6010B" w:rsidP="00B6010B">
      <w:pPr>
        <w:pStyle w:val="FootnoteText"/>
        <w:jc w:val="left"/>
      </w:pPr>
      <w:r>
        <w:rPr>
          <w:rStyle w:val="FootnoteReference"/>
        </w:rPr>
        <w:footnoteRef/>
      </w:r>
      <w:r>
        <w:t xml:space="preserve"> </w:t>
      </w:r>
      <w:r w:rsidR="00884F78">
        <w:tab/>
      </w:r>
      <w:r>
        <w:t xml:space="preserve">Billing comparisons for June, 2010 to January 2011, and June 2011 to January 1012, are inconclusive.  See FOF 20 for a chart.  </w:t>
      </w:r>
    </w:p>
  </w:footnote>
  <w:footnote w:id="2">
    <w:p w:rsidR="00885467" w:rsidRPr="00885467" w:rsidRDefault="00E51C75" w:rsidP="00885467">
      <w:pPr>
        <w:spacing w:before="100" w:beforeAutospacing="1" w:after="100" w:afterAutospacing="1" w:line="240" w:lineRule="auto"/>
        <w:contextualSpacing/>
        <w:jc w:val="left"/>
        <w:rPr>
          <w:rFonts w:eastAsia="Times New Roman"/>
          <w:sz w:val="20"/>
          <w:szCs w:val="20"/>
        </w:rPr>
      </w:pPr>
      <w:r>
        <w:rPr>
          <w:rStyle w:val="FootnoteReference"/>
        </w:rPr>
        <w:footnoteRef/>
      </w:r>
      <w:r>
        <w:t xml:space="preserve"> </w:t>
      </w:r>
      <w:r w:rsidR="00885467">
        <w:tab/>
      </w:r>
      <w:r w:rsidR="00885467" w:rsidRPr="00885467">
        <w:rPr>
          <w:rFonts w:eastAsia="Times New Roman"/>
          <w:sz w:val="20"/>
          <w:szCs w:val="20"/>
        </w:rPr>
        <w:t>The first and third factors determine whether the conduct at issue was of a serious nature, and either purposeful or negligent. Although the fact that the PGW representative missed the leak on January 2, 2011, is disturbing, it did not appear to be willful or fraudulent, merely negligent</w:t>
      </w:r>
      <w:r w:rsidR="00493611">
        <w:rPr>
          <w:rFonts w:eastAsia="Times New Roman"/>
          <w:sz w:val="20"/>
          <w:szCs w:val="20"/>
        </w:rPr>
        <w:t>;</w:t>
      </w:r>
      <w:r w:rsidR="00885467" w:rsidRPr="00885467">
        <w:rPr>
          <w:rFonts w:eastAsia="Times New Roman"/>
          <w:sz w:val="20"/>
          <w:szCs w:val="20"/>
        </w:rPr>
        <w:t xml:space="preserve"> the later conduct, where the counsel failed to provide the information requested, is certainly willful and w</w:t>
      </w:r>
      <w:r w:rsidR="00885467">
        <w:rPr>
          <w:rFonts w:eastAsia="Times New Roman"/>
          <w:sz w:val="20"/>
          <w:szCs w:val="20"/>
        </w:rPr>
        <w:t>ould</w:t>
      </w:r>
      <w:r w:rsidR="00885467" w:rsidRPr="00885467">
        <w:rPr>
          <w:rFonts w:eastAsia="Times New Roman"/>
          <w:sz w:val="20"/>
          <w:szCs w:val="20"/>
        </w:rPr>
        <w:t xml:space="preserve"> support a civil penalty.</w:t>
      </w:r>
    </w:p>
    <w:p w:rsidR="00885467" w:rsidRPr="00885467" w:rsidRDefault="00885467" w:rsidP="00885467">
      <w:pPr>
        <w:spacing w:before="100" w:beforeAutospacing="1" w:after="100" w:afterAutospacing="1" w:line="240" w:lineRule="auto"/>
        <w:contextualSpacing/>
        <w:jc w:val="left"/>
        <w:rPr>
          <w:rFonts w:eastAsia="Times New Roman"/>
          <w:sz w:val="20"/>
          <w:szCs w:val="20"/>
        </w:rPr>
      </w:pPr>
      <w:r w:rsidRPr="00885467">
        <w:rPr>
          <w:rFonts w:eastAsia="Times New Roman"/>
          <w:sz w:val="20"/>
          <w:szCs w:val="20"/>
        </w:rPr>
        <w:tab/>
        <w:t xml:space="preserve">Where the failure to properly identify a leak and tag the appropriate appliance results in headaches and illness in the Complainant, the resulting consequences of the conduct at issue were serious enough to justify a civil penalty.   </w:t>
      </w:r>
    </w:p>
    <w:p w:rsidR="00885467" w:rsidRPr="00885467" w:rsidRDefault="00885467" w:rsidP="00885467">
      <w:pPr>
        <w:spacing w:before="100" w:beforeAutospacing="1" w:after="100" w:afterAutospacing="1" w:line="240" w:lineRule="auto"/>
        <w:contextualSpacing/>
        <w:jc w:val="left"/>
        <w:rPr>
          <w:rFonts w:eastAsia="Times New Roman"/>
          <w:sz w:val="20"/>
          <w:szCs w:val="20"/>
        </w:rPr>
      </w:pPr>
      <w:r w:rsidRPr="00885467">
        <w:rPr>
          <w:rFonts w:eastAsia="Times New Roman"/>
          <w:sz w:val="20"/>
          <w:szCs w:val="20"/>
        </w:rPr>
        <w:t xml:space="preserve"> </w:t>
      </w:r>
      <w:r w:rsidRPr="00885467">
        <w:rPr>
          <w:rFonts w:eastAsia="Times New Roman"/>
          <w:sz w:val="20"/>
          <w:szCs w:val="20"/>
        </w:rPr>
        <w:tab/>
        <w:t xml:space="preserve">There is no indication that practices and procedures were called into play, and there is no way to determine whether they should have been, as the explanation asked for was not provided. However, the system error was addressed as soon as it was brought to the Company's attention, and that weighs in favor of a lesser penalty.  </w:t>
      </w:r>
    </w:p>
    <w:p w:rsidR="00885467" w:rsidRPr="00885467" w:rsidRDefault="00885467" w:rsidP="00885467">
      <w:pPr>
        <w:spacing w:before="100" w:beforeAutospacing="1" w:after="100" w:afterAutospacing="1" w:line="240" w:lineRule="auto"/>
        <w:contextualSpacing/>
        <w:jc w:val="left"/>
        <w:rPr>
          <w:rFonts w:eastAsia="Times New Roman"/>
          <w:sz w:val="20"/>
          <w:szCs w:val="20"/>
        </w:rPr>
      </w:pPr>
      <w:r w:rsidRPr="00885467">
        <w:rPr>
          <w:rFonts w:eastAsia="Times New Roman"/>
          <w:sz w:val="20"/>
          <w:szCs w:val="20"/>
        </w:rPr>
        <w:tab/>
        <w:t xml:space="preserve">Only the Complainant was affected by this transgression, weighing in favor of a lighter penalty. </w:t>
      </w:r>
    </w:p>
    <w:p w:rsidR="009B1CEB" w:rsidRDefault="00885467" w:rsidP="00885467">
      <w:pPr>
        <w:spacing w:before="100" w:beforeAutospacing="1" w:after="100" w:afterAutospacing="1" w:line="240" w:lineRule="auto"/>
        <w:contextualSpacing/>
        <w:jc w:val="left"/>
        <w:rPr>
          <w:rFonts w:eastAsia="Times New Roman"/>
          <w:i/>
          <w:sz w:val="20"/>
          <w:szCs w:val="20"/>
        </w:rPr>
      </w:pPr>
      <w:r w:rsidRPr="00885467">
        <w:rPr>
          <w:rFonts w:eastAsia="Times New Roman"/>
          <w:sz w:val="20"/>
          <w:szCs w:val="20"/>
        </w:rPr>
        <w:tab/>
        <w:t xml:space="preserve">It is difficult to evaluate the compliance history of a utility like this Respondent, as any utility with the number of customers served by PGW is expected to have complaints.  </w:t>
      </w:r>
      <w:r w:rsidR="00E06512">
        <w:rPr>
          <w:rFonts w:eastAsia="Times New Roman"/>
          <w:sz w:val="20"/>
          <w:szCs w:val="20"/>
        </w:rPr>
        <w:t xml:space="preserve">However, under </w:t>
      </w:r>
      <w:r w:rsidR="00E06512">
        <w:rPr>
          <w:rFonts w:eastAsia="Times New Roman"/>
          <w:i/>
          <w:sz w:val="20"/>
          <w:szCs w:val="20"/>
        </w:rPr>
        <w:t>Alexander</w:t>
      </w:r>
      <w:r w:rsidR="00E06512">
        <w:rPr>
          <w:rFonts w:eastAsia="Times New Roman"/>
          <w:sz w:val="20"/>
          <w:szCs w:val="20"/>
        </w:rPr>
        <w:t xml:space="preserve"> </w:t>
      </w:r>
      <w:r w:rsidR="009B1CEB">
        <w:rPr>
          <w:rFonts w:eastAsia="Times New Roman"/>
          <w:i/>
          <w:sz w:val="20"/>
          <w:szCs w:val="20"/>
        </w:rPr>
        <w:t>v. PGW,</w:t>
      </w:r>
    </w:p>
    <w:p w:rsidR="00885467" w:rsidRPr="00885467" w:rsidRDefault="009B1CEB" w:rsidP="00885467">
      <w:pPr>
        <w:spacing w:before="100" w:beforeAutospacing="1" w:after="100" w:afterAutospacing="1" w:line="240" w:lineRule="auto"/>
        <w:contextualSpacing/>
        <w:jc w:val="left"/>
        <w:rPr>
          <w:rFonts w:eastAsia="Times New Roman"/>
          <w:sz w:val="20"/>
          <w:szCs w:val="20"/>
        </w:rPr>
      </w:pPr>
      <w:r>
        <w:rPr>
          <w:rFonts w:eastAsia="Times New Roman"/>
          <w:i/>
          <w:sz w:val="20"/>
          <w:szCs w:val="20"/>
        </w:rPr>
        <w:t xml:space="preserve"> </w:t>
      </w:r>
      <w:r>
        <w:rPr>
          <w:rFonts w:eastAsia="Times New Roman"/>
          <w:sz w:val="20"/>
          <w:szCs w:val="20"/>
        </w:rPr>
        <w:t>C-20077389 (Order entered Nov. 6, 2008)</w:t>
      </w:r>
      <w:r w:rsidR="00E06512">
        <w:rPr>
          <w:rFonts w:eastAsia="Times New Roman"/>
          <w:sz w:val="20"/>
          <w:szCs w:val="20"/>
        </w:rPr>
        <w:t>, the Commission staff is keeping track of Section 1501 violations, and the information is to be available for use in other cases involving PGW.</w:t>
      </w:r>
      <w:r w:rsidR="00885467" w:rsidRPr="00885467">
        <w:rPr>
          <w:rFonts w:eastAsia="Times New Roman"/>
          <w:sz w:val="20"/>
          <w:szCs w:val="20"/>
        </w:rPr>
        <w:t xml:space="preserve">  </w:t>
      </w:r>
    </w:p>
    <w:p w:rsidR="00885467" w:rsidRPr="00885467" w:rsidRDefault="00885467" w:rsidP="00885467">
      <w:pPr>
        <w:spacing w:before="100" w:beforeAutospacing="1" w:after="100" w:afterAutospacing="1" w:line="240" w:lineRule="auto"/>
        <w:contextualSpacing/>
        <w:jc w:val="left"/>
        <w:rPr>
          <w:rFonts w:eastAsia="Times New Roman"/>
          <w:sz w:val="20"/>
          <w:szCs w:val="20"/>
        </w:rPr>
      </w:pPr>
      <w:r>
        <w:rPr>
          <w:rFonts w:eastAsia="Times New Roman"/>
        </w:rPr>
        <w:tab/>
      </w:r>
      <w:r w:rsidRPr="00885467">
        <w:rPr>
          <w:rFonts w:eastAsia="Times New Roman"/>
          <w:sz w:val="20"/>
          <w:szCs w:val="20"/>
        </w:rPr>
        <w:t>Whether the regulated entity cooperated with the Commission’s investigation</w:t>
      </w:r>
      <w:r>
        <w:rPr>
          <w:rFonts w:eastAsia="Times New Roman"/>
          <w:sz w:val="20"/>
          <w:szCs w:val="20"/>
        </w:rPr>
        <w:t xml:space="preserve"> weighs against the utility here</w:t>
      </w:r>
      <w:r w:rsidRPr="00885467">
        <w:rPr>
          <w:rFonts w:eastAsia="Times New Roman"/>
          <w:sz w:val="20"/>
          <w:szCs w:val="20"/>
        </w:rPr>
        <w:t>. PGW assured me at the hearing that it would get a more detailed explanation that would support the billing, and then it failed to do so.  This gives the appearance of bad faith and weighs in favor of a higher penalty.</w:t>
      </w:r>
    </w:p>
    <w:p w:rsidR="00885467" w:rsidRPr="00885467" w:rsidRDefault="00885467" w:rsidP="00885467">
      <w:pPr>
        <w:spacing w:before="100" w:beforeAutospacing="1" w:after="100" w:afterAutospacing="1" w:line="240" w:lineRule="auto"/>
        <w:contextualSpacing/>
        <w:jc w:val="left"/>
        <w:rPr>
          <w:rFonts w:eastAsia="Times New Roman"/>
          <w:sz w:val="20"/>
          <w:szCs w:val="20"/>
        </w:rPr>
      </w:pPr>
      <w:r w:rsidRPr="00885467">
        <w:rPr>
          <w:rFonts w:eastAsia="Times New Roman"/>
          <w:sz w:val="20"/>
          <w:szCs w:val="20"/>
        </w:rPr>
        <w:tab/>
        <w:t xml:space="preserve">The amount of the civil penalty or fine necessary to deter future violations. The usual amount for a single violation is $1,000.00, which is what </w:t>
      </w:r>
      <w:r>
        <w:rPr>
          <w:rFonts w:eastAsia="Times New Roman"/>
          <w:sz w:val="20"/>
          <w:szCs w:val="20"/>
        </w:rPr>
        <w:t>would be</w:t>
      </w:r>
      <w:r w:rsidRPr="00885467">
        <w:rPr>
          <w:rFonts w:eastAsia="Times New Roman"/>
          <w:sz w:val="20"/>
          <w:szCs w:val="20"/>
        </w:rPr>
        <w:t xml:space="preserve"> assessed here to send a message to the utility that this behavior is unacceptable</w:t>
      </w:r>
      <w:r w:rsidR="00493611">
        <w:rPr>
          <w:rFonts w:eastAsia="Times New Roman"/>
          <w:sz w:val="20"/>
          <w:szCs w:val="20"/>
        </w:rPr>
        <w:t xml:space="preserve"> if civil penalties were assessed against PGW</w:t>
      </w:r>
      <w:r w:rsidRPr="00885467">
        <w:rPr>
          <w:rFonts w:eastAsia="Times New Roman"/>
          <w:sz w:val="20"/>
          <w:szCs w:val="20"/>
        </w:rPr>
        <w:t>.</w:t>
      </w:r>
    </w:p>
    <w:p w:rsidR="00885467" w:rsidRPr="00885467" w:rsidRDefault="00885467" w:rsidP="00885467">
      <w:pPr>
        <w:spacing w:before="100" w:beforeAutospacing="1" w:after="100" w:afterAutospacing="1" w:line="240" w:lineRule="auto"/>
        <w:contextualSpacing/>
        <w:jc w:val="left"/>
        <w:rPr>
          <w:rFonts w:eastAsia="Times New Roman"/>
          <w:sz w:val="20"/>
          <w:szCs w:val="20"/>
        </w:rPr>
      </w:pPr>
    </w:p>
    <w:p w:rsidR="00E51C75" w:rsidRPr="00885467" w:rsidRDefault="00E51C75" w:rsidP="00885467">
      <w:pPr>
        <w:pStyle w:val="FootnoteText"/>
        <w:jc w:val="lef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E68AC"/>
    <w:multiLevelType w:val="hybridMultilevel"/>
    <w:tmpl w:val="524C7EDE"/>
    <w:lvl w:ilvl="0" w:tplc="559CD6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65663E42"/>
    <w:multiLevelType w:val="hybridMultilevel"/>
    <w:tmpl w:val="524C7EDE"/>
    <w:lvl w:ilvl="0" w:tplc="559CD61A">
      <w:start w:val="1"/>
      <w:numFmt w:val="decimal"/>
      <w:lvlText w:val="(%1)"/>
      <w:lvlJc w:val="left"/>
      <w:pPr>
        <w:ind w:left="657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B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191E"/>
    <w:rsid w:val="000322E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57EFB"/>
    <w:rsid w:val="000605B6"/>
    <w:rsid w:val="00061278"/>
    <w:rsid w:val="000634EB"/>
    <w:rsid w:val="00063801"/>
    <w:rsid w:val="00066E77"/>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3256"/>
    <w:rsid w:val="000A4551"/>
    <w:rsid w:val="000A4E7A"/>
    <w:rsid w:val="000A5DEA"/>
    <w:rsid w:val="000A603B"/>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5EE"/>
    <w:rsid w:val="00120D02"/>
    <w:rsid w:val="00120DE8"/>
    <w:rsid w:val="00121291"/>
    <w:rsid w:val="001219A5"/>
    <w:rsid w:val="0012343C"/>
    <w:rsid w:val="00124101"/>
    <w:rsid w:val="00124D49"/>
    <w:rsid w:val="00126739"/>
    <w:rsid w:val="0012770C"/>
    <w:rsid w:val="0013068D"/>
    <w:rsid w:val="00130A2C"/>
    <w:rsid w:val="00131B49"/>
    <w:rsid w:val="00135526"/>
    <w:rsid w:val="00140273"/>
    <w:rsid w:val="00140DC2"/>
    <w:rsid w:val="0014105E"/>
    <w:rsid w:val="00143142"/>
    <w:rsid w:val="00143C25"/>
    <w:rsid w:val="00144D2D"/>
    <w:rsid w:val="00145327"/>
    <w:rsid w:val="00150084"/>
    <w:rsid w:val="00150BAA"/>
    <w:rsid w:val="00152794"/>
    <w:rsid w:val="00152938"/>
    <w:rsid w:val="00152FD8"/>
    <w:rsid w:val="001537E3"/>
    <w:rsid w:val="00153C39"/>
    <w:rsid w:val="00154F0C"/>
    <w:rsid w:val="0015569F"/>
    <w:rsid w:val="00155E87"/>
    <w:rsid w:val="0015737B"/>
    <w:rsid w:val="00157490"/>
    <w:rsid w:val="00157E46"/>
    <w:rsid w:val="00160488"/>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01B"/>
    <w:rsid w:val="0018547E"/>
    <w:rsid w:val="001857EA"/>
    <w:rsid w:val="00186328"/>
    <w:rsid w:val="001868F5"/>
    <w:rsid w:val="00190B2C"/>
    <w:rsid w:val="00191522"/>
    <w:rsid w:val="00192EB5"/>
    <w:rsid w:val="00193426"/>
    <w:rsid w:val="00195C2B"/>
    <w:rsid w:val="001966CB"/>
    <w:rsid w:val="001969A7"/>
    <w:rsid w:val="00196C5A"/>
    <w:rsid w:val="0019791B"/>
    <w:rsid w:val="00197E5D"/>
    <w:rsid w:val="001A0F84"/>
    <w:rsid w:val="001A103D"/>
    <w:rsid w:val="001A1644"/>
    <w:rsid w:val="001A216A"/>
    <w:rsid w:val="001A33F5"/>
    <w:rsid w:val="001A3A31"/>
    <w:rsid w:val="001A3D48"/>
    <w:rsid w:val="001A4376"/>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3A7A"/>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3CDA"/>
    <w:rsid w:val="00234DEB"/>
    <w:rsid w:val="0023584A"/>
    <w:rsid w:val="00236C44"/>
    <w:rsid w:val="00240343"/>
    <w:rsid w:val="002403E6"/>
    <w:rsid w:val="002422D0"/>
    <w:rsid w:val="00245181"/>
    <w:rsid w:val="002451F7"/>
    <w:rsid w:val="002455CC"/>
    <w:rsid w:val="0024584A"/>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882"/>
    <w:rsid w:val="002B3E20"/>
    <w:rsid w:val="002B541A"/>
    <w:rsid w:val="002B754D"/>
    <w:rsid w:val="002C0694"/>
    <w:rsid w:val="002C1023"/>
    <w:rsid w:val="002C4F02"/>
    <w:rsid w:val="002C5F41"/>
    <w:rsid w:val="002C69AD"/>
    <w:rsid w:val="002C69BE"/>
    <w:rsid w:val="002D0E4D"/>
    <w:rsid w:val="002D11F2"/>
    <w:rsid w:val="002D1E71"/>
    <w:rsid w:val="002D29B0"/>
    <w:rsid w:val="002D6B36"/>
    <w:rsid w:val="002D7136"/>
    <w:rsid w:val="002D7978"/>
    <w:rsid w:val="002E0A25"/>
    <w:rsid w:val="002E0EA6"/>
    <w:rsid w:val="002E2283"/>
    <w:rsid w:val="002E2CAD"/>
    <w:rsid w:val="002E32C2"/>
    <w:rsid w:val="002E5790"/>
    <w:rsid w:val="002E6CB4"/>
    <w:rsid w:val="002E7DDB"/>
    <w:rsid w:val="002F21B6"/>
    <w:rsid w:val="002F222D"/>
    <w:rsid w:val="002F2A4A"/>
    <w:rsid w:val="002F42FC"/>
    <w:rsid w:val="002F5C03"/>
    <w:rsid w:val="002F6F4F"/>
    <w:rsid w:val="002F75DA"/>
    <w:rsid w:val="003005A4"/>
    <w:rsid w:val="00302D67"/>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2AE5"/>
    <w:rsid w:val="00326C43"/>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0C1D"/>
    <w:rsid w:val="0035100D"/>
    <w:rsid w:val="00353412"/>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38E8"/>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2529"/>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E6B"/>
    <w:rsid w:val="00434FD6"/>
    <w:rsid w:val="00435737"/>
    <w:rsid w:val="00437100"/>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3F9"/>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0017"/>
    <w:rsid w:val="00481269"/>
    <w:rsid w:val="004839FC"/>
    <w:rsid w:val="00483C70"/>
    <w:rsid w:val="0048407C"/>
    <w:rsid w:val="00484589"/>
    <w:rsid w:val="00484BCE"/>
    <w:rsid w:val="00487E8F"/>
    <w:rsid w:val="00491F39"/>
    <w:rsid w:val="00493611"/>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133"/>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3F3"/>
    <w:rsid w:val="004D5646"/>
    <w:rsid w:val="004D6D13"/>
    <w:rsid w:val="004D6DCE"/>
    <w:rsid w:val="004E1A87"/>
    <w:rsid w:val="004E1B61"/>
    <w:rsid w:val="004E1FD5"/>
    <w:rsid w:val="004E23ED"/>
    <w:rsid w:val="004E429F"/>
    <w:rsid w:val="004E60E4"/>
    <w:rsid w:val="004F160A"/>
    <w:rsid w:val="004F2F62"/>
    <w:rsid w:val="004F37CB"/>
    <w:rsid w:val="004F45CA"/>
    <w:rsid w:val="004F5216"/>
    <w:rsid w:val="004F5A4E"/>
    <w:rsid w:val="004F616B"/>
    <w:rsid w:val="004F64E4"/>
    <w:rsid w:val="005002A9"/>
    <w:rsid w:val="00500426"/>
    <w:rsid w:val="00500A53"/>
    <w:rsid w:val="00503634"/>
    <w:rsid w:val="00504F92"/>
    <w:rsid w:val="00505551"/>
    <w:rsid w:val="005078B3"/>
    <w:rsid w:val="00510A28"/>
    <w:rsid w:val="00511C54"/>
    <w:rsid w:val="0051292E"/>
    <w:rsid w:val="00516207"/>
    <w:rsid w:val="00517478"/>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6FE7"/>
    <w:rsid w:val="005623DE"/>
    <w:rsid w:val="00562A9A"/>
    <w:rsid w:val="00564A3A"/>
    <w:rsid w:val="005650FF"/>
    <w:rsid w:val="00566DDB"/>
    <w:rsid w:val="005674EF"/>
    <w:rsid w:val="00570742"/>
    <w:rsid w:val="00570C2E"/>
    <w:rsid w:val="00571577"/>
    <w:rsid w:val="00571C60"/>
    <w:rsid w:val="0057213D"/>
    <w:rsid w:val="005729E9"/>
    <w:rsid w:val="005732E9"/>
    <w:rsid w:val="0057398A"/>
    <w:rsid w:val="0057454E"/>
    <w:rsid w:val="00575D4F"/>
    <w:rsid w:val="00575F27"/>
    <w:rsid w:val="0058036C"/>
    <w:rsid w:val="0058073B"/>
    <w:rsid w:val="00580815"/>
    <w:rsid w:val="00582289"/>
    <w:rsid w:val="0058363F"/>
    <w:rsid w:val="00584CB9"/>
    <w:rsid w:val="00585BD9"/>
    <w:rsid w:val="005863ED"/>
    <w:rsid w:val="00587B74"/>
    <w:rsid w:val="00591696"/>
    <w:rsid w:val="00593FF1"/>
    <w:rsid w:val="00594648"/>
    <w:rsid w:val="00594E77"/>
    <w:rsid w:val="0059623B"/>
    <w:rsid w:val="00596D1D"/>
    <w:rsid w:val="005A1839"/>
    <w:rsid w:val="005A1A76"/>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0FE"/>
    <w:rsid w:val="005E33B1"/>
    <w:rsid w:val="005E3768"/>
    <w:rsid w:val="005E448D"/>
    <w:rsid w:val="005F064D"/>
    <w:rsid w:val="005F201E"/>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18D5"/>
    <w:rsid w:val="0064349A"/>
    <w:rsid w:val="00643E46"/>
    <w:rsid w:val="006466B3"/>
    <w:rsid w:val="0064692D"/>
    <w:rsid w:val="00646FCC"/>
    <w:rsid w:val="0064750C"/>
    <w:rsid w:val="00650C1B"/>
    <w:rsid w:val="00651F0A"/>
    <w:rsid w:val="006540C5"/>
    <w:rsid w:val="006543FB"/>
    <w:rsid w:val="006549F5"/>
    <w:rsid w:val="00655505"/>
    <w:rsid w:val="00655AA7"/>
    <w:rsid w:val="00655F80"/>
    <w:rsid w:val="00656541"/>
    <w:rsid w:val="00660216"/>
    <w:rsid w:val="006621E9"/>
    <w:rsid w:val="00662383"/>
    <w:rsid w:val="00662904"/>
    <w:rsid w:val="00664A57"/>
    <w:rsid w:val="00664C73"/>
    <w:rsid w:val="00671999"/>
    <w:rsid w:val="006756CF"/>
    <w:rsid w:val="006764EA"/>
    <w:rsid w:val="00677DDE"/>
    <w:rsid w:val="00680B65"/>
    <w:rsid w:val="00681287"/>
    <w:rsid w:val="006815A6"/>
    <w:rsid w:val="00681FD9"/>
    <w:rsid w:val="0068285E"/>
    <w:rsid w:val="00684EF6"/>
    <w:rsid w:val="006856E2"/>
    <w:rsid w:val="00687A18"/>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7BB"/>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427"/>
    <w:rsid w:val="006E1753"/>
    <w:rsid w:val="006E3BF0"/>
    <w:rsid w:val="006E4E29"/>
    <w:rsid w:val="006E5D2E"/>
    <w:rsid w:val="006E5F9C"/>
    <w:rsid w:val="006E670A"/>
    <w:rsid w:val="006E7C63"/>
    <w:rsid w:val="006F15E9"/>
    <w:rsid w:val="006F252A"/>
    <w:rsid w:val="006F27FC"/>
    <w:rsid w:val="006F3153"/>
    <w:rsid w:val="006F4B6F"/>
    <w:rsid w:val="006F4F6D"/>
    <w:rsid w:val="006F57FB"/>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48B"/>
    <w:rsid w:val="00714B6A"/>
    <w:rsid w:val="00716877"/>
    <w:rsid w:val="00716B7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284E"/>
    <w:rsid w:val="0079360E"/>
    <w:rsid w:val="00795245"/>
    <w:rsid w:val="007969E6"/>
    <w:rsid w:val="00796A5E"/>
    <w:rsid w:val="00796DA1"/>
    <w:rsid w:val="00797EB8"/>
    <w:rsid w:val="007A2C57"/>
    <w:rsid w:val="007A3440"/>
    <w:rsid w:val="007A34B3"/>
    <w:rsid w:val="007A3A13"/>
    <w:rsid w:val="007B0A6C"/>
    <w:rsid w:val="007B1039"/>
    <w:rsid w:val="007B1644"/>
    <w:rsid w:val="007B33F8"/>
    <w:rsid w:val="007B3B6F"/>
    <w:rsid w:val="007B3F3D"/>
    <w:rsid w:val="007B413B"/>
    <w:rsid w:val="007B4FD7"/>
    <w:rsid w:val="007B5461"/>
    <w:rsid w:val="007B6474"/>
    <w:rsid w:val="007B77AD"/>
    <w:rsid w:val="007B7F0F"/>
    <w:rsid w:val="007C19EC"/>
    <w:rsid w:val="007C342D"/>
    <w:rsid w:val="007C3C7F"/>
    <w:rsid w:val="007C51EB"/>
    <w:rsid w:val="007C60E2"/>
    <w:rsid w:val="007C7435"/>
    <w:rsid w:val="007D158A"/>
    <w:rsid w:val="007D5B1C"/>
    <w:rsid w:val="007D6794"/>
    <w:rsid w:val="007D6D87"/>
    <w:rsid w:val="007D6FD6"/>
    <w:rsid w:val="007E0ADA"/>
    <w:rsid w:val="007E15CF"/>
    <w:rsid w:val="007E1DB4"/>
    <w:rsid w:val="007E5866"/>
    <w:rsid w:val="007F07AF"/>
    <w:rsid w:val="007F2A44"/>
    <w:rsid w:val="007F6E2B"/>
    <w:rsid w:val="007F7699"/>
    <w:rsid w:val="007F773D"/>
    <w:rsid w:val="008003C8"/>
    <w:rsid w:val="00800910"/>
    <w:rsid w:val="00802118"/>
    <w:rsid w:val="00804065"/>
    <w:rsid w:val="008047DD"/>
    <w:rsid w:val="0080611B"/>
    <w:rsid w:val="00806213"/>
    <w:rsid w:val="00810169"/>
    <w:rsid w:val="008121D7"/>
    <w:rsid w:val="00812B80"/>
    <w:rsid w:val="00815BE1"/>
    <w:rsid w:val="008168A2"/>
    <w:rsid w:val="0081733A"/>
    <w:rsid w:val="00820421"/>
    <w:rsid w:val="008213E7"/>
    <w:rsid w:val="00821687"/>
    <w:rsid w:val="0082217D"/>
    <w:rsid w:val="00822A40"/>
    <w:rsid w:val="00822F87"/>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117E"/>
    <w:rsid w:val="0086268A"/>
    <w:rsid w:val="008644EC"/>
    <w:rsid w:val="00864B15"/>
    <w:rsid w:val="00864D3B"/>
    <w:rsid w:val="00865C18"/>
    <w:rsid w:val="0086621E"/>
    <w:rsid w:val="0086717D"/>
    <w:rsid w:val="0087121E"/>
    <w:rsid w:val="00876B32"/>
    <w:rsid w:val="008811DC"/>
    <w:rsid w:val="00882CB8"/>
    <w:rsid w:val="00884366"/>
    <w:rsid w:val="00884650"/>
    <w:rsid w:val="00884F78"/>
    <w:rsid w:val="008851B9"/>
    <w:rsid w:val="00885467"/>
    <w:rsid w:val="00885AD6"/>
    <w:rsid w:val="00885F50"/>
    <w:rsid w:val="00887314"/>
    <w:rsid w:val="00890EB4"/>
    <w:rsid w:val="00891D35"/>
    <w:rsid w:val="00893901"/>
    <w:rsid w:val="0089667B"/>
    <w:rsid w:val="0089728F"/>
    <w:rsid w:val="008A0874"/>
    <w:rsid w:val="008A0FF6"/>
    <w:rsid w:val="008A28F5"/>
    <w:rsid w:val="008A51AD"/>
    <w:rsid w:val="008B004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571E"/>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4C1"/>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392"/>
    <w:rsid w:val="00951A6C"/>
    <w:rsid w:val="00952928"/>
    <w:rsid w:val="009531DA"/>
    <w:rsid w:val="00953CFD"/>
    <w:rsid w:val="009540FD"/>
    <w:rsid w:val="0095579C"/>
    <w:rsid w:val="00956E7E"/>
    <w:rsid w:val="0096539B"/>
    <w:rsid w:val="00966487"/>
    <w:rsid w:val="009669E3"/>
    <w:rsid w:val="00966EC2"/>
    <w:rsid w:val="009671DB"/>
    <w:rsid w:val="0096755D"/>
    <w:rsid w:val="009708C7"/>
    <w:rsid w:val="00972738"/>
    <w:rsid w:val="009727FE"/>
    <w:rsid w:val="00974C35"/>
    <w:rsid w:val="00976E81"/>
    <w:rsid w:val="009808B0"/>
    <w:rsid w:val="00980958"/>
    <w:rsid w:val="00980D56"/>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066D"/>
    <w:rsid w:val="009B1CEB"/>
    <w:rsid w:val="009B2B90"/>
    <w:rsid w:val="009B4A92"/>
    <w:rsid w:val="009B4B7B"/>
    <w:rsid w:val="009B4CB6"/>
    <w:rsid w:val="009B66C0"/>
    <w:rsid w:val="009B72A1"/>
    <w:rsid w:val="009B74A5"/>
    <w:rsid w:val="009C0E90"/>
    <w:rsid w:val="009C24F9"/>
    <w:rsid w:val="009C638A"/>
    <w:rsid w:val="009D0CC1"/>
    <w:rsid w:val="009D3AAC"/>
    <w:rsid w:val="009D5B63"/>
    <w:rsid w:val="009D6C48"/>
    <w:rsid w:val="009E1679"/>
    <w:rsid w:val="009E1BE9"/>
    <w:rsid w:val="009E2348"/>
    <w:rsid w:val="009E239E"/>
    <w:rsid w:val="009E271D"/>
    <w:rsid w:val="009E2989"/>
    <w:rsid w:val="009E362F"/>
    <w:rsid w:val="009E40DF"/>
    <w:rsid w:val="009E5335"/>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0323"/>
    <w:rsid w:val="00A12531"/>
    <w:rsid w:val="00A13C95"/>
    <w:rsid w:val="00A15615"/>
    <w:rsid w:val="00A1707A"/>
    <w:rsid w:val="00A215E2"/>
    <w:rsid w:val="00A2164F"/>
    <w:rsid w:val="00A23803"/>
    <w:rsid w:val="00A23B85"/>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4737"/>
    <w:rsid w:val="00A55081"/>
    <w:rsid w:val="00A5538B"/>
    <w:rsid w:val="00A57796"/>
    <w:rsid w:val="00A57AB1"/>
    <w:rsid w:val="00A635D9"/>
    <w:rsid w:val="00A64C8D"/>
    <w:rsid w:val="00A655F0"/>
    <w:rsid w:val="00A66F33"/>
    <w:rsid w:val="00A6721B"/>
    <w:rsid w:val="00A70355"/>
    <w:rsid w:val="00A7046F"/>
    <w:rsid w:val="00A71E4D"/>
    <w:rsid w:val="00A73547"/>
    <w:rsid w:val="00A73D17"/>
    <w:rsid w:val="00A73D4F"/>
    <w:rsid w:val="00A74128"/>
    <w:rsid w:val="00A74EB4"/>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456F"/>
    <w:rsid w:val="00AB65C7"/>
    <w:rsid w:val="00AB671D"/>
    <w:rsid w:val="00AB6BFE"/>
    <w:rsid w:val="00AB7130"/>
    <w:rsid w:val="00AB7311"/>
    <w:rsid w:val="00AC0D42"/>
    <w:rsid w:val="00AC15A4"/>
    <w:rsid w:val="00AC18CC"/>
    <w:rsid w:val="00AC2C30"/>
    <w:rsid w:val="00AC350C"/>
    <w:rsid w:val="00AC3558"/>
    <w:rsid w:val="00AC3A1B"/>
    <w:rsid w:val="00AC43B4"/>
    <w:rsid w:val="00AC46EE"/>
    <w:rsid w:val="00AC523A"/>
    <w:rsid w:val="00AC5254"/>
    <w:rsid w:val="00AC701A"/>
    <w:rsid w:val="00AC74A3"/>
    <w:rsid w:val="00AC7DAD"/>
    <w:rsid w:val="00AD02BB"/>
    <w:rsid w:val="00AD0393"/>
    <w:rsid w:val="00AD11DB"/>
    <w:rsid w:val="00AD2FFC"/>
    <w:rsid w:val="00AD344D"/>
    <w:rsid w:val="00AD3F55"/>
    <w:rsid w:val="00AD49BE"/>
    <w:rsid w:val="00AD4CFD"/>
    <w:rsid w:val="00AD53F5"/>
    <w:rsid w:val="00AD5E7B"/>
    <w:rsid w:val="00AD7146"/>
    <w:rsid w:val="00AD7989"/>
    <w:rsid w:val="00AE0BFC"/>
    <w:rsid w:val="00AE1A08"/>
    <w:rsid w:val="00AE1BBA"/>
    <w:rsid w:val="00AE4BA3"/>
    <w:rsid w:val="00AE7E8A"/>
    <w:rsid w:val="00AF32D8"/>
    <w:rsid w:val="00AF3F64"/>
    <w:rsid w:val="00AF40CA"/>
    <w:rsid w:val="00AF4C64"/>
    <w:rsid w:val="00AF5C51"/>
    <w:rsid w:val="00AF70FF"/>
    <w:rsid w:val="00B016AC"/>
    <w:rsid w:val="00B01BE5"/>
    <w:rsid w:val="00B02385"/>
    <w:rsid w:val="00B03878"/>
    <w:rsid w:val="00B06DDF"/>
    <w:rsid w:val="00B07809"/>
    <w:rsid w:val="00B079A5"/>
    <w:rsid w:val="00B11C89"/>
    <w:rsid w:val="00B134C7"/>
    <w:rsid w:val="00B136CC"/>
    <w:rsid w:val="00B143BA"/>
    <w:rsid w:val="00B14C60"/>
    <w:rsid w:val="00B17521"/>
    <w:rsid w:val="00B17683"/>
    <w:rsid w:val="00B20FAA"/>
    <w:rsid w:val="00B21806"/>
    <w:rsid w:val="00B21CD8"/>
    <w:rsid w:val="00B21FBA"/>
    <w:rsid w:val="00B22F59"/>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1F3C"/>
    <w:rsid w:val="00B55869"/>
    <w:rsid w:val="00B567F1"/>
    <w:rsid w:val="00B569FA"/>
    <w:rsid w:val="00B571D3"/>
    <w:rsid w:val="00B6010B"/>
    <w:rsid w:val="00B60E2D"/>
    <w:rsid w:val="00B62E04"/>
    <w:rsid w:val="00B635A5"/>
    <w:rsid w:val="00B63BE5"/>
    <w:rsid w:val="00B64CAA"/>
    <w:rsid w:val="00B66D36"/>
    <w:rsid w:val="00B7272B"/>
    <w:rsid w:val="00B732FB"/>
    <w:rsid w:val="00B7342D"/>
    <w:rsid w:val="00B73BCE"/>
    <w:rsid w:val="00B7490A"/>
    <w:rsid w:val="00B759EC"/>
    <w:rsid w:val="00B75F96"/>
    <w:rsid w:val="00B76947"/>
    <w:rsid w:val="00B773AD"/>
    <w:rsid w:val="00B774F6"/>
    <w:rsid w:val="00B778CB"/>
    <w:rsid w:val="00B809D9"/>
    <w:rsid w:val="00B8168B"/>
    <w:rsid w:val="00B8222F"/>
    <w:rsid w:val="00B824F8"/>
    <w:rsid w:val="00B830A9"/>
    <w:rsid w:val="00B8362D"/>
    <w:rsid w:val="00B8368B"/>
    <w:rsid w:val="00B83A9E"/>
    <w:rsid w:val="00B86F52"/>
    <w:rsid w:val="00B878F5"/>
    <w:rsid w:val="00B9061F"/>
    <w:rsid w:val="00B91893"/>
    <w:rsid w:val="00B926BD"/>
    <w:rsid w:val="00B92DE8"/>
    <w:rsid w:val="00B93D8F"/>
    <w:rsid w:val="00B96A32"/>
    <w:rsid w:val="00B9799D"/>
    <w:rsid w:val="00BA1322"/>
    <w:rsid w:val="00BA1F5D"/>
    <w:rsid w:val="00BA25FD"/>
    <w:rsid w:val="00BA2D85"/>
    <w:rsid w:val="00BA3AA7"/>
    <w:rsid w:val="00BA3C3F"/>
    <w:rsid w:val="00BA5CEA"/>
    <w:rsid w:val="00BA690D"/>
    <w:rsid w:val="00BA7612"/>
    <w:rsid w:val="00BB1D36"/>
    <w:rsid w:val="00BB3631"/>
    <w:rsid w:val="00BB3FF6"/>
    <w:rsid w:val="00BB5630"/>
    <w:rsid w:val="00BB69A5"/>
    <w:rsid w:val="00BB6BE1"/>
    <w:rsid w:val="00BC392E"/>
    <w:rsid w:val="00BC4346"/>
    <w:rsid w:val="00BC60A6"/>
    <w:rsid w:val="00BC62E0"/>
    <w:rsid w:val="00BC6FBF"/>
    <w:rsid w:val="00BD00D9"/>
    <w:rsid w:val="00BD1886"/>
    <w:rsid w:val="00BD23E3"/>
    <w:rsid w:val="00BD3B91"/>
    <w:rsid w:val="00BD3D10"/>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4476"/>
    <w:rsid w:val="00BF635B"/>
    <w:rsid w:val="00BF7D51"/>
    <w:rsid w:val="00C00699"/>
    <w:rsid w:val="00C017B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6575"/>
    <w:rsid w:val="00C211F9"/>
    <w:rsid w:val="00C21221"/>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0DFD"/>
    <w:rsid w:val="00C613E2"/>
    <w:rsid w:val="00C621E3"/>
    <w:rsid w:val="00C6430C"/>
    <w:rsid w:val="00C64E24"/>
    <w:rsid w:val="00C65047"/>
    <w:rsid w:val="00C653CC"/>
    <w:rsid w:val="00C665D4"/>
    <w:rsid w:val="00C67E56"/>
    <w:rsid w:val="00C72E28"/>
    <w:rsid w:val="00C73CE1"/>
    <w:rsid w:val="00C74775"/>
    <w:rsid w:val="00C76F9B"/>
    <w:rsid w:val="00C77064"/>
    <w:rsid w:val="00C80AB6"/>
    <w:rsid w:val="00C824FE"/>
    <w:rsid w:val="00C833D6"/>
    <w:rsid w:val="00C847CE"/>
    <w:rsid w:val="00C84CDE"/>
    <w:rsid w:val="00C8762A"/>
    <w:rsid w:val="00C9050E"/>
    <w:rsid w:val="00C9216F"/>
    <w:rsid w:val="00C9306D"/>
    <w:rsid w:val="00C93320"/>
    <w:rsid w:val="00C95318"/>
    <w:rsid w:val="00C95A99"/>
    <w:rsid w:val="00C96B98"/>
    <w:rsid w:val="00C96F6B"/>
    <w:rsid w:val="00C97ED3"/>
    <w:rsid w:val="00CA043D"/>
    <w:rsid w:val="00CA052A"/>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4EEF"/>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28B8"/>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0320"/>
    <w:rsid w:val="00DE1CCF"/>
    <w:rsid w:val="00DE262A"/>
    <w:rsid w:val="00DE2759"/>
    <w:rsid w:val="00DE2977"/>
    <w:rsid w:val="00DE4037"/>
    <w:rsid w:val="00DE43F4"/>
    <w:rsid w:val="00DE466B"/>
    <w:rsid w:val="00DE4A72"/>
    <w:rsid w:val="00DE5D8B"/>
    <w:rsid w:val="00DE6F4C"/>
    <w:rsid w:val="00DE7607"/>
    <w:rsid w:val="00DE761A"/>
    <w:rsid w:val="00DF2338"/>
    <w:rsid w:val="00DF37CE"/>
    <w:rsid w:val="00DF4C70"/>
    <w:rsid w:val="00DF4D56"/>
    <w:rsid w:val="00DF5532"/>
    <w:rsid w:val="00DF63EB"/>
    <w:rsid w:val="00DF78BC"/>
    <w:rsid w:val="00E0212C"/>
    <w:rsid w:val="00E02A20"/>
    <w:rsid w:val="00E030AE"/>
    <w:rsid w:val="00E04587"/>
    <w:rsid w:val="00E04EFF"/>
    <w:rsid w:val="00E05212"/>
    <w:rsid w:val="00E05D02"/>
    <w:rsid w:val="00E06512"/>
    <w:rsid w:val="00E0690D"/>
    <w:rsid w:val="00E101A9"/>
    <w:rsid w:val="00E11279"/>
    <w:rsid w:val="00E12954"/>
    <w:rsid w:val="00E12A2F"/>
    <w:rsid w:val="00E12D9F"/>
    <w:rsid w:val="00E12FAE"/>
    <w:rsid w:val="00E13468"/>
    <w:rsid w:val="00E1638A"/>
    <w:rsid w:val="00E24543"/>
    <w:rsid w:val="00E2457B"/>
    <w:rsid w:val="00E247DE"/>
    <w:rsid w:val="00E257AB"/>
    <w:rsid w:val="00E26B54"/>
    <w:rsid w:val="00E3212A"/>
    <w:rsid w:val="00E32221"/>
    <w:rsid w:val="00E32512"/>
    <w:rsid w:val="00E333C7"/>
    <w:rsid w:val="00E3374E"/>
    <w:rsid w:val="00E33A7F"/>
    <w:rsid w:val="00E34A79"/>
    <w:rsid w:val="00E376F7"/>
    <w:rsid w:val="00E4104D"/>
    <w:rsid w:val="00E41293"/>
    <w:rsid w:val="00E41C3F"/>
    <w:rsid w:val="00E41CE3"/>
    <w:rsid w:val="00E42F30"/>
    <w:rsid w:val="00E44479"/>
    <w:rsid w:val="00E45108"/>
    <w:rsid w:val="00E4622A"/>
    <w:rsid w:val="00E475F0"/>
    <w:rsid w:val="00E5099A"/>
    <w:rsid w:val="00E50CA8"/>
    <w:rsid w:val="00E519D9"/>
    <w:rsid w:val="00E51C75"/>
    <w:rsid w:val="00E536DE"/>
    <w:rsid w:val="00E538E6"/>
    <w:rsid w:val="00E5535A"/>
    <w:rsid w:val="00E553E9"/>
    <w:rsid w:val="00E563DF"/>
    <w:rsid w:val="00E569B2"/>
    <w:rsid w:val="00E577FD"/>
    <w:rsid w:val="00E61098"/>
    <w:rsid w:val="00E619A4"/>
    <w:rsid w:val="00E62177"/>
    <w:rsid w:val="00E622AF"/>
    <w:rsid w:val="00E62A45"/>
    <w:rsid w:val="00E62D00"/>
    <w:rsid w:val="00E638EF"/>
    <w:rsid w:val="00E645FC"/>
    <w:rsid w:val="00E6494D"/>
    <w:rsid w:val="00E6634F"/>
    <w:rsid w:val="00E6716A"/>
    <w:rsid w:val="00E67F40"/>
    <w:rsid w:val="00E67FB9"/>
    <w:rsid w:val="00E70167"/>
    <w:rsid w:val="00E703C3"/>
    <w:rsid w:val="00E73F29"/>
    <w:rsid w:val="00E74899"/>
    <w:rsid w:val="00E759B1"/>
    <w:rsid w:val="00E779AA"/>
    <w:rsid w:val="00E80333"/>
    <w:rsid w:val="00E80822"/>
    <w:rsid w:val="00E80EFC"/>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4956"/>
    <w:rsid w:val="00ED58AF"/>
    <w:rsid w:val="00ED7658"/>
    <w:rsid w:val="00EE083E"/>
    <w:rsid w:val="00EE13F4"/>
    <w:rsid w:val="00EE171F"/>
    <w:rsid w:val="00EE1EE5"/>
    <w:rsid w:val="00EE2928"/>
    <w:rsid w:val="00EE2E23"/>
    <w:rsid w:val="00EE359A"/>
    <w:rsid w:val="00EE4BD0"/>
    <w:rsid w:val="00EE5BA1"/>
    <w:rsid w:val="00EF277B"/>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823"/>
    <w:rsid w:val="00F26ED7"/>
    <w:rsid w:val="00F31625"/>
    <w:rsid w:val="00F31BDC"/>
    <w:rsid w:val="00F32232"/>
    <w:rsid w:val="00F32242"/>
    <w:rsid w:val="00F355B7"/>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32B"/>
    <w:rsid w:val="00F61E12"/>
    <w:rsid w:val="00F626E7"/>
    <w:rsid w:val="00F62D04"/>
    <w:rsid w:val="00F6434A"/>
    <w:rsid w:val="00F70887"/>
    <w:rsid w:val="00F70A7D"/>
    <w:rsid w:val="00F748DD"/>
    <w:rsid w:val="00F76633"/>
    <w:rsid w:val="00F77EEC"/>
    <w:rsid w:val="00F81710"/>
    <w:rsid w:val="00F81FF7"/>
    <w:rsid w:val="00F8263B"/>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5A"/>
    <w:rsid w:val="00FA2895"/>
    <w:rsid w:val="00FA29A4"/>
    <w:rsid w:val="00FA3DD7"/>
    <w:rsid w:val="00FA4D12"/>
    <w:rsid w:val="00FA5031"/>
    <w:rsid w:val="00FA56FF"/>
    <w:rsid w:val="00FB106B"/>
    <w:rsid w:val="00FB4326"/>
    <w:rsid w:val="00FB4C6F"/>
    <w:rsid w:val="00FB64A1"/>
    <w:rsid w:val="00FB6732"/>
    <w:rsid w:val="00FB7D16"/>
    <w:rsid w:val="00FC0655"/>
    <w:rsid w:val="00FC0858"/>
    <w:rsid w:val="00FC110D"/>
    <w:rsid w:val="00FC3800"/>
    <w:rsid w:val="00FC4527"/>
    <w:rsid w:val="00FC65BE"/>
    <w:rsid w:val="00FC70C0"/>
    <w:rsid w:val="00FC7307"/>
    <w:rsid w:val="00FC7982"/>
    <w:rsid w:val="00FD1EEA"/>
    <w:rsid w:val="00FD30C0"/>
    <w:rsid w:val="00FD33CF"/>
    <w:rsid w:val="00FD36CA"/>
    <w:rsid w:val="00FD3B41"/>
    <w:rsid w:val="00FD4E22"/>
    <w:rsid w:val="00FD6C73"/>
    <w:rsid w:val="00FE263F"/>
    <w:rsid w:val="00FE486C"/>
    <w:rsid w:val="00FE4BFD"/>
    <w:rsid w:val="00FE578A"/>
    <w:rsid w:val="00FE7C48"/>
    <w:rsid w:val="00FF08FE"/>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DFD"/>
    <w:pPr>
      <w:tabs>
        <w:tab w:val="center" w:pos="4680"/>
        <w:tab w:val="right" w:pos="9360"/>
      </w:tabs>
      <w:spacing w:line="240" w:lineRule="auto"/>
    </w:pPr>
  </w:style>
  <w:style w:type="character" w:customStyle="1" w:styleId="HeaderChar">
    <w:name w:val="Header Char"/>
    <w:basedOn w:val="DefaultParagraphFont"/>
    <w:link w:val="Header"/>
    <w:uiPriority w:val="99"/>
    <w:rsid w:val="00C50DFD"/>
  </w:style>
  <w:style w:type="paragraph" w:styleId="Footer">
    <w:name w:val="footer"/>
    <w:basedOn w:val="Normal"/>
    <w:link w:val="FooterChar"/>
    <w:uiPriority w:val="99"/>
    <w:unhideWhenUsed/>
    <w:rsid w:val="00C50DFD"/>
    <w:pPr>
      <w:tabs>
        <w:tab w:val="center" w:pos="4680"/>
        <w:tab w:val="right" w:pos="9360"/>
      </w:tabs>
      <w:spacing w:line="240" w:lineRule="auto"/>
    </w:pPr>
  </w:style>
  <w:style w:type="character" w:customStyle="1" w:styleId="FooterChar">
    <w:name w:val="Footer Char"/>
    <w:basedOn w:val="DefaultParagraphFont"/>
    <w:link w:val="Footer"/>
    <w:uiPriority w:val="99"/>
    <w:rsid w:val="00C50DFD"/>
  </w:style>
  <w:style w:type="paragraph" w:styleId="BalloonText">
    <w:name w:val="Balloon Text"/>
    <w:basedOn w:val="Normal"/>
    <w:link w:val="BalloonTextChar"/>
    <w:uiPriority w:val="99"/>
    <w:semiHidden/>
    <w:unhideWhenUsed/>
    <w:rsid w:val="00C50D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DFD"/>
    <w:rPr>
      <w:rFonts w:ascii="Tahoma" w:hAnsi="Tahoma" w:cs="Tahoma"/>
      <w:sz w:val="16"/>
      <w:szCs w:val="16"/>
    </w:rPr>
  </w:style>
  <w:style w:type="paragraph" w:styleId="FootnoteText">
    <w:name w:val="footnote text"/>
    <w:basedOn w:val="Normal"/>
    <w:link w:val="FootnoteTextChar"/>
    <w:uiPriority w:val="99"/>
    <w:semiHidden/>
    <w:unhideWhenUsed/>
    <w:rsid w:val="00E51C75"/>
    <w:pPr>
      <w:spacing w:line="240" w:lineRule="auto"/>
    </w:pPr>
    <w:rPr>
      <w:sz w:val="20"/>
      <w:szCs w:val="20"/>
    </w:rPr>
  </w:style>
  <w:style w:type="character" w:customStyle="1" w:styleId="FootnoteTextChar">
    <w:name w:val="Footnote Text Char"/>
    <w:basedOn w:val="DefaultParagraphFont"/>
    <w:link w:val="FootnoteText"/>
    <w:uiPriority w:val="99"/>
    <w:semiHidden/>
    <w:rsid w:val="00E51C75"/>
    <w:rPr>
      <w:sz w:val="20"/>
      <w:szCs w:val="20"/>
    </w:rPr>
  </w:style>
  <w:style w:type="character" w:styleId="FootnoteReference">
    <w:name w:val="footnote reference"/>
    <w:basedOn w:val="DefaultParagraphFont"/>
    <w:uiPriority w:val="99"/>
    <w:unhideWhenUsed/>
    <w:rsid w:val="00E51C75"/>
    <w:rPr>
      <w:vertAlign w:val="superscript"/>
    </w:rPr>
  </w:style>
  <w:style w:type="paragraph" w:styleId="ListParagraph">
    <w:name w:val="List Paragraph"/>
    <w:basedOn w:val="Normal"/>
    <w:uiPriority w:val="34"/>
    <w:qFormat/>
    <w:rsid w:val="008811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DFD"/>
    <w:pPr>
      <w:tabs>
        <w:tab w:val="center" w:pos="4680"/>
        <w:tab w:val="right" w:pos="9360"/>
      </w:tabs>
      <w:spacing w:line="240" w:lineRule="auto"/>
    </w:pPr>
  </w:style>
  <w:style w:type="character" w:customStyle="1" w:styleId="HeaderChar">
    <w:name w:val="Header Char"/>
    <w:basedOn w:val="DefaultParagraphFont"/>
    <w:link w:val="Header"/>
    <w:uiPriority w:val="99"/>
    <w:rsid w:val="00C50DFD"/>
  </w:style>
  <w:style w:type="paragraph" w:styleId="Footer">
    <w:name w:val="footer"/>
    <w:basedOn w:val="Normal"/>
    <w:link w:val="FooterChar"/>
    <w:uiPriority w:val="99"/>
    <w:unhideWhenUsed/>
    <w:rsid w:val="00C50DFD"/>
    <w:pPr>
      <w:tabs>
        <w:tab w:val="center" w:pos="4680"/>
        <w:tab w:val="right" w:pos="9360"/>
      </w:tabs>
      <w:spacing w:line="240" w:lineRule="auto"/>
    </w:pPr>
  </w:style>
  <w:style w:type="character" w:customStyle="1" w:styleId="FooterChar">
    <w:name w:val="Footer Char"/>
    <w:basedOn w:val="DefaultParagraphFont"/>
    <w:link w:val="Footer"/>
    <w:uiPriority w:val="99"/>
    <w:rsid w:val="00C50DFD"/>
  </w:style>
  <w:style w:type="paragraph" w:styleId="BalloonText">
    <w:name w:val="Balloon Text"/>
    <w:basedOn w:val="Normal"/>
    <w:link w:val="BalloonTextChar"/>
    <w:uiPriority w:val="99"/>
    <w:semiHidden/>
    <w:unhideWhenUsed/>
    <w:rsid w:val="00C50D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DFD"/>
    <w:rPr>
      <w:rFonts w:ascii="Tahoma" w:hAnsi="Tahoma" w:cs="Tahoma"/>
      <w:sz w:val="16"/>
      <w:szCs w:val="16"/>
    </w:rPr>
  </w:style>
  <w:style w:type="paragraph" w:styleId="FootnoteText">
    <w:name w:val="footnote text"/>
    <w:basedOn w:val="Normal"/>
    <w:link w:val="FootnoteTextChar"/>
    <w:uiPriority w:val="99"/>
    <w:semiHidden/>
    <w:unhideWhenUsed/>
    <w:rsid w:val="00E51C75"/>
    <w:pPr>
      <w:spacing w:line="240" w:lineRule="auto"/>
    </w:pPr>
    <w:rPr>
      <w:sz w:val="20"/>
      <w:szCs w:val="20"/>
    </w:rPr>
  </w:style>
  <w:style w:type="character" w:customStyle="1" w:styleId="FootnoteTextChar">
    <w:name w:val="Footnote Text Char"/>
    <w:basedOn w:val="DefaultParagraphFont"/>
    <w:link w:val="FootnoteText"/>
    <w:uiPriority w:val="99"/>
    <w:semiHidden/>
    <w:rsid w:val="00E51C75"/>
    <w:rPr>
      <w:sz w:val="20"/>
      <w:szCs w:val="20"/>
    </w:rPr>
  </w:style>
  <w:style w:type="character" w:styleId="FootnoteReference">
    <w:name w:val="footnote reference"/>
    <w:basedOn w:val="DefaultParagraphFont"/>
    <w:uiPriority w:val="99"/>
    <w:unhideWhenUsed/>
    <w:rsid w:val="00E51C75"/>
    <w:rPr>
      <w:vertAlign w:val="superscript"/>
    </w:rPr>
  </w:style>
  <w:style w:type="paragraph" w:styleId="ListParagraph">
    <w:name w:val="List Paragraph"/>
    <w:basedOn w:val="Normal"/>
    <w:uiPriority w:val="34"/>
    <w:qFormat/>
    <w:rsid w:val="00881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502F-198F-429E-98E6-74C6C127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4737</Words>
  <Characters>27003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2013-05-09T15:23:00Z</cp:lastPrinted>
  <dcterms:created xsi:type="dcterms:W3CDTF">2013-05-10T16:52:00Z</dcterms:created>
  <dcterms:modified xsi:type="dcterms:W3CDTF">2013-05-10T17:12:00Z</dcterms:modified>
</cp:coreProperties>
</file>