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318A" w:rsidRDefault="00D246EA" w:rsidP="00B9318A">
      <w:pPr>
        <w:tabs>
          <w:tab w:val="center" w:pos="4680"/>
        </w:tabs>
        <w:jc w:val="both"/>
        <w:rPr>
          <w:b/>
          <w:sz w:val="24"/>
        </w:rPr>
      </w:pPr>
      <w:r w:rsidRPr="0038319B">
        <w:rPr>
          <w:sz w:val="23"/>
          <w:szCs w:val="23"/>
        </w:rPr>
        <w:tab/>
      </w:r>
      <w:r w:rsidR="00B9318A">
        <w:rPr>
          <w:b/>
          <w:sz w:val="24"/>
        </w:rPr>
        <w:t>BEFORE THE</w:t>
      </w:r>
    </w:p>
    <w:p w:rsidR="00B9318A" w:rsidRDefault="00B9318A" w:rsidP="00B9318A">
      <w:pPr>
        <w:tabs>
          <w:tab w:val="center" w:pos="4680"/>
        </w:tabs>
        <w:jc w:val="both"/>
        <w:rPr>
          <w:b/>
          <w:sz w:val="24"/>
        </w:rPr>
      </w:pPr>
      <w:r>
        <w:rPr>
          <w:b/>
          <w:sz w:val="24"/>
        </w:rPr>
        <w:tab/>
      </w: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rsidR="00B9318A" w:rsidRDefault="00B9318A" w:rsidP="00B9318A">
      <w:pPr>
        <w:tabs>
          <w:tab w:val="center" w:pos="4680"/>
        </w:tabs>
        <w:jc w:val="both"/>
        <w:rPr>
          <w:b/>
          <w:sz w:val="24"/>
        </w:rPr>
      </w:pPr>
    </w:p>
    <w:p w:rsidR="00B9318A" w:rsidRDefault="00B9318A" w:rsidP="00B9318A">
      <w:pPr>
        <w:tabs>
          <w:tab w:val="center" w:pos="4680"/>
        </w:tabs>
        <w:jc w:val="both"/>
        <w:rPr>
          <w:b/>
          <w:sz w:val="24"/>
        </w:rPr>
      </w:pPr>
    </w:p>
    <w:p w:rsidR="00B9318A" w:rsidRDefault="00B9318A" w:rsidP="00B9318A">
      <w:pPr>
        <w:tabs>
          <w:tab w:val="center" w:pos="4680"/>
        </w:tabs>
        <w:jc w:val="both"/>
        <w:rPr>
          <w:sz w:val="24"/>
        </w:rPr>
      </w:pPr>
    </w:p>
    <w:p w:rsidR="00B9318A" w:rsidRPr="00656BBE" w:rsidRDefault="00B9318A" w:rsidP="00B9318A">
      <w:pPr>
        <w:autoSpaceDE w:val="0"/>
        <w:autoSpaceDN w:val="0"/>
        <w:adjustRightInd w:val="0"/>
        <w:rPr>
          <w:sz w:val="24"/>
          <w:szCs w:val="24"/>
        </w:rPr>
      </w:pPr>
      <w:r w:rsidRPr="00D813E6">
        <w:rPr>
          <w:sz w:val="24"/>
          <w:szCs w:val="24"/>
        </w:rPr>
        <w:t xml:space="preserve">Joint Application </w:t>
      </w:r>
      <w:r>
        <w:rPr>
          <w:sz w:val="24"/>
          <w:szCs w:val="24"/>
        </w:rPr>
        <w:t>of Peoples Natural</w:t>
      </w:r>
      <w:r>
        <w:rPr>
          <w:sz w:val="24"/>
          <w:szCs w:val="24"/>
        </w:rPr>
        <w:tab/>
      </w:r>
      <w:r>
        <w:rPr>
          <w:sz w:val="24"/>
          <w:szCs w:val="24"/>
        </w:rPr>
        <w:tab/>
      </w:r>
      <w:r>
        <w:rPr>
          <w:sz w:val="24"/>
          <w:szCs w:val="24"/>
        </w:rPr>
        <w:tab/>
        <w:t>:</w:t>
      </w:r>
      <w:r>
        <w:rPr>
          <w:b/>
          <w:sz w:val="24"/>
          <w:szCs w:val="24"/>
        </w:rPr>
        <w:tab/>
      </w:r>
      <w:r>
        <w:rPr>
          <w:b/>
          <w:sz w:val="24"/>
          <w:szCs w:val="24"/>
        </w:rPr>
        <w:tab/>
      </w:r>
      <w:r w:rsidRPr="00656BBE">
        <w:rPr>
          <w:sz w:val="24"/>
          <w:szCs w:val="24"/>
        </w:rPr>
        <w:t>A-2013-2353647</w:t>
      </w:r>
    </w:p>
    <w:p w:rsidR="00B9318A" w:rsidRPr="00656BBE" w:rsidRDefault="00B9318A" w:rsidP="00B9318A">
      <w:pPr>
        <w:autoSpaceDE w:val="0"/>
        <w:autoSpaceDN w:val="0"/>
        <w:adjustRightInd w:val="0"/>
        <w:rPr>
          <w:sz w:val="24"/>
          <w:szCs w:val="24"/>
        </w:rPr>
      </w:pPr>
      <w:r w:rsidRPr="00656BBE">
        <w:rPr>
          <w:sz w:val="24"/>
          <w:szCs w:val="24"/>
        </w:rPr>
        <w:t>Gas Company LLC, Peoples TWP LLC, and</w:t>
      </w:r>
      <w:r w:rsidRPr="00656BBE">
        <w:rPr>
          <w:sz w:val="24"/>
          <w:szCs w:val="24"/>
        </w:rPr>
        <w:tab/>
      </w:r>
      <w:r w:rsidRPr="00656BBE">
        <w:rPr>
          <w:sz w:val="24"/>
          <w:szCs w:val="24"/>
        </w:rPr>
        <w:tab/>
      </w:r>
      <w:r>
        <w:rPr>
          <w:sz w:val="24"/>
          <w:szCs w:val="24"/>
        </w:rPr>
        <w:t>:</w:t>
      </w:r>
      <w:r>
        <w:rPr>
          <w:b/>
          <w:sz w:val="24"/>
          <w:szCs w:val="24"/>
        </w:rPr>
        <w:tab/>
      </w:r>
      <w:r>
        <w:rPr>
          <w:b/>
          <w:sz w:val="24"/>
          <w:szCs w:val="24"/>
        </w:rPr>
        <w:tab/>
      </w:r>
      <w:r w:rsidRPr="0087748A">
        <w:rPr>
          <w:caps/>
          <w:sz w:val="24"/>
          <w:szCs w:val="24"/>
        </w:rPr>
        <w:t>A-2013-2353649</w:t>
      </w:r>
    </w:p>
    <w:p w:rsidR="00B9318A" w:rsidRPr="00D00B6B" w:rsidRDefault="00B9318A" w:rsidP="00B9318A">
      <w:pPr>
        <w:autoSpaceDE w:val="0"/>
        <w:autoSpaceDN w:val="0"/>
        <w:adjustRightInd w:val="0"/>
        <w:rPr>
          <w:sz w:val="24"/>
          <w:szCs w:val="24"/>
        </w:rPr>
      </w:pPr>
      <w:r>
        <w:rPr>
          <w:sz w:val="24"/>
          <w:szCs w:val="24"/>
        </w:rPr>
        <w:t>Equitable Gas Company, LLC</w:t>
      </w:r>
      <w:r>
        <w:rPr>
          <w:sz w:val="24"/>
          <w:szCs w:val="24"/>
        </w:rPr>
        <w:tab/>
      </w:r>
      <w:r>
        <w:rPr>
          <w:sz w:val="24"/>
          <w:szCs w:val="24"/>
        </w:rPr>
        <w:tab/>
      </w:r>
      <w:r>
        <w:rPr>
          <w:sz w:val="24"/>
          <w:szCs w:val="24"/>
        </w:rPr>
        <w:tab/>
        <w:t>:</w:t>
      </w:r>
      <w:r>
        <w:rPr>
          <w:b/>
          <w:sz w:val="24"/>
          <w:szCs w:val="24"/>
        </w:rPr>
        <w:tab/>
      </w:r>
      <w:r>
        <w:rPr>
          <w:b/>
          <w:sz w:val="24"/>
          <w:szCs w:val="24"/>
        </w:rPr>
        <w:tab/>
      </w:r>
      <w:r w:rsidRPr="00D00B6B">
        <w:rPr>
          <w:caps/>
          <w:sz w:val="24"/>
          <w:szCs w:val="24"/>
        </w:rPr>
        <w:t>A-2013-2353651</w:t>
      </w:r>
    </w:p>
    <w:p w:rsidR="00D246EA" w:rsidRPr="00F54816" w:rsidRDefault="00D246EA" w:rsidP="00D246EA">
      <w:pPr>
        <w:jc w:val="both"/>
        <w:rPr>
          <w:sz w:val="24"/>
          <w:szCs w:val="24"/>
        </w:rPr>
      </w:pPr>
    </w:p>
    <w:p w:rsidR="00D246EA" w:rsidRPr="00C055EF" w:rsidRDefault="00D246EA" w:rsidP="00D246EA">
      <w:pPr>
        <w:jc w:val="both"/>
        <w:rPr>
          <w:sz w:val="24"/>
          <w:szCs w:val="24"/>
        </w:rPr>
      </w:pPr>
    </w:p>
    <w:p w:rsidR="00D246EA" w:rsidRPr="00C055EF" w:rsidRDefault="00D246EA" w:rsidP="00D246EA">
      <w:pPr>
        <w:jc w:val="both"/>
        <w:rPr>
          <w:sz w:val="24"/>
          <w:szCs w:val="24"/>
        </w:rPr>
      </w:pPr>
    </w:p>
    <w:p w:rsidR="001A517C" w:rsidRDefault="00D246EA" w:rsidP="00D246EA">
      <w:pPr>
        <w:jc w:val="center"/>
        <w:rPr>
          <w:b/>
          <w:sz w:val="24"/>
          <w:szCs w:val="24"/>
          <w:u w:val="single"/>
        </w:rPr>
      </w:pPr>
      <w:r w:rsidRPr="00C055EF">
        <w:rPr>
          <w:b/>
          <w:sz w:val="24"/>
          <w:szCs w:val="24"/>
          <w:u w:val="single"/>
        </w:rPr>
        <w:t>PREHEARING ORDER</w:t>
      </w:r>
    </w:p>
    <w:p w:rsidR="007C2688" w:rsidRPr="00C055EF" w:rsidRDefault="007C2688" w:rsidP="00D246EA">
      <w:pPr>
        <w:jc w:val="center"/>
        <w:rPr>
          <w:sz w:val="24"/>
          <w:szCs w:val="24"/>
        </w:rPr>
      </w:pPr>
    </w:p>
    <w:p w:rsidR="00D246EA" w:rsidRPr="00C055EF" w:rsidRDefault="00D246EA" w:rsidP="00D246EA">
      <w:pPr>
        <w:rPr>
          <w:sz w:val="24"/>
          <w:szCs w:val="24"/>
        </w:rPr>
      </w:pPr>
    </w:p>
    <w:p w:rsidR="00F54816" w:rsidRDefault="00F54816" w:rsidP="00355EE8">
      <w:pPr>
        <w:spacing w:line="360" w:lineRule="auto"/>
        <w:ind w:firstLine="1440"/>
        <w:rPr>
          <w:sz w:val="24"/>
          <w:szCs w:val="24"/>
        </w:rPr>
      </w:pPr>
      <w:r w:rsidRPr="00F54816">
        <w:rPr>
          <w:sz w:val="24"/>
          <w:szCs w:val="24"/>
        </w:rPr>
        <w:t xml:space="preserve">On </w:t>
      </w:r>
      <w:r w:rsidR="00661F4B">
        <w:rPr>
          <w:sz w:val="24"/>
          <w:szCs w:val="24"/>
        </w:rPr>
        <w:t xml:space="preserve">March 19, 2013, Peoples Natural Gas Company LLC (“Peoples”), Peoples TWP LLC (“Peoples TWP”), and Equitable Gas Company, LLC (“Equitable”) (hereinafter collectively referred to as the “Applicants”) filed a </w:t>
      </w:r>
      <w:r w:rsidR="00355EE8">
        <w:rPr>
          <w:sz w:val="24"/>
          <w:szCs w:val="24"/>
        </w:rPr>
        <w:t xml:space="preserve">Joint Application </w:t>
      </w:r>
      <w:r w:rsidR="00355EE8" w:rsidRPr="00355EE8">
        <w:rPr>
          <w:sz w:val="24"/>
          <w:szCs w:val="24"/>
        </w:rPr>
        <w:t>for all of the Authority and the Necessary Certificates of Public Convenience 1) to Transfer all of the Issued and Outstanding Limited Liability Company Membership Interest of Equitable Gas Company, LLC to PNG Companies, LLC, 2) to Merge Equitable Gas Company LLC with Peoples Natural Gas Company, LLC, 3) to Transfer Certain Storage and Transmission Assets of Peoples Natural Gas Company LLC to Affiliates of EQT Corporation, 4) to Transfer Certain Assets between Equitable Gas Company, LLC and Affiliates of EQT Corporation, 5) for Approval of Certain Ownership Changes Associated with the Transaction, 6) for approval of Certain Associated Gas Capacity and Supply Agreements, and 7) for approval of Certain Changes in the Tariff of Peoples Natural Gas Company LLC</w:t>
      </w:r>
      <w:r w:rsidRPr="00F54816">
        <w:rPr>
          <w:sz w:val="24"/>
          <w:szCs w:val="24"/>
        </w:rPr>
        <w:t>.</w:t>
      </w:r>
    </w:p>
    <w:p w:rsidR="00355EE8" w:rsidRDefault="00355EE8" w:rsidP="00355EE8">
      <w:pPr>
        <w:spacing w:line="360" w:lineRule="auto"/>
        <w:ind w:firstLine="1440"/>
        <w:rPr>
          <w:sz w:val="24"/>
          <w:szCs w:val="24"/>
        </w:rPr>
      </w:pPr>
    </w:p>
    <w:p w:rsidR="00355EE8" w:rsidRDefault="00355EE8" w:rsidP="00355EE8">
      <w:pPr>
        <w:spacing w:line="360" w:lineRule="auto"/>
        <w:ind w:firstLine="1440"/>
        <w:rPr>
          <w:sz w:val="24"/>
          <w:szCs w:val="24"/>
        </w:rPr>
      </w:pPr>
      <w:r>
        <w:rPr>
          <w:sz w:val="24"/>
          <w:szCs w:val="24"/>
        </w:rPr>
        <w:t xml:space="preserve">On April 2, 2013, the Applicants filed proofs of publication indicating that the notice prescribed by the Secretary’s Bureau of the Pennsylvania Public Utility Commission (“Commission”) had been published in the </w:t>
      </w:r>
      <w:r w:rsidRPr="00355EE8">
        <w:rPr>
          <w:i/>
          <w:sz w:val="24"/>
          <w:szCs w:val="24"/>
        </w:rPr>
        <w:t>Pittsburgh Post-Gazette</w:t>
      </w:r>
      <w:r>
        <w:rPr>
          <w:sz w:val="24"/>
          <w:szCs w:val="24"/>
        </w:rPr>
        <w:t xml:space="preserve"> and in the </w:t>
      </w:r>
      <w:r w:rsidRPr="00355EE8">
        <w:rPr>
          <w:i/>
          <w:sz w:val="24"/>
          <w:szCs w:val="24"/>
        </w:rPr>
        <w:t>Tribune-Review</w:t>
      </w:r>
      <w:r>
        <w:rPr>
          <w:sz w:val="24"/>
          <w:szCs w:val="24"/>
        </w:rPr>
        <w:t xml:space="preserve">.  Notice of the Joint Application was published in the </w:t>
      </w:r>
      <w:r w:rsidRPr="009909C1">
        <w:rPr>
          <w:i/>
          <w:sz w:val="24"/>
          <w:szCs w:val="24"/>
        </w:rPr>
        <w:t>Pennsylvania Bulletin</w:t>
      </w:r>
      <w:r>
        <w:rPr>
          <w:sz w:val="24"/>
          <w:szCs w:val="24"/>
        </w:rPr>
        <w:t xml:space="preserve"> on March 30, 2013.  </w:t>
      </w:r>
      <w:r>
        <w:rPr>
          <w:i/>
          <w:sz w:val="24"/>
          <w:szCs w:val="24"/>
        </w:rPr>
        <w:t>See</w:t>
      </w:r>
      <w:r>
        <w:rPr>
          <w:sz w:val="24"/>
          <w:szCs w:val="24"/>
        </w:rPr>
        <w:t xml:space="preserve"> </w:t>
      </w:r>
      <w:proofErr w:type="gramStart"/>
      <w:r>
        <w:rPr>
          <w:sz w:val="24"/>
          <w:szCs w:val="24"/>
        </w:rPr>
        <w:t xml:space="preserve">43 </w:t>
      </w:r>
      <w:proofErr w:type="spellStart"/>
      <w:r>
        <w:rPr>
          <w:sz w:val="24"/>
          <w:szCs w:val="24"/>
        </w:rPr>
        <w:t>Pa.B</w:t>
      </w:r>
      <w:proofErr w:type="spellEnd"/>
      <w:proofErr w:type="gramEnd"/>
      <w:r>
        <w:rPr>
          <w:sz w:val="24"/>
          <w:szCs w:val="24"/>
        </w:rPr>
        <w:t>. 1814.</w:t>
      </w:r>
    </w:p>
    <w:p w:rsidR="004B18EB" w:rsidRDefault="004B18EB" w:rsidP="00355EE8">
      <w:pPr>
        <w:spacing w:line="360" w:lineRule="auto"/>
        <w:ind w:firstLine="1440"/>
        <w:rPr>
          <w:sz w:val="24"/>
          <w:szCs w:val="24"/>
        </w:rPr>
      </w:pPr>
    </w:p>
    <w:p w:rsidR="004B18EB" w:rsidRDefault="004B18EB" w:rsidP="00355EE8">
      <w:pPr>
        <w:spacing w:line="360" w:lineRule="auto"/>
        <w:ind w:firstLine="1440"/>
        <w:rPr>
          <w:sz w:val="24"/>
          <w:szCs w:val="24"/>
        </w:rPr>
      </w:pPr>
      <w:r>
        <w:rPr>
          <w:sz w:val="24"/>
          <w:szCs w:val="24"/>
        </w:rPr>
        <w:t xml:space="preserve">On April 8, 2013, the Commission’s Bureau of Investigation and Enforcement (“BI&amp;E”) entered a Notice of Appearance.  On April 10, 2013, the Office of Small Business Advocate (“OSBA”) filed a Notice of Intervention, Protest, Public Statement and Notice of </w:t>
      </w:r>
      <w:r>
        <w:rPr>
          <w:sz w:val="24"/>
          <w:szCs w:val="24"/>
        </w:rPr>
        <w:lastRenderedPageBreak/>
        <w:t>Appearance.  On April 11, 2013, the Office of Consumer Advocate (“OCA”) filed a Notice of Intervention, Protest and Public Statement.</w:t>
      </w:r>
    </w:p>
    <w:p w:rsidR="004B18EB" w:rsidRDefault="004B18EB" w:rsidP="00355EE8">
      <w:pPr>
        <w:spacing w:line="360" w:lineRule="auto"/>
        <w:ind w:firstLine="1440"/>
        <w:rPr>
          <w:sz w:val="24"/>
          <w:szCs w:val="24"/>
        </w:rPr>
      </w:pPr>
    </w:p>
    <w:p w:rsidR="00F54816" w:rsidRPr="00F54816" w:rsidRDefault="004B18EB" w:rsidP="00784BF8">
      <w:pPr>
        <w:spacing w:line="360" w:lineRule="auto"/>
        <w:ind w:firstLine="1440"/>
        <w:rPr>
          <w:sz w:val="24"/>
          <w:szCs w:val="24"/>
        </w:rPr>
      </w:pPr>
      <w:r>
        <w:rPr>
          <w:sz w:val="24"/>
          <w:szCs w:val="24"/>
        </w:rPr>
        <w:t>Protests and Petitions to Intervene were filed by the following:</w:t>
      </w:r>
      <w:r w:rsidR="003A5177">
        <w:rPr>
          <w:sz w:val="24"/>
          <w:szCs w:val="24"/>
        </w:rPr>
        <w:t xml:space="preserve"> </w:t>
      </w:r>
      <w:r>
        <w:rPr>
          <w:sz w:val="24"/>
          <w:szCs w:val="24"/>
        </w:rPr>
        <w:t xml:space="preserve"> Dominion Retail, Inc. and Interstate Gas Supply, Inc.; Utility Workers Union of America, Local 666; The Pennsylvania State University; Snyder Brothers, Inc.; United Steelworkers International Union, Local 12050; International Brotherhood of Electrical Workers, Local 1956; Peoples-Equitable Merger </w:t>
      </w:r>
      <w:proofErr w:type="spellStart"/>
      <w:r>
        <w:rPr>
          <w:sz w:val="24"/>
          <w:szCs w:val="24"/>
        </w:rPr>
        <w:t>Intervenors</w:t>
      </w:r>
      <w:proofErr w:type="spellEnd"/>
      <w:r>
        <w:rPr>
          <w:sz w:val="24"/>
          <w:szCs w:val="24"/>
        </w:rPr>
        <w:t xml:space="preserve">; </w:t>
      </w:r>
      <w:r w:rsidR="00E53C8E">
        <w:rPr>
          <w:sz w:val="24"/>
          <w:szCs w:val="24"/>
        </w:rPr>
        <w:t>Pennsylvania Independent Oil &amp; Gas Association (“PIOGA”); Retail Energy Supply Association; Unities States Steel Corporation; Dominion Transmission, Inc.</w:t>
      </w:r>
      <w:r w:rsidR="00F23B4C">
        <w:rPr>
          <w:sz w:val="24"/>
          <w:szCs w:val="24"/>
        </w:rPr>
        <w:t>,</w:t>
      </w:r>
      <w:r w:rsidR="00E53C8E">
        <w:rPr>
          <w:sz w:val="24"/>
          <w:szCs w:val="24"/>
        </w:rPr>
        <w:t xml:space="preserve"> and; Citizens </w:t>
      </w:r>
      <w:r w:rsidR="00784BF8">
        <w:rPr>
          <w:sz w:val="24"/>
          <w:szCs w:val="24"/>
        </w:rPr>
        <w:t>for Pennsylvania’s Future (“Penn Future”).</w:t>
      </w:r>
      <w:r w:rsidR="00E53C8E">
        <w:rPr>
          <w:sz w:val="24"/>
          <w:szCs w:val="24"/>
        </w:rPr>
        <w:t xml:space="preserve"> </w:t>
      </w:r>
    </w:p>
    <w:p w:rsidR="009A64B7" w:rsidRDefault="009A64B7" w:rsidP="00D246EA">
      <w:pPr>
        <w:spacing w:line="360" w:lineRule="auto"/>
        <w:rPr>
          <w:sz w:val="24"/>
          <w:szCs w:val="24"/>
        </w:rPr>
      </w:pPr>
    </w:p>
    <w:p w:rsidR="00B73E2E" w:rsidRDefault="009A64B7" w:rsidP="00B73E2E">
      <w:pPr>
        <w:spacing w:line="360" w:lineRule="auto"/>
        <w:ind w:firstLine="720"/>
        <w:rPr>
          <w:sz w:val="24"/>
          <w:szCs w:val="24"/>
        </w:rPr>
      </w:pPr>
      <w:r>
        <w:rPr>
          <w:sz w:val="24"/>
          <w:szCs w:val="24"/>
        </w:rPr>
        <w:t xml:space="preserve">            </w:t>
      </w:r>
      <w:r w:rsidR="00784BF8">
        <w:rPr>
          <w:sz w:val="24"/>
          <w:szCs w:val="24"/>
        </w:rPr>
        <w:t>A P</w:t>
      </w:r>
      <w:r w:rsidR="001E2FE1" w:rsidRPr="00C055EF">
        <w:rPr>
          <w:sz w:val="24"/>
          <w:szCs w:val="24"/>
        </w:rPr>
        <w:t xml:space="preserve">rehearing </w:t>
      </w:r>
      <w:r w:rsidR="00784BF8">
        <w:rPr>
          <w:sz w:val="24"/>
          <w:szCs w:val="24"/>
        </w:rPr>
        <w:t>C</w:t>
      </w:r>
      <w:r w:rsidR="001E2FE1" w:rsidRPr="00C055EF">
        <w:rPr>
          <w:sz w:val="24"/>
          <w:szCs w:val="24"/>
        </w:rPr>
        <w:t xml:space="preserve">onference was held on </w:t>
      </w:r>
      <w:r w:rsidR="00784BF8">
        <w:rPr>
          <w:sz w:val="24"/>
          <w:szCs w:val="24"/>
        </w:rPr>
        <w:t xml:space="preserve">Thursday, May 9, 2013.  </w:t>
      </w:r>
      <w:r w:rsidR="001E2FE1" w:rsidRPr="00C055EF">
        <w:rPr>
          <w:sz w:val="24"/>
          <w:szCs w:val="24"/>
        </w:rPr>
        <w:t xml:space="preserve">This </w:t>
      </w:r>
      <w:r w:rsidR="00784BF8">
        <w:rPr>
          <w:sz w:val="24"/>
          <w:szCs w:val="24"/>
        </w:rPr>
        <w:t xml:space="preserve">Prehearing </w:t>
      </w:r>
      <w:r w:rsidR="001E2FE1" w:rsidRPr="00C055EF">
        <w:rPr>
          <w:sz w:val="24"/>
          <w:szCs w:val="24"/>
        </w:rPr>
        <w:t>Order memorializes the matters decided and agreed upon by the parties attending the conference.</w:t>
      </w:r>
    </w:p>
    <w:p w:rsidR="00B73E2E" w:rsidRDefault="00B73E2E" w:rsidP="00B73E2E">
      <w:pPr>
        <w:spacing w:line="360" w:lineRule="auto"/>
        <w:ind w:firstLine="720"/>
        <w:rPr>
          <w:sz w:val="24"/>
          <w:szCs w:val="24"/>
        </w:rPr>
      </w:pPr>
    </w:p>
    <w:p w:rsidR="00661CF0" w:rsidRDefault="00661CF0" w:rsidP="00B73E2E">
      <w:pPr>
        <w:spacing w:line="360" w:lineRule="auto"/>
        <w:ind w:firstLine="720"/>
        <w:jc w:val="center"/>
        <w:rPr>
          <w:b/>
          <w:sz w:val="24"/>
          <w:szCs w:val="24"/>
          <w:u w:val="single"/>
        </w:rPr>
      </w:pPr>
      <w:r w:rsidRPr="00C055EF">
        <w:rPr>
          <w:b/>
          <w:sz w:val="24"/>
          <w:szCs w:val="24"/>
          <w:u w:val="single"/>
        </w:rPr>
        <w:t>Litigation Schedule</w:t>
      </w:r>
    </w:p>
    <w:p w:rsidR="00B73E2E" w:rsidRPr="00C055EF" w:rsidRDefault="00B73E2E" w:rsidP="00B73E2E">
      <w:pPr>
        <w:spacing w:line="360" w:lineRule="auto"/>
        <w:ind w:firstLine="720"/>
        <w:jc w:val="center"/>
        <w:rPr>
          <w:sz w:val="24"/>
          <w:szCs w:val="24"/>
        </w:rPr>
      </w:pPr>
    </w:p>
    <w:p w:rsidR="00661CF0" w:rsidRPr="00C055EF" w:rsidRDefault="00661CF0" w:rsidP="00661CF0">
      <w:pPr>
        <w:spacing w:line="360" w:lineRule="auto"/>
        <w:rPr>
          <w:sz w:val="24"/>
          <w:szCs w:val="24"/>
        </w:rPr>
      </w:pPr>
      <w:r w:rsidRPr="00C055EF">
        <w:rPr>
          <w:sz w:val="24"/>
          <w:szCs w:val="24"/>
        </w:rPr>
        <w:tab/>
      </w:r>
      <w:r w:rsidRPr="00C055EF">
        <w:rPr>
          <w:sz w:val="24"/>
          <w:szCs w:val="24"/>
        </w:rPr>
        <w:tab/>
        <w:t xml:space="preserve">The </w:t>
      </w:r>
      <w:r w:rsidR="007915B8">
        <w:rPr>
          <w:sz w:val="24"/>
          <w:szCs w:val="24"/>
        </w:rPr>
        <w:t xml:space="preserve">undersigned Administrative Law Judge (“ALJ”) ordered </w:t>
      </w:r>
      <w:r w:rsidRPr="00C055EF">
        <w:rPr>
          <w:sz w:val="24"/>
          <w:szCs w:val="24"/>
        </w:rPr>
        <w:t>the following litigation schedule:</w:t>
      </w:r>
    </w:p>
    <w:p w:rsidR="00661CF0" w:rsidRPr="00C055EF" w:rsidRDefault="00661CF0" w:rsidP="00661CF0">
      <w:pPr>
        <w:spacing w:line="360" w:lineRule="auto"/>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8"/>
        <w:gridCol w:w="6678"/>
      </w:tblGrid>
      <w:tr w:rsidR="00661CF0" w:rsidRPr="00C055EF" w:rsidTr="00B017E6">
        <w:tc>
          <w:tcPr>
            <w:tcW w:w="2898" w:type="dxa"/>
            <w:tcBorders>
              <w:top w:val="thinThickSmallGap" w:sz="24" w:space="0" w:color="auto"/>
              <w:left w:val="thinThickSmallGap" w:sz="24" w:space="0" w:color="auto"/>
            </w:tcBorders>
          </w:tcPr>
          <w:p w:rsidR="00661CF0" w:rsidRPr="00C055EF" w:rsidRDefault="00661CF0" w:rsidP="00B017E6">
            <w:pPr>
              <w:pStyle w:val="Heading2"/>
              <w:rPr>
                <w:sz w:val="24"/>
                <w:szCs w:val="24"/>
                <w:u w:val="none"/>
              </w:rPr>
            </w:pPr>
            <w:r w:rsidRPr="00C055EF">
              <w:rPr>
                <w:sz w:val="24"/>
                <w:szCs w:val="24"/>
              </w:rPr>
              <w:t>Date</w:t>
            </w:r>
          </w:p>
        </w:tc>
        <w:tc>
          <w:tcPr>
            <w:tcW w:w="6678" w:type="dxa"/>
            <w:tcBorders>
              <w:top w:val="thinThickSmallGap" w:sz="24" w:space="0" w:color="auto"/>
              <w:right w:val="thickThinSmallGap" w:sz="24" w:space="0" w:color="auto"/>
            </w:tcBorders>
          </w:tcPr>
          <w:p w:rsidR="00661CF0" w:rsidRPr="00C055EF" w:rsidRDefault="00661CF0" w:rsidP="00B017E6">
            <w:pPr>
              <w:pStyle w:val="Heading2"/>
              <w:rPr>
                <w:sz w:val="24"/>
                <w:szCs w:val="24"/>
                <w:u w:val="none"/>
              </w:rPr>
            </w:pPr>
            <w:r w:rsidRPr="00C055EF">
              <w:rPr>
                <w:sz w:val="24"/>
                <w:szCs w:val="24"/>
              </w:rPr>
              <w:t>Event</w:t>
            </w:r>
          </w:p>
        </w:tc>
      </w:tr>
      <w:tr w:rsidR="00661CF0" w:rsidRPr="00C055EF" w:rsidTr="00B017E6">
        <w:tc>
          <w:tcPr>
            <w:tcW w:w="2898" w:type="dxa"/>
            <w:tcBorders>
              <w:left w:val="thinThickSmallGap" w:sz="24" w:space="0" w:color="auto"/>
            </w:tcBorders>
          </w:tcPr>
          <w:p w:rsidR="00661CF0" w:rsidRPr="00C055EF" w:rsidRDefault="00311E9F" w:rsidP="00311E9F">
            <w:pPr>
              <w:spacing w:line="360" w:lineRule="auto"/>
              <w:rPr>
                <w:sz w:val="24"/>
                <w:szCs w:val="24"/>
              </w:rPr>
            </w:pPr>
            <w:r>
              <w:rPr>
                <w:sz w:val="24"/>
                <w:szCs w:val="24"/>
              </w:rPr>
              <w:t>May 29, 2013</w:t>
            </w:r>
          </w:p>
        </w:tc>
        <w:tc>
          <w:tcPr>
            <w:tcW w:w="6678" w:type="dxa"/>
            <w:tcBorders>
              <w:right w:val="thickThinSmallGap" w:sz="24" w:space="0" w:color="auto"/>
            </w:tcBorders>
          </w:tcPr>
          <w:p w:rsidR="00661CF0" w:rsidRPr="00C055EF" w:rsidRDefault="00311E9F" w:rsidP="00311E9F">
            <w:pPr>
              <w:spacing w:line="360" w:lineRule="auto"/>
              <w:rPr>
                <w:sz w:val="24"/>
                <w:szCs w:val="24"/>
              </w:rPr>
            </w:pPr>
            <w:r>
              <w:rPr>
                <w:sz w:val="24"/>
                <w:szCs w:val="24"/>
              </w:rPr>
              <w:t>Service of Applicants’ Supplemental Written Direct Testimony</w:t>
            </w:r>
          </w:p>
        </w:tc>
      </w:tr>
      <w:tr w:rsidR="00661CF0" w:rsidRPr="00C055EF" w:rsidTr="00B017E6">
        <w:tc>
          <w:tcPr>
            <w:tcW w:w="2898" w:type="dxa"/>
            <w:tcBorders>
              <w:left w:val="thinThickSmallGap" w:sz="24" w:space="0" w:color="auto"/>
            </w:tcBorders>
          </w:tcPr>
          <w:p w:rsidR="00661CF0" w:rsidRPr="00C055EF" w:rsidRDefault="00311E9F" w:rsidP="00311E9F">
            <w:pPr>
              <w:spacing w:line="360" w:lineRule="auto"/>
              <w:rPr>
                <w:sz w:val="24"/>
                <w:szCs w:val="24"/>
              </w:rPr>
            </w:pPr>
            <w:r>
              <w:rPr>
                <w:sz w:val="24"/>
                <w:szCs w:val="24"/>
              </w:rPr>
              <w:t>July 24, 2013</w:t>
            </w:r>
          </w:p>
        </w:tc>
        <w:tc>
          <w:tcPr>
            <w:tcW w:w="6678" w:type="dxa"/>
            <w:tcBorders>
              <w:right w:val="thickThinSmallGap" w:sz="24" w:space="0" w:color="auto"/>
            </w:tcBorders>
          </w:tcPr>
          <w:p w:rsidR="00661CF0" w:rsidRPr="00C055EF" w:rsidRDefault="006F6866" w:rsidP="00311E9F">
            <w:pPr>
              <w:spacing w:line="360" w:lineRule="auto"/>
              <w:rPr>
                <w:sz w:val="24"/>
                <w:szCs w:val="24"/>
                <w:u w:val="single"/>
              </w:rPr>
            </w:pPr>
            <w:r>
              <w:rPr>
                <w:sz w:val="24"/>
                <w:szCs w:val="24"/>
              </w:rPr>
              <w:t xml:space="preserve">Service of </w:t>
            </w:r>
            <w:r w:rsidR="00661CF0" w:rsidRPr="00C055EF">
              <w:rPr>
                <w:sz w:val="24"/>
                <w:szCs w:val="24"/>
              </w:rPr>
              <w:t xml:space="preserve">Written Direct Testimony of All Other Parties </w:t>
            </w:r>
          </w:p>
        </w:tc>
      </w:tr>
      <w:tr w:rsidR="00661CF0" w:rsidRPr="00C055EF" w:rsidTr="00B017E6">
        <w:tc>
          <w:tcPr>
            <w:tcW w:w="2898" w:type="dxa"/>
            <w:tcBorders>
              <w:left w:val="thinThickSmallGap" w:sz="24" w:space="0" w:color="auto"/>
            </w:tcBorders>
          </w:tcPr>
          <w:p w:rsidR="00661CF0" w:rsidRPr="00C055EF" w:rsidRDefault="00311E9F" w:rsidP="00311E9F">
            <w:pPr>
              <w:spacing w:line="360" w:lineRule="auto"/>
              <w:rPr>
                <w:sz w:val="24"/>
                <w:szCs w:val="24"/>
              </w:rPr>
            </w:pPr>
            <w:r>
              <w:rPr>
                <w:sz w:val="24"/>
                <w:szCs w:val="24"/>
              </w:rPr>
              <w:t>August 19, 2013</w:t>
            </w:r>
          </w:p>
        </w:tc>
        <w:tc>
          <w:tcPr>
            <w:tcW w:w="6678" w:type="dxa"/>
            <w:tcBorders>
              <w:right w:val="thickThinSmallGap" w:sz="24" w:space="0" w:color="auto"/>
            </w:tcBorders>
          </w:tcPr>
          <w:p w:rsidR="00661CF0" w:rsidRPr="00C055EF" w:rsidRDefault="00B123A6" w:rsidP="00311E9F">
            <w:pPr>
              <w:spacing w:line="360" w:lineRule="auto"/>
              <w:rPr>
                <w:sz w:val="24"/>
                <w:szCs w:val="24"/>
              </w:rPr>
            </w:pPr>
            <w:r>
              <w:rPr>
                <w:sz w:val="24"/>
                <w:szCs w:val="24"/>
              </w:rPr>
              <w:t xml:space="preserve">Service of </w:t>
            </w:r>
            <w:r w:rsidR="00661CF0" w:rsidRPr="00C055EF">
              <w:rPr>
                <w:sz w:val="24"/>
                <w:szCs w:val="24"/>
              </w:rPr>
              <w:t xml:space="preserve">Written Rebuttal Testimony </w:t>
            </w:r>
          </w:p>
        </w:tc>
      </w:tr>
      <w:tr w:rsidR="00661CF0" w:rsidRPr="00C055EF" w:rsidTr="00B017E6">
        <w:tc>
          <w:tcPr>
            <w:tcW w:w="2898" w:type="dxa"/>
            <w:tcBorders>
              <w:left w:val="thinThickSmallGap" w:sz="24" w:space="0" w:color="auto"/>
            </w:tcBorders>
          </w:tcPr>
          <w:p w:rsidR="00B123A6" w:rsidRPr="00C055EF" w:rsidRDefault="00311E9F" w:rsidP="00311E9F">
            <w:pPr>
              <w:spacing w:line="360" w:lineRule="auto"/>
              <w:rPr>
                <w:sz w:val="24"/>
                <w:szCs w:val="24"/>
              </w:rPr>
            </w:pPr>
            <w:r>
              <w:rPr>
                <w:sz w:val="24"/>
                <w:szCs w:val="24"/>
              </w:rPr>
              <w:t>September 6, 2013</w:t>
            </w:r>
          </w:p>
        </w:tc>
        <w:tc>
          <w:tcPr>
            <w:tcW w:w="6678" w:type="dxa"/>
            <w:tcBorders>
              <w:right w:val="thickThinSmallGap" w:sz="24" w:space="0" w:color="auto"/>
            </w:tcBorders>
          </w:tcPr>
          <w:p w:rsidR="00661CF0" w:rsidRPr="00C055EF" w:rsidRDefault="00B123A6" w:rsidP="00311E9F">
            <w:pPr>
              <w:spacing w:line="360" w:lineRule="auto"/>
              <w:rPr>
                <w:sz w:val="24"/>
                <w:szCs w:val="24"/>
              </w:rPr>
            </w:pPr>
            <w:r>
              <w:rPr>
                <w:sz w:val="24"/>
                <w:szCs w:val="24"/>
              </w:rPr>
              <w:t xml:space="preserve">Service of </w:t>
            </w:r>
            <w:r w:rsidR="00661CF0" w:rsidRPr="00C055EF">
              <w:rPr>
                <w:sz w:val="24"/>
                <w:szCs w:val="24"/>
              </w:rPr>
              <w:t xml:space="preserve">Written </w:t>
            </w:r>
            <w:proofErr w:type="spellStart"/>
            <w:r w:rsidR="00661CF0" w:rsidRPr="00C055EF">
              <w:rPr>
                <w:sz w:val="24"/>
                <w:szCs w:val="24"/>
              </w:rPr>
              <w:t>Surrebuttal</w:t>
            </w:r>
            <w:proofErr w:type="spellEnd"/>
            <w:r w:rsidR="00661CF0" w:rsidRPr="00C055EF">
              <w:rPr>
                <w:sz w:val="24"/>
                <w:szCs w:val="24"/>
              </w:rPr>
              <w:t xml:space="preserve"> Testimony </w:t>
            </w:r>
          </w:p>
        </w:tc>
      </w:tr>
      <w:tr w:rsidR="00B42A94" w:rsidRPr="00C055EF" w:rsidTr="00B017E6">
        <w:tc>
          <w:tcPr>
            <w:tcW w:w="2898" w:type="dxa"/>
            <w:tcBorders>
              <w:left w:val="thinThickSmallGap" w:sz="24" w:space="0" w:color="auto"/>
            </w:tcBorders>
          </w:tcPr>
          <w:p w:rsidR="00B42A94" w:rsidRPr="00C055EF" w:rsidRDefault="00311E9F" w:rsidP="00FA72A8">
            <w:pPr>
              <w:rPr>
                <w:sz w:val="24"/>
                <w:szCs w:val="24"/>
              </w:rPr>
            </w:pPr>
            <w:r>
              <w:rPr>
                <w:sz w:val="24"/>
                <w:szCs w:val="24"/>
              </w:rPr>
              <w:t>Sep</w:t>
            </w:r>
            <w:r w:rsidR="00FA72A8">
              <w:rPr>
                <w:sz w:val="24"/>
                <w:szCs w:val="24"/>
              </w:rPr>
              <w:t>tember 9, 2013</w:t>
            </w:r>
          </w:p>
        </w:tc>
        <w:tc>
          <w:tcPr>
            <w:tcW w:w="6678" w:type="dxa"/>
            <w:tcBorders>
              <w:right w:val="thickThinSmallGap" w:sz="24" w:space="0" w:color="auto"/>
            </w:tcBorders>
          </w:tcPr>
          <w:p w:rsidR="00B42A94" w:rsidRPr="00B123A6" w:rsidRDefault="00B123A6" w:rsidP="00311E9F">
            <w:pPr>
              <w:spacing w:line="360" w:lineRule="auto"/>
              <w:rPr>
                <w:sz w:val="24"/>
                <w:szCs w:val="24"/>
              </w:rPr>
            </w:pPr>
            <w:r>
              <w:rPr>
                <w:sz w:val="24"/>
                <w:szCs w:val="24"/>
              </w:rPr>
              <w:t xml:space="preserve">Service of </w:t>
            </w:r>
            <w:r w:rsidR="00311E9F">
              <w:rPr>
                <w:sz w:val="24"/>
                <w:szCs w:val="24"/>
              </w:rPr>
              <w:t xml:space="preserve">Rejoinder Testimony </w:t>
            </w:r>
            <w:r w:rsidR="008D5B17">
              <w:rPr>
                <w:sz w:val="24"/>
                <w:szCs w:val="24"/>
              </w:rPr>
              <w:t>Outline</w:t>
            </w:r>
            <w:r w:rsidR="00311E9F">
              <w:rPr>
                <w:sz w:val="24"/>
                <w:szCs w:val="24"/>
              </w:rPr>
              <w:t>s</w:t>
            </w:r>
          </w:p>
        </w:tc>
      </w:tr>
      <w:tr w:rsidR="00661CF0" w:rsidRPr="00C055EF" w:rsidTr="00B017E6">
        <w:tc>
          <w:tcPr>
            <w:tcW w:w="2898" w:type="dxa"/>
            <w:tcBorders>
              <w:left w:val="thinThickSmallGap" w:sz="24" w:space="0" w:color="auto"/>
            </w:tcBorders>
          </w:tcPr>
          <w:p w:rsidR="00661CF0" w:rsidRPr="00C055EF" w:rsidRDefault="00FA72A8" w:rsidP="00FA72A8">
            <w:pPr>
              <w:spacing w:line="360" w:lineRule="auto"/>
              <w:rPr>
                <w:sz w:val="24"/>
                <w:szCs w:val="24"/>
              </w:rPr>
            </w:pPr>
            <w:r>
              <w:rPr>
                <w:sz w:val="24"/>
                <w:szCs w:val="24"/>
              </w:rPr>
              <w:t>September 11-13</w:t>
            </w:r>
            <w:r w:rsidR="00450213">
              <w:rPr>
                <w:sz w:val="24"/>
                <w:szCs w:val="24"/>
              </w:rPr>
              <w:t>, 2013</w:t>
            </w:r>
          </w:p>
        </w:tc>
        <w:tc>
          <w:tcPr>
            <w:tcW w:w="6678" w:type="dxa"/>
            <w:tcBorders>
              <w:right w:val="thickThinSmallGap" w:sz="24" w:space="0" w:color="auto"/>
            </w:tcBorders>
          </w:tcPr>
          <w:p w:rsidR="00661CF0" w:rsidRPr="00C055EF" w:rsidRDefault="00A1194C" w:rsidP="00D255D4">
            <w:pPr>
              <w:spacing w:line="360" w:lineRule="auto"/>
              <w:rPr>
                <w:sz w:val="24"/>
                <w:szCs w:val="24"/>
              </w:rPr>
            </w:pPr>
            <w:r w:rsidRPr="00C055EF">
              <w:rPr>
                <w:sz w:val="24"/>
                <w:szCs w:val="24"/>
              </w:rPr>
              <w:t xml:space="preserve">Technical </w:t>
            </w:r>
            <w:r w:rsidR="00661CF0" w:rsidRPr="00C055EF">
              <w:rPr>
                <w:sz w:val="24"/>
                <w:szCs w:val="24"/>
              </w:rPr>
              <w:t xml:space="preserve">Evidentiary Hearings </w:t>
            </w:r>
            <w:r w:rsidR="00D255D4">
              <w:rPr>
                <w:sz w:val="24"/>
                <w:szCs w:val="24"/>
              </w:rPr>
              <w:t>i</w:t>
            </w:r>
            <w:r w:rsidR="00661CF0" w:rsidRPr="00C055EF">
              <w:rPr>
                <w:sz w:val="24"/>
                <w:szCs w:val="24"/>
              </w:rPr>
              <w:t xml:space="preserve">n </w:t>
            </w:r>
            <w:r w:rsidRPr="00C055EF">
              <w:rPr>
                <w:sz w:val="24"/>
                <w:szCs w:val="24"/>
              </w:rPr>
              <w:t>Harrisburg</w:t>
            </w:r>
          </w:p>
        </w:tc>
      </w:tr>
      <w:tr w:rsidR="00661CF0" w:rsidRPr="00C055EF" w:rsidTr="00B017E6">
        <w:tc>
          <w:tcPr>
            <w:tcW w:w="2898" w:type="dxa"/>
            <w:tcBorders>
              <w:left w:val="thinThickSmallGap" w:sz="24" w:space="0" w:color="auto"/>
            </w:tcBorders>
          </w:tcPr>
          <w:p w:rsidR="00661CF0" w:rsidRPr="00C055EF" w:rsidRDefault="00FA72A8" w:rsidP="00FA72A8">
            <w:pPr>
              <w:rPr>
                <w:sz w:val="24"/>
                <w:szCs w:val="24"/>
              </w:rPr>
            </w:pPr>
            <w:r>
              <w:rPr>
                <w:sz w:val="24"/>
                <w:szCs w:val="24"/>
              </w:rPr>
              <w:t>September 30, 2013</w:t>
            </w:r>
          </w:p>
        </w:tc>
        <w:tc>
          <w:tcPr>
            <w:tcW w:w="6678" w:type="dxa"/>
            <w:tcBorders>
              <w:right w:val="thickThinSmallGap" w:sz="24" w:space="0" w:color="auto"/>
            </w:tcBorders>
          </w:tcPr>
          <w:p w:rsidR="00661CF0" w:rsidRPr="00C055EF" w:rsidRDefault="00450213" w:rsidP="00FA72A8">
            <w:pPr>
              <w:spacing w:line="360" w:lineRule="auto"/>
              <w:rPr>
                <w:sz w:val="24"/>
                <w:szCs w:val="24"/>
              </w:rPr>
            </w:pPr>
            <w:r>
              <w:rPr>
                <w:sz w:val="24"/>
                <w:szCs w:val="24"/>
              </w:rPr>
              <w:t xml:space="preserve">Filing and Service of </w:t>
            </w:r>
            <w:r w:rsidR="00661CF0" w:rsidRPr="00C055EF">
              <w:rPr>
                <w:sz w:val="24"/>
                <w:szCs w:val="24"/>
              </w:rPr>
              <w:t xml:space="preserve">Main Briefs </w:t>
            </w:r>
          </w:p>
        </w:tc>
      </w:tr>
      <w:tr w:rsidR="00661CF0" w:rsidRPr="00C055EF" w:rsidTr="00B017E6">
        <w:tc>
          <w:tcPr>
            <w:tcW w:w="2898" w:type="dxa"/>
            <w:tcBorders>
              <w:left w:val="thinThickSmallGap" w:sz="24" w:space="0" w:color="auto"/>
            </w:tcBorders>
          </w:tcPr>
          <w:p w:rsidR="00661CF0" w:rsidRPr="00C055EF" w:rsidRDefault="00FA72A8" w:rsidP="00FA72A8">
            <w:pPr>
              <w:spacing w:line="360" w:lineRule="auto"/>
              <w:rPr>
                <w:sz w:val="24"/>
                <w:szCs w:val="24"/>
              </w:rPr>
            </w:pPr>
            <w:r>
              <w:rPr>
                <w:sz w:val="24"/>
                <w:szCs w:val="24"/>
              </w:rPr>
              <w:t>October 9, 2013</w:t>
            </w:r>
          </w:p>
        </w:tc>
        <w:tc>
          <w:tcPr>
            <w:tcW w:w="6678" w:type="dxa"/>
            <w:tcBorders>
              <w:right w:val="thickThinSmallGap" w:sz="24" w:space="0" w:color="auto"/>
            </w:tcBorders>
          </w:tcPr>
          <w:p w:rsidR="00661CF0" w:rsidRPr="00C055EF" w:rsidRDefault="00450213" w:rsidP="001E70EE">
            <w:pPr>
              <w:rPr>
                <w:sz w:val="24"/>
                <w:szCs w:val="24"/>
              </w:rPr>
            </w:pPr>
            <w:r>
              <w:rPr>
                <w:sz w:val="24"/>
                <w:szCs w:val="24"/>
              </w:rPr>
              <w:t xml:space="preserve">Filing and Service of </w:t>
            </w:r>
            <w:r w:rsidR="00661CF0" w:rsidRPr="00C055EF">
              <w:rPr>
                <w:sz w:val="24"/>
                <w:szCs w:val="24"/>
              </w:rPr>
              <w:t xml:space="preserve">Reply Briefs </w:t>
            </w:r>
          </w:p>
        </w:tc>
      </w:tr>
    </w:tbl>
    <w:p w:rsidR="00661CF0" w:rsidRPr="00C055EF" w:rsidRDefault="00661CF0" w:rsidP="00661CF0">
      <w:pPr>
        <w:spacing w:line="360" w:lineRule="auto"/>
        <w:rPr>
          <w:sz w:val="24"/>
          <w:szCs w:val="24"/>
        </w:rPr>
      </w:pPr>
    </w:p>
    <w:p w:rsidR="005D3AE7" w:rsidRDefault="005D3AE7" w:rsidP="00DB123E">
      <w:pPr>
        <w:spacing w:line="360" w:lineRule="auto"/>
        <w:ind w:firstLine="1440"/>
        <w:rPr>
          <w:sz w:val="24"/>
          <w:szCs w:val="24"/>
        </w:rPr>
      </w:pPr>
    </w:p>
    <w:p w:rsidR="005D3AE7" w:rsidRDefault="005D3AE7" w:rsidP="00DB123E">
      <w:pPr>
        <w:spacing w:line="360" w:lineRule="auto"/>
        <w:ind w:firstLine="1440"/>
        <w:rPr>
          <w:sz w:val="24"/>
          <w:szCs w:val="24"/>
        </w:rPr>
      </w:pPr>
    </w:p>
    <w:p w:rsidR="00AB6E77" w:rsidRDefault="00661CF0" w:rsidP="00DB123E">
      <w:pPr>
        <w:spacing w:line="360" w:lineRule="auto"/>
        <w:ind w:firstLine="1440"/>
        <w:rPr>
          <w:sz w:val="24"/>
          <w:szCs w:val="24"/>
        </w:rPr>
      </w:pPr>
      <w:r w:rsidRPr="00C055EF">
        <w:rPr>
          <w:sz w:val="24"/>
          <w:szCs w:val="24"/>
        </w:rPr>
        <w:lastRenderedPageBreak/>
        <w:t xml:space="preserve">The parties are reminded of the Commission’s requirements for the preparation </w:t>
      </w:r>
      <w:proofErr w:type="gramStart"/>
      <w:r w:rsidRPr="00C055EF">
        <w:rPr>
          <w:sz w:val="24"/>
          <w:szCs w:val="24"/>
        </w:rPr>
        <w:t>and</w:t>
      </w:r>
      <w:proofErr w:type="gramEnd"/>
      <w:r w:rsidRPr="00C055EF">
        <w:rPr>
          <w:sz w:val="24"/>
          <w:szCs w:val="24"/>
        </w:rPr>
        <w:t xml:space="preserve"> filing of written testimony.  </w:t>
      </w:r>
      <w:proofErr w:type="gramStart"/>
      <w:r w:rsidRPr="00C055EF">
        <w:rPr>
          <w:sz w:val="24"/>
          <w:szCs w:val="24"/>
        </w:rPr>
        <w:t>52 Pa. Code §5.412.</w:t>
      </w:r>
      <w:proofErr w:type="gramEnd"/>
      <w:r w:rsidRPr="00C055EF">
        <w:rPr>
          <w:sz w:val="24"/>
          <w:szCs w:val="24"/>
        </w:rPr>
        <w:t xml:space="preserve">  Written testimony must be accompanied by all exhibits to which it relates.  The above-stated dates are </w:t>
      </w:r>
      <w:r w:rsidRPr="00C055EF">
        <w:rPr>
          <w:sz w:val="24"/>
          <w:szCs w:val="24"/>
          <w:u w:val="single"/>
        </w:rPr>
        <w:t>in-hand</w:t>
      </w:r>
      <w:r w:rsidRPr="00C055EF">
        <w:rPr>
          <w:sz w:val="24"/>
          <w:szCs w:val="24"/>
        </w:rPr>
        <w:t xml:space="preserve"> dates for service on the parties and the </w:t>
      </w:r>
      <w:r w:rsidR="00FA453A">
        <w:rPr>
          <w:sz w:val="24"/>
          <w:szCs w:val="24"/>
        </w:rPr>
        <w:t>P</w:t>
      </w:r>
      <w:r w:rsidR="00375C8A">
        <w:rPr>
          <w:sz w:val="24"/>
          <w:szCs w:val="24"/>
        </w:rPr>
        <w:t>residing</w:t>
      </w:r>
      <w:r w:rsidRPr="00C055EF">
        <w:rPr>
          <w:sz w:val="24"/>
          <w:szCs w:val="24"/>
        </w:rPr>
        <w:t xml:space="preserve"> </w:t>
      </w:r>
      <w:r w:rsidR="00FA72A8">
        <w:rPr>
          <w:sz w:val="24"/>
          <w:szCs w:val="24"/>
        </w:rPr>
        <w:t>ALJ.</w:t>
      </w:r>
      <w:r w:rsidRPr="00C055EF">
        <w:rPr>
          <w:sz w:val="24"/>
          <w:szCs w:val="24"/>
        </w:rPr>
        <w:t xml:space="preserve">  The parties and the </w:t>
      </w:r>
      <w:r w:rsidR="00FA453A">
        <w:rPr>
          <w:sz w:val="24"/>
          <w:szCs w:val="24"/>
        </w:rPr>
        <w:t>P</w:t>
      </w:r>
      <w:r w:rsidR="00FA72A8">
        <w:rPr>
          <w:sz w:val="24"/>
          <w:szCs w:val="24"/>
        </w:rPr>
        <w:t xml:space="preserve">residing </w:t>
      </w:r>
      <w:r w:rsidRPr="00C055EF">
        <w:rPr>
          <w:sz w:val="24"/>
          <w:szCs w:val="24"/>
        </w:rPr>
        <w:t>ALJ agree to accept email transmission of such material, so long as th</w:t>
      </w:r>
      <w:r w:rsidR="00225674">
        <w:rPr>
          <w:sz w:val="24"/>
          <w:szCs w:val="24"/>
        </w:rPr>
        <w:t xml:space="preserve">e </w:t>
      </w:r>
      <w:r w:rsidR="00AB6E77">
        <w:rPr>
          <w:sz w:val="24"/>
          <w:szCs w:val="24"/>
        </w:rPr>
        <w:t xml:space="preserve">subject email is received by the time set forth above and </w:t>
      </w:r>
      <w:r w:rsidRPr="00C055EF">
        <w:rPr>
          <w:sz w:val="24"/>
          <w:szCs w:val="24"/>
        </w:rPr>
        <w:t>on the date due</w:t>
      </w:r>
      <w:r w:rsidR="00AB6E77">
        <w:rPr>
          <w:sz w:val="24"/>
          <w:szCs w:val="24"/>
        </w:rPr>
        <w:t>,</w:t>
      </w:r>
      <w:r w:rsidRPr="00C055EF">
        <w:rPr>
          <w:sz w:val="24"/>
          <w:szCs w:val="24"/>
        </w:rPr>
        <w:t xml:space="preserve"> and</w:t>
      </w:r>
      <w:r w:rsidR="00467B2B" w:rsidRPr="00C055EF">
        <w:rPr>
          <w:sz w:val="24"/>
          <w:szCs w:val="24"/>
        </w:rPr>
        <w:t xml:space="preserve"> provided the email is followed the next business day by sending a hard copy of the same material</w:t>
      </w:r>
      <w:r w:rsidR="009772E0" w:rsidRPr="00C055EF">
        <w:rPr>
          <w:sz w:val="24"/>
          <w:szCs w:val="24"/>
        </w:rPr>
        <w:t xml:space="preserve"> via first-</w:t>
      </w:r>
      <w:r w:rsidR="00467B2B" w:rsidRPr="00C055EF">
        <w:rPr>
          <w:sz w:val="24"/>
          <w:szCs w:val="24"/>
        </w:rPr>
        <w:t>class mail postage prepaid to the parties designated on the Service List</w:t>
      </w:r>
      <w:r w:rsidR="001F7E8A" w:rsidRPr="00C055EF">
        <w:rPr>
          <w:sz w:val="24"/>
          <w:szCs w:val="24"/>
        </w:rPr>
        <w:t xml:space="preserve"> attached to this Order</w:t>
      </w:r>
      <w:r w:rsidR="00FA72A8">
        <w:rPr>
          <w:sz w:val="24"/>
          <w:szCs w:val="24"/>
        </w:rPr>
        <w:t xml:space="preserve">.  </w:t>
      </w:r>
      <w:r w:rsidRPr="00C055EF">
        <w:rPr>
          <w:sz w:val="24"/>
          <w:szCs w:val="24"/>
        </w:rPr>
        <w:t xml:space="preserve">The email address of the </w:t>
      </w:r>
      <w:r w:rsidR="00375C8A">
        <w:rPr>
          <w:sz w:val="24"/>
          <w:szCs w:val="24"/>
        </w:rPr>
        <w:t>Presiding</w:t>
      </w:r>
      <w:r w:rsidRPr="00C055EF">
        <w:rPr>
          <w:sz w:val="24"/>
          <w:szCs w:val="24"/>
        </w:rPr>
        <w:t xml:space="preserve"> ALJ</w:t>
      </w:r>
      <w:r w:rsidR="00FA72A8">
        <w:rPr>
          <w:sz w:val="24"/>
          <w:szCs w:val="24"/>
        </w:rPr>
        <w:t xml:space="preserve"> is</w:t>
      </w:r>
      <w:r w:rsidRPr="00C055EF">
        <w:rPr>
          <w:sz w:val="24"/>
          <w:szCs w:val="24"/>
        </w:rPr>
        <w:t xml:space="preserve">: </w:t>
      </w:r>
      <w:r w:rsidR="00DA6A49">
        <w:rPr>
          <w:sz w:val="24"/>
          <w:szCs w:val="24"/>
        </w:rPr>
        <w:t xml:space="preserve"> </w:t>
      </w:r>
      <w:hyperlink r:id="rId9" w:history="1">
        <w:r w:rsidR="00450213" w:rsidRPr="00D203D6">
          <w:rPr>
            <w:rStyle w:val="Hyperlink"/>
            <w:sz w:val="24"/>
            <w:szCs w:val="24"/>
          </w:rPr>
          <w:t>mhoyer@pa.gov</w:t>
        </w:r>
      </w:hyperlink>
      <w:r w:rsidR="00FA72A8">
        <w:rPr>
          <w:sz w:val="24"/>
          <w:szCs w:val="24"/>
        </w:rPr>
        <w:t xml:space="preserve">.  </w:t>
      </w:r>
      <w:r w:rsidRPr="00C055EF">
        <w:rPr>
          <w:sz w:val="24"/>
          <w:szCs w:val="24"/>
        </w:rPr>
        <w:t xml:space="preserve"> </w:t>
      </w:r>
      <w:r w:rsidR="00FA72A8">
        <w:rPr>
          <w:sz w:val="24"/>
          <w:szCs w:val="24"/>
        </w:rPr>
        <w:t xml:space="preserve">The </w:t>
      </w:r>
      <w:r w:rsidR="002D6228">
        <w:rPr>
          <w:sz w:val="24"/>
          <w:szCs w:val="24"/>
        </w:rPr>
        <w:t>P</w:t>
      </w:r>
      <w:bookmarkStart w:id="0" w:name="_GoBack"/>
      <w:bookmarkEnd w:id="0"/>
      <w:r w:rsidR="00375C8A">
        <w:rPr>
          <w:sz w:val="24"/>
          <w:szCs w:val="24"/>
        </w:rPr>
        <w:t>residing</w:t>
      </w:r>
      <w:r w:rsidRPr="00C055EF">
        <w:rPr>
          <w:sz w:val="24"/>
          <w:szCs w:val="24"/>
        </w:rPr>
        <w:t xml:space="preserve"> ALJ will not accept facsimile transmissions greater than ten pages in length without prior authorizatio</w:t>
      </w:r>
      <w:r w:rsidR="00FA72A8">
        <w:rPr>
          <w:sz w:val="24"/>
          <w:szCs w:val="24"/>
        </w:rPr>
        <w:t xml:space="preserve">n.  If in doubt, please call </w:t>
      </w:r>
      <w:r w:rsidR="00344F04">
        <w:rPr>
          <w:sz w:val="24"/>
          <w:szCs w:val="24"/>
        </w:rPr>
        <w:t>his</w:t>
      </w:r>
      <w:r w:rsidRPr="00C055EF">
        <w:rPr>
          <w:sz w:val="24"/>
          <w:szCs w:val="24"/>
        </w:rPr>
        <w:t xml:space="preserve"> office </w:t>
      </w:r>
      <w:r w:rsidR="00FA72A8">
        <w:rPr>
          <w:sz w:val="24"/>
          <w:szCs w:val="24"/>
        </w:rPr>
        <w:t>at (</w:t>
      </w:r>
      <w:r w:rsidRPr="00C055EF">
        <w:rPr>
          <w:sz w:val="24"/>
          <w:szCs w:val="24"/>
        </w:rPr>
        <w:t>412</w:t>
      </w:r>
      <w:r w:rsidRPr="00C055EF">
        <w:rPr>
          <w:sz w:val="24"/>
          <w:szCs w:val="24"/>
        </w:rPr>
        <w:noBreakHyphen/>
        <w:t>565-3550).</w:t>
      </w:r>
    </w:p>
    <w:p w:rsidR="00AB6E77" w:rsidRDefault="00AB6E77" w:rsidP="00DB123E">
      <w:pPr>
        <w:spacing w:line="360" w:lineRule="auto"/>
        <w:ind w:firstLine="1440"/>
        <w:rPr>
          <w:sz w:val="24"/>
          <w:szCs w:val="24"/>
        </w:rPr>
      </w:pPr>
    </w:p>
    <w:p w:rsidR="001E2FE1" w:rsidRDefault="00661CF0" w:rsidP="00DB123E">
      <w:pPr>
        <w:spacing w:line="360" w:lineRule="auto"/>
        <w:ind w:firstLine="1440"/>
        <w:rPr>
          <w:sz w:val="24"/>
          <w:szCs w:val="24"/>
        </w:rPr>
      </w:pPr>
      <w:r w:rsidRPr="00C055EF">
        <w:rPr>
          <w:sz w:val="24"/>
          <w:szCs w:val="24"/>
        </w:rPr>
        <w:t xml:space="preserve">Hearings will begin promptly at </w:t>
      </w:r>
      <w:r w:rsidR="00602BAF">
        <w:rPr>
          <w:b/>
          <w:sz w:val="24"/>
          <w:szCs w:val="24"/>
          <w:u w:val="single"/>
        </w:rPr>
        <w:t>10:0</w:t>
      </w:r>
      <w:r w:rsidRPr="00C055EF">
        <w:rPr>
          <w:b/>
          <w:sz w:val="24"/>
          <w:szCs w:val="24"/>
          <w:u w:val="single"/>
        </w:rPr>
        <w:t>0 a.m.</w:t>
      </w:r>
      <w:r w:rsidRPr="00C055EF">
        <w:rPr>
          <w:sz w:val="24"/>
          <w:szCs w:val="24"/>
        </w:rPr>
        <w:t xml:space="preserve"> each day.  The parties must confer before commencement of the hearings to schedule their witnesses so as to avoid “holes” or “dead time” during the hearings.</w:t>
      </w:r>
      <w:r w:rsidR="000F235E">
        <w:rPr>
          <w:sz w:val="24"/>
          <w:szCs w:val="24"/>
        </w:rPr>
        <w:t xml:space="preserve"> </w:t>
      </w:r>
      <w:r w:rsidR="00AB4F34">
        <w:rPr>
          <w:sz w:val="24"/>
          <w:szCs w:val="24"/>
        </w:rPr>
        <w:t xml:space="preserve"> </w:t>
      </w:r>
      <w:r w:rsidR="00CA7F6D">
        <w:rPr>
          <w:sz w:val="24"/>
          <w:szCs w:val="24"/>
        </w:rPr>
        <w:t xml:space="preserve">  </w:t>
      </w:r>
      <w:r w:rsidR="00AB4F34">
        <w:rPr>
          <w:sz w:val="24"/>
          <w:szCs w:val="24"/>
        </w:rPr>
        <w:t xml:space="preserve"> </w:t>
      </w:r>
    </w:p>
    <w:p w:rsidR="00631221" w:rsidRDefault="00631221" w:rsidP="00DB123E">
      <w:pPr>
        <w:spacing w:line="360" w:lineRule="auto"/>
        <w:ind w:firstLine="1440"/>
        <w:rPr>
          <w:sz w:val="24"/>
          <w:szCs w:val="24"/>
        </w:rPr>
      </w:pPr>
    </w:p>
    <w:p w:rsidR="00631221" w:rsidRDefault="00631221" w:rsidP="00631221">
      <w:pPr>
        <w:spacing w:line="360" w:lineRule="auto"/>
        <w:ind w:left="1440" w:firstLine="1440"/>
        <w:rPr>
          <w:sz w:val="24"/>
          <w:szCs w:val="24"/>
        </w:rPr>
      </w:pPr>
      <w:r>
        <w:rPr>
          <w:b/>
          <w:sz w:val="24"/>
          <w:szCs w:val="24"/>
          <w:u w:val="single"/>
        </w:rPr>
        <w:t xml:space="preserve">Motion for Admission </w:t>
      </w:r>
      <w:r>
        <w:rPr>
          <w:b/>
          <w:i/>
          <w:sz w:val="24"/>
          <w:szCs w:val="24"/>
          <w:u w:val="single"/>
        </w:rPr>
        <w:t xml:space="preserve">Pro </w:t>
      </w:r>
      <w:proofErr w:type="spellStart"/>
      <w:r>
        <w:rPr>
          <w:b/>
          <w:i/>
          <w:sz w:val="24"/>
          <w:szCs w:val="24"/>
          <w:u w:val="single"/>
        </w:rPr>
        <w:t>Hac</w:t>
      </w:r>
      <w:proofErr w:type="spellEnd"/>
      <w:r>
        <w:rPr>
          <w:b/>
          <w:i/>
          <w:sz w:val="24"/>
          <w:szCs w:val="24"/>
          <w:u w:val="single"/>
        </w:rPr>
        <w:t xml:space="preserve"> Vice</w:t>
      </w:r>
    </w:p>
    <w:p w:rsidR="00631221" w:rsidRDefault="00631221" w:rsidP="00631221">
      <w:pPr>
        <w:spacing w:line="360" w:lineRule="auto"/>
        <w:ind w:firstLine="1440"/>
        <w:jc w:val="center"/>
        <w:rPr>
          <w:sz w:val="24"/>
          <w:szCs w:val="24"/>
        </w:rPr>
      </w:pPr>
    </w:p>
    <w:p w:rsidR="00631221" w:rsidRPr="00631221" w:rsidRDefault="00631221" w:rsidP="00631221">
      <w:pPr>
        <w:spacing w:line="360" w:lineRule="auto"/>
        <w:ind w:firstLine="1440"/>
        <w:rPr>
          <w:sz w:val="24"/>
          <w:szCs w:val="24"/>
        </w:rPr>
      </w:pPr>
      <w:r>
        <w:rPr>
          <w:sz w:val="24"/>
          <w:szCs w:val="24"/>
        </w:rPr>
        <w:t xml:space="preserve">PIOGA filed a Motion for Admission </w:t>
      </w:r>
      <w:r>
        <w:rPr>
          <w:i/>
          <w:sz w:val="24"/>
          <w:szCs w:val="24"/>
        </w:rPr>
        <w:t xml:space="preserve">Pro </w:t>
      </w:r>
      <w:proofErr w:type="spellStart"/>
      <w:r>
        <w:rPr>
          <w:i/>
          <w:sz w:val="24"/>
          <w:szCs w:val="24"/>
        </w:rPr>
        <w:t>Hac</w:t>
      </w:r>
      <w:proofErr w:type="spellEnd"/>
      <w:r>
        <w:rPr>
          <w:i/>
          <w:sz w:val="24"/>
          <w:szCs w:val="24"/>
        </w:rPr>
        <w:t xml:space="preserve"> Vice</w:t>
      </w:r>
      <w:r>
        <w:rPr>
          <w:sz w:val="24"/>
          <w:szCs w:val="24"/>
        </w:rPr>
        <w:t xml:space="preserve"> to permit Randall S. Rich,</w:t>
      </w:r>
      <w:r w:rsidR="00BE511F">
        <w:rPr>
          <w:sz w:val="24"/>
          <w:szCs w:val="24"/>
        </w:rPr>
        <w:t> </w:t>
      </w:r>
      <w:r>
        <w:rPr>
          <w:sz w:val="24"/>
          <w:szCs w:val="24"/>
        </w:rPr>
        <w:t xml:space="preserve">Esquire to appear in the above-captioned matter on behalf of PIOGA.  No parties objected to the Motion at the Prehearing Conference and it was granted.  </w:t>
      </w:r>
    </w:p>
    <w:p w:rsidR="00897E6A" w:rsidRPr="00C055EF" w:rsidRDefault="00897E6A" w:rsidP="00B80476">
      <w:pPr>
        <w:spacing w:line="360" w:lineRule="auto"/>
        <w:rPr>
          <w:sz w:val="24"/>
          <w:szCs w:val="24"/>
        </w:rPr>
      </w:pPr>
    </w:p>
    <w:p w:rsidR="00897E6A" w:rsidRPr="00C055EF" w:rsidRDefault="00897E6A" w:rsidP="00897E6A">
      <w:pPr>
        <w:spacing w:line="360" w:lineRule="auto"/>
        <w:jc w:val="center"/>
        <w:rPr>
          <w:sz w:val="24"/>
          <w:szCs w:val="24"/>
        </w:rPr>
      </w:pPr>
      <w:r w:rsidRPr="00C055EF">
        <w:rPr>
          <w:b/>
          <w:sz w:val="24"/>
          <w:szCs w:val="24"/>
          <w:u w:val="single"/>
        </w:rPr>
        <w:t>Petition</w:t>
      </w:r>
      <w:r w:rsidR="004A3990">
        <w:rPr>
          <w:b/>
          <w:sz w:val="24"/>
          <w:szCs w:val="24"/>
          <w:u w:val="single"/>
        </w:rPr>
        <w:t>s</w:t>
      </w:r>
      <w:r w:rsidRPr="00C055EF">
        <w:rPr>
          <w:b/>
          <w:sz w:val="24"/>
          <w:szCs w:val="24"/>
          <w:u w:val="single"/>
        </w:rPr>
        <w:t xml:space="preserve"> to Intervene</w:t>
      </w:r>
    </w:p>
    <w:p w:rsidR="00897E6A" w:rsidRPr="00C055EF" w:rsidRDefault="00897E6A" w:rsidP="00897E6A">
      <w:pPr>
        <w:spacing w:line="360" w:lineRule="auto"/>
        <w:rPr>
          <w:sz w:val="24"/>
          <w:szCs w:val="24"/>
        </w:rPr>
      </w:pPr>
    </w:p>
    <w:p w:rsidR="00897E6A" w:rsidRDefault="00225429" w:rsidP="00E17681">
      <w:pPr>
        <w:spacing w:line="360" w:lineRule="auto"/>
        <w:ind w:firstLine="1440"/>
        <w:rPr>
          <w:sz w:val="24"/>
          <w:szCs w:val="24"/>
        </w:rPr>
      </w:pPr>
      <w:r>
        <w:rPr>
          <w:sz w:val="24"/>
          <w:szCs w:val="24"/>
        </w:rPr>
        <w:t>The Petition</w:t>
      </w:r>
      <w:r w:rsidR="00AB6E77">
        <w:rPr>
          <w:sz w:val="24"/>
          <w:szCs w:val="24"/>
        </w:rPr>
        <w:t>s</w:t>
      </w:r>
      <w:r>
        <w:rPr>
          <w:sz w:val="24"/>
          <w:szCs w:val="24"/>
        </w:rPr>
        <w:t xml:space="preserve"> to Intervene</w:t>
      </w:r>
      <w:r w:rsidR="00AB6E77">
        <w:rPr>
          <w:sz w:val="24"/>
          <w:szCs w:val="24"/>
        </w:rPr>
        <w:t xml:space="preserve"> </w:t>
      </w:r>
      <w:r w:rsidR="00E17681">
        <w:rPr>
          <w:sz w:val="24"/>
          <w:szCs w:val="24"/>
        </w:rPr>
        <w:t xml:space="preserve">of the following parties are granted: </w:t>
      </w:r>
      <w:r w:rsidR="00F46FBB">
        <w:rPr>
          <w:sz w:val="24"/>
          <w:szCs w:val="24"/>
        </w:rPr>
        <w:t xml:space="preserve"> </w:t>
      </w:r>
      <w:r w:rsidR="00E17681">
        <w:rPr>
          <w:sz w:val="24"/>
          <w:szCs w:val="24"/>
        </w:rPr>
        <w:t>Dominion Retail, Inc. and Interstate Gas Supply, Inc.; Utility Workers Union of America, Local 666; The Pennsylvania State University; Snyder Brothers, Inc.; United Steelworkers International Union, Local 12050; International Brotherhood of Electrical Workers, Local 1956; PIOGA;</w:t>
      </w:r>
      <w:r w:rsidR="00DB4C36">
        <w:rPr>
          <w:sz w:val="24"/>
          <w:szCs w:val="24"/>
        </w:rPr>
        <w:t xml:space="preserve"> United</w:t>
      </w:r>
      <w:r w:rsidR="00E17681">
        <w:rPr>
          <w:sz w:val="24"/>
          <w:szCs w:val="24"/>
        </w:rPr>
        <w:t xml:space="preserve"> States Steel Corporation; Dominion Transmission, Inc.</w:t>
      </w:r>
      <w:r w:rsidR="00EF760F">
        <w:rPr>
          <w:sz w:val="24"/>
          <w:szCs w:val="24"/>
        </w:rPr>
        <w:t>; and</w:t>
      </w:r>
      <w:r w:rsidR="00E17681">
        <w:rPr>
          <w:sz w:val="24"/>
          <w:szCs w:val="24"/>
        </w:rPr>
        <w:t xml:space="preserve"> Penn Future.  </w:t>
      </w:r>
      <w:r w:rsidR="00AB6E77">
        <w:rPr>
          <w:sz w:val="24"/>
          <w:szCs w:val="24"/>
        </w:rPr>
        <w:t xml:space="preserve"> </w:t>
      </w:r>
      <w:r>
        <w:rPr>
          <w:sz w:val="24"/>
          <w:szCs w:val="24"/>
        </w:rPr>
        <w:t xml:space="preserve"> </w:t>
      </w:r>
    </w:p>
    <w:p w:rsidR="00E17681" w:rsidRDefault="00E17681" w:rsidP="00E17681">
      <w:pPr>
        <w:spacing w:line="360" w:lineRule="auto"/>
        <w:ind w:firstLine="1440"/>
        <w:rPr>
          <w:sz w:val="24"/>
          <w:szCs w:val="24"/>
        </w:rPr>
      </w:pPr>
    </w:p>
    <w:p w:rsidR="00E17681" w:rsidRDefault="00E17681" w:rsidP="00E17681">
      <w:pPr>
        <w:spacing w:line="360" w:lineRule="auto"/>
        <w:ind w:firstLine="1440"/>
        <w:rPr>
          <w:sz w:val="24"/>
          <w:szCs w:val="24"/>
        </w:rPr>
      </w:pPr>
      <w:r>
        <w:rPr>
          <w:sz w:val="24"/>
          <w:szCs w:val="24"/>
        </w:rPr>
        <w:lastRenderedPageBreak/>
        <w:t xml:space="preserve">The Retail Energy Supply Association filed a Petition to Intervene but subsequently filed a Petition to </w:t>
      </w:r>
      <w:proofErr w:type="gramStart"/>
      <w:r>
        <w:rPr>
          <w:sz w:val="24"/>
          <w:szCs w:val="24"/>
        </w:rPr>
        <w:t>Withdraw</w:t>
      </w:r>
      <w:proofErr w:type="gramEnd"/>
      <w:r>
        <w:rPr>
          <w:sz w:val="24"/>
          <w:szCs w:val="24"/>
        </w:rPr>
        <w:t xml:space="preserve"> its Petition to Intervene.</w:t>
      </w:r>
      <w:r w:rsidR="00E2745E">
        <w:rPr>
          <w:rStyle w:val="FootnoteReference"/>
          <w:sz w:val="24"/>
          <w:szCs w:val="24"/>
        </w:rPr>
        <w:footnoteReference w:id="1"/>
      </w:r>
      <w:r>
        <w:rPr>
          <w:sz w:val="24"/>
          <w:szCs w:val="24"/>
        </w:rPr>
        <w:t xml:space="preserve">  Although the Petition to Withdraw the Petition </w:t>
      </w:r>
      <w:r w:rsidR="00505868">
        <w:rPr>
          <w:sz w:val="24"/>
          <w:szCs w:val="24"/>
        </w:rPr>
        <w:t xml:space="preserve">to </w:t>
      </w:r>
      <w:r>
        <w:rPr>
          <w:sz w:val="24"/>
          <w:szCs w:val="24"/>
        </w:rPr>
        <w:t xml:space="preserve">Intervene was not discussed at the Prehearing Conference, the same is hereby granted and the Retail Energy Supply Association is not a party in this proceeding and will not be included on the Service List.    </w:t>
      </w:r>
    </w:p>
    <w:p w:rsidR="004A3990" w:rsidRDefault="004A3990" w:rsidP="00897E6A">
      <w:pPr>
        <w:spacing w:line="360" w:lineRule="auto"/>
        <w:rPr>
          <w:sz w:val="24"/>
          <w:szCs w:val="24"/>
        </w:rPr>
      </w:pPr>
    </w:p>
    <w:p w:rsidR="004A3990" w:rsidRPr="00C055EF" w:rsidRDefault="004A3990" w:rsidP="004A3990">
      <w:pPr>
        <w:spacing w:line="360" w:lineRule="auto"/>
        <w:jc w:val="center"/>
        <w:rPr>
          <w:sz w:val="24"/>
          <w:szCs w:val="24"/>
        </w:rPr>
      </w:pPr>
      <w:r w:rsidRPr="00C055EF">
        <w:rPr>
          <w:b/>
          <w:sz w:val="24"/>
          <w:szCs w:val="24"/>
          <w:u w:val="single"/>
        </w:rPr>
        <w:t>Parties</w:t>
      </w:r>
    </w:p>
    <w:p w:rsidR="004A3990" w:rsidRPr="00C055EF" w:rsidRDefault="004A3990" w:rsidP="004A3990">
      <w:pPr>
        <w:spacing w:line="360" w:lineRule="auto"/>
        <w:rPr>
          <w:sz w:val="24"/>
          <w:szCs w:val="24"/>
        </w:rPr>
      </w:pPr>
    </w:p>
    <w:p w:rsidR="00995F6D" w:rsidRDefault="004A3990" w:rsidP="004A3990">
      <w:pPr>
        <w:spacing w:line="360" w:lineRule="auto"/>
        <w:rPr>
          <w:sz w:val="24"/>
          <w:szCs w:val="24"/>
        </w:rPr>
      </w:pPr>
      <w:r w:rsidRPr="00C055EF">
        <w:rPr>
          <w:sz w:val="24"/>
          <w:szCs w:val="24"/>
        </w:rPr>
        <w:tab/>
      </w:r>
      <w:r w:rsidRPr="00C055EF">
        <w:rPr>
          <w:sz w:val="24"/>
          <w:szCs w:val="24"/>
        </w:rPr>
        <w:tab/>
      </w:r>
      <w:r w:rsidR="00EF760F">
        <w:rPr>
          <w:sz w:val="24"/>
          <w:szCs w:val="24"/>
        </w:rPr>
        <w:t xml:space="preserve">The Applicants, </w:t>
      </w:r>
      <w:r w:rsidR="00AB6E77">
        <w:rPr>
          <w:sz w:val="24"/>
          <w:szCs w:val="24"/>
        </w:rPr>
        <w:t>BI&amp;E</w:t>
      </w:r>
      <w:r w:rsidRPr="00C055EF">
        <w:rPr>
          <w:sz w:val="24"/>
          <w:szCs w:val="24"/>
        </w:rPr>
        <w:t>, OCA</w:t>
      </w:r>
      <w:r w:rsidR="00225429">
        <w:rPr>
          <w:sz w:val="24"/>
          <w:szCs w:val="24"/>
        </w:rPr>
        <w:t xml:space="preserve">, </w:t>
      </w:r>
      <w:r w:rsidRPr="00C055EF">
        <w:rPr>
          <w:sz w:val="24"/>
          <w:szCs w:val="24"/>
        </w:rPr>
        <w:t>OSBA</w:t>
      </w:r>
      <w:r w:rsidR="00AB6E77">
        <w:rPr>
          <w:sz w:val="24"/>
          <w:szCs w:val="24"/>
        </w:rPr>
        <w:t xml:space="preserve">, </w:t>
      </w:r>
      <w:r w:rsidR="00EF760F">
        <w:rPr>
          <w:sz w:val="24"/>
          <w:szCs w:val="24"/>
        </w:rPr>
        <w:t xml:space="preserve">Dominion Retail, Inc. and Interstate Gas Supply, Inc.; Utility Workers Union of America, Local 666; The Pennsylvania State University; Snyder Brothers, Inc.; United Steelworkers International Union, Local 12050; International Brotherhood of Electrical Workers, Local 1956; Peoples-Equitable Merger </w:t>
      </w:r>
      <w:proofErr w:type="spellStart"/>
      <w:r w:rsidR="00EF760F">
        <w:rPr>
          <w:sz w:val="24"/>
          <w:szCs w:val="24"/>
        </w:rPr>
        <w:t>Intervenors</w:t>
      </w:r>
      <w:proofErr w:type="spellEnd"/>
      <w:r w:rsidR="00EF760F">
        <w:rPr>
          <w:sz w:val="24"/>
          <w:szCs w:val="24"/>
        </w:rPr>
        <w:t xml:space="preserve">; PIOGA; Unities States Steel Corporation; Dominion Transmission, Inc.; and Penn Future </w:t>
      </w:r>
      <w:r w:rsidR="0042101A">
        <w:rPr>
          <w:sz w:val="24"/>
          <w:szCs w:val="24"/>
        </w:rPr>
        <w:t>a</w:t>
      </w:r>
      <w:r w:rsidR="00EF760F">
        <w:rPr>
          <w:sz w:val="24"/>
          <w:szCs w:val="24"/>
        </w:rPr>
        <w:t xml:space="preserve">re parties to this proceeding.  </w:t>
      </w:r>
    </w:p>
    <w:p w:rsidR="00B80476" w:rsidRPr="00B20D8D" w:rsidRDefault="00B80476" w:rsidP="00B20D8D">
      <w:pPr>
        <w:spacing w:line="360" w:lineRule="auto"/>
        <w:rPr>
          <w:sz w:val="24"/>
          <w:szCs w:val="24"/>
        </w:rPr>
      </w:pPr>
    </w:p>
    <w:p w:rsidR="0089017C" w:rsidRPr="00C055EF" w:rsidRDefault="0089017C" w:rsidP="0089017C">
      <w:pPr>
        <w:spacing w:line="360" w:lineRule="auto"/>
        <w:jc w:val="center"/>
        <w:rPr>
          <w:sz w:val="24"/>
          <w:szCs w:val="24"/>
        </w:rPr>
      </w:pPr>
      <w:r w:rsidRPr="00C055EF">
        <w:rPr>
          <w:b/>
          <w:sz w:val="24"/>
          <w:szCs w:val="24"/>
          <w:u w:val="single"/>
        </w:rPr>
        <w:t>Public Input Hearings</w:t>
      </w:r>
    </w:p>
    <w:p w:rsidR="00D45091" w:rsidRPr="00C055EF" w:rsidRDefault="00D45091" w:rsidP="006C3072">
      <w:pPr>
        <w:spacing w:line="360" w:lineRule="auto"/>
        <w:rPr>
          <w:sz w:val="24"/>
          <w:szCs w:val="24"/>
        </w:rPr>
      </w:pPr>
    </w:p>
    <w:p w:rsidR="0089017C" w:rsidRPr="00C055EF" w:rsidRDefault="0089017C" w:rsidP="00DE1C28">
      <w:pPr>
        <w:spacing w:line="360" w:lineRule="auto"/>
        <w:rPr>
          <w:sz w:val="24"/>
          <w:szCs w:val="24"/>
        </w:rPr>
      </w:pPr>
      <w:r w:rsidRPr="00C055EF">
        <w:rPr>
          <w:sz w:val="24"/>
          <w:szCs w:val="24"/>
        </w:rPr>
        <w:tab/>
      </w:r>
      <w:r w:rsidRPr="00C055EF">
        <w:rPr>
          <w:sz w:val="24"/>
          <w:szCs w:val="24"/>
        </w:rPr>
        <w:tab/>
      </w:r>
      <w:r w:rsidR="00525402">
        <w:rPr>
          <w:sz w:val="24"/>
          <w:szCs w:val="24"/>
        </w:rPr>
        <w:t xml:space="preserve">The OCA requested one telephonic Public Input Hearing.  </w:t>
      </w:r>
      <w:r w:rsidR="00852BFB">
        <w:rPr>
          <w:sz w:val="24"/>
          <w:szCs w:val="24"/>
        </w:rPr>
        <w:t xml:space="preserve">At </w:t>
      </w:r>
      <w:r w:rsidR="00DE1C28">
        <w:rPr>
          <w:sz w:val="24"/>
          <w:szCs w:val="24"/>
        </w:rPr>
        <w:t>present there are no Public Input Hearings</w:t>
      </w:r>
      <w:r w:rsidR="00C83A33">
        <w:rPr>
          <w:sz w:val="24"/>
          <w:szCs w:val="24"/>
        </w:rPr>
        <w:t xml:space="preserve"> scheduled</w:t>
      </w:r>
      <w:r w:rsidR="00EF760F">
        <w:rPr>
          <w:sz w:val="24"/>
          <w:szCs w:val="24"/>
        </w:rPr>
        <w:t xml:space="preserve">, however, the parties were ordered to discuss </w:t>
      </w:r>
      <w:r w:rsidR="00525402">
        <w:rPr>
          <w:sz w:val="24"/>
          <w:szCs w:val="24"/>
        </w:rPr>
        <w:t>Public I</w:t>
      </w:r>
      <w:r w:rsidR="00EF760F">
        <w:rPr>
          <w:sz w:val="24"/>
          <w:szCs w:val="24"/>
        </w:rPr>
        <w:t xml:space="preserve">nput </w:t>
      </w:r>
      <w:r w:rsidR="00525402">
        <w:rPr>
          <w:sz w:val="24"/>
          <w:szCs w:val="24"/>
        </w:rPr>
        <w:t>H</w:t>
      </w:r>
      <w:r w:rsidR="00EF760F">
        <w:rPr>
          <w:sz w:val="24"/>
          <w:szCs w:val="24"/>
        </w:rPr>
        <w:t>earing(s) among themselves</w:t>
      </w:r>
      <w:r w:rsidR="00525402">
        <w:rPr>
          <w:sz w:val="24"/>
          <w:szCs w:val="24"/>
        </w:rPr>
        <w:t xml:space="preserve">.  The OCA was ordered to </w:t>
      </w:r>
      <w:r w:rsidR="00EF760F">
        <w:rPr>
          <w:sz w:val="24"/>
          <w:szCs w:val="24"/>
        </w:rPr>
        <w:t xml:space="preserve">report to the </w:t>
      </w:r>
      <w:r w:rsidR="00F63DC1">
        <w:rPr>
          <w:sz w:val="24"/>
          <w:szCs w:val="24"/>
        </w:rPr>
        <w:t>P</w:t>
      </w:r>
      <w:r w:rsidR="00EF760F">
        <w:rPr>
          <w:sz w:val="24"/>
          <w:szCs w:val="24"/>
        </w:rPr>
        <w:t>res</w:t>
      </w:r>
      <w:r w:rsidR="00C83A33">
        <w:rPr>
          <w:sz w:val="24"/>
          <w:szCs w:val="24"/>
        </w:rPr>
        <w:t>id</w:t>
      </w:r>
      <w:r w:rsidR="00EF760F">
        <w:rPr>
          <w:sz w:val="24"/>
          <w:szCs w:val="24"/>
        </w:rPr>
        <w:t xml:space="preserve">ing ALJ via email </w:t>
      </w:r>
      <w:r w:rsidR="00525402">
        <w:rPr>
          <w:sz w:val="24"/>
          <w:szCs w:val="24"/>
        </w:rPr>
        <w:t xml:space="preserve">on or before May 23, 2013 with </w:t>
      </w:r>
      <w:r w:rsidR="00EF760F">
        <w:rPr>
          <w:sz w:val="24"/>
          <w:szCs w:val="24"/>
        </w:rPr>
        <w:t>the agreed upon date(s), time(s)</w:t>
      </w:r>
      <w:r w:rsidR="00525402">
        <w:rPr>
          <w:sz w:val="24"/>
          <w:szCs w:val="24"/>
        </w:rPr>
        <w:t xml:space="preserve">, type and procedures for conducting a Public Input Hearing or Hearings.  </w:t>
      </w:r>
      <w:r w:rsidR="00DE1C28">
        <w:rPr>
          <w:sz w:val="24"/>
          <w:szCs w:val="24"/>
        </w:rPr>
        <w:t xml:space="preserve">  </w:t>
      </w:r>
    </w:p>
    <w:p w:rsidR="00BD4B53" w:rsidRDefault="00BD4B53" w:rsidP="00B34559">
      <w:pPr>
        <w:pStyle w:val="Heading2"/>
        <w:jc w:val="center"/>
        <w:rPr>
          <w:sz w:val="24"/>
          <w:szCs w:val="24"/>
        </w:rPr>
      </w:pPr>
    </w:p>
    <w:p w:rsidR="00B34559" w:rsidRPr="00C055EF" w:rsidRDefault="00B34559" w:rsidP="00B34559">
      <w:pPr>
        <w:pStyle w:val="Heading2"/>
        <w:jc w:val="center"/>
        <w:rPr>
          <w:sz w:val="24"/>
          <w:szCs w:val="24"/>
        </w:rPr>
      </w:pPr>
      <w:r w:rsidRPr="00C055EF">
        <w:rPr>
          <w:sz w:val="24"/>
          <w:szCs w:val="24"/>
        </w:rPr>
        <w:t>Issues</w:t>
      </w:r>
    </w:p>
    <w:p w:rsidR="00B34559" w:rsidRPr="00C055EF" w:rsidRDefault="00B34559" w:rsidP="00B34559">
      <w:pPr>
        <w:spacing w:line="360" w:lineRule="auto"/>
        <w:rPr>
          <w:sz w:val="24"/>
          <w:szCs w:val="24"/>
        </w:rPr>
      </w:pPr>
    </w:p>
    <w:p w:rsidR="00085BAF" w:rsidRPr="00C055EF" w:rsidRDefault="00B34559" w:rsidP="00B34559">
      <w:pPr>
        <w:spacing w:line="360" w:lineRule="auto"/>
        <w:rPr>
          <w:sz w:val="24"/>
          <w:szCs w:val="24"/>
        </w:rPr>
      </w:pPr>
      <w:r w:rsidRPr="00C055EF">
        <w:rPr>
          <w:sz w:val="24"/>
          <w:szCs w:val="24"/>
        </w:rPr>
        <w:tab/>
      </w:r>
      <w:r w:rsidRPr="00C055EF">
        <w:rPr>
          <w:sz w:val="24"/>
          <w:szCs w:val="24"/>
        </w:rPr>
        <w:tab/>
        <w:t>In their respective prehearing memoranda, the parties identified various issues they may wish to pursue.  The reader is directed to these documents to review a recitation of these issues.  Additional issues may arise as the discovery process unfolds.</w:t>
      </w:r>
    </w:p>
    <w:p w:rsidR="00DE1C28" w:rsidRPr="00C055EF" w:rsidRDefault="00085BAF" w:rsidP="00DE1C28">
      <w:pPr>
        <w:spacing w:line="360" w:lineRule="auto"/>
        <w:rPr>
          <w:sz w:val="24"/>
          <w:szCs w:val="24"/>
        </w:rPr>
      </w:pPr>
      <w:r w:rsidRPr="00C055EF">
        <w:rPr>
          <w:sz w:val="24"/>
          <w:szCs w:val="24"/>
        </w:rPr>
        <w:tab/>
      </w:r>
      <w:r w:rsidRPr="00C055EF">
        <w:rPr>
          <w:sz w:val="24"/>
          <w:szCs w:val="24"/>
        </w:rPr>
        <w:tab/>
      </w:r>
    </w:p>
    <w:p w:rsidR="00B34559" w:rsidRPr="00C055EF" w:rsidRDefault="00B34559" w:rsidP="00B34559">
      <w:pPr>
        <w:pStyle w:val="Heading2"/>
        <w:jc w:val="center"/>
        <w:rPr>
          <w:sz w:val="24"/>
          <w:szCs w:val="24"/>
        </w:rPr>
      </w:pPr>
      <w:r w:rsidRPr="00C055EF">
        <w:rPr>
          <w:sz w:val="24"/>
          <w:szCs w:val="24"/>
        </w:rPr>
        <w:lastRenderedPageBreak/>
        <w:t>Discovery</w:t>
      </w:r>
    </w:p>
    <w:p w:rsidR="00B34559" w:rsidRPr="00C055EF" w:rsidRDefault="00B34559" w:rsidP="00B34559">
      <w:pPr>
        <w:rPr>
          <w:sz w:val="24"/>
          <w:szCs w:val="24"/>
        </w:rPr>
      </w:pPr>
    </w:p>
    <w:p w:rsidR="00B34559" w:rsidRPr="00C055EF" w:rsidRDefault="00B34559" w:rsidP="00B34559">
      <w:pPr>
        <w:spacing w:line="360" w:lineRule="auto"/>
        <w:rPr>
          <w:sz w:val="24"/>
          <w:szCs w:val="24"/>
        </w:rPr>
      </w:pPr>
      <w:r w:rsidRPr="00C055EF">
        <w:rPr>
          <w:sz w:val="24"/>
          <w:szCs w:val="24"/>
        </w:rPr>
        <w:tab/>
      </w:r>
      <w:r w:rsidRPr="00C055EF">
        <w:rPr>
          <w:sz w:val="24"/>
          <w:szCs w:val="24"/>
        </w:rPr>
        <w:tab/>
        <w:t xml:space="preserve">The parties shall engage in informal discovery whenever and wherever possible in an attempt to resolve any discovery disputes amicably.  </w:t>
      </w:r>
      <w:proofErr w:type="gramStart"/>
      <w:r w:rsidRPr="00C055EF">
        <w:rPr>
          <w:sz w:val="24"/>
          <w:szCs w:val="24"/>
        </w:rPr>
        <w:t>52 Pa. Code §5.322.</w:t>
      </w:r>
      <w:proofErr w:type="gramEnd"/>
      <w:r w:rsidRPr="00C055EF">
        <w:rPr>
          <w:sz w:val="24"/>
          <w:szCs w:val="24"/>
        </w:rPr>
        <w:t xml:space="preserve">  If this process fails, the parties have recourse to the Commission’s procedures for formal discovery, as herein modified.  </w:t>
      </w:r>
      <w:proofErr w:type="gramStart"/>
      <w:r w:rsidRPr="00C055EF">
        <w:rPr>
          <w:sz w:val="24"/>
          <w:szCs w:val="24"/>
        </w:rPr>
        <w:t xml:space="preserve">52 Pa. Code §§5.321, </w:t>
      </w:r>
      <w:r w:rsidRPr="00C055EF">
        <w:rPr>
          <w:i/>
          <w:sz w:val="24"/>
          <w:szCs w:val="24"/>
        </w:rPr>
        <w:t>et</w:t>
      </w:r>
      <w:r w:rsidRPr="00C055EF">
        <w:rPr>
          <w:sz w:val="24"/>
          <w:szCs w:val="24"/>
        </w:rPr>
        <w:t xml:space="preserve"> </w:t>
      </w:r>
      <w:r w:rsidRPr="00C055EF">
        <w:rPr>
          <w:i/>
          <w:sz w:val="24"/>
          <w:szCs w:val="24"/>
        </w:rPr>
        <w:t>seq</w:t>
      </w:r>
      <w:r w:rsidRPr="00C055EF">
        <w:rPr>
          <w:sz w:val="24"/>
          <w:szCs w:val="24"/>
        </w:rPr>
        <w:t>.</w:t>
      </w:r>
      <w:proofErr w:type="gramEnd"/>
      <w:r w:rsidRPr="00C055EF">
        <w:rPr>
          <w:sz w:val="24"/>
          <w:szCs w:val="24"/>
        </w:rPr>
        <w:t xml:space="preserve">  The parties must not send the Presiding ALJ discovery material or cover letters, unless attached to a motion to compel.  All motions to compel must contain a certification of counsel of the informal discovery undertaken and their efforts to resolve their discovery disputes informally.  If a motion to compel fails to contain such certification, the Presiding ALJ will contact the parties and direct them to pursue informal discovery.</w:t>
      </w:r>
    </w:p>
    <w:p w:rsidR="00B34559" w:rsidRPr="00C055EF" w:rsidRDefault="00B34559" w:rsidP="00B34559">
      <w:pPr>
        <w:spacing w:line="360" w:lineRule="auto"/>
        <w:rPr>
          <w:sz w:val="24"/>
          <w:szCs w:val="24"/>
        </w:rPr>
      </w:pPr>
    </w:p>
    <w:p w:rsidR="00B34559" w:rsidRDefault="00B34559" w:rsidP="00B34559">
      <w:pPr>
        <w:spacing w:line="360" w:lineRule="auto"/>
        <w:rPr>
          <w:sz w:val="24"/>
          <w:szCs w:val="24"/>
        </w:rPr>
      </w:pPr>
      <w:r w:rsidRPr="00C055EF">
        <w:rPr>
          <w:sz w:val="24"/>
          <w:szCs w:val="24"/>
        </w:rPr>
        <w:tab/>
      </w:r>
      <w:r w:rsidRPr="00C055EF">
        <w:rPr>
          <w:sz w:val="24"/>
          <w:szCs w:val="24"/>
        </w:rPr>
        <w:tab/>
        <w:t xml:space="preserve">The </w:t>
      </w:r>
      <w:r w:rsidR="00EE0C3B">
        <w:rPr>
          <w:sz w:val="24"/>
          <w:szCs w:val="24"/>
        </w:rPr>
        <w:t xml:space="preserve">OCA </w:t>
      </w:r>
      <w:r w:rsidRPr="00C055EF">
        <w:rPr>
          <w:sz w:val="24"/>
          <w:szCs w:val="24"/>
        </w:rPr>
        <w:t>request</w:t>
      </w:r>
      <w:r w:rsidR="00FA105B">
        <w:rPr>
          <w:sz w:val="24"/>
          <w:szCs w:val="24"/>
        </w:rPr>
        <w:t>ed</w:t>
      </w:r>
      <w:r w:rsidRPr="00C055EF">
        <w:rPr>
          <w:sz w:val="24"/>
          <w:szCs w:val="24"/>
        </w:rPr>
        <w:t xml:space="preserve"> modification of the Commission’s procedures for formal discovery.  With the agreement of all parties</w:t>
      </w:r>
      <w:r w:rsidR="00EE0C3B">
        <w:rPr>
          <w:sz w:val="24"/>
          <w:szCs w:val="24"/>
        </w:rPr>
        <w:t xml:space="preserve"> attending the prehearing conference</w:t>
      </w:r>
      <w:r w:rsidRPr="00C055EF">
        <w:rPr>
          <w:sz w:val="24"/>
          <w:szCs w:val="24"/>
        </w:rPr>
        <w:t>, that request is hereby granted.  Therefore, the following modified discovery procedure applies to this case:</w:t>
      </w:r>
    </w:p>
    <w:p w:rsidR="00D056B4" w:rsidRDefault="00D056B4" w:rsidP="00B34559">
      <w:pPr>
        <w:spacing w:line="360" w:lineRule="auto"/>
        <w:rPr>
          <w:sz w:val="24"/>
          <w:szCs w:val="24"/>
        </w:rPr>
      </w:pPr>
    </w:p>
    <w:p w:rsidR="00D056B4" w:rsidRPr="00BA215E" w:rsidRDefault="00D056B4" w:rsidP="00BA215E">
      <w:pPr>
        <w:pStyle w:val="ListParagraph"/>
        <w:numPr>
          <w:ilvl w:val="0"/>
          <w:numId w:val="8"/>
        </w:numPr>
        <w:autoSpaceDE w:val="0"/>
        <w:autoSpaceDN w:val="0"/>
        <w:adjustRightInd w:val="0"/>
        <w:ind w:left="2160" w:right="1440" w:hanging="720"/>
        <w:rPr>
          <w:sz w:val="24"/>
          <w:szCs w:val="24"/>
        </w:rPr>
      </w:pPr>
      <w:r w:rsidRPr="00BA215E">
        <w:rPr>
          <w:sz w:val="24"/>
          <w:szCs w:val="24"/>
        </w:rPr>
        <w:t xml:space="preserve">Answers to written interrogatories shall be served in-hand within </w:t>
      </w:r>
      <w:r w:rsidR="00660609" w:rsidRPr="00BA215E">
        <w:rPr>
          <w:sz w:val="24"/>
          <w:szCs w:val="24"/>
        </w:rPr>
        <w:t>fifteen</w:t>
      </w:r>
      <w:r w:rsidRPr="00BA215E">
        <w:rPr>
          <w:sz w:val="24"/>
          <w:szCs w:val="24"/>
        </w:rPr>
        <w:t xml:space="preserve"> (1</w:t>
      </w:r>
      <w:r w:rsidR="00660609" w:rsidRPr="00BA215E">
        <w:rPr>
          <w:sz w:val="24"/>
          <w:szCs w:val="24"/>
        </w:rPr>
        <w:t>5</w:t>
      </w:r>
      <w:r w:rsidRPr="00BA215E">
        <w:rPr>
          <w:sz w:val="24"/>
          <w:szCs w:val="24"/>
        </w:rPr>
        <w:t>) calendar days of service</w:t>
      </w:r>
      <w:r w:rsidR="00660609" w:rsidRPr="00BA215E">
        <w:rPr>
          <w:sz w:val="24"/>
          <w:szCs w:val="24"/>
        </w:rPr>
        <w:t xml:space="preserve"> prior to the service of Other Parties’ Direct Testimony on July 24, 2013 and within ten (10) calendar days of service after that date</w:t>
      </w:r>
      <w:r w:rsidRPr="00BA215E">
        <w:rPr>
          <w:sz w:val="24"/>
          <w:szCs w:val="24"/>
        </w:rPr>
        <w:t>.</w:t>
      </w:r>
    </w:p>
    <w:p w:rsidR="00BA215E" w:rsidRPr="00BA215E" w:rsidRDefault="00BA215E" w:rsidP="00BA215E">
      <w:pPr>
        <w:pStyle w:val="ListParagraph"/>
        <w:autoSpaceDE w:val="0"/>
        <w:autoSpaceDN w:val="0"/>
        <w:adjustRightInd w:val="0"/>
        <w:ind w:left="1800" w:right="1440"/>
        <w:rPr>
          <w:sz w:val="24"/>
          <w:szCs w:val="24"/>
        </w:rPr>
      </w:pPr>
    </w:p>
    <w:p w:rsidR="00D056B4" w:rsidRPr="00BA215E" w:rsidRDefault="00D056B4" w:rsidP="00BA215E">
      <w:pPr>
        <w:pStyle w:val="ListParagraph"/>
        <w:numPr>
          <w:ilvl w:val="0"/>
          <w:numId w:val="8"/>
        </w:numPr>
        <w:autoSpaceDE w:val="0"/>
        <w:autoSpaceDN w:val="0"/>
        <w:adjustRightInd w:val="0"/>
        <w:ind w:left="2160" w:right="1440" w:hanging="720"/>
        <w:rPr>
          <w:sz w:val="24"/>
          <w:szCs w:val="24"/>
        </w:rPr>
      </w:pPr>
      <w:r w:rsidRPr="00BA215E">
        <w:rPr>
          <w:sz w:val="24"/>
          <w:szCs w:val="24"/>
        </w:rPr>
        <w:t>Objections to interrogatories shall be communicated orally within three (3) calendar days of service of the interrogatories; unresolved objections shall be served to the ALJ in writing within five (5) days of service of the interrogatories.</w:t>
      </w:r>
    </w:p>
    <w:p w:rsidR="00BA215E" w:rsidRPr="00BA215E" w:rsidRDefault="00BA215E" w:rsidP="00BA215E">
      <w:pPr>
        <w:pStyle w:val="ListParagraph"/>
        <w:autoSpaceDE w:val="0"/>
        <w:autoSpaceDN w:val="0"/>
        <w:adjustRightInd w:val="0"/>
        <w:ind w:left="1800" w:right="1440"/>
        <w:rPr>
          <w:sz w:val="24"/>
          <w:szCs w:val="24"/>
        </w:rPr>
      </w:pPr>
    </w:p>
    <w:p w:rsidR="00D056B4" w:rsidRPr="00BA215E" w:rsidRDefault="00D056B4" w:rsidP="00BA215E">
      <w:pPr>
        <w:pStyle w:val="ListParagraph"/>
        <w:numPr>
          <w:ilvl w:val="0"/>
          <w:numId w:val="8"/>
        </w:numPr>
        <w:autoSpaceDE w:val="0"/>
        <w:autoSpaceDN w:val="0"/>
        <w:adjustRightInd w:val="0"/>
        <w:ind w:left="2160" w:right="1440" w:hanging="720"/>
        <w:rPr>
          <w:sz w:val="24"/>
          <w:szCs w:val="24"/>
        </w:rPr>
      </w:pPr>
      <w:r w:rsidRPr="00BA215E">
        <w:rPr>
          <w:sz w:val="24"/>
          <w:szCs w:val="24"/>
        </w:rPr>
        <w:t>Motions to dismiss objections and/or direct the answering of interrogatories shall be filed within three (3) calendar days of service of the written objections.</w:t>
      </w:r>
    </w:p>
    <w:p w:rsidR="00BA215E" w:rsidRPr="00BA215E" w:rsidRDefault="00BA215E" w:rsidP="00BA215E">
      <w:pPr>
        <w:pStyle w:val="ListParagraph"/>
        <w:rPr>
          <w:sz w:val="24"/>
          <w:szCs w:val="24"/>
        </w:rPr>
      </w:pPr>
    </w:p>
    <w:p w:rsidR="00D056B4" w:rsidRPr="00BA215E" w:rsidRDefault="00D056B4" w:rsidP="00BA215E">
      <w:pPr>
        <w:pStyle w:val="ListParagraph"/>
        <w:numPr>
          <w:ilvl w:val="0"/>
          <w:numId w:val="8"/>
        </w:numPr>
        <w:autoSpaceDE w:val="0"/>
        <w:autoSpaceDN w:val="0"/>
        <w:adjustRightInd w:val="0"/>
        <w:ind w:left="2160" w:right="1440" w:hanging="720"/>
        <w:rPr>
          <w:sz w:val="24"/>
          <w:szCs w:val="24"/>
        </w:rPr>
      </w:pPr>
      <w:r w:rsidRPr="00BA215E">
        <w:rPr>
          <w:sz w:val="24"/>
          <w:szCs w:val="24"/>
        </w:rPr>
        <w:t>Answers to motions to dismiss objections and/or answering of interrogatories shall be filed within three (3) calendar days of service of such motions.</w:t>
      </w:r>
    </w:p>
    <w:p w:rsidR="00BA215E" w:rsidRPr="00BA215E" w:rsidRDefault="00BA215E" w:rsidP="00BA215E">
      <w:pPr>
        <w:pStyle w:val="ListParagraph"/>
        <w:rPr>
          <w:sz w:val="24"/>
          <w:szCs w:val="24"/>
        </w:rPr>
      </w:pPr>
    </w:p>
    <w:p w:rsidR="00D056B4" w:rsidRPr="00BA215E" w:rsidRDefault="00D056B4" w:rsidP="00BA215E">
      <w:pPr>
        <w:pStyle w:val="ListParagraph"/>
        <w:numPr>
          <w:ilvl w:val="0"/>
          <w:numId w:val="8"/>
        </w:numPr>
        <w:autoSpaceDE w:val="0"/>
        <w:autoSpaceDN w:val="0"/>
        <w:adjustRightInd w:val="0"/>
        <w:ind w:left="2070" w:right="1440" w:hanging="630"/>
        <w:rPr>
          <w:sz w:val="24"/>
          <w:szCs w:val="24"/>
        </w:rPr>
      </w:pPr>
      <w:r w:rsidRPr="00BA215E">
        <w:rPr>
          <w:sz w:val="24"/>
          <w:szCs w:val="24"/>
        </w:rPr>
        <w:t xml:space="preserve">Ruling over such motions shall be issued, if possible, within seven (7) calendar days of the filing of the motion. </w:t>
      </w:r>
    </w:p>
    <w:p w:rsidR="00BA215E" w:rsidRPr="00BA215E" w:rsidRDefault="00BA215E" w:rsidP="00BA215E">
      <w:pPr>
        <w:pStyle w:val="ListParagraph"/>
        <w:rPr>
          <w:sz w:val="24"/>
          <w:szCs w:val="24"/>
        </w:rPr>
      </w:pPr>
    </w:p>
    <w:p w:rsidR="00BA215E" w:rsidRPr="00BA215E" w:rsidRDefault="00BA215E" w:rsidP="00BA215E">
      <w:pPr>
        <w:pStyle w:val="ListParagraph"/>
        <w:autoSpaceDE w:val="0"/>
        <w:autoSpaceDN w:val="0"/>
        <w:adjustRightInd w:val="0"/>
        <w:ind w:left="1800" w:right="1440"/>
        <w:rPr>
          <w:sz w:val="24"/>
          <w:szCs w:val="24"/>
        </w:rPr>
      </w:pPr>
    </w:p>
    <w:p w:rsidR="00B63EE9" w:rsidRPr="00EC2B1B" w:rsidRDefault="00660609" w:rsidP="00EC2B1B">
      <w:pPr>
        <w:pStyle w:val="ListParagraph"/>
        <w:numPr>
          <w:ilvl w:val="0"/>
          <w:numId w:val="8"/>
        </w:numPr>
        <w:autoSpaceDE w:val="0"/>
        <w:autoSpaceDN w:val="0"/>
        <w:adjustRightInd w:val="0"/>
        <w:ind w:left="2160" w:right="1440" w:hanging="720"/>
        <w:rPr>
          <w:sz w:val="24"/>
          <w:szCs w:val="24"/>
        </w:rPr>
      </w:pPr>
      <w:r w:rsidRPr="00EC2B1B">
        <w:rPr>
          <w:sz w:val="24"/>
          <w:szCs w:val="24"/>
        </w:rPr>
        <w:lastRenderedPageBreak/>
        <w:t xml:space="preserve">Responses to </w:t>
      </w:r>
      <w:r w:rsidR="00B63EE9" w:rsidRPr="00EC2B1B">
        <w:rPr>
          <w:sz w:val="24"/>
          <w:szCs w:val="24"/>
        </w:rPr>
        <w:t>requests for document production, entry for inspection, or other purposes shall be served in-hand within ten (10) calendar days</w:t>
      </w:r>
      <w:r w:rsidR="00E04BC8">
        <w:rPr>
          <w:sz w:val="24"/>
          <w:szCs w:val="24"/>
        </w:rPr>
        <w:t>.</w:t>
      </w:r>
    </w:p>
    <w:p w:rsidR="00EC2B1B" w:rsidRPr="00EC2B1B" w:rsidRDefault="00EC2B1B" w:rsidP="00EC2B1B">
      <w:pPr>
        <w:pStyle w:val="ListParagraph"/>
        <w:autoSpaceDE w:val="0"/>
        <w:autoSpaceDN w:val="0"/>
        <w:adjustRightInd w:val="0"/>
        <w:ind w:left="1800" w:right="1440"/>
        <w:rPr>
          <w:sz w:val="24"/>
          <w:szCs w:val="24"/>
        </w:rPr>
      </w:pPr>
    </w:p>
    <w:p w:rsidR="00B63EE9" w:rsidRPr="00D056B4" w:rsidRDefault="00D056B4" w:rsidP="00B63EE9">
      <w:pPr>
        <w:autoSpaceDE w:val="0"/>
        <w:autoSpaceDN w:val="0"/>
        <w:adjustRightInd w:val="0"/>
        <w:ind w:left="2160" w:right="1440" w:hanging="720"/>
        <w:rPr>
          <w:color w:val="000000"/>
          <w:sz w:val="24"/>
          <w:szCs w:val="24"/>
        </w:rPr>
      </w:pPr>
      <w:r w:rsidRPr="00D056B4">
        <w:rPr>
          <w:color w:val="000000"/>
          <w:sz w:val="24"/>
          <w:szCs w:val="24"/>
        </w:rPr>
        <w:t>7.</w:t>
      </w:r>
      <w:r w:rsidRPr="00D056B4">
        <w:rPr>
          <w:color w:val="000000"/>
          <w:sz w:val="24"/>
          <w:szCs w:val="24"/>
        </w:rPr>
        <w:tab/>
      </w:r>
      <w:r w:rsidR="00B63EE9" w:rsidRPr="00D056B4">
        <w:rPr>
          <w:color w:val="000000"/>
          <w:sz w:val="24"/>
          <w:szCs w:val="24"/>
        </w:rPr>
        <w:t xml:space="preserve">Requests for admissions </w:t>
      </w:r>
      <w:r w:rsidR="00B63EE9">
        <w:rPr>
          <w:color w:val="000000"/>
          <w:sz w:val="24"/>
          <w:szCs w:val="24"/>
        </w:rPr>
        <w:t>shall</w:t>
      </w:r>
      <w:r w:rsidR="00B63EE9" w:rsidRPr="00D056B4">
        <w:rPr>
          <w:color w:val="000000"/>
          <w:sz w:val="24"/>
          <w:szCs w:val="24"/>
        </w:rPr>
        <w:t xml:space="preserve"> be deemed admitted unless answered within ten (10) calendar days or objected to within five (5) calendar days of service.</w:t>
      </w:r>
    </w:p>
    <w:p w:rsidR="00D056B4" w:rsidRPr="00D056B4" w:rsidRDefault="00D056B4" w:rsidP="00D056B4">
      <w:pPr>
        <w:autoSpaceDE w:val="0"/>
        <w:autoSpaceDN w:val="0"/>
        <w:adjustRightInd w:val="0"/>
        <w:ind w:left="2160" w:right="1440" w:hanging="720"/>
        <w:rPr>
          <w:color w:val="000000"/>
          <w:sz w:val="24"/>
          <w:szCs w:val="24"/>
        </w:rPr>
      </w:pPr>
    </w:p>
    <w:p w:rsidR="00D056B4" w:rsidRPr="00D056B4" w:rsidRDefault="00D056B4" w:rsidP="00D056B4">
      <w:pPr>
        <w:tabs>
          <w:tab w:val="left" w:pos="720"/>
        </w:tabs>
        <w:autoSpaceDE w:val="0"/>
        <w:autoSpaceDN w:val="0"/>
        <w:adjustRightInd w:val="0"/>
        <w:ind w:left="2160" w:right="1440" w:hanging="720"/>
        <w:rPr>
          <w:color w:val="000000"/>
          <w:sz w:val="24"/>
          <w:szCs w:val="24"/>
        </w:rPr>
      </w:pPr>
      <w:r w:rsidRPr="00D056B4">
        <w:rPr>
          <w:color w:val="000000"/>
          <w:sz w:val="24"/>
          <w:szCs w:val="24"/>
        </w:rPr>
        <w:t>8</w:t>
      </w:r>
      <w:r>
        <w:rPr>
          <w:color w:val="000000"/>
          <w:sz w:val="24"/>
          <w:szCs w:val="24"/>
        </w:rPr>
        <w:t>.</w:t>
      </w:r>
      <w:r>
        <w:rPr>
          <w:color w:val="000000"/>
          <w:sz w:val="24"/>
          <w:szCs w:val="24"/>
        </w:rPr>
        <w:tab/>
        <w:t>A</w:t>
      </w:r>
      <w:r w:rsidRPr="00D056B4">
        <w:rPr>
          <w:color w:val="000000"/>
          <w:sz w:val="24"/>
          <w:szCs w:val="24"/>
        </w:rPr>
        <w:t>ny discovery served after 12</w:t>
      </w:r>
      <w:r>
        <w:rPr>
          <w:color w:val="000000"/>
          <w:sz w:val="24"/>
          <w:szCs w:val="24"/>
        </w:rPr>
        <w:t>:00 p.m.</w:t>
      </w:r>
      <w:r w:rsidR="00B63EE9">
        <w:rPr>
          <w:color w:val="000000"/>
          <w:sz w:val="24"/>
          <w:szCs w:val="24"/>
        </w:rPr>
        <w:t xml:space="preserve"> </w:t>
      </w:r>
      <w:r w:rsidRPr="00D056B4">
        <w:rPr>
          <w:color w:val="000000"/>
          <w:sz w:val="24"/>
          <w:szCs w:val="24"/>
        </w:rPr>
        <w:t>on a Friday</w:t>
      </w:r>
      <w:r w:rsidR="00B63EE9">
        <w:rPr>
          <w:color w:val="000000"/>
          <w:sz w:val="24"/>
          <w:szCs w:val="24"/>
        </w:rPr>
        <w:t xml:space="preserve"> or the day before a Pennsylvania state holiday</w:t>
      </w:r>
      <w:r w:rsidRPr="00D056B4">
        <w:rPr>
          <w:color w:val="000000"/>
          <w:sz w:val="24"/>
          <w:szCs w:val="24"/>
        </w:rPr>
        <w:t xml:space="preserve"> will be deemed to have been served on the following business day for purposes of tracking due dates.</w:t>
      </w:r>
    </w:p>
    <w:p w:rsidR="00A66924" w:rsidRDefault="00A66924" w:rsidP="00B34559">
      <w:pPr>
        <w:spacing w:line="360" w:lineRule="auto"/>
        <w:rPr>
          <w:sz w:val="24"/>
          <w:szCs w:val="24"/>
        </w:rPr>
      </w:pPr>
      <w:r>
        <w:rPr>
          <w:sz w:val="24"/>
          <w:szCs w:val="24"/>
        </w:rPr>
        <w:t xml:space="preserve"> </w:t>
      </w:r>
    </w:p>
    <w:p w:rsidR="00B34559" w:rsidRPr="00C055EF" w:rsidRDefault="00B34559" w:rsidP="00B34559">
      <w:pPr>
        <w:pStyle w:val="Footer"/>
        <w:tabs>
          <w:tab w:val="clear" w:pos="4320"/>
          <w:tab w:val="clear" w:pos="8640"/>
        </w:tabs>
        <w:spacing w:line="360" w:lineRule="auto"/>
        <w:jc w:val="center"/>
        <w:rPr>
          <w:sz w:val="24"/>
          <w:szCs w:val="24"/>
        </w:rPr>
      </w:pPr>
      <w:r w:rsidRPr="00C055EF">
        <w:rPr>
          <w:b/>
          <w:sz w:val="24"/>
          <w:szCs w:val="24"/>
          <w:u w:val="single"/>
        </w:rPr>
        <w:t>Settlement and Stipulations</w:t>
      </w:r>
    </w:p>
    <w:p w:rsidR="00B34559" w:rsidRPr="00C055EF" w:rsidRDefault="00B34559" w:rsidP="00B34559">
      <w:pPr>
        <w:pStyle w:val="Footer"/>
        <w:tabs>
          <w:tab w:val="clear" w:pos="4320"/>
          <w:tab w:val="clear" w:pos="8640"/>
        </w:tabs>
        <w:spacing w:line="360" w:lineRule="auto"/>
        <w:rPr>
          <w:sz w:val="24"/>
          <w:szCs w:val="24"/>
        </w:rPr>
      </w:pPr>
    </w:p>
    <w:p w:rsidR="00B34559" w:rsidRPr="00C055EF" w:rsidRDefault="00B34559" w:rsidP="00B34559">
      <w:pPr>
        <w:pStyle w:val="Footer"/>
        <w:tabs>
          <w:tab w:val="clear" w:pos="4320"/>
          <w:tab w:val="clear" w:pos="8640"/>
        </w:tabs>
        <w:spacing w:line="360" w:lineRule="auto"/>
        <w:rPr>
          <w:sz w:val="24"/>
          <w:szCs w:val="24"/>
        </w:rPr>
      </w:pPr>
      <w:r w:rsidRPr="00C055EF">
        <w:rPr>
          <w:sz w:val="24"/>
          <w:szCs w:val="24"/>
        </w:rPr>
        <w:tab/>
      </w:r>
      <w:r w:rsidRPr="00C055EF">
        <w:rPr>
          <w:sz w:val="24"/>
          <w:szCs w:val="24"/>
        </w:rPr>
        <w:tab/>
        <w:t xml:space="preserve">The parties are reminded it is the Commission’s policy to encourage settlements.  </w:t>
      </w:r>
      <w:proofErr w:type="gramStart"/>
      <w:r w:rsidRPr="00C055EF">
        <w:rPr>
          <w:sz w:val="24"/>
          <w:szCs w:val="24"/>
        </w:rPr>
        <w:t>52 Pa. Code §5.231(a).</w:t>
      </w:r>
      <w:proofErr w:type="gramEnd"/>
      <w:r w:rsidRPr="00C055EF">
        <w:rPr>
          <w:sz w:val="24"/>
          <w:szCs w:val="24"/>
        </w:rPr>
        <w:t xml:space="preserve">  The parties are strongly urged to seriously explore this possibility.  If settlement is not feasible, the parties are encouraged to stipulate to any matters they reasonably can to expedite this proceeding, lessen the burden of time and expenses in litigation on all parties and conserve precious administrative hearing resources.  </w:t>
      </w:r>
      <w:proofErr w:type="gramStart"/>
      <w:r w:rsidRPr="00C055EF">
        <w:rPr>
          <w:sz w:val="24"/>
          <w:szCs w:val="24"/>
        </w:rPr>
        <w:t>52 Pa. Code §§5.232 and 5.234.</w:t>
      </w:r>
      <w:proofErr w:type="gramEnd"/>
      <w:r w:rsidRPr="00C055EF">
        <w:rPr>
          <w:sz w:val="24"/>
          <w:szCs w:val="24"/>
        </w:rPr>
        <w:t xml:space="preserve">  All stipulations entered into by the parties must be reduced to writing, signed by the parties to be bound thereby, and moved into the record during the hearings in this case.  An exception to this requirement may occur when circumstances of time and expediency warrant.  If so, an oral presentation of a stipulation is permissible, if it is followed by a reduction to writing as herein directed.</w:t>
      </w:r>
    </w:p>
    <w:p w:rsidR="00D96314" w:rsidRPr="00C055EF" w:rsidRDefault="00D96314" w:rsidP="00B34559">
      <w:pPr>
        <w:pStyle w:val="Footer"/>
        <w:tabs>
          <w:tab w:val="clear" w:pos="4320"/>
          <w:tab w:val="clear" w:pos="8640"/>
        </w:tabs>
        <w:spacing w:line="360" w:lineRule="auto"/>
        <w:jc w:val="center"/>
        <w:rPr>
          <w:b/>
          <w:sz w:val="24"/>
          <w:szCs w:val="24"/>
          <w:u w:val="single"/>
        </w:rPr>
      </w:pPr>
    </w:p>
    <w:p w:rsidR="00B34559" w:rsidRPr="00C055EF" w:rsidRDefault="00B34559" w:rsidP="00B34559">
      <w:pPr>
        <w:pStyle w:val="Footer"/>
        <w:tabs>
          <w:tab w:val="clear" w:pos="4320"/>
          <w:tab w:val="clear" w:pos="8640"/>
        </w:tabs>
        <w:spacing w:line="360" w:lineRule="auto"/>
        <w:jc w:val="center"/>
        <w:rPr>
          <w:sz w:val="24"/>
          <w:szCs w:val="24"/>
        </w:rPr>
      </w:pPr>
      <w:r w:rsidRPr="00C055EF">
        <w:rPr>
          <w:b/>
          <w:sz w:val="24"/>
          <w:szCs w:val="24"/>
          <w:u w:val="single"/>
        </w:rPr>
        <w:t>Cross-Examination</w:t>
      </w:r>
    </w:p>
    <w:p w:rsidR="00B34559" w:rsidRPr="00C055EF" w:rsidRDefault="00B34559" w:rsidP="00B34559">
      <w:pPr>
        <w:pStyle w:val="Footer"/>
        <w:tabs>
          <w:tab w:val="clear" w:pos="4320"/>
          <w:tab w:val="clear" w:pos="8640"/>
        </w:tabs>
        <w:spacing w:line="360" w:lineRule="auto"/>
        <w:rPr>
          <w:sz w:val="24"/>
          <w:szCs w:val="24"/>
        </w:rPr>
      </w:pPr>
    </w:p>
    <w:p w:rsidR="00B63EE9" w:rsidRDefault="00B34559" w:rsidP="00B34559">
      <w:pPr>
        <w:pStyle w:val="Footer"/>
        <w:tabs>
          <w:tab w:val="clear" w:pos="4320"/>
          <w:tab w:val="clear" w:pos="8640"/>
        </w:tabs>
        <w:spacing w:line="360" w:lineRule="auto"/>
        <w:rPr>
          <w:sz w:val="24"/>
          <w:szCs w:val="24"/>
        </w:rPr>
      </w:pPr>
      <w:r w:rsidRPr="00C055EF">
        <w:rPr>
          <w:sz w:val="24"/>
          <w:szCs w:val="24"/>
        </w:rPr>
        <w:tab/>
      </w:r>
      <w:r w:rsidRPr="00C055EF">
        <w:rPr>
          <w:sz w:val="24"/>
          <w:szCs w:val="24"/>
        </w:rPr>
        <w:tab/>
        <w:t xml:space="preserve">Friendly cross-examination or cumulative cross-examination during hearings will not be permitted.  </w:t>
      </w:r>
      <w:proofErr w:type="gramStart"/>
      <w:r w:rsidRPr="00C055EF">
        <w:rPr>
          <w:sz w:val="24"/>
          <w:szCs w:val="24"/>
        </w:rPr>
        <w:t>52 Pa. Code §§5.76 &amp; 5.243.</w:t>
      </w:r>
      <w:proofErr w:type="gramEnd"/>
    </w:p>
    <w:p w:rsidR="00D056B4" w:rsidRPr="00C055EF" w:rsidRDefault="00D056B4" w:rsidP="00B34559">
      <w:pPr>
        <w:pStyle w:val="Footer"/>
        <w:tabs>
          <w:tab w:val="clear" w:pos="4320"/>
          <w:tab w:val="clear" w:pos="8640"/>
        </w:tabs>
        <w:spacing w:line="360" w:lineRule="auto"/>
        <w:rPr>
          <w:sz w:val="24"/>
          <w:szCs w:val="24"/>
        </w:rPr>
      </w:pPr>
    </w:p>
    <w:p w:rsidR="006E5934" w:rsidRDefault="006E5934" w:rsidP="00B34559">
      <w:pPr>
        <w:pStyle w:val="Footer"/>
        <w:tabs>
          <w:tab w:val="clear" w:pos="4320"/>
          <w:tab w:val="clear" w:pos="8640"/>
        </w:tabs>
        <w:spacing w:line="360" w:lineRule="auto"/>
        <w:jc w:val="center"/>
        <w:rPr>
          <w:b/>
          <w:sz w:val="24"/>
          <w:szCs w:val="24"/>
          <w:u w:val="single"/>
        </w:rPr>
      </w:pPr>
    </w:p>
    <w:p w:rsidR="006E5934" w:rsidRDefault="006E5934" w:rsidP="00B34559">
      <w:pPr>
        <w:pStyle w:val="Footer"/>
        <w:tabs>
          <w:tab w:val="clear" w:pos="4320"/>
          <w:tab w:val="clear" w:pos="8640"/>
        </w:tabs>
        <w:spacing w:line="360" w:lineRule="auto"/>
        <w:jc w:val="center"/>
        <w:rPr>
          <w:b/>
          <w:sz w:val="24"/>
          <w:szCs w:val="24"/>
          <w:u w:val="single"/>
        </w:rPr>
      </w:pPr>
    </w:p>
    <w:p w:rsidR="006E5934" w:rsidRDefault="006E5934" w:rsidP="00B34559">
      <w:pPr>
        <w:pStyle w:val="Footer"/>
        <w:tabs>
          <w:tab w:val="clear" w:pos="4320"/>
          <w:tab w:val="clear" w:pos="8640"/>
        </w:tabs>
        <w:spacing w:line="360" w:lineRule="auto"/>
        <w:jc w:val="center"/>
        <w:rPr>
          <w:b/>
          <w:sz w:val="24"/>
          <w:szCs w:val="24"/>
          <w:u w:val="single"/>
        </w:rPr>
      </w:pPr>
    </w:p>
    <w:p w:rsidR="006E5934" w:rsidRDefault="006E5934" w:rsidP="00B34559">
      <w:pPr>
        <w:pStyle w:val="Footer"/>
        <w:tabs>
          <w:tab w:val="clear" w:pos="4320"/>
          <w:tab w:val="clear" w:pos="8640"/>
        </w:tabs>
        <w:spacing w:line="360" w:lineRule="auto"/>
        <w:jc w:val="center"/>
        <w:rPr>
          <w:b/>
          <w:sz w:val="24"/>
          <w:szCs w:val="24"/>
          <w:u w:val="single"/>
        </w:rPr>
      </w:pPr>
    </w:p>
    <w:p w:rsidR="00B34559" w:rsidRPr="00C055EF" w:rsidRDefault="00B34559" w:rsidP="00B34559">
      <w:pPr>
        <w:pStyle w:val="Footer"/>
        <w:tabs>
          <w:tab w:val="clear" w:pos="4320"/>
          <w:tab w:val="clear" w:pos="8640"/>
        </w:tabs>
        <w:spacing w:line="360" w:lineRule="auto"/>
        <w:jc w:val="center"/>
        <w:rPr>
          <w:sz w:val="24"/>
          <w:szCs w:val="24"/>
        </w:rPr>
      </w:pPr>
      <w:r w:rsidRPr="00C055EF">
        <w:rPr>
          <w:b/>
          <w:sz w:val="24"/>
          <w:szCs w:val="24"/>
          <w:u w:val="single"/>
        </w:rPr>
        <w:lastRenderedPageBreak/>
        <w:t>Briefs</w:t>
      </w:r>
      <w:r w:rsidR="00003E71">
        <w:rPr>
          <w:b/>
          <w:sz w:val="24"/>
          <w:szCs w:val="24"/>
          <w:u w:val="single"/>
        </w:rPr>
        <w:t xml:space="preserve"> and Reply Briefs</w:t>
      </w:r>
    </w:p>
    <w:p w:rsidR="00B34559" w:rsidRPr="00C055EF" w:rsidRDefault="00B34559" w:rsidP="00B34559">
      <w:pPr>
        <w:pStyle w:val="Footer"/>
        <w:tabs>
          <w:tab w:val="clear" w:pos="4320"/>
          <w:tab w:val="clear" w:pos="8640"/>
        </w:tabs>
        <w:spacing w:line="360" w:lineRule="auto"/>
        <w:rPr>
          <w:sz w:val="24"/>
          <w:szCs w:val="24"/>
        </w:rPr>
      </w:pPr>
    </w:p>
    <w:p w:rsidR="00F436B7" w:rsidRDefault="00B34559" w:rsidP="00B34559">
      <w:pPr>
        <w:pStyle w:val="Footer"/>
        <w:tabs>
          <w:tab w:val="clear" w:pos="4320"/>
          <w:tab w:val="clear" w:pos="8640"/>
        </w:tabs>
        <w:spacing w:line="360" w:lineRule="auto"/>
        <w:rPr>
          <w:sz w:val="24"/>
          <w:szCs w:val="24"/>
        </w:rPr>
      </w:pPr>
      <w:r w:rsidRPr="00C055EF">
        <w:rPr>
          <w:sz w:val="24"/>
          <w:szCs w:val="24"/>
        </w:rPr>
        <w:tab/>
      </w:r>
      <w:r w:rsidRPr="00C055EF">
        <w:rPr>
          <w:sz w:val="24"/>
          <w:szCs w:val="24"/>
        </w:rPr>
        <w:tab/>
        <w:t xml:space="preserve">The parties must comply with 52 </w:t>
      </w:r>
      <w:smartTag w:uri="urn:schemas-microsoft-com:office:smarttags" w:element="State">
        <w:smartTag w:uri="urn:schemas-microsoft-com:office:smarttags" w:element="place">
          <w:r w:rsidRPr="00C055EF">
            <w:rPr>
              <w:sz w:val="24"/>
              <w:szCs w:val="24"/>
            </w:rPr>
            <w:t>Pa.</w:t>
          </w:r>
        </w:smartTag>
      </w:smartTag>
      <w:r w:rsidRPr="00C055EF">
        <w:rPr>
          <w:sz w:val="24"/>
          <w:szCs w:val="24"/>
        </w:rPr>
        <w:t xml:space="preserve"> Code §§5.501, </w:t>
      </w:r>
      <w:r w:rsidRPr="00C055EF">
        <w:rPr>
          <w:i/>
          <w:sz w:val="24"/>
          <w:szCs w:val="24"/>
        </w:rPr>
        <w:t>et</w:t>
      </w:r>
      <w:r w:rsidRPr="00C055EF">
        <w:rPr>
          <w:sz w:val="24"/>
          <w:szCs w:val="24"/>
        </w:rPr>
        <w:t xml:space="preserve"> </w:t>
      </w:r>
      <w:r w:rsidRPr="00C055EF">
        <w:rPr>
          <w:i/>
          <w:sz w:val="24"/>
          <w:szCs w:val="24"/>
        </w:rPr>
        <w:t>seq</w:t>
      </w:r>
      <w:r w:rsidRPr="00C055EF">
        <w:rPr>
          <w:sz w:val="24"/>
          <w:szCs w:val="24"/>
        </w:rPr>
        <w:t>., regarding the preparation and filing of briefs.</w:t>
      </w:r>
      <w:r w:rsidR="00003E71">
        <w:rPr>
          <w:rStyle w:val="FootnoteReference"/>
          <w:sz w:val="24"/>
          <w:szCs w:val="24"/>
        </w:rPr>
        <w:footnoteReference w:id="2"/>
      </w:r>
      <w:r w:rsidRPr="00C055EF">
        <w:rPr>
          <w:sz w:val="24"/>
          <w:szCs w:val="24"/>
        </w:rPr>
        <w:t xml:space="preserve">  </w:t>
      </w:r>
      <w:r w:rsidR="00F436B7">
        <w:rPr>
          <w:sz w:val="24"/>
          <w:szCs w:val="24"/>
        </w:rPr>
        <w:t>Briefs must include proposed Findings of Fact, with citations to the record,</w:t>
      </w:r>
      <w:r w:rsidR="0092526B">
        <w:rPr>
          <w:sz w:val="24"/>
          <w:szCs w:val="24"/>
        </w:rPr>
        <w:t xml:space="preserve"> </w:t>
      </w:r>
      <w:r w:rsidR="00F436B7">
        <w:rPr>
          <w:sz w:val="24"/>
          <w:szCs w:val="24"/>
        </w:rPr>
        <w:t>proposed Conclusions of Law</w:t>
      </w:r>
      <w:r w:rsidR="0092526B">
        <w:rPr>
          <w:sz w:val="24"/>
          <w:szCs w:val="24"/>
        </w:rPr>
        <w:t xml:space="preserve"> and proposed Ordering paragraphs</w:t>
      </w:r>
      <w:r w:rsidR="00F436B7">
        <w:rPr>
          <w:sz w:val="24"/>
          <w:szCs w:val="24"/>
        </w:rPr>
        <w:t xml:space="preserve">.  </w:t>
      </w:r>
      <w:r w:rsidRPr="00C055EF">
        <w:rPr>
          <w:sz w:val="24"/>
          <w:szCs w:val="24"/>
        </w:rPr>
        <w:t xml:space="preserve">Page limitations on briefs </w:t>
      </w:r>
      <w:r w:rsidR="0092526B">
        <w:rPr>
          <w:sz w:val="24"/>
          <w:szCs w:val="24"/>
        </w:rPr>
        <w:t xml:space="preserve">and a common brief outline </w:t>
      </w:r>
      <w:r w:rsidRPr="00C055EF">
        <w:rPr>
          <w:sz w:val="24"/>
          <w:szCs w:val="24"/>
        </w:rPr>
        <w:t>will be discussed on or before the last day of hearing.  Where possible, the parties shall submit to</w:t>
      </w:r>
      <w:r w:rsidR="00F436B7">
        <w:rPr>
          <w:sz w:val="24"/>
          <w:szCs w:val="24"/>
        </w:rPr>
        <w:t xml:space="preserve"> the P</w:t>
      </w:r>
      <w:r w:rsidR="0092526B">
        <w:rPr>
          <w:sz w:val="24"/>
          <w:szCs w:val="24"/>
        </w:rPr>
        <w:t>residing ALJ</w:t>
      </w:r>
      <w:r w:rsidRPr="00C055EF">
        <w:rPr>
          <w:sz w:val="24"/>
          <w:szCs w:val="24"/>
        </w:rPr>
        <w:t xml:space="preserve"> one hard copy of their briefs and one copy by email</w:t>
      </w:r>
      <w:r w:rsidR="00F436B7">
        <w:rPr>
          <w:sz w:val="24"/>
          <w:szCs w:val="24"/>
        </w:rPr>
        <w:t xml:space="preserve">.  </w:t>
      </w:r>
      <w:r w:rsidRPr="00C055EF">
        <w:rPr>
          <w:sz w:val="24"/>
          <w:szCs w:val="24"/>
        </w:rPr>
        <w:t xml:space="preserve">The electronic version of a brief must be prepared on an </w:t>
      </w:r>
      <w:smartTag w:uri="urn:schemas-microsoft-com:office:smarttags" w:element="stockticker">
        <w:r w:rsidRPr="00C055EF">
          <w:rPr>
            <w:sz w:val="24"/>
            <w:szCs w:val="24"/>
          </w:rPr>
          <w:t>IBM</w:t>
        </w:r>
      </w:smartTag>
      <w:r w:rsidRPr="00C055EF">
        <w:rPr>
          <w:sz w:val="24"/>
          <w:szCs w:val="24"/>
        </w:rPr>
        <w:t xml:space="preserve"> compatible system in </w:t>
      </w:r>
      <w:r w:rsidRPr="00C055EF">
        <w:rPr>
          <w:sz w:val="24"/>
          <w:szCs w:val="24"/>
          <w:u w:val="single"/>
        </w:rPr>
        <w:t xml:space="preserve">Microsoft </w:t>
      </w:r>
      <w:r w:rsidR="00654324" w:rsidRPr="00C055EF">
        <w:rPr>
          <w:sz w:val="24"/>
          <w:szCs w:val="24"/>
          <w:u w:val="single"/>
        </w:rPr>
        <w:t xml:space="preserve">Office </w:t>
      </w:r>
      <w:r w:rsidRPr="00C055EF">
        <w:rPr>
          <w:sz w:val="24"/>
          <w:szCs w:val="24"/>
          <w:u w:val="single"/>
        </w:rPr>
        <w:t>Word 20</w:t>
      </w:r>
      <w:r w:rsidR="00F436B7">
        <w:rPr>
          <w:sz w:val="24"/>
          <w:szCs w:val="24"/>
          <w:u w:val="single"/>
        </w:rPr>
        <w:t>10</w:t>
      </w:r>
      <w:r w:rsidRPr="00C055EF">
        <w:rPr>
          <w:sz w:val="24"/>
          <w:szCs w:val="24"/>
        </w:rPr>
        <w:t xml:space="preserve"> format or in an earlier version of this software application.  If in doubt, please call the office of the Presiding ALJ for clarification.</w:t>
      </w:r>
      <w:r w:rsidR="00654324" w:rsidRPr="00C055EF">
        <w:rPr>
          <w:sz w:val="24"/>
          <w:szCs w:val="24"/>
        </w:rPr>
        <w:tab/>
      </w:r>
      <w:r w:rsidR="00654324" w:rsidRPr="00C055EF">
        <w:rPr>
          <w:sz w:val="24"/>
          <w:szCs w:val="24"/>
        </w:rPr>
        <w:tab/>
      </w:r>
    </w:p>
    <w:p w:rsidR="00D15412" w:rsidRDefault="00D15412" w:rsidP="00B34559">
      <w:pPr>
        <w:pStyle w:val="Footer"/>
        <w:tabs>
          <w:tab w:val="clear" w:pos="4320"/>
          <w:tab w:val="clear" w:pos="8640"/>
        </w:tabs>
        <w:spacing w:line="360" w:lineRule="auto"/>
        <w:rPr>
          <w:sz w:val="24"/>
          <w:szCs w:val="24"/>
        </w:rPr>
      </w:pPr>
    </w:p>
    <w:p w:rsidR="00B34559" w:rsidRPr="00C055EF" w:rsidRDefault="00B34559" w:rsidP="00B34559">
      <w:pPr>
        <w:pStyle w:val="Footer"/>
        <w:tabs>
          <w:tab w:val="clear" w:pos="4320"/>
          <w:tab w:val="clear" w:pos="8640"/>
        </w:tabs>
        <w:spacing w:line="360" w:lineRule="auto"/>
        <w:jc w:val="center"/>
        <w:rPr>
          <w:sz w:val="24"/>
          <w:szCs w:val="24"/>
        </w:rPr>
      </w:pPr>
      <w:r w:rsidRPr="00C055EF">
        <w:rPr>
          <w:b/>
          <w:sz w:val="24"/>
          <w:szCs w:val="24"/>
          <w:u w:val="single"/>
        </w:rPr>
        <w:t>Modification</w:t>
      </w:r>
    </w:p>
    <w:p w:rsidR="00B34559" w:rsidRPr="00C055EF" w:rsidRDefault="00B34559" w:rsidP="00B34559">
      <w:pPr>
        <w:pStyle w:val="Footer"/>
        <w:tabs>
          <w:tab w:val="clear" w:pos="4320"/>
          <w:tab w:val="clear" w:pos="8640"/>
        </w:tabs>
        <w:spacing w:line="360" w:lineRule="auto"/>
        <w:rPr>
          <w:sz w:val="24"/>
          <w:szCs w:val="24"/>
        </w:rPr>
      </w:pPr>
    </w:p>
    <w:p w:rsidR="00B34559" w:rsidRPr="00C055EF" w:rsidRDefault="00B34559" w:rsidP="00B34559">
      <w:pPr>
        <w:pStyle w:val="Footer"/>
        <w:tabs>
          <w:tab w:val="clear" w:pos="4320"/>
          <w:tab w:val="clear" w:pos="8640"/>
        </w:tabs>
        <w:spacing w:line="360" w:lineRule="auto"/>
        <w:rPr>
          <w:spacing w:val="-3"/>
          <w:sz w:val="24"/>
          <w:szCs w:val="24"/>
        </w:rPr>
      </w:pPr>
      <w:r w:rsidRPr="00C055EF">
        <w:rPr>
          <w:sz w:val="24"/>
          <w:szCs w:val="24"/>
        </w:rPr>
        <w:tab/>
      </w:r>
      <w:r w:rsidRPr="00C055EF">
        <w:rPr>
          <w:sz w:val="24"/>
          <w:szCs w:val="24"/>
        </w:rPr>
        <w:tab/>
        <w:t xml:space="preserve">Any of the provisions of this </w:t>
      </w:r>
      <w:r w:rsidRPr="00C055EF">
        <w:rPr>
          <w:spacing w:val="-3"/>
          <w:sz w:val="24"/>
          <w:szCs w:val="24"/>
        </w:rPr>
        <w:t>Prehearing Order may be modified upon motion and good cause shown by any party in interest.</w:t>
      </w:r>
    </w:p>
    <w:p w:rsidR="00B34559" w:rsidRPr="00C055EF" w:rsidRDefault="00B34559" w:rsidP="00B34559">
      <w:pPr>
        <w:pStyle w:val="Footer"/>
        <w:tabs>
          <w:tab w:val="clear" w:pos="4320"/>
          <w:tab w:val="clear" w:pos="8640"/>
        </w:tabs>
        <w:spacing w:line="360" w:lineRule="auto"/>
        <w:rPr>
          <w:spacing w:val="-3"/>
          <w:sz w:val="24"/>
          <w:szCs w:val="24"/>
        </w:rPr>
      </w:pPr>
    </w:p>
    <w:p w:rsidR="00D96314" w:rsidRDefault="00D96314" w:rsidP="00B34559">
      <w:pPr>
        <w:pStyle w:val="Footer"/>
        <w:tabs>
          <w:tab w:val="clear" w:pos="4320"/>
          <w:tab w:val="clear" w:pos="8640"/>
        </w:tabs>
        <w:spacing w:line="360" w:lineRule="auto"/>
        <w:rPr>
          <w:spacing w:val="-3"/>
          <w:sz w:val="24"/>
          <w:szCs w:val="24"/>
        </w:rPr>
      </w:pPr>
    </w:p>
    <w:p w:rsidR="00467607" w:rsidRPr="00C055EF" w:rsidRDefault="00467607" w:rsidP="00B34559">
      <w:pPr>
        <w:pStyle w:val="Footer"/>
        <w:tabs>
          <w:tab w:val="clear" w:pos="4320"/>
          <w:tab w:val="clear" w:pos="8640"/>
        </w:tabs>
        <w:spacing w:line="360" w:lineRule="auto"/>
        <w:rPr>
          <w:spacing w:val="-3"/>
          <w:sz w:val="24"/>
          <w:szCs w:val="24"/>
        </w:rPr>
      </w:pPr>
    </w:p>
    <w:p w:rsidR="001A5CB4" w:rsidRPr="00C055EF" w:rsidRDefault="00B63EE9" w:rsidP="000B23CB">
      <w:pPr>
        <w:pStyle w:val="Footer"/>
        <w:tabs>
          <w:tab w:val="clear" w:pos="4320"/>
          <w:tab w:val="clear" w:pos="8640"/>
        </w:tabs>
        <w:rPr>
          <w:sz w:val="24"/>
          <w:szCs w:val="24"/>
        </w:rPr>
      </w:pPr>
      <w:r w:rsidRPr="00C055EF">
        <w:rPr>
          <w:spacing w:val="-3"/>
          <w:sz w:val="24"/>
          <w:szCs w:val="24"/>
        </w:rPr>
        <w:t xml:space="preserve">Date:  </w:t>
      </w:r>
      <w:r>
        <w:rPr>
          <w:spacing w:val="-3"/>
          <w:sz w:val="24"/>
          <w:szCs w:val="24"/>
          <w:u w:val="single"/>
        </w:rPr>
        <w:t>May 1</w:t>
      </w:r>
      <w:r w:rsidR="00467607">
        <w:rPr>
          <w:spacing w:val="-3"/>
          <w:sz w:val="24"/>
          <w:szCs w:val="24"/>
          <w:u w:val="single"/>
        </w:rPr>
        <w:t>4</w:t>
      </w:r>
      <w:r>
        <w:rPr>
          <w:spacing w:val="-3"/>
          <w:sz w:val="24"/>
          <w:szCs w:val="24"/>
          <w:u w:val="single"/>
        </w:rPr>
        <w:t>, 2013</w:t>
      </w:r>
      <w:r w:rsidR="001A5CB4" w:rsidRPr="00C055EF">
        <w:rPr>
          <w:sz w:val="24"/>
          <w:szCs w:val="24"/>
        </w:rPr>
        <w:tab/>
      </w:r>
      <w:r w:rsidR="000B23CB">
        <w:rPr>
          <w:sz w:val="24"/>
          <w:szCs w:val="24"/>
        </w:rPr>
        <w:tab/>
      </w:r>
      <w:r w:rsidR="000B23CB">
        <w:rPr>
          <w:sz w:val="24"/>
          <w:szCs w:val="24"/>
        </w:rPr>
        <w:tab/>
      </w:r>
      <w:r w:rsidR="000B23CB">
        <w:rPr>
          <w:sz w:val="24"/>
          <w:szCs w:val="24"/>
        </w:rPr>
        <w:tab/>
      </w:r>
      <w:r>
        <w:rPr>
          <w:sz w:val="24"/>
          <w:szCs w:val="24"/>
        </w:rPr>
        <w:tab/>
      </w:r>
      <w:r w:rsidR="00467607">
        <w:rPr>
          <w:sz w:val="24"/>
          <w:szCs w:val="24"/>
        </w:rPr>
        <w:tab/>
      </w:r>
      <w:r w:rsidR="001A5CB4" w:rsidRPr="00C055EF">
        <w:rPr>
          <w:sz w:val="24"/>
          <w:szCs w:val="24"/>
          <w:u w:val="single"/>
        </w:rPr>
        <w:tab/>
      </w:r>
      <w:r w:rsidR="001A5CB4" w:rsidRPr="00C055EF">
        <w:rPr>
          <w:sz w:val="24"/>
          <w:szCs w:val="24"/>
          <w:u w:val="single"/>
        </w:rPr>
        <w:tab/>
      </w:r>
      <w:r w:rsidR="001A5CB4" w:rsidRPr="00C055EF">
        <w:rPr>
          <w:sz w:val="24"/>
          <w:szCs w:val="24"/>
          <w:u w:val="single"/>
        </w:rPr>
        <w:tab/>
      </w:r>
      <w:r w:rsidR="001A5CB4" w:rsidRPr="00C055EF">
        <w:rPr>
          <w:sz w:val="24"/>
          <w:szCs w:val="24"/>
          <w:u w:val="single"/>
        </w:rPr>
        <w:tab/>
      </w:r>
      <w:r w:rsidR="001A5CB4" w:rsidRPr="00C055EF">
        <w:rPr>
          <w:sz w:val="24"/>
          <w:szCs w:val="24"/>
          <w:u w:val="single"/>
        </w:rPr>
        <w:tab/>
      </w:r>
    </w:p>
    <w:p w:rsidR="001A5CB4" w:rsidRPr="00C055EF" w:rsidRDefault="001A5CB4" w:rsidP="001A5CB4">
      <w:pPr>
        <w:rPr>
          <w:sz w:val="24"/>
          <w:szCs w:val="24"/>
        </w:rPr>
      </w:pPr>
      <w:r w:rsidRPr="00C055EF">
        <w:rPr>
          <w:sz w:val="24"/>
          <w:szCs w:val="24"/>
        </w:rPr>
        <w:tab/>
      </w:r>
      <w:r w:rsidRPr="00C055EF">
        <w:rPr>
          <w:sz w:val="24"/>
          <w:szCs w:val="24"/>
        </w:rPr>
        <w:tab/>
      </w:r>
      <w:r w:rsidRPr="00C055EF">
        <w:rPr>
          <w:sz w:val="24"/>
          <w:szCs w:val="24"/>
        </w:rPr>
        <w:tab/>
      </w:r>
      <w:r w:rsidRPr="00C055EF">
        <w:rPr>
          <w:sz w:val="24"/>
          <w:szCs w:val="24"/>
        </w:rPr>
        <w:tab/>
      </w:r>
      <w:r w:rsidRPr="00C055EF">
        <w:rPr>
          <w:sz w:val="24"/>
          <w:szCs w:val="24"/>
        </w:rPr>
        <w:tab/>
      </w:r>
      <w:r w:rsidRPr="00C055EF">
        <w:rPr>
          <w:sz w:val="24"/>
          <w:szCs w:val="24"/>
        </w:rPr>
        <w:tab/>
      </w:r>
      <w:r w:rsidRPr="00C055EF">
        <w:rPr>
          <w:sz w:val="24"/>
          <w:szCs w:val="24"/>
        </w:rPr>
        <w:tab/>
      </w:r>
      <w:r w:rsidR="00467607">
        <w:rPr>
          <w:sz w:val="24"/>
          <w:szCs w:val="24"/>
        </w:rPr>
        <w:tab/>
      </w:r>
      <w:r w:rsidRPr="00C055EF">
        <w:rPr>
          <w:sz w:val="24"/>
          <w:szCs w:val="24"/>
        </w:rPr>
        <w:t>Mark A. Hoyer</w:t>
      </w:r>
    </w:p>
    <w:p w:rsidR="001A5CB4" w:rsidRPr="00C055EF" w:rsidRDefault="001A5CB4" w:rsidP="001A5CB4">
      <w:pPr>
        <w:rPr>
          <w:sz w:val="24"/>
          <w:szCs w:val="24"/>
        </w:rPr>
      </w:pPr>
      <w:r w:rsidRPr="00C055EF">
        <w:rPr>
          <w:sz w:val="24"/>
          <w:szCs w:val="24"/>
        </w:rPr>
        <w:tab/>
      </w:r>
      <w:r w:rsidRPr="00C055EF">
        <w:rPr>
          <w:sz w:val="24"/>
          <w:szCs w:val="24"/>
        </w:rPr>
        <w:tab/>
      </w:r>
      <w:r w:rsidRPr="00C055EF">
        <w:rPr>
          <w:sz w:val="24"/>
          <w:szCs w:val="24"/>
        </w:rPr>
        <w:tab/>
      </w:r>
      <w:r w:rsidRPr="00C055EF">
        <w:rPr>
          <w:sz w:val="24"/>
          <w:szCs w:val="24"/>
        </w:rPr>
        <w:tab/>
      </w:r>
      <w:r w:rsidRPr="00C055EF">
        <w:rPr>
          <w:sz w:val="24"/>
          <w:szCs w:val="24"/>
        </w:rPr>
        <w:tab/>
      </w:r>
      <w:r w:rsidRPr="00C055EF">
        <w:rPr>
          <w:sz w:val="24"/>
          <w:szCs w:val="24"/>
        </w:rPr>
        <w:tab/>
      </w:r>
      <w:r w:rsidRPr="00C055EF">
        <w:rPr>
          <w:sz w:val="24"/>
          <w:szCs w:val="24"/>
        </w:rPr>
        <w:tab/>
      </w:r>
      <w:r w:rsidR="00467607">
        <w:rPr>
          <w:sz w:val="24"/>
          <w:szCs w:val="24"/>
        </w:rPr>
        <w:tab/>
      </w:r>
      <w:r w:rsidRPr="00C055EF">
        <w:rPr>
          <w:sz w:val="24"/>
          <w:szCs w:val="24"/>
        </w:rPr>
        <w:t>Administrative Law Judge</w:t>
      </w:r>
    </w:p>
    <w:p w:rsidR="00943570" w:rsidRDefault="00943570" w:rsidP="0038319B">
      <w:pPr>
        <w:rPr>
          <w:sz w:val="24"/>
          <w:szCs w:val="24"/>
        </w:rPr>
      </w:pPr>
    </w:p>
    <w:p w:rsidR="000B23CB" w:rsidRDefault="000B23CB" w:rsidP="0038319B">
      <w:pPr>
        <w:rPr>
          <w:sz w:val="24"/>
          <w:szCs w:val="24"/>
        </w:rPr>
      </w:pPr>
    </w:p>
    <w:p w:rsidR="000B23CB" w:rsidRDefault="000B23CB" w:rsidP="0038319B">
      <w:pPr>
        <w:rPr>
          <w:sz w:val="24"/>
          <w:szCs w:val="24"/>
        </w:rPr>
      </w:pPr>
    </w:p>
    <w:p w:rsidR="000B23CB" w:rsidRDefault="000B23CB" w:rsidP="0038319B">
      <w:pPr>
        <w:rPr>
          <w:sz w:val="24"/>
          <w:szCs w:val="24"/>
        </w:rPr>
      </w:pPr>
    </w:p>
    <w:sectPr w:rsidR="000B23CB" w:rsidSect="008F6C35">
      <w:footerReference w:type="even" r:id="rId10"/>
      <w:footerReference w:type="default" r:id="rId11"/>
      <w:endnotePr>
        <w:numFmt w:val="decimal"/>
      </w:endnotePr>
      <w:pgSz w:w="12240" w:h="15840" w:code="1"/>
      <w:pgMar w:top="1440" w:right="1440" w:bottom="1440" w:left="1440" w:header="1440" w:footer="720" w:gutter="0"/>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52EB" w:rsidRPr="0038319B" w:rsidRDefault="001B52EB">
      <w:pPr>
        <w:rPr>
          <w:sz w:val="19"/>
          <w:szCs w:val="19"/>
        </w:rPr>
      </w:pPr>
      <w:r w:rsidRPr="0038319B">
        <w:rPr>
          <w:sz w:val="19"/>
          <w:szCs w:val="19"/>
        </w:rPr>
        <w:separator/>
      </w:r>
    </w:p>
  </w:endnote>
  <w:endnote w:type="continuationSeparator" w:id="0">
    <w:p w:rsidR="001B52EB" w:rsidRPr="0038319B" w:rsidRDefault="001B52EB">
      <w:pPr>
        <w:rPr>
          <w:sz w:val="19"/>
          <w:szCs w:val="19"/>
        </w:rPr>
      </w:pPr>
      <w:r w:rsidRPr="0038319B">
        <w:rPr>
          <w:sz w:val="19"/>
          <w:szCs w:val="19"/>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23A6" w:rsidRPr="0038319B" w:rsidRDefault="00B123A6" w:rsidP="00B017E6">
    <w:pPr>
      <w:pStyle w:val="Footer"/>
      <w:framePr w:wrap="around" w:vAnchor="text" w:hAnchor="margin" w:xAlign="center" w:y="1"/>
      <w:rPr>
        <w:rStyle w:val="PageNumber"/>
        <w:sz w:val="19"/>
        <w:szCs w:val="19"/>
      </w:rPr>
    </w:pPr>
    <w:r w:rsidRPr="0038319B">
      <w:rPr>
        <w:rStyle w:val="PageNumber"/>
        <w:sz w:val="19"/>
        <w:szCs w:val="19"/>
      </w:rPr>
      <w:fldChar w:fldCharType="begin"/>
    </w:r>
    <w:r w:rsidRPr="0038319B">
      <w:rPr>
        <w:rStyle w:val="PageNumber"/>
        <w:sz w:val="19"/>
        <w:szCs w:val="19"/>
      </w:rPr>
      <w:instrText xml:space="preserve">PAGE  </w:instrText>
    </w:r>
    <w:r w:rsidRPr="0038319B">
      <w:rPr>
        <w:rStyle w:val="PageNumber"/>
        <w:sz w:val="19"/>
        <w:szCs w:val="19"/>
      </w:rPr>
      <w:fldChar w:fldCharType="end"/>
    </w:r>
  </w:p>
  <w:p w:rsidR="00B123A6" w:rsidRPr="0038319B" w:rsidRDefault="00B123A6">
    <w:pPr>
      <w:pStyle w:val="Footer"/>
      <w:rPr>
        <w:sz w:val="19"/>
        <w:szCs w:val="19"/>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23A6" w:rsidRDefault="00B123A6">
    <w:pPr>
      <w:pStyle w:val="Footer"/>
      <w:jc w:val="center"/>
    </w:pPr>
    <w:r>
      <w:fldChar w:fldCharType="begin"/>
    </w:r>
    <w:r>
      <w:instrText xml:space="preserve"> PAGE   \* MERGEFORMAT </w:instrText>
    </w:r>
    <w:r>
      <w:fldChar w:fldCharType="separate"/>
    </w:r>
    <w:r w:rsidR="002D6228">
      <w:rPr>
        <w:noProof/>
      </w:rPr>
      <w:t>3</w:t>
    </w:r>
    <w:r>
      <w:fldChar w:fldCharType="end"/>
    </w:r>
  </w:p>
  <w:p w:rsidR="00B123A6" w:rsidRDefault="00B123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52EB" w:rsidRPr="0038319B" w:rsidRDefault="001B52EB">
      <w:pPr>
        <w:rPr>
          <w:sz w:val="19"/>
          <w:szCs w:val="19"/>
        </w:rPr>
      </w:pPr>
      <w:r w:rsidRPr="0038319B">
        <w:rPr>
          <w:sz w:val="19"/>
          <w:szCs w:val="19"/>
        </w:rPr>
        <w:separator/>
      </w:r>
    </w:p>
  </w:footnote>
  <w:footnote w:type="continuationSeparator" w:id="0">
    <w:p w:rsidR="001B52EB" w:rsidRPr="0038319B" w:rsidRDefault="001B52EB">
      <w:pPr>
        <w:rPr>
          <w:sz w:val="19"/>
          <w:szCs w:val="19"/>
        </w:rPr>
      </w:pPr>
      <w:r w:rsidRPr="0038319B">
        <w:rPr>
          <w:sz w:val="19"/>
          <w:szCs w:val="19"/>
        </w:rPr>
        <w:continuationSeparator/>
      </w:r>
    </w:p>
  </w:footnote>
  <w:footnote w:id="1">
    <w:p w:rsidR="00E2745E" w:rsidRPr="00E2745E" w:rsidRDefault="00E2745E">
      <w:pPr>
        <w:pStyle w:val="FootnoteText"/>
        <w:rPr>
          <w:sz w:val="20"/>
        </w:rPr>
      </w:pPr>
      <w:r w:rsidRPr="00E2745E">
        <w:rPr>
          <w:rStyle w:val="FootnoteReference"/>
          <w:sz w:val="20"/>
        </w:rPr>
        <w:footnoteRef/>
      </w:r>
      <w:r w:rsidRPr="00E2745E">
        <w:rPr>
          <w:sz w:val="20"/>
        </w:rPr>
        <w:t xml:space="preserve"> The Petition to With</w:t>
      </w:r>
      <w:r>
        <w:rPr>
          <w:sz w:val="20"/>
        </w:rPr>
        <w:t>draw was captioned as a Notice of</w:t>
      </w:r>
      <w:r w:rsidRPr="00E2745E">
        <w:rPr>
          <w:sz w:val="20"/>
        </w:rPr>
        <w:t xml:space="preserve"> Withdraw</w:t>
      </w:r>
      <w:r>
        <w:rPr>
          <w:sz w:val="20"/>
        </w:rPr>
        <w:t>al</w:t>
      </w:r>
      <w:r w:rsidRPr="00E2745E">
        <w:rPr>
          <w:sz w:val="20"/>
        </w:rPr>
        <w:t xml:space="preserve">.  It was filed </w:t>
      </w:r>
      <w:r>
        <w:rPr>
          <w:sz w:val="20"/>
        </w:rPr>
        <w:t xml:space="preserve">on </w:t>
      </w:r>
      <w:r w:rsidRPr="00E2745E">
        <w:rPr>
          <w:sz w:val="20"/>
        </w:rPr>
        <w:t xml:space="preserve">May 8, 2013.  </w:t>
      </w:r>
    </w:p>
  </w:footnote>
  <w:footnote w:id="2">
    <w:p w:rsidR="00003E71" w:rsidRDefault="00003E71" w:rsidP="00682346">
      <w:pPr>
        <w:pStyle w:val="FootnoteText"/>
        <w:jc w:val="left"/>
      </w:pPr>
      <w:r>
        <w:rPr>
          <w:rStyle w:val="FootnoteReference"/>
        </w:rPr>
        <w:footnoteRef/>
      </w:r>
      <w:r>
        <w:t xml:space="preserve"> </w:t>
      </w:r>
      <w:r w:rsidRPr="00003E71">
        <w:rPr>
          <w:sz w:val="20"/>
        </w:rPr>
        <w:t>In a Secretarial Letter dated August 16, 2012, the Commission announced that it is temporarily waiving certain regulations.  By this letter the Commission eliminated the requirement to file nine addit</w:t>
      </w:r>
      <w:r>
        <w:rPr>
          <w:sz w:val="20"/>
        </w:rPr>
        <w:t>ional paper copies, beyond</w:t>
      </w:r>
      <w:r w:rsidRPr="00003E71">
        <w:rPr>
          <w:sz w:val="20"/>
        </w:rPr>
        <w:t xml:space="preserve"> a signed original, of both briefs and reply briefs.</w:t>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622D16"/>
    <w:multiLevelType w:val="hybridMultilevel"/>
    <w:tmpl w:val="AC82A1AC"/>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nsid w:val="3F11255A"/>
    <w:multiLevelType w:val="hybridMultilevel"/>
    <w:tmpl w:val="B5E6B5E8"/>
    <w:lvl w:ilvl="0" w:tplc="F52AFA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F111256"/>
    <w:multiLevelType w:val="hybridMultilevel"/>
    <w:tmpl w:val="475045E4"/>
    <w:lvl w:ilvl="0" w:tplc="0622917A">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2857DE4"/>
    <w:multiLevelType w:val="hybridMultilevel"/>
    <w:tmpl w:val="ECFC1BBE"/>
    <w:lvl w:ilvl="0" w:tplc="0409000F">
      <w:start w:val="1"/>
      <w:numFmt w:val="decimal"/>
      <w:lvlText w:val="%1."/>
      <w:lvlJc w:val="left"/>
      <w:pPr>
        <w:tabs>
          <w:tab w:val="num" w:pos="1108"/>
        </w:tabs>
        <w:ind w:left="1108" w:hanging="360"/>
      </w:pPr>
    </w:lvl>
    <w:lvl w:ilvl="1" w:tplc="04090019" w:tentative="1">
      <w:start w:val="1"/>
      <w:numFmt w:val="lowerLetter"/>
      <w:lvlText w:val="%2."/>
      <w:lvlJc w:val="left"/>
      <w:pPr>
        <w:tabs>
          <w:tab w:val="num" w:pos="1828"/>
        </w:tabs>
        <w:ind w:left="1828" w:hanging="360"/>
      </w:pPr>
    </w:lvl>
    <w:lvl w:ilvl="2" w:tplc="0409001B" w:tentative="1">
      <w:start w:val="1"/>
      <w:numFmt w:val="lowerRoman"/>
      <w:lvlText w:val="%3."/>
      <w:lvlJc w:val="right"/>
      <w:pPr>
        <w:tabs>
          <w:tab w:val="num" w:pos="2548"/>
        </w:tabs>
        <w:ind w:left="2548" w:hanging="180"/>
      </w:pPr>
    </w:lvl>
    <w:lvl w:ilvl="3" w:tplc="0409000F" w:tentative="1">
      <w:start w:val="1"/>
      <w:numFmt w:val="decimal"/>
      <w:lvlText w:val="%4."/>
      <w:lvlJc w:val="left"/>
      <w:pPr>
        <w:tabs>
          <w:tab w:val="num" w:pos="3268"/>
        </w:tabs>
        <w:ind w:left="3268" w:hanging="360"/>
      </w:pPr>
    </w:lvl>
    <w:lvl w:ilvl="4" w:tplc="04090019" w:tentative="1">
      <w:start w:val="1"/>
      <w:numFmt w:val="lowerLetter"/>
      <w:lvlText w:val="%5."/>
      <w:lvlJc w:val="left"/>
      <w:pPr>
        <w:tabs>
          <w:tab w:val="num" w:pos="3988"/>
        </w:tabs>
        <w:ind w:left="3988" w:hanging="360"/>
      </w:pPr>
    </w:lvl>
    <w:lvl w:ilvl="5" w:tplc="0409001B" w:tentative="1">
      <w:start w:val="1"/>
      <w:numFmt w:val="lowerRoman"/>
      <w:lvlText w:val="%6."/>
      <w:lvlJc w:val="right"/>
      <w:pPr>
        <w:tabs>
          <w:tab w:val="num" w:pos="4708"/>
        </w:tabs>
        <w:ind w:left="4708" w:hanging="180"/>
      </w:pPr>
    </w:lvl>
    <w:lvl w:ilvl="6" w:tplc="0409000F" w:tentative="1">
      <w:start w:val="1"/>
      <w:numFmt w:val="decimal"/>
      <w:lvlText w:val="%7."/>
      <w:lvlJc w:val="left"/>
      <w:pPr>
        <w:tabs>
          <w:tab w:val="num" w:pos="5428"/>
        </w:tabs>
        <w:ind w:left="5428" w:hanging="360"/>
      </w:pPr>
    </w:lvl>
    <w:lvl w:ilvl="7" w:tplc="04090019" w:tentative="1">
      <w:start w:val="1"/>
      <w:numFmt w:val="lowerLetter"/>
      <w:lvlText w:val="%8."/>
      <w:lvlJc w:val="left"/>
      <w:pPr>
        <w:tabs>
          <w:tab w:val="num" w:pos="6148"/>
        </w:tabs>
        <w:ind w:left="6148" w:hanging="360"/>
      </w:pPr>
    </w:lvl>
    <w:lvl w:ilvl="8" w:tplc="0409001B" w:tentative="1">
      <w:start w:val="1"/>
      <w:numFmt w:val="lowerRoman"/>
      <w:lvlText w:val="%9."/>
      <w:lvlJc w:val="right"/>
      <w:pPr>
        <w:tabs>
          <w:tab w:val="num" w:pos="6868"/>
        </w:tabs>
        <w:ind w:left="6868" w:hanging="180"/>
      </w:pPr>
    </w:lvl>
  </w:abstractNum>
  <w:abstractNum w:abstractNumId="4">
    <w:nsid w:val="553D4470"/>
    <w:multiLevelType w:val="hybridMultilevel"/>
    <w:tmpl w:val="8854A6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7825E70"/>
    <w:multiLevelType w:val="hybridMultilevel"/>
    <w:tmpl w:val="305A751C"/>
    <w:lvl w:ilvl="0" w:tplc="6B88C9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ABC0BBD"/>
    <w:multiLevelType w:val="singleLevel"/>
    <w:tmpl w:val="0409000F"/>
    <w:lvl w:ilvl="0">
      <w:start w:val="1"/>
      <w:numFmt w:val="decimal"/>
      <w:lvlText w:val="%1."/>
      <w:lvlJc w:val="left"/>
      <w:pPr>
        <w:tabs>
          <w:tab w:val="num" w:pos="360"/>
        </w:tabs>
        <w:ind w:left="360" w:hanging="360"/>
      </w:pPr>
    </w:lvl>
  </w:abstractNum>
  <w:abstractNum w:abstractNumId="7">
    <w:nsid w:val="7CE66853"/>
    <w:multiLevelType w:val="hybridMultilevel"/>
    <w:tmpl w:val="4178F27A"/>
    <w:lvl w:ilvl="0" w:tplc="C08E784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6"/>
  </w:num>
  <w:num w:numId="2">
    <w:abstractNumId w:val="0"/>
  </w:num>
  <w:num w:numId="3">
    <w:abstractNumId w:val="2"/>
  </w:num>
  <w:num w:numId="4">
    <w:abstractNumId w:val="4"/>
  </w:num>
  <w:num w:numId="5">
    <w:abstractNumId w:val="3"/>
  </w:num>
  <w:num w:numId="6">
    <w:abstractNumId w:val="5"/>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eventsink" w:val="27099120"/>
  </w:docVars>
  <w:rsids>
    <w:rsidRoot w:val="00D246EA"/>
    <w:rsid w:val="00002E71"/>
    <w:rsid w:val="00003E71"/>
    <w:rsid w:val="00007B24"/>
    <w:rsid w:val="00013385"/>
    <w:rsid w:val="0001444C"/>
    <w:rsid w:val="00015C87"/>
    <w:rsid w:val="00022031"/>
    <w:rsid w:val="00022664"/>
    <w:rsid w:val="00024AA5"/>
    <w:rsid w:val="00025122"/>
    <w:rsid w:val="000255FB"/>
    <w:rsid w:val="00025E28"/>
    <w:rsid w:val="00027E4C"/>
    <w:rsid w:val="00035D88"/>
    <w:rsid w:val="000404B5"/>
    <w:rsid w:val="00041943"/>
    <w:rsid w:val="00042860"/>
    <w:rsid w:val="00044944"/>
    <w:rsid w:val="000514DC"/>
    <w:rsid w:val="0005471E"/>
    <w:rsid w:val="00057138"/>
    <w:rsid w:val="0006554F"/>
    <w:rsid w:val="00070D98"/>
    <w:rsid w:val="000716B7"/>
    <w:rsid w:val="0007173C"/>
    <w:rsid w:val="00073388"/>
    <w:rsid w:val="000767FF"/>
    <w:rsid w:val="0008135A"/>
    <w:rsid w:val="00084258"/>
    <w:rsid w:val="00085BAF"/>
    <w:rsid w:val="00087CC5"/>
    <w:rsid w:val="0009005C"/>
    <w:rsid w:val="00093261"/>
    <w:rsid w:val="000945B0"/>
    <w:rsid w:val="00096D99"/>
    <w:rsid w:val="00096F74"/>
    <w:rsid w:val="000A510C"/>
    <w:rsid w:val="000A7EFE"/>
    <w:rsid w:val="000B13A9"/>
    <w:rsid w:val="000B23CB"/>
    <w:rsid w:val="000B629F"/>
    <w:rsid w:val="000C1A6B"/>
    <w:rsid w:val="000C269C"/>
    <w:rsid w:val="000C2C00"/>
    <w:rsid w:val="000C3925"/>
    <w:rsid w:val="000C40B9"/>
    <w:rsid w:val="000C5510"/>
    <w:rsid w:val="000C71B2"/>
    <w:rsid w:val="000D1336"/>
    <w:rsid w:val="000D396C"/>
    <w:rsid w:val="000D5C9F"/>
    <w:rsid w:val="000D7906"/>
    <w:rsid w:val="000E0C64"/>
    <w:rsid w:val="000E6C36"/>
    <w:rsid w:val="000E6DAB"/>
    <w:rsid w:val="000F0CB0"/>
    <w:rsid w:val="000F1E2C"/>
    <w:rsid w:val="000F22AD"/>
    <w:rsid w:val="000F235E"/>
    <w:rsid w:val="00105690"/>
    <w:rsid w:val="001059C3"/>
    <w:rsid w:val="00111205"/>
    <w:rsid w:val="00114A5C"/>
    <w:rsid w:val="00114D69"/>
    <w:rsid w:val="001163B8"/>
    <w:rsid w:val="00120A71"/>
    <w:rsid w:val="00122341"/>
    <w:rsid w:val="0012337D"/>
    <w:rsid w:val="00126555"/>
    <w:rsid w:val="001336B2"/>
    <w:rsid w:val="001341E8"/>
    <w:rsid w:val="0014695E"/>
    <w:rsid w:val="00150F38"/>
    <w:rsid w:val="001534FA"/>
    <w:rsid w:val="001549F0"/>
    <w:rsid w:val="001551FE"/>
    <w:rsid w:val="00156AFD"/>
    <w:rsid w:val="00161D0B"/>
    <w:rsid w:val="00163667"/>
    <w:rsid w:val="00164440"/>
    <w:rsid w:val="00166CFA"/>
    <w:rsid w:val="001700EF"/>
    <w:rsid w:val="00171BA7"/>
    <w:rsid w:val="001720A6"/>
    <w:rsid w:val="00177C22"/>
    <w:rsid w:val="00182211"/>
    <w:rsid w:val="0018502A"/>
    <w:rsid w:val="001870A9"/>
    <w:rsid w:val="00187114"/>
    <w:rsid w:val="00190B52"/>
    <w:rsid w:val="00192F81"/>
    <w:rsid w:val="00197214"/>
    <w:rsid w:val="00197FE7"/>
    <w:rsid w:val="001A474D"/>
    <w:rsid w:val="001A517C"/>
    <w:rsid w:val="001A569B"/>
    <w:rsid w:val="001A5CB4"/>
    <w:rsid w:val="001B37F9"/>
    <w:rsid w:val="001B389A"/>
    <w:rsid w:val="001B52EB"/>
    <w:rsid w:val="001B669F"/>
    <w:rsid w:val="001B7B44"/>
    <w:rsid w:val="001C104C"/>
    <w:rsid w:val="001C1DA4"/>
    <w:rsid w:val="001D06F2"/>
    <w:rsid w:val="001E13F6"/>
    <w:rsid w:val="001E2FE1"/>
    <w:rsid w:val="001E6948"/>
    <w:rsid w:val="001E6AC2"/>
    <w:rsid w:val="001E70EE"/>
    <w:rsid w:val="001E7C98"/>
    <w:rsid w:val="001F5956"/>
    <w:rsid w:val="001F5E84"/>
    <w:rsid w:val="001F616B"/>
    <w:rsid w:val="001F7E8A"/>
    <w:rsid w:val="002002ED"/>
    <w:rsid w:val="00201FC3"/>
    <w:rsid w:val="00202271"/>
    <w:rsid w:val="00205676"/>
    <w:rsid w:val="0020746B"/>
    <w:rsid w:val="002107F3"/>
    <w:rsid w:val="00210D7F"/>
    <w:rsid w:val="00212F85"/>
    <w:rsid w:val="0021472B"/>
    <w:rsid w:val="00216054"/>
    <w:rsid w:val="00221630"/>
    <w:rsid w:val="002231E7"/>
    <w:rsid w:val="00223C69"/>
    <w:rsid w:val="00225429"/>
    <w:rsid w:val="00225674"/>
    <w:rsid w:val="0022623F"/>
    <w:rsid w:val="002270C7"/>
    <w:rsid w:val="00234986"/>
    <w:rsid w:val="0023594C"/>
    <w:rsid w:val="00237F95"/>
    <w:rsid w:val="002439BE"/>
    <w:rsid w:val="00243A84"/>
    <w:rsid w:val="00244DC3"/>
    <w:rsid w:val="00245691"/>
    <w:rsid w:val="00247677"/>
    <w:rsid w:val="00254AC4"/>
    <w:rsid w:val="0025505D"/>
    <w:rsid w:val="0025568C"/>
    <w:rsid w:val="0025624A"/>
    <w:rsid w:val="002569D2"/>
    <w:rsid w:val="00256F15"/>
    <w:rsid w:val="002659C1"/>
    <w:rsid w:val="00265AE3"/>
    <w:rsid w:val="002705F3"/>
    <w:rsid w:val="002715D6"/>
    <w:rsid w:val="00273113"/>
    <w:rsid w:val="00281063"/>
    <w:rsid w:val="00281525"/>
    <w:rsid w:val="00282E72"/>
    <w:rsid w:val="00286013"/>
    <w:rsid w:val="00286E18"/>
    <w:rsid w:val="00292413"/>
    <w:rsid w:val="00293C9D"/>
    <w:rsid w:val="00297007"/>
    <w:rsid w:val="002A08AE"/>
    <w:rsid w:val="002A5244"/>
    <w:rsid w:val="002A5634"/>
    <w:rsid w:val="002A667C"/>
    <w:rsid w:val="002B080D"/>
    <w:rsid w:val="002B222F"/>
    <w:rsid w:val="002B43C8"/>
    <w:rsid w:val="002C0A83"/>
    <w:rsid w:val="002C5195"/>
    <w:rsid w:val="002C6736"/>
    <w:rsid w:val="002D3212"/>
    <w:rsid w:val="002D3360"/>
    <w:rsid w:val="002D46AD"/>
    <w:rsid w:val="002D4AD0"/>
    <w:rsid w:val="002D50E8"/>
    <w:rsid w:val="002D6228"/>
    <w:rsid w:val="002E2732"/>
    <w:rsid w:val="002E414F"/>
    <w:rsid w:val="002E62AE"/>
    <w:rsid w:val="002E7CBD"/>
    <w:rsid w:val="002F0988"/>
    <w:rsid w:val="003009B5"/>
    <w:rsid w:val="00302100"/>
    <w:rsid w:val="003105EB"/>
    <w:rsid w:val="00311E9F"/>
    <w:rsid w:val="00314634"/>
    <w:rsid w:val="003209B7"/>
    <w:rsid w:val="0032184B"/>
    <w:rsid w:val="00322AAB"/>
    <w:rsid w:val="00323CE9"/>
    <w:rsid w:val="0032536B"/>
    <w:rsid w:val="003367D1"/>
    <w:rsid w:val="00343DF7"/>
    <w:rsid w:val="00344BBD"/>
    <w:rsid w:val="00344F04"/>
    <w:rsid w:val="00355EE8"/>
    <w:rsid w:val="003560A1"/>
    <w:rsid w:val="0036055F"/>
    <w:rsid w:val="00363FC4"/>
    <w:rsid w:val="00372BCE"/>
    <w:rsid w:val="0037346D"/>
    <w:rsid w:val="00375C8A"/>
    <w:rsid w:val="00375FC7"/>
    <w:rsid w:val="00376661"/>
    <w:rsid w:val="00376FD2"/>
    <w:rsid w:val="00377219"/>
    <w:rsid w:val="0038319B"/>
    <w:rsid w:val="00383E9E"/>
    <w:rsid w:val="00386EC2"/>
    <w:rsid w:val="00391123"/>
    <w:rsid w:val="003914A1"/>
    <w:rsid w:val="003928FD"/>
    <w:rsid w:val="00392AD3"/>
    <w:rsid w:val="00397CDF"/>
    <w:rsid w:val="003A5177"/>
    <w:rsid w:val="003A51FD"/>
    <w:rsid w:val="003A698F"/>
    <w:rsid w:val="003A7731"/>
    <w:rsid w:val="003B0F7E"/>
    <w:rsid w:val="003B5554"/>
    <w:rsid w:val="003C0F08"/>
    <w:rsid w:val="003C18D2"/>
    <w:rsid w:val="003C49C9"/>
    <w:rsid w:val="003D00C1"/>
    <w:rsid w:val="003D15D0"/>
    <w:rsid w:val="003D38F7"/>
    <w:rsid w:val="003D6830"/>
    <w:rsid w:val="003E0082"/>
    <w:rsid w:val="003E29D4"/>
    <w:rsid w:val="003E5D1E"/>
    <w:rsid w:val="003F15E2"/>
    <w:rsid w:val="003F347A"/>
    <w:rsid w:val="003F5351"/>
    <w:rsid w:val="003F69C5"/>
    <w:rsid w:val="0040464B"/>
    <w:rsid w:val="00407E2D"/>
    <w:rsid w:val="004148B3"/>
    <w:rsid w:val="0041758B"/>
    <w:rsid w:val="00417A48"/>
    <w:rsid w:val="004204B4"/>
    <w:rsid w:val="0042101A"/>
    <w:rsid w:val="004252F4"/>
    <w:rsid w:val="004255AD"/>
    <w:rsid w:val="00427446"/>
    <w:rsid w:val="00427731"/>
    <w:rsid w:val="00427C3F"/>
    <w:rsid w:val="00431ED9"/>
    <w:rsid w:val="004345F2"/>
    <w:rsid w:val="00441E8C"/>
    <w:rsid w:val="00443FC3"/>
    <w:rsid w:val="00444F84"/>
    <w:rsid w:val="00447DAD"/>
    <w:rsid w:val="00450213"/>
    <w:rsid w:val="0045770A"/>
    <w:rsid w:val="004610DD"/>
    <w:rsid w:val="00464FEE"/>
    <w:rsid w:val="00466C20"/>
    <w:rsid w:val="00466EEB"/>
    <w:rsid w:val="00467607"/>
    <w:rsid w:val="00467B2B"/>
    <w:rsid w:val="00470357"/>
    <w:rsid w:val="00471C88"/>
    <w:rsid w:val="004763CF"/>
    <w:rsid w:val="00476406"/>
    <w:rsid w:val="00486895"/>
    <w:rsid w:val="00492902"/>
    <w:rsid w:val="00492FA7"/>
    <w:rsid w:val="004A0D2F"/>
    <w:rsid w:val="004A21EB"/>
    <w:rsid w:val="004A3990"/>
    <w:rsid w:val="004A3A17"/>
    <w:rsid w:val="004A3AE8"/>
    <w:rsid w:val="004A4379"/>
    <w:rsid w:val="004A4472"/>
    <w:rsid w:val="004A5F2D"/>
    <w:rsid w:val="004A5F6F"/>
    <w:rsid w:val="004B1125"/>
    <w:rsid w:val="004B18EB"/>
    <w:rsid w:val="004B1E4E"/>
    <w:rsid w:val="004B2B97"/>
    <w:rsid w:val="004B58A0"/>
    <w:rsid w:val="004C1229"/>
    <w:rsid w:val="004C1ADF"/>
    <w:rsid w:val="004C3351"/>
    <w:rsid w:val="004C66DC"/>
    <w:rsid w:val="004C6ACC"/>
    <w:rsid w:val="004D1AF6"/>
    <w:rsid w:val="004D26B3"/>
    <w:rsid w:val="004D3CF4"/>
    <w:rsid w:val="004D5571"/>
    <w:rsid w:val="004D6A84"/>
    <w:rsid w:val="004E2DEE"/>
    <w:rsid w:val="004E3916"/>
    <w:rsid w:val="004E48B8"/>
    <w:rsid w:val="004E56E5"/>
    <w:rsid w:val="004E6C5D"/>
    <w:rsid w:val="004F3674"/>
    <w:rsid w:val="004F52CA"/>
    <w:rsid w:val="00500E04"/>
    <w:rsid w:val="00501290"/>
    <w:rsid w:val="00503B65"/>
    <w:rsid w:val="005055FD"/>
    <w:rsid w:val="00505868"/>
    <w:rsid w:val="00510BCD"/>
    <w:rsid w:val="00513A0D"/>
    <w:rsid w:val="00513E78"/>
    <w:rsid w:val="005155C7"/>
    <w:rsid w:val="0051710C"/>
    <w:rsid w:val="00520B4D"/>
    <w:rsid w:val="00521F2B"/>
    <w:rsid w:val="005235D3"/>
    <w:rsid w:val="005245B1"/>
    <w:rsid w:val="00525402"/>
    <w:rsid w:val="00526125"/>
    <w:rsid w:val="0052693F"/>
    <w:rsid w:val="00527EB8"/>
    <w:rsid w:val="005319D7"/>
    <w:rsid w:val="005336BA"/>
    <w:rsid w:val="005463A9"/>
    <w:rsid w:val="00546F57"/>
    <w:rsid w:val="0054708F"/>
    <w:rsid w:val="005474D6"/>
    <w:rsid w:val="00562BF1"/>
    <w:rsid w:val="00571036"/>
    <w:rsid w:val="005756F9"/>
    <w:rsid w:val="00575B38"/>
    <w:rsid w:val="00576844"/>
    <w:rsid w:val="005773BD"/>
    <w:rsid w:val="0058038D"/>
    <w:rsid w:val="00580BCF"/>
    <w:rsid w:val="00590615"/>
    <w:rsid w:val="005943D3"/>
    <w:rsid w:val="005945F6"/>
    <w:rsid w:val="00595C07"/>
    <w:rsid w:val="005963C4"/>
    <w:rsid w:val="005A560D"/>
    <w:rsid w:val="005B04D0"/>
    <w:rsid w:val="005B4EAA"/>
    <w:rsid w:val="005C5138"/>
    <w:rsid w:val="005C5ED9"/>
    <w:rsid w:val="005D141F"/>
    <w:rsid w:val="005D3AE7"/>
    <w:rsid w:val="005D45C9"/>
    <w:rsid w:val="005E2E8A"/>
    <w:rsid w:val="005E6C7E"/>
    <w:rsid w:val="005F4BD5"/>
    <w:rsid w:val="0060255E"/>
    <w:rsid w:val="006026DA"/>
    <w:rsid w:val="00602BAF"/>
    <w:rsid w:val="00603FCF"/>
    <w:rsid w:val="00607F27"/>
    <w:rsid w:val="00613DA8"/>
    <w:rsid w:val="00614B07"/>
    <w:rsid w:val="00616EF1"/>
    <w:rsid w:val="0062040F"/>
    <w:rsid w:val="00622936"/>
    <w:rsid w:val="0062391C"/>
    <w:rsid w:val="0062406D"/>
    <w:rsid w:val="00624998"/>
    <w:rsid w:val="00624A87"/>
    <w:rsid w:val="00631221"/>
    <w:rsid w:val="00636172"/>
    <w:rsid w:val="0064016B"/>
    <w:rsid w:val="00651B5B"/>
    <w:rsid w:val="00654324"/>
    <w:rsid w:val="0065509C"/>
    <w:rsid w:val="0065674E"/>
    <w:rsid w:val="00657880"/>
    <w:rsid w:val="00657F07"/>
    <w:rsid w:val="00660609"/>
    <w:rsid w:val="00661B4E"/>
    <w:rsid w:val="00661CF0"/>
    <w:rsid w:val="00661F4B"/>
    <w:rsid w:val="00662C19"/>
    <w:rsid w:val="0067080A"/>
    <w:rsid w:val="00670B1B"/>
    <w:rsid w:val="006729FF"/>
    <w:rsid w:val="006734EC"/>
    <w:rsid w:val="00675F41"/>
    <w:rsid w:val="00676400"/>
    <w:rsid w:val="0068098C"/>
    <w:rsid w:val="00682346"/>
    <w:rsid w:val="00682EB4"/>
    <w:rsid w:val="00692D9A"/>
    <w:rsid w:val="00694E8C"/>
    <w:rsid w:val="006A64F2"/>
    <w:rsid w:val="006B3EFB"/>
    <w:rsid w:val="006B690F"/>
    <w:rsid w:val="006C245B"/>
    <w:rsid w:val="006C3072"/>
    <w:rsid w:val="006C578A"/>
    <w:rsid w:val="006C5DA4"/>
    <w:rsid w:val="006C6F08"/>
    <w:rsid w:val="006C7836"/>
    <w:rsid w:val="006D491B"/>
    <w:rsid w:val="006D6B1D"/>
    <w:rsid w:val="006E1DF2"/>
    <w:rsid w:val="006E2729"/>
    <w:rsid w:val="006E57E8"/>
    <w:rsid w:val="006E5934"/>
    <w:rsid w:val="006F08AE"/>
    <w:rsid w:val="006F2ACE"/>
    <w:rsid w:val="006F637F"/>
    <w:rsid w:val="006F6866"/>
    <w:rsid w:val="007000FB"/>
    <w:rsid w:val="007008E0"/>
    <w:rsid w:val="00705235"/>
    <w:rsid w:val="0071044A"/>
    <w:rsid w:val="007107AD"/>
    <w:rsid w:val="00715311"/>
    <w:rsid w:val="00716B74"/>
    <w:rsid w:val="00721F14"/>
    <w:rsid w:val="00723821"/>
    <w:rsid w:val="007241C6"/>
    <w:rsid w:val="00733EFA"/>
    <w:rsid w:val="00735001"/>
    <w:rsid w:val="00742C25"/>
    <w:rsid w:val="00743300"/>
    <w:rsid w:val="00745364"/>
    <w:rsid w:val="00747A6F"/>
    <w:rsid w:val="007520AB"/>
    <w:rsid w:val="00752308"/>
    <w:rsid w:val="00764D5B"/>
    <w:rsid w:val="00766C21"/>
    <w:rsid w:val="00767683"/>
    <w:rsid w:val="0077010C"/>
    <w:rsid w:val="00772875"/>
    <w:rsid w:val="0077419F"/>
    <w:rsid w:val="00776BEF"/>
    <w:rsid w:val="00781BAD"/>
    <w:rsid w:val="00783E2F"/>
    <w:rsid w:val="00784BF8"/>
    <w:rsid w:val="00787B82"/>
    <w:rsid w:val="007915B8"/>
    <w:rsid w:val="00792375"/>
    <w:rsid w:val="00796F08"/>
    <w:rsid w:val="007A1A4C"/>
    <w:rsid w:val="007A3DF4"/>
    <w:rsid w:val="007A4181"/>
    <w:rsid w:val="007A46A0"/>
    <w:rsid w:val="007B21DD"/>
    <w:rsid w:val="007B430A"/>
    <w:rsid w:val="007B5630"/>
    <w:rsid w:val="007C0BAC"/>
    <w:rsid w:val="007C2688"/>
    <w:rsid w:val="007C5E26"/>
    <w:rsid w:val="007D2137"/>
    <w:rsid w:val="007D3A28"/>
    <w:rsid w:val="007D5E3D"/>
    <w:rsid w:val="007D67D1"/>
    <w:rsid w:val="007E0FE3"/>
    <w:rsid w:val="007E2A88"/>
    <w:rsid w:val="007E65F3"/>
    <w:rsid w:val="00803C80"/>
    <w:rsid w:val="008046A7"/>
    <w:rsid w:val="0081794C"/>
    <w:rsid w:val="0082072C"/>
    <w:rsid w:val="008211B6"/>
    <w:rsid w:val="008215F2"/>
    <w:rsid w:val="0082268A"/>
    <w:rsid w:val="00823ECB"/>
    <w:rsid w:val="008305E5"/>
    <w:rsid w:val="00831EDA"/>
    <w:rsid w:val="008363BD"/>
    <w:rsid w:val="008433EA"/>
    <w:rsid w:val="008524F5"/>
    <w:rsid w:val="008527AF"/>
    <w:rsid w:val="00852BFB"/>
    <w:rsid w:val="00853982"/>
    <w:rsid w:val="0085531D"/>
    <w:rsid w:val="0085796E"/>
    <w:rsid w:val="00860898"/>
    <w:rsid w:val="00872392"/>
    <w:rsid w:val="008739F3"/>
    <w:rsid w:val="00875888"/>
    <w:rsid w:val="00877335"/>
    <w:rsid w:val="008779FD"/>
    <w:rsid w:val="00881A7C"/>
    <w:rsid w:val="00885412"/>
    <w:rsid w:val="0088650D"/>
    <w:rsid w:val="0089017C"/>
    <w:rsid w:val="0089092B"/>
    <w:rsid w:val="00890FD6"/>
    <w:rsid w:val="0089104A"/>
    <w:rsid w:val="00893AEA"/>
    <w:rsid w:val="00895B38"/>
    <w:rsid w:val="00896729"/>
    <w:rsid w:val="00896DED"/>
    <w:rsid w:val="00897E6A"/>
    <w:rsid w:val="008A43BB"/>
    <w:rsid w:val="008A53F1"/>
    <w:rsid w:val="008B629C"/>
    <w:rsid w:val="008C0A8C"/>
    <w:rsid w:val="008C1CCC"/>
    <w:rsid w:val="008C4B08"/>
    <w:rsid w:val="008C6C90"/>
    <w:rsid w:val="008C6CD3"/>
    <w:rsid w:val="008D25CC"/>
    <w:rsid w:val="008D3E8B"/>
    <w:rsid w:val="008D5B17"/>
    <w:rsid w:val="008D72E7"/>
    <w:rsid w:val="008D7CB6"/>
    <w:rsid w:val="008E19FD"/>
    <w:rsid w:val="008E1A72"/>
    <w:rsid w:val="008E484D"/>
    <w:rsid w:val="008F080F"/>
    <w:rsid w:val="008F3DEC"/>
    <w:rsid w:val="008F6C35"/>
    <w:rsid w:val="00904091"/>
    <w:rsid w:val="009044B7"/>
    <w:rsid w:val="00905EC0"/>
    <w:rsid w:val="009063FA"/>
    <w:rsid w:val="00906E26"/>
    <w:rsid w:val="00912360"/>
    <w:rsid w:val="00914472"/>
    <w:rsid w:val="00917AE9"/>
    <w:rsid w:val="00921DA9"/>
    <w:rsid w:val="00922491"/>
    <w:rsid w:val="0092526B"/>
    <w:rsid w:val="00934F65"/>
    <w:rsid w:val="0094137F"/>
    <w:rsid w:val="00941BFF"/>
    <w:rsid w:val="00941E0A"/>
    <w:rsid w:val="00942B3C"/>
    <w:rsid w:val="00943570"/>
    <w:rsid w:val="00951681"/>
    <w:rsid w:val="00951BC4"/>
    <w:rsid w:val="00956A19"/>
    <w:rsid w:val="009603C9"/>
    <w:rsid w:val="00960B87"/>
    <w:rsid w:val="0096278B"/>
    <w:rsid w:val="00962AAD"/>
    <w:rsid w:val="009635AB"/>
    <w:rsid w:val="00964ECF"/>
    <w:rsid w:val="00971A09"/>
    <w:rsid w:val="00973E74"/>
    <w:rsid w:val="00974281"/>
    <w:rsid w:val="00975E03"/>
    <w:rsid w:val="009772E0"/>
    <w:rsid w:val="00980566"/>
    <w:rsid w:val="00986732"/>
    <w:rsid w:val="00986ECD"/>
    <w:rsid w:val="009903E3"/>
    <w:rsid w:val="009909C1"/>
    <w:rsid w:val="00990BCC"/>
    <w:rsid w:val="009911B5"/>
    <w:rsid w:val="0099176B"/>
    <w:rsid w:val="0099459B"/>
    <w:rsid w:val="00995F6D"/>
    <w:rsid w:val="009972E5"/>
    <w:rsid w:val="009A2737"/>
    <w:rsid w:val="009A2A70"/>
    <w:rsid w:val="009A3D45"/>
    <w:rsid w:val="009A622A"/>
    <w:rsid w:val="009A64B7"/>
    <w:rsid w:val="009A7D1A"/>
    <w:rsid w:val="009B3268"/>
    <w:rsid w:val="009B5FBB"/>
    <w:rsid w:val="009B6AE5"/>
    <w:rsid w:val="009B795E"/>
    <w:rsid w:val="009D0659"/>
    <w:rsid w:val="009D119A"/>
    <w:rsid w:val="009D3FC3"/>
    <w:rsid w:val="009D674B"/>
    <w:rsid w:val="009D68DC"/>
    <w:rsid w:val="009E0743"/>
    <w:rsid w:val="009E0762"/>
    <w:rsid w:val="009E16BB"/>
    <w:rsid w:val="009E3575"/>
    <w:rsid w:val="009E6878"/>
    <w:rsid w:val="009F07ED"/>
    <w:rsid w:val="009F17FE"/>
    <w:rsid w:val="009F193A"/>
    <w:rsid w:val="009F2B70"/>
    <w:rsid w:val="009F34A1"/>
    <w:rsid w:val="009F4617"/>
    <w:rsid w:val="009F47A7"/>
    <w:rsid w:val="009F7990"/>
    <w:rsid w:val="009F7A6D"/>
    <w:rsid w:val="00A009D4"/>
    <w:rsid w:val="00A0161B"/>
    <w:rsid w:val="00A1194C"/>
    <w:rsid w:val="00A12944"/>
    <w:rsid w:val="00A14EFC"/>
    <w:rsid w:val="00A162C3"/>
    <w:rsid w:val="00A22BE0"/>
    <w:rsid w:val="00A23840"/>
    <w:rsid w:val="00A23CBF"/>
    <w:rsid w:val="00A24C4F"/>
    <w:rsid w:val="00A24D8E"/>
    <w:rsid w:val="00A27657"/>
    <w:rsid w:val="00A312B8"/>
    <w:rsid w:val="00A32C82"/>
    <w:rsid w:val="00A33A9C"/>
    <w:rsid w:val="00A34BD3"/>
    <w:rsid w:val="00A35315"/>
    <w:rsid w:val="00A35477"/>
    <w:rsid w:val="00A36D4C"/>
    <w:rsid w:val="00A43A1C"/>
    <w:rsid w:val="00A442C3"/>
    <w:rsid w:val="00A60FB3"/>
    <w:rsid w:val="00A6198D"/>
    <w:rsid w:val="00A64001"/>
    <w:rsid w:val="00A66924"/>
    <w:rsid w:val="00A7014D"/>
    <w:rsid w:val="00A71047"/>
    <w:rsid w:val="00A7350E"/>
    <w:rsid w:val="00A831F6"/>
    <w:rsid w:val="00A835FF"/>
    <w:rsid w:val="00A83846"/>
    <w:rsid w:val="00A83E30"/>
    <w:rsid w:val="00A916E8"/>
    <w:rsid w:val="00A92349"/>
    <w:rsid w:val="00A9375E"/>
    <w:rsid w:val="00A944BC"/>
    <w:rsid w:val="00AA1CCA"/>
    <w:rsid w:val="00AA2355"/>
    <w:rsid w:val="00AB07B5"/>
    <w:rsid w:val="00AB0B25"/>
    <w:rsid w:val="00AB3EDF"/>
    <w:rsid w:val="00AB4F34"/>
    <w:rsid w:val="00AB515B"/>
    <w:rsid w:val="00AB6E77"/>
    <w:rsid w:val="00AC3769"/>
    <w:rsid w:val="00AC54FF"/>
    <w:rsid w:val="00AC575A"/>
    <w:rsid w:val="00AD066A"/>
    <w:rsid w:val="00AD069F"/>
    <w:rsid w:val="00AE3450"/>
    <w:rsid w:val="00AE699D"/>
    <w:rsid w:val="00AF1477"/>
    <w:rsid w:val="00AF14F3"/>
    <w:rsid w:val="00AF33FC"/>
    <w:rsid w:val="00AF4C7A"/>
    <w:rsid w:val="00AF6FC9"/>
    <w:rsid w:val="00B00AA3"/>
    <w:rsid w:val="00B017E6"/>
    <w:rsid w:val="00B072ED"/>
    <w:rsid w:val="00B123A6"/>
    <w:rsid w:val="00B14A97"/>
    <w:rsid w:val="00B15030"/>
    <w:rsid w:val="00B150FA"/>
    <w:rsid w:val="00B20D8C"/>
    <w:rsid w:val="00B20D8D"/>
    <w:rsid w:val="00B20EE3"/>
    <w:rsid w:val="00B21B7C"/>
    <w:rsid w:val="00B22AC5"/>
    <w:rsid w:val="00B24C6D"/>
    <w:rsid w:val="00B306C9"/>
    <w:rsid w:val="00B323F0"/>
    <w:rsid w:val="00B34559"/>
    <w:rsid w:val="00B37E41"/>
    <w:rsid w:val="00B42A94"/>
    <w:rsid w:val="00B47709"/>
    <w:rsid w:val="00B50794"/>
    <w:rsid w:val="00B517F3"/>
    <w:rsid w:val="00B63EE9"/>
    <w:rsid w:val="00B73E2E"/>
    <w:rsid w:val="00B75FAB"/>
    <w:rsid w:val="00B763C7"/>
    <w:rsid w:val="00B7646C"/>
    <w:rsid w:val="00B80476"/>
    <w:rsid w:val="00B816DD"/>
    <w:rsid w:val="00B81A18"/>
    <w:rsid w:val="00B81D8F"/>
    <w:rsid w:val="00B82AC2"/>
    <w:rsid w:val="00B83C4A"/>
    <w:rsid w:val="00B84C59"/>
    <w:rsid w:val="00B85E90"/>
    <w:rsid w:val="00B9318A"/>
    <w:rsid w:val="00BA215E"/>
    <w:rsid w:val="00BA3333"/>
    <w:rsid w:val="00BA36B3"/>
    <w:rsid w:val="00BA45E7"/>
    <w:rsid w:val="00BA5B1F"/>
    <w:rsid w:val="00BA66B1"/>
    <w:rsid w:val="00BB1638"/>
    <w:rsid w:val="00BB1A11"/>
    <w:rsid w:val="00BB4BAF"/>
    <w:rsid w:val="00BB7E8B"/>
    <w:rsid w:val="00BC1DCF"/>
    <w:rsid w:val="00BC346D"/>
    <w:rsid w:val="00BC35D4"/>
    <w:rsid w:val="00BC3D16"/>
    <w:rsid w:val="00BC56F4"/>
    <w:rsid w:val="00BD4B53"/>
    <w:rsid w:val="00BD4DFB"/>
    <w:rsid w:val="00BE3510"/>
    <w:rsid w:val="00BE511F"/>
    <w:rsid w:val="00BE66CB"/>
    <w:rsid w:val="00BE761E"/>
    <w:rsid w:val="00BE7C7B"/>
    <w:rsid w:val="00BF0827"/>
    <w:rsid w:val="00BF2F4A"/>
    <w:rsid w:val="00BF3093"/>
    <w:rsid w:val="00BF3C89"/>
    <w:rsid w:val="00C04531"/>
    <w:rsid w:val="00C04558"/>
    <w:rsid w:val="00C04EA1"/>
    <w:rsid w:val="00C055EF"/>
    <w:rsid w:val="00C05DC8"/>
    <w:rsid w:val="00C11AAF"/>
    <w:rsid w:val="00C11EFF"/>
    <w:rsid w:val="00C124E6"/>
    <w:rsid w:val="00C13F83"/>
    <w:rsid w:val="00C15ECA"/>
    <w:rsid w:val="00C20E93"/>
    <w:rsid w:val="00C222F3"/>
    <w:rsid w:val="00C23BF2"/>
    <w:rsid w:val="00C24004"/>
    <w:rsid w:val="00C24455"/>
    <w:rsid w:val="00C254F0"/>
    <w:rsid w:val="00C25AF9"/>
    <w:rsid w:val="00C25EDA"/>
    <w:rsid w:val="00C35674"/>
    <w:rsid w:val="00C37CD0"/>
    <w:rsid w:val="00C4508D"/>
    <w:rsid w:val="00C46557"/>
    <w:rsid w:val="00C46DC6"/>
    <w:rsid w:val="00C4789A"/>
    <w:rsid w:val="00C54579"/>
    <w:rsid w:val="00C55401"/>
    <w:rsid w:val="00C679CE"/>
    <w:rsid w:val="00C73A6E"/>
    <w:rsid w:val="00C75773"/>
    <w:rsid w:val="00C75F6A"/>
    <w:rsid w:val="00C81090"/>
    <w:rsid w:val="00C83A33"/>
    <w:rsid w:val="00C85F83"/>
    <w:rsid w:val="00C93740"/>
    <w:rsid w:val="00C9730E"/>
    <w:rsid w:val="00CA06B1"/>
    <w:rsid w:val="00CA6B55"/>
    <w:rsid w:val="00CA7F6D"/>
    <w:rsid w:val="00CB68F8"/>
    <w:rsid w:val="00CB7B6B"/>
    <w:rsid w:val="00CC0BE8"/>
    <w:rsid w:val="00CC3E11"/>
    <w:rsid w:val="00CC6700"/>
    <w:rsid w:val="00CC6D89"/>
    <w:rsid w:val="00CC6F63"/>
    <w:rsid w:val="00CD20F8"/>
    <w:rsid w:val="00CD34E9"/>
    <w:rsid w:val="00CD7074"/>
    <w:rsid w:val="00CE116F"/>
    <w:rsid w:val="00CE127D"/>
    <w:rsid w:val="00CE1403"/>
    <w:rsid w:val="00CE21D8"/>
    <w:rsid w:val="00CE2FD5"/>
    <w:rsid w:val="00CE354D"/>
    <w:rsid w:val="00CE3B7D"/>
    <w:rsid w:val="00CE617C"/>
    <w:rsid w:val="00CF034F"/>
    <w:rsid w:val="00CF1A8C"/>
    <w:rsid w:val="00CF35E9"/>
    <w:rsid w:val="00CF43F2"/>
    <w:rsid w:val="00CF4B8D"/>
    <w:rsid w:val="00CF7BAF"/>
    <w:rsid w:val="00D02312"/>
    <w:rsid w:val="00D0498F"/>
    <w:rsid w:val="00D056B4"/>
    <w:rsid w:val="00D06CF4"/>
    <w:rsid w:val="00D1088E"/>
    <w:rsid w:val="00D15412"/>
    <w:rsid w:val="00D162BC"/>
    <w:rsid w:val="00D167BB"/>
    <w:rsid w:val="00D205BA"/>
    <w:rsid w:val="00D246EA"/>
    <w:rsid w:val="00D255D4"/>
    <w:rsid w:val="00D25E29"/>
    <w:rsid w:val="00D25F59"/>
    <w:rsid w:val="00D3255C"/>
    <w:rsid w:val="00D3420E"/>
    <w:rsid w:val="00D34865"/>
    <w:rsid w:val="00D3525E"/>
    <w:rsid w:val="00D356CF"/>
    <w:rsid w:val="00D4206A"/>
    <w:rsid w:val="00D45091"/>
    <w:rsid w:val="00D50C61"/>
    <w:rsid w:val="00D5467C"/>
    <w:rsid w:val="00D57818"/>
    <w:rsid w:val="00D60054"/>
    <w:rsid w:val="00D61DC7"/>
    <w:rsid w:val="00D633E4"/>
    <w:rsid w:val="00D65AC8"/>
    <w:rsid w:val="00D66147"/>
    <w:rsid w:val="00D7008E"/>
    <w:rsid w:val="00D72F00"/>
    <w:rsid w:val="00D75ADF"/>
    <w:rsid w:val="00D807D1"/>
    <w:rsid w:val="00D84932"/>
    <w:rsid w:val="00D91676"/>
    <w:rsid w:val="00D9281D"/>
    <w:rsid w:val="00D96314"/>
    <w:rsid w:val="00DA0270"/>
    <w:rsid w:val="00DA06FC"/>
    <w:rsid w:val="00DA29A8"/>
    <w:rsid w:val="00DA56F0"/>
    <w:rsid w:val="00DA5F0B"/>
    <w:rsid w:val="00DA6113"/>
    <w:rsid w:val="00DA6A49"/>
    <w:rsid w:val="00DB123E"/>
    <w:rsid w:val="00DB4C36"/>
    <w:rsid w:val="00DB5F13"/>
    <w:rsid w:val="00DB7979"/>
    <w:rsid w:val="00DC22C5"/>
    <w:rsid w:val="00DC5B32"/>
    <w:rsid w:val="00DD0C56"/>
    <w:rsid w:val="00DD14E6"/>
    <w:rsid w:val="00DD3E45"/>
    <w:rsid w:val="00DE1C28"/>
    <w:rsid w:val="00DE2141"/>
    <w:rsid w:val="00DE2A19"/>
    <w:rsid w:val="00DE2F1E"/>
    <w:rsid w:val="00DE2FEA"/>
    <w:rsid w:val="00DE5630"/>
    <w:rsid w:val="00DE5FF0"/>
    <w:rsid w:val="00DF0EC6"/>
    <w:rsid w:val="00DF1691"/>
    <w:rsid w:val="00DF26E7"/>
    <w:rsid w:val="00DF6DBF"/>
    <w:rsid w:val="00DF6E59"/>
    <w:rsid w:val="00E006C8"/>
    <w:rsid w:val="00E044B0"/>
    <w:rsid w:val="00E049A4"/>
    <w:rsid w:val="00E04BC8"/>
    <w:rsid w:val="00E054B8"/>
    <w:rsid w:val="00E125AF"/>
    <w:rsid w:val="00E13082"/>
    <w:rsid w:val="00E1342A"/>
    <w:rsid w:val="00E14388"/>
    <w:rsid w:val="00E1687C"/>
    <w:rsid w:val="00E16B41"/>
    <w:rsid w:val="00E17681"/>
    <w:rsid w:val="00E21788"/>
    <w:rsid w:val="00E225EF"/>
    <w:rsid w:val="00E242D3"/>
    <w:rsid w:val="00E24CA4"/>
    <w:rsid w:val="00E2745E"/>
    <w:rsid w:val="00E32889"/>
    <w:rsid w:val="00E36C6E"/>
    <w:rsid w:val="00E414F8"/>
    <w:rsid w:val="00E43A15"/>
    <w:rsid w:val="00E4472A"/>
    <w:rsid w:val="00E47077"/>
    <w:rsid w:val="00E51473"/>
    <w:rsid w:val="00E52101"/>
    <w:rsid w:val="00E53C53"/>
    <w:rsid w:val="00E53C8E"/>
    <w:rsid w:val="00E56ADF"/>
    <w:rsid w:val="00E56C5E"/>
    <w:rsid w:val="00E641A6"/>
    <w:rsid w:val="00E66580"/>
    <w:rsid w:val="00E6714F"/>
    <w:rsid w:val="00E705D3"/>
    <w:rsid w:val="00E73062"/>
    <w:rsid w:val="00E7317F"/>
    <w:rsid w:val="00E73276"/>
    <w:rsid w:val="00E75BEC"/>
    <w:rsid w:val="00E76ACE"/>
    <w:rsid w:val="00E8256E"/>
    <w:rsid w:val="00E84012"/>
    <w:rsid w:val="00E861DA"/>
    <w:rsid w:val="00E87FDF"/>
    <w:rsid w:val="00E904E5"/>
    <w:rsid w:val="00E96A0E"/>
    <w:rsid w:val="00EA7897"/>
    <w:rsid w:val="00EB1B66"/>
    <w:rsid w:val="00EB208A"/>
    <w:rsid w:val="00EB2FB3"/>
    <w:rsid w:val="00EB434A"/>
    <w:rsid w:val="00EB4B99"/>
    <w:rsid w:val="00EB6C7C"/>
    <w:rsid w:val="00EC11E4"/>
    <w:rsid w:val="00EC1AE7"/>
    <w:rsid w:val="00EC2B1B"/>
    <w:rsid w:val="00EC7FD4"/>
    <w:rsid w:val="00ED1EC3"/>
    <w:rsid w:val="00ED2DE9"/>
    <w:rsid w:val="00ED2F45"/>
    <w:rsid w:val="00ED4012"/>
    <w:rsid w:val="00ED55A2"/>
    <w:rsid w:val="00EE010A"/>
    <w:rsid w:val="00EE01C0"/>
    <w:rsid w:val="00EE0C3B"/>
    <w:rsid w:val="00EF0124"/>
    <w:rsid w:val="00EF12CB"/>
    <w:rsid w:val="00EF4F0C"/>
    <w:rsid w:val="00EF760F"/>
    <w:rsid w:val="00F0033E"/>
    <w:rsid w:val="00F02A7A"/>
    <w:rsid w:val="00F03624"/>
    <w:rsid w:val="00F06057"/>
    <w:rsid w:val="00F23B4C"/>
    <w:rsid w:val="00F3014C"/>
    <w:rsid w:val="00F353CE"/>
    <w:rsid w:val="00F35B2E"/>
    <w:rsid w:val="00F3651B"/>
    <w:rsid w:val="00F37163"/>
    <w:rsid w:val="00F41761"/>
    <w:rsid w:val="00F435F1"/>
    <w:rsid w:val="00F436B7"/>
    <w:rsid w:val="00F45F9D"/>
    <w:rsid w:val="00F46FBB"/>
    <w:rsid w:val="00F47958"/>
    <w:rsid w:val="00F47E33"/>
    <w:rsid w:val="00F50847"/>
    <w:rsid w:val="00F51224"/>
    <w:rsid w:val="00F54816"/>
    <w:rsid w:val="00F63DC1"/>
    <w:rsid w:val="00F65411"/>
    <w:rsid w:val="00F67312"/>
    <w:rsid w:val="00F710FC"/>
    <w:rsid w:val="00F73B62"/>
    <w:rsid w:val="00F73E58"/>
    <w:rsid w:val="00F7406E"/>
    <w:rsid w:val="00F74249"/>
    <w:rsid w:val="00F75473"/>
    <w:rsid w:val="00F75BE8"/>
    <w:rsid w:val="00F838BA"/>
    <w:rsid w:val="00F83F38"/>
    <w:rsid w:val="00F84751"/>
    <w:rsid w:val="00F85075"/>
    <w:rsid w:val="00F974C3"/>
    <w:rsid w:val="00FA105B"/>
    <w:rsid w:val="00FA453A"/>
    <w:rsid w:val="00FA521B"/>
    <w:rsid w:val="00FA72A8"/>
    <w:rsid w:val="00FA7E0A"/>
    <w:rsid w:val="00FB0CB0"/>
    <w:rsid w:val="00FB1797"/>
    <w:rsid w:val="00FD241B"/>
    <w:rsid w:val="00FD2B9F"/>
    <w:rsid w:val="00FE0A6D"/>
    <w:rsid w:val="00FE2065"/>
    <w:rsid w:val="00FE2301"/>
    <w:rsid w:val="00FE3202"/>
    <w:rsid w:val="00FE3976"/>
    <w:rsid w:val="00FE4274"/>
    <w:rsid w:val="00FE5327"/>
    <w:rsid w:val="00FE6FF7"/>
    <w:rsid w:val="00FF0616"/>
    <w:rsid w:val="00FF235B"/>
    <w:rsid w:val="00FF6210"/>
    <w:rsid w:val="00FF73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ockticker"/>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246EA"/>
  </w:style>
  <w:style w:type="paragraph" w:styleId="Heading2">
    <w:name w:val="heading 2"/>
    <w:basedOn w:val="Normal"/>
    <w:next w:val="Normal"/>
    <w:qFormat/>
    <w:rsid w:val="00661CF0"/>
    <w:pPr>
      <w:keepNext/>
      <w:spacing w:line="360" w:lineRule="auto"/>
      <w:jc w:val="both"/>
      <w:outlineLvl w:val="1"/>
    </w:pPr>
    <w:rPr>
      <w:b/>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61CF0"/>
    <w:rPr>
      <w:color w:val="0000FF"/>
      <w:u w:val="single"/>
    </w:rPr>
  </w:style>
  <w:style w:type="paragraph" w:styleId="Footer">
    <w:name w:val="footer"/>
    <w:basedOn w:val="Normal"/>
    <w:link w:val="FooterChar"/>
    <w:uiPriority w:val="99"/>
    <w:rsid w:val="008E484D"/>
    <w:pPr>
      <w:tabs>
        <w:tab w:val="center" w:pos="4320"/>
        <w:tab w:val="right" w:pos="8640"/>
      </w:tabs>
    </w:pPr>
  </w:style>
  <w:style w:type="character" w:styleId="PageNumber">
    <w:name w:val="page number"/>
    <w:basedOn w:val="DefaultParagraphFont"/>
    <w:rsid w:val="008E484D"/>
  </w:style>
  <w:style w:type="paragraph" w:styleId="FootnoteText">
    <w:name w:val="footnote text"/>
    <w:basedOn w:val="Normal"/>
    <w:semiHidden/>
    <w:rsid w:val="00B34559"/>
    <w:pPr>
      <w:jc w:val="both"/>
    </w:pPr>
    <w:rPr>
      <w:sz w:val="26"/>
    </w:rPr>
  </w:style>
  <w:style w:type="character" w:styleId="FootnoteReference">
    <w:name w:val="footnote reference"/>
    <w:semiHidden/>
    <w:rsid w:val="00B34559"/>
    <w:rPr>
      <w:vertAlign w:val="superscript"/>
    </w:rPr>
  </w:style>
  <w:style w:type="paragraph" w:styleId="DocumentMap">
    <w:name w:val="Document Map"/>
    <w:basedOn w:val="Normal"/>
    <w:semiHidden/>
    <w:rsid w:val="00FF0616"/>
    <w:pPr>
      <w:shd w:val="clear" w:color="auto" w:fill="000080"/>
    </w:pPr>
    <w:rPr>
      <w:rFonts w:ascii="Tahoma" w:hAnsi="Tahoma" w:cs="Tahoma"/>
    </w:rPr>
  </w:style>
  <w:style w:type="paragraph" w:styleId="ListParagraph">
    <w:name w:val="List Paragraph"/>
    <w:basedOn w:val="Normal"/>
    <w:qFormat/>
    <w:rsid w:val="00DE2A19"/>
    <w:pPr>
      <w:ind w:left="720"/>
      <w:contextualSpacing/>
    </w:pPr>
    <w:rPr>
      <w:color w:val="000000"/>
      <w:sz w:val="26"/>
    </w:rPr>
  </w:style>
  <w:style w:type="paragraph" w:styleId="Header">
    <w:name w:val="header"/>
    <w:basedOn w:val="Normal"/>
    <w:link w:val="HeaderChar"/>
    <w:rsid w:val="003209B7"/>
    <w:pPr>
      <w:tabs>
        <w:tab w:val="center" w:pos="4680"/>
        <w:tab w:val="right" w:pos="9360"/>
      </w:tabs>
    </w:pPr>
  </w:style>
  <w:style w:type="character" w:customStyle="1" w:styleId="HeaderChar">
    <w:name w:val="Header Char"/>
    <w:basedOn w:val="DefaultParagraphFont"/>
    <w:link w:val="Header"/>
    <w:rsid w:val="003209B7"/>
  </w:style>
  <w:style w:type="character" w:customStyle="1" w:styleId="FooterChar">
    <w:name w:val="Footer Char"/>
    <w:basedOn w:val="DefaultParagraphFont"/>
    <w:link w:val="Footer"/>
    <w:uiPriority w:val="99"/>
    <w:rsid w:val="00A43A1C"/>
  </w:style>
  <w:style w:type="paragraph" w:styleId="BodyText2">
    <w:name w:val="Body Text 2"/>
    <w:basedOn w:val="Normal"/>
    <w:link w:val="BodyText2Char"/>
    <w:rsid w:val="007E0FE3"/>
    <w:pPr>
      <w:spacing w:line="480" w:lineRule="auto"/>
      <w:ind w:firstLine="720"/>
      <w:jc w:val="both"/>
    </w:pPr>
    <w:rPr>
      <w:sz w:val="24"/>
      <w:szCs w:val="24"/>
    </w:rPr>
  </w:style>
  <w:style w:type="character" w:customStyle="1" w:styleId="BodyText2Char">
    <w:name w:val="Body Text 2 Char"/>
    <w:link w:val="BodyText2"/>
    <w:rsid w:val="007E0FE3"/>
    <w:rPr>
      <w:sz w:val="24"/>
      <w:szCs w:val="24"/>
    </w:rPr>
  </w:style>
  <w:style w:type="paragraph" w:styleId="BalloonText">
    <w:name w:val="Balloon Text"/>
    <w:basedOn w:val="Normal"/>
    <w:link w:val="BalloonTextChar"/>
    <w:rsid w:val="00F63DC1"/>
    <w:rPr>
      <w:rFonts w:ascii="Tahoma" w:hAnsi="Tahoma" w:cs="Tahoma"/>
      <w:sz w:val="16"/>
      <w:szCs w:val="16"/>
    </w:rPr>
  </w:style>
  <w:style w:type="character" w:customStyle="1" w:styleId="BalloonTextChar">
    <w:name w:val="Balloon Text Char"/>
    <w:basedOn w:val="DefaultParagraphFont"/>
    <w:link w:val="BalloonText"/>
    <w:rsid w:val="00F63DC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246EA"/>
  </w:style>
  <w:style w:type="paragraph" w:styleId="Heading2">
    <w:name w:val="heading 2"/>
    <w:basedOn w:val="Normal"/>
    <w:next w:val="Normal"/>
    <w:qFormat/>
    <w:rsid w:val="00661CF0"/>
    <w:pPr>
      <w:keepNext/>
      <w:spacing w:line="360" w:lineRule="auto"/>
      <w:jc w:val="both"/>
      <w:outlineLvl w:val="1"/>
    </w:pPr>
    <w:rPr>
      <w:b/>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61CF0"/>
    <w:rPr>
      <w:color w:val="0000FF"/>
      <w:u w:val="single"/>
    </w:rPr>
  </w:style>
  <w:style w:type="paragraph" w:styleId="Footer">
    <w:name w:val="footer"/>
    <w:basedOn w:val="Normal"/>
    <w:link w:val="FooterChar"/>
    <w:uiPriority w:val="99"/>
    <w:rsid w:val="008E484D"/>
    <w:pPr>
      <w:tabs>
        <w:tab w:val="center" w:pos="4320"/>
        <w:tab w:val="right" w:pos="8640"/>
      </w:tabs>
    </w:pPr>
  </w:style>
  <w:style w:type="character" w:styleId="PageNumber">
    <w:name w:val="page number"/>
    <w:basedOn w:val="DefaultParagraphFont"/>
    <w:rsid w:val="008E484D"/>
  </w:style>
  <w:style w:type="paragraph" w:styleId="FootnoteText">
    <w:name w:val="footnote text"/>
    <w:basedOn w:val="Normal"/>
    <w:semiHidden/>
    <w:rsid w:val="00B34559"/>
    <w:pPr>
      <w:jc w:val="both"/>
    </w:pPr>
    <w:rPr>
      <w:sz w:val="26"/>
    </w:rPr>
  </w:style>
  <w:style w:type="character" w:styleId="FootnoteReference">
    <w:name w:val="footnote reference"/>
    <w:semiHidden/>
    <w:rsid w:val="00B34559"/>
    <w:rPr>
      <w:vertAlign w:val="superscript"/>
    </w:rPr>
  </w:style>
  <w:style w:type="paragraph" w:styleId="DocumentMap">
    <w:name w:val="Document Map"/>
    <w:basedOn w:val="Normal"/>
    <w:semiHidden/>
    <w:rsid w:val="00FF0616"/>
    <w:pPr>
      <w:shd w:val="clear" w:color="auto" w:fill="000080"/>
    </w:pPr>
    <w:rPr>
      <w:rFonts w:ascii="Tahoma" w:hAnsi="Tahoma" w:cs="Tahoma"/>
    </w:rPr>
  </w:style>
  <w:style w:type="paragraph" w:styleId="ListParagraph">
    <w:name w:val="List Paragraph"/>
    <w:basedOn w:val="Normal"/>
    <w:qFormat/>
    <w:rsid w:val="00DE2A19"/>
    <w:pPr>
      <w:ind w:left="720"/>
      <w:contextualSpacing/>
    </w:pPr>
    <w:rPr>
      <w:color w:val="000000"/>
      <w:sz w:val="26"/>
    </w:rPr>
  </w:style>
  <w:style w:type="paragraph" w:styleId="Header">
    <w:name w:val="header"/>
    <w:basedOn w:val="Normal"/>
    <w:link w:val="HeaderChar"/>
    <w:rsid w:val="003209B7"/>
    <w:pPr>
      <w:tabs>
        <w:tab w:val="center" w:pos="4680"/>
        <w:tab w:val="right" w:pos="9360"/>
      </w:tabs>
    </w:pPr>
  </w:style>
  <w:style w:type="character" w:customStyle="1" w:styleId="HeaderChar">
    <w:name w:val="Header Char"/>
    <w:basedOn w:val="DefaultParagraphFont"/>
    <w:link w:val="Header"/>
    <w:rsid w:val="003209B7"/>
  </w:style>
  <w:style w:type="character" w:customStyle="1" w:styleId="FooterChar">
    <w:name w:val="Footer Char"/>
    <w:basedOn w:val="DefaultParagraphFont"/>
    <w:link w:val="Footer"/>
    <w:uiPriority w:val="99"/>
    <w:rsid w:val="00A43A1C"/>
  </w:style>
  <w:style w:type="paragraph" w:styleId="BodyText2">
    <w:name w:val="Body Text 2"/>
    <w:basedOn w:val="Normal"/>
    <w:link w:val="BodyText2Char"/>
    <w:rsid w:val="007E0FE3"/>
    <w:pPr>
      <w:spacing w:line="480" w:lineRule="auto"/>
      <w:ind w:firstLine="720"/>
      <w:jc w:val="both"/>
    </w:pPr>
    <w:rPr>
      <w:sz w:val="24"/>
      <w:szCs w:val="24"/>
    </w:rPr>
  </w:style>
  <w:style w:type="character" w:customStyle="1" w:styleId="BodyText2Char">
    <w:name w:val="Body Text 2 Char"/>
    <w:link w:val="BodyText2"/>
    <w:rsid w:val="007E0FE3"/>
    <w:rPr>
      <w:sz w:val="24"/>
      <w:szCs w:val="24"/>
    </w:rPr>
  </w:style>
  <w:style w:type="paragraph" w:styleId="BalloonText">
    <w:name w:val="Balloon Text"/>
    <w:basedOn w:val="Normal"/>
    <w:link w:val="BalloonTextChar"/>
    <w:rsid w:val="00F63DC1"/>
    <w:rPr>
      <w:rFonts w:ascii="Tahoma" w:hAnsi="Tahoma" w:cs="Tahoma"/>
      <w:sz w:val="16"/>
      <w:szCs w:val="16"/>
    </w:rPr>
  </w:style>
  <w:style w:type="character" w:customStyle="1" w:styleId="BalloonTextChar">
    <w:name w:val="Balloon Text Char"/>
    <w:basedOn w:val="DefaultParagraphFont"/>
    <w:link w:val="BalloonText"/>
    <w:rsid w:val="00F63DC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mhoyer@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B8207F-37B3-4FA1-B8C8-C98C35A26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7</Pages>
  <Words>1693</Words>
  <Characters>9656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11327</CharactersWithSpaces>
  <SharedDoc>false</SharedDoc>
  <HLinks>
    <vt:vector size="6" baseType="variant">
      <vt:variant>
        <vt:i4>3473432</vt:i4>
      </vt:variant>
      <vt:variant>
        <vt:i4>0</vt:i4>
      </vt:variant>
      <vt:variant>
        <vt:i4>0</vt:i4>
      </vt:variant>
      <vt:variant>
        <vt:i4>5</vt:i4>
      </vt:variant>
      <vt:variant>
        <vt:lpwstr>mailto:mhoyer@pa.gov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dc:creator>
  <cp:lastModifiedBy>sandra elizabeth oldynski</cp:lastModifiedBy>
  <cp:revision>27</cp:revision>
  <cp:lastPrinted>2013-05-14T13:24:00Z</cp:lastPrinted>
  <dcterms:created xsi:type="dcterms:W3CDTF">2013-05-13T19:55:00Z</dcterms:created>
  <dcterms:modified xsi:type="dcterms:W3CDTF">2013-05-14T13:25:00Z</dcterms:modified>
</cp:coreProperties>
</file>