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5" w:type="dxa"/>
        <w:tblLayout w:type="fixed"/>
        <w:tblLook w:val="04A0" w:firstRow="1" w:lastRow="0" w:firstColumn="1" w:lastColumn="0" w:noHBand="0" w:noVBand="1"/>
      </w:tblPr>
      <w:tblGrid>
        <w:gridCol w:w="2448"/>
        <w:gridCol w:w="5128"/>
        <w:gridCol w:w="2699"/>
      </w:tblGrid>
      <w:tr w:rsidR="00FA4295" w:rsidRPr="000932AE" w:rsidTr="00FA4295">
        <w:tc>
          <w:tcPr>
            <w:tcW w:w="2448" w:type="dxa"/>
          </w:tcPr>
          <w:p w:rsidR="00FA4295" w:rsidRPr="000932AE" w:rsidRDefault="00FA4295">
            <w:pPr>
              <w:pStyle w:val="Heading3"/>
              <w:spacing w:line="276" w:lineRule="auto"/>
              <w:rPr>
                <w:rFonts w:ascii="Times New Roman" w:hAnsi="Times New Roman" w:cs="Times New Roman"/>
              </w:rPr>
            </w:pPr>
            <w:bookmarkStart w:id="0" w:name="_GoBack"/>
            <w:bookmarkEnd w:id="0"/>
          </w:p>
        </w:tc>
        <w:tc>
          <w:tcPr>
            <w:tcW w:w="5130" w:type="dxa"/>
            <w:hideMark/>
          </w:tcPr>
          <w:p w:rsidR="00FA4295" w:rsidRPr="000932AE" w:rsidRDefault="00FA4295">
            <w:pPr>
              <w:spacing w:line="276" w:lineRule="auto"/>
              <w:jc w:val="center"/>
              <w:rPr>
                <w:b/>
                <w:sz w:val="26"/>
                <w:szCs w:val="26"/>
              </w:rPr>
            </w:pPr>
            <w:r w:rsidRPr="000932AE">
              <w:rPr>
                <w:b/>
                <w:sz w:val="26"/>
                <w:szCs w:val="26"/>
              </w:rPr>
              <w:t>PENNSYLVANIA</w:t>
            </w:r>
          </w:p>
          <w:p w:rsidR="00FA4295" w:rsidRPr="000932AE" w:rsidRDefault="00FA4295">
            <w:pPr>
              <w:spacing w:line="276" w:lineRule="auto"/>
              <w:jc w:val="center"/>
              <w:rPr>
                <w:b/>
                <w:sz w:val="26"/>
                <w:szCs w:val="26"/>
              </w:rPr>
            </w:pPr>
            <w:r w:rsidRPr="000932AE">
              <w:rPr>
                <w:b/>
                <w:sz w:val="26"/>
                <w:szCs w:val="26"/>
              </w:rPr>
              <w:t>PUBLIC UTILITY COMMISSION</w:t>
            </w:r>
          </w:p>
          <w:p w:rsidR="00FA4295" w:rsidRPr="000932AE" w:rsidRDefault="00FA4295">
            <w:pPr>
              <w:pStyle w:val="StyleCentered"/>
              <w:spacing w:line="276" w:lineRule="auto"/>
              <w:rPr>
                <w:sz w:val="26"/>
                <w:szCs w:val="26"/>
              </w:rPr>
            </w:pPr>
            <w:r w:rsidRPr="000932AE">
              <w:rPr>
                <w:sz w:val="26"/>
                <w:szCs w:val="26"/>
              </w:rPr>
              <w:t>Harrisburg, PA.  17105-3265</w:t>
            </w:r>
          </w:p>
        </w:tc>
        <w:tc>
          <w:tcPr>
            <w:tcW w:w="2700" w:type="dxa"/>
          </w:tcPr>
          <w:p w:rsidR="00FA4295" w:rsidRPr="000932AE" w:rsidRDefault="00FA4295">
            <w:pPr>
              <w:spacing w:line="276" w:lineRule="auto"/>
              <w:rPr>
                <w:sz w:val="26"/>
                <w:szCs w:val="26"/>
              </w:rPr>
            </w:pPr>
          </w:p>
        </w:tc>
      </w:tr>
    </w:tbl>
    <w:p w:rsidR="00FA4295" w:rsidRPr="000932AE" w:rsidRDefault="00FA4295" w:rsidP="00FA4295">
      <w:pPr>
        <w:rPr>
          <w:sz w:val="26"/>
          <w:szCs w:val="26"/>
        </w:rPr>
      </w:pPr>
    </w:p>
    <w:tbl>
      <w:tblPr>
        <w:tblW w:w="0" w:type="auto"/>
        <w:tblLayout w:type="fixed"/>
        <w:tblLook w:val="04A0" w:firstRow="1" w:lastRow="0" w:firstColumn="1" w:lastColumn="0" w:noHBand="0" w:noVBand="1"/>
      </w:tblPr>
      <w:tblGrid>
        <w:gridCol w:w="5148"/>
        <w:gridCol w:w="5148"/>
      </w:tblGrid>
      <w:tr w:rsidR="00FA4295" w:rsidRPr="000932AE" w:rsidTr="00FA4295">
        <w:tc>
          <w:tcPr>
            <w:tcW w:w="5148" w:type="dxa"/>
          </w:tcPr>
          <w:p w:rsidR="00FA4295" w:rsidRPr="000932AE" w:rsidRDefault="00FA4295">
            <w:pPr>
              <w:spacing w:line="276" w:lineRule="auto"/>
              <w:rPr>
                <w:sz w:val="26"/>
                <w:szCs w:val="26"/>
              </w:rPr>
            </w:pPr>
          </w:p>
        </w:tc>
        <w:tc>
          <w:tcPr>
            <w:tcW w:w="5148" w:type="dxa"/>
            <w:hideMark/>
          </w:tcPr>
          <w:p w:rsidR="00FA4295" w:rsidRPr="000932AE" w:rsidRDefault="00FA4295" w:rsidP="00BF30B2">
            <w:pPr>
              <w:spacing w:line="276" w:lineRule="auto"/>
              <w:ind w:firstLine="612"/>
              <w:rPr>
                <w:sz w:val="26"/>
                <w:szCs w:val="26"/>
              </w:rPr>
            </w:pPr>
            <w:r w:rsidRPr="000932AE">
              <w:rPr>
                <w:sz w:val="26"/>
                <w:szCs w:val="26"/>
              </w:rPr>
              <w:t xml:space="preserve">Public Meeting held </w:t>
            </w:r>
            <w:r w:rsidR="00BF30B2">
              <w:rPr>
                <w:sz w:val="26"/>
                <w:szCs w:val="26"/>
              </w:rPr>
              <w:t>May 23</w:t>
            </w:r>
            <w:r w:rsidR="003036C1" w:rsidRPr="000932AE">
              <w:rPr>
                <w:sz w:val="26"/>
                <w:szCs w:val="26"/>
              </w:rPr>
              <w:t>, 201</w:t>
            </w:r>
            <w:r w:rsidR="00BF30B2">
              <w:rPr>
                <w:sz w:val="26"/>
                <w:szCs w:val="26"/>
              </w:rPr>
              <w:t>3</w:t>
            </w:r>
          </w:p>
        </w:tc>
      </w:tr>
      <w:tr w:rsidR="00FA4295" w:rsidRPr="000932AE" w:rsidTr="00FA4295">
        <w:tc>
          <w:tcPr>
            <w:tcW w:w="5148" w:type="dxa"/>
            <w:hideMark/>
          </w:tcPr>
          <w:p w:rsidR="00FA4295" w:rsidRPr="000932AE" w:rsidRDefault="00FA4295">
            <w:pPr>
              <w:spacing w:line="276" w:lineRule="auto"/>
              <w:rPr>
                <w:sz w:val="26"/>
                <w:szCs w:val="26"/>
              </w:rPr>
            </w:pPr>
            <w:r w:rsidRPr="000932AE">
              <w:rPr>
                <w:sz w:val="26"/>
                <w:szCs w:val="26"/>
              </w:rPr>
              <w:t>Commissioners Present:</w:t>
            </w:r>
          </w:p>
        </w:tc>
        <w:tc>
          <w:tcPr>
            <w:tcW w:w="5148" w:type="dxa"/>
          </w:tcPr>
          <w:p w:rsidR="00FA4295" w:rsidRPr="000932AE" w:rsidRDefault="00FA4295">
            <w:pPr>
              <w:spacing w:line="276" w:lineRule="auto"/>
              <w:rPr>
                <w:sz w:val="26"/>
                <w:szCs w:val="26"/>
              </w:rPr>
            </w:pPr>
          </w:p>
        </w:tc>
      </w:tr>
    </w:tbl>
    <w:p w:rsidR="00FA4295" w:rsidRPr="000932AE" w:rsidRDefault="00FA4295" w:rsidP="00FA4295">
      <w:pPr>
        <w:rPr>
          <w:sz w:val="26"/>
          <w:szCs w:val="26"/>
        </w:rPr>
      </w:pPr>
    </w:p>
    <w:tbl>
      <w:tblPr>
        <w:tblW w:w="10290" w:type="dxa"/>
        <w:tblLayout w:type="fixed"/>
        <w:tblLook w:val="04A0" w:firstRow="1" w:lastRow="0" w:firstColumn="1" w:lastColumn="0" w:noHBand="0" w:noVBand="1"/>
      </w:tblPr>
      <w:tblGrid>
        <w:gridCol w:w="5954"/>
        <w:gridCol w:w="3508"/>
        <w:gridCol w:w="90"/>
        <w:gridCol w:w="738"/>
      </w:tblGrid>
      <w:tr w:rsidR="00FA4295" w:rsidRPr="000932AE" w:rsidTr="00FA4295">
        <w:tc>
          <w:tcPr>
            <w:tcW w:w="9558" w:type="dxa"/>
            <w:gridSpan w:val="3"/>
            <w:hideMark/>
          </w:tcPr>
          <w:p w:rsidR="00FA4295" w:rsidRPr="000932AE" w:rsidRDefault="006D57F0" w:rsidP="00800F6C">
            <w:pPr>
              <w:ind w:firstLine="450"/>
              <w:rPr>
                <w:sz w:val="26"/>
                <w:szCs w:val="26"/>
              </w:rPr>
            </w:pPr>
            <w:r w:rsidRPr="000932AE">
              <w:rPr>
                <w:sz w:val="26"/>
                <w:szCs w:val="26"/>
              </w:rPr>
              <w:t>Robert F. Powelson</w:t>
            </w:r>
            <w:r w:rsidR="00FA4295" w:rsidRPr="000932AE">
              <w:rPr>
                <w:sz w:val="26"/>
                <w:szCs w:val="26"/>
              </w:rPr>
              <w:t>, Chairman</w:t>
            </w:r>
          </w:p>
        </w:tc>
        <w:tc>
          <w:tcPr>
            <w:tcW w:w="738" w:type="dxa"/>
          </w:tcPr>
          <w:p w:rsidR="00FA4295" w:rsidRPr="000932AE" w:rsidRDefault="00FA4295">
            <w:pPr>
              <w:spacing w:line="276" w:lineRule="auto"/>
              <w:rPr>
                <w:sz w:val="26"/>
                <w:szCs w:val="26"/>
              </w:rPr>
            </w:pPr>
          </w:p>
        </w:tc>
      </w:tr>
      <w:tr w:rsidR="00FA4295" w:rsidRPr="000932AE" w:rsidTr="00FA4295">
        <w:tc>
          <w:tcPr>
            <w:tcW w:w="9558" w:type="dxa"/>
            <w:gridSpan w:val="3"/>
            <w:hideMark/>
          </w:tcPr>
          <w:p w:rsidR="00FA4295" w:rsidRPr="000932AE" w:rsidRDefault="006D57F0" w:rsidP="00800F6C">
            <w:pPr>
              <w:ind w:firstLine="450"/>
              <w:rPr>
                <w:sz w:val="26"/>
                <w:szCs w:val="26"/>
              </w:rPr>
            </w:pPr>
            <w:r w:rsidRPr="000932AE">
              <w:rPr>
                <w:sz w:val="26"/>
                <w:szCs w:val="26"/>
              </w:rPr>
              <w:t>John F. Coleman, Jr.</w:t>
            </w:r>
            <w:r w:rsidR="00FA4295" w:rsidRPr="000932AE">
              <w:rPr>
                <w:sz w:val="26"/>
                <w:szCs w:val="26"/>
              </w:rPr>
              <w:t>, Vice Chairman</w:t>
            </w:r>
          </w:p>
          <w:p w:rsidR="00D06886" w:rsidRPr="000932AE" w:rsidRDefault="006D57F0" w:rsidP="006A58F3">
            <w:pPr>
              <w:ind w:firstLine="450"/>
              <w:rPr>
                <w:sz w:val="26"/>
                <w:szCs w:val="26"/>
              </w:rPr>
            </w:pPr>
            <w:r w:rsidRPr="000932AE">
              <w:rPr>
                <w:sz w:val="26"/>
                <w:szCs w:val="26"/>
              </w:rPr>
              <w:t>Wayne E. Gardner</w:t>
            </w:r>
          </w:p>
        </w:tc>
        <w:tc>
          <w:tcPr>
            <w:tcW w:w="738" w:type="dxa"/>
          </w:tcPr>
          <w:p w:rsidR="00FA4295" w:rsidRPr="000932AE" w:rsidRDefault="00FA4295">
            <w:pPr>
              <w:spacing w:line="276" w:lineRule="auto"/>
              <w:rPr>
                <w:sz w:val="26"/>
                <w:szCs w:val="26"/>
              </w:rPr>
            </w:pPr>
          </w:p>
        </w:tc>
      </w:tr>
      <w:tr w:rsidR="00FA4295" w:rsidRPr="000932AE" w:rsidTr="00FA4295">
        <w:tc>
          <w:tcPr>
            <w:tcW w:w="9558" w:type="dxa"/>
            <w:gridSpan w:val="3"/>
            <w:hideMark/>
          </w:tcPr>
          <w:p w:rsidR="00FA4295" w:rsidRPr="000932AE" w:rsidRDefault="006D57F0" w:rsidP="006A58F3">
            <w:pPr>
              <w:ind w:firstLine="450"/>
              <w:rPr>
                <w:sz w:val="26"/>
                <w:szCs w:val="26"/>
              </w:rPr>
            </w:pPr>
            <w:r w:rsidRPr="000932AE">
              <w:rPr>
                <w:sz w:val="26"/>
                <w:szCs w:val="26"/>
              </w:rPr>
              <w:t>James H. Cawley</w:t>
            </w:r>
          </w:p>
        </w:tc>
        <w:tc>
          <w:tcPr>
            <w:tcW w:w="738" w:type="dxa"/>
          </w:tcPr>
          <w:p w:rsidR="00FA4295" w:rsidRPr="000932AE" w:rsidRDefault="00FA4295">
            <w:pPr>
              <w:spacing w:line="276" w:lineRule="auto"/>
              <w:rPr>
                <w:sz w:val="26"/>
                <w:szCs w:val="26"/>
              </w:rPr>
            </w:pPr>
          </w:p>
        </w:tc>
      </w:tr>
      <w:tr w:rsidR="00FA4295" w:rsidRPr="000932AE" w:rsidTr="00FA4295">
        <w:tc>
          <w:tcPr>
            <w:tcW w:w="9558" w:type="dxa"/>
            <w:gridSpan w:val="3"/>
            <w:hideMark/>
          </w:tcPr>
          <w:p w:rsidR="00FA4295" w:rsidRPr="000932AE" w:rsidRDefault="006D57F0" w:rsidP="006A58F3">
            <w:pPr>
              <w:ind w:left="450"/>
              <w:rPr>
                <w:sz w:val="26"/>
                <w:szCs w:val="26"/>
              </w:rPr>
            </w:pPr>
            <w:r w:rsidRPr="000932AE">
              <w:rPr>
                <w:sz w:val="26"/>
                <w:szCs w:val="26"/>
              </w:rPr>
              <w:t>Pamela A. Witmer</w:t>
            </w:r>
          </w:p>
        </w:tc>
        <w:tc>
          <w:tcPr>
            <w:tcW w:w="738" w:type="dxa"/>
          </w:tcPr>
          <w:p w:rsidR="00FA4295" w:rsidRPr="000932AE" w:rsidRDefault="00FA4295">
            <w:pPr>
              <w:spacing w:line="276" w:lineRule="auto"/>
              <w:rPr>
                <w:sz w:val="26"/>
                <w:szCs w:val="26"/>
              </w:rPr>
            </w:pPr>
          </w:p>
        </w:tc>
      </w:tr>
      <w:tr w:rsidR="00FA4295" w:rsidRPr="000932AE" w:rsidTr="00FA4295">
        <w:trPr>
          <w:gridAfter w:val="2"/>
          <w:wAfter w:w="828" w:type="dxa"/>
        </w:trPr>
        <w:tc>
          <w:tcPr>
            <w:tcW w:w="5958" w:type="dxa"/>
          </w:tcPr>
          <w:p w:rsidR="00FA4295" w:rsidRPr="000932AE" w:rsidRDefault="00FA4295">
            <w:pPr>
              <w:spacing w:line="276" w:lineRule="auto"/>
              <w:rPr>
                <w:sz w:val="26"/>
                <w:szCs w:val="26"/>
              </w:rPr>
            </w:pPr>
          </w:p>
        </w:tc>
        <w:tc>
          <w:tcPr>
            <w:tcW w:w="3510" w:type="dxa"/>
          </w:tcPr>
          <w:p w:rsidR="00FA4295" w:rsidRPr="000932AE" w:rsidRDefault="00FA4295">
            <w:pPr>
              <w:spacing w:line="276" w:lineRule="auto"/>
              <w:rPr>
                <w:sz w:val="26"/>
                <w:szCs w:val="26"/>
              </w:rPr>
            </w:pPr>
          </w:p>
        </w:tc>
      </w:tr>
      <w:tr w:rsidR="00FA4295" w:rsidRPr="000932AE" w:rsidTr="00FA4295">
        <w:trPr>
          <w:gridAfter w:val="2"/>
          <w:wAfter w:w="828" w:type="dxa"/>
        </w:trPr>
        <w:tc>
          <w:tcPr>
            <w:tcW w:w="5958" w:type="dxa"/>
            <w:hideMark/>
          </w:tcPr>
          <w:p w:rsidR="00FA4295" w:rsidRPr="000932AE" w:rsidRDefault="00BF30B2" w:rsidP="00BF30B2">
            <w:pPr>
              <w:rPr>
                <w:sz w:val="26"/>
                <w:szCs w:val="26"/>
              </w:rPr>
            </w:pPr>
            <w:r>
              <w:rPr>
                <w:sz w:val="26"/>
                <w:szCs w:val="26"/>
              </w:rPr>
              <w:t>Petition of Metropolitan Edison Company, Pennsylvania Electric Company and Pennsylvania Power Company to Approve Modification of the Energy Efficiency and Conservation Charge Rider to Include Final Reconciliation Costs and to Recover the Full Costs for Metropolitan Edison Company’s Suspension of the Residential Direct Load Control Program Effective May 31, 2013</w:t>
            </w:r>
          </w:p>
        </w:tc>
        <w:tc>
          <w:tcPr>
            <w:tcW w:w="3510" w:type="dxa"/>
            <w:hideMark/>
          </w:tcPr>
          <w:p w:rsidR="00FA4295" w:rsidRPr="000932AE" w:rsidRDefault="00BF30B2" w:rsidP="003036C1">
            <w:pPr>
              <w:spacing w:line="276" w:lineRule="auto"/>
              <w:rPr>
                <w:sz w:val="26"/>
                <w:szCs w:val="26"/>
              </w:rPr>
            </w:pPr>
            <w:r>
              <w:rPr>
                <w:sz w:val="26"/>
                <w:szCs w:val="26"/>
              </w:rPr>
              <w:t>Docket No. M-2009-2092222</w:t>
            </w:r>
          </w:p>
          <w:p w:rsidR="00224CA6" w:rsidRDefault="00BF30B2" w:rsidP="00BF30B2">
            <w:pPr>
              <w:spacing w:line="276" w:lineRule="auto"/>
              <w:rPr>
                <w:sz w:val="26"/>
                <w:szCs w:val="26"/>
              </w:rPr>
            </w:pPr>
            <w:r>
              <w:rPr>
                <w:sz w:val="26"/>
                <w:szCs w:val="26"/>
              </w:rPr>
              <w:t xml:space="preserve">                   M-2009-2112952</w:t>
            </w:r>
          </w:p>
          <w:p w:rsidR="00BF30B2" w:rsidRPr="000932AE" w:rsidRDefault="00BF30B2" w:rsidP="00BF30B2">
            <w:pPr>
              <w:spacing w:line="276" w:lineRule="auto"/>
              <w:rPr>
                <w:sz w:val="26"/>
                <w:szCs w:val="26"/>
              </w:rPr>
            </w:pPr>
            <w:r>
              <w:rPr>
                <w:sz w:val="26"/>
                <w:szCs w:val="26"/>
              </w:rPr>
              <w:t xml:space="preserve">                   M-2009-2112956</w:t>
            </w:r>
          </w:p>
        </w:tc>
      </w:tr>
    </w:tbl>
    <w:p w:rsidR="00FA4295" w:rsidRPr="000932AE" w:rsidRDefault="00FA4295" w:rsidP="00FA4295">
      <w:pPr>
        <w:jc w:val="center"/>
        <w:rPr>
          <w:b/>
          <w:sz w:val="26"/>
          <w:szCs w:val="26"/>
        </w:rPr>
      </w:pPr>
    </w:p>
    <w:p w:rsidR="00FA4295" w:rsidRPr="000932AE" w:rsidRDefault="00FA4295" w:rsidP="00FA4295">
      <w:pPr>
        <w:jc w:val="center"/>
        <w:rPr>
          <w:b/>
          <w:sz w:val="26"/>
          <w:szCs w:val="26"/>
        </w:rPr>
      </w:pPr>
    </w:p>
    <w:p w:rsidR="00FA4295" w:rsidRPr="000932AE" w:rsidRDefault="00FD6404" w:rsidP="00FA4295">
      <w:pPr>
        <w:spacing w:line="360" w:lineRule="auto"/>
        <w:jc w:val="center"/>
        <w:rPr>
          <w:b/>
          <w:caps/>
          <w:sz w:val="26"/>
          <w:szCs w:val="26"/>
        </w:rPr>
      </w:pPr>
      <w:r>
        <w:rPr>
          <w:b/>
          <w:caps/>
          <w:sz w:val="26"/>
          <w:szCs w:val="26"/>
        </w:rPr>
        <w:t>Opinion and Order</w:t>
      </w:r>
    </w:p>
    <w:p w:rsidR="00BF30B2" w:rsidRDefault="00BF30B2" w:rsidP="00B64A9F">
      <w:pPr>
        <w:pStyle w:val="p3"/>
        <w:tabs>
          <w:tab w:val="clear" w:pos="204"/>
          <w:tab w:val="left" w:pos="-900"/>
        </w:tabs>
        <w:spacing w:line="360" w:lineRule="auto"/>
        <w:rPr>
          <w:b/>
          <w:sz w:val="26"/>
          <w:szCs w:val="26"/>
        </w:rPr>
      </w:pPr>
    </w:p>
    <w:p w:rsidR="00FA4295" w:rsidRPr="000932AE" w:rsidRDefault="00FA4295" w:rsidP="00B64A9F">
      <w:pPr>
        <w:pStyle w:val="p3"/>
        <w:tabs>
          <w:tab w:val="clear" w:pos="204"/>
          <w:tab w:val="left" w:pos="-900"/>
        </w:tabs>
        <w:spacing w:line="360" w:lineRule="auto"/>
        <w:rPr>
          <w:b/>
          <w:sz w:val="26"/>
          <w:szCs w:val="26"/>
        </w:rPr>
      </w:pPr>
      <w:r w:rsidRPr="000932AE">
        <w:rPr>
          <w:b/>
          <w:sz w:val="26"/>
          <w:szCs w:val="26"/>
        </w:rPr>
        <w:t>BY THE COMMISSION:</w:t>
      </w:r>
    </w:p>
    <w:p w:rsidR="00FA4295" w:rsidRPr="000932AE" w:rsidRDefault="00FA4295" w:rsidP="00B64A9F">
      <w:pPr>
        <w:pStyle w:val="p3"/>
        <w:spacing w:line="360" w:lineRule="auto"/>
        <w:rPr>
          <w:b/>
          <w:sz w:val="26"/>
          <w:szCs w:val="26"/>
        </w:rPr>
      </w:pPr>
    </w:p>
    <w:p w:rsidR="00C81AE8" w:rsidRDefault="00C81AE8" w:rsidP="00C81AE8">
      <w:pPr>
        <w:pStyle w:val="p3"/>
        <w:tabs>
          <w:tab w:val="clear" w:pos="204"/>
          <w:tab w:val="left" w:pos="-2880"/>
          <w:tab w:val="left" w:pos="0"/>
        </w:tabs>
        <w:spacing w:line="360" w:lineRule="auto"/>
        <w:rPr>
          <w:sz w:val="26"/>
          <w:szCs w:val="26"/>
        </w:rPr>
      </w:pPr>
      <w:r>
        <w:rPr>
          <w:sz w:val="26"/>
          <w:szCs w:val="26"/>
        </w:rPr>
        <w:tab/>
      </w:r>
      <w:r w:rsidRPr="00C81AE8">
        <w:rPr>
          <w:sz w:val="26"/>
          <w:szCs w:val="26"/>
        </w:rPr>
        <w:t xml:space="preserve">Before the Pennsylvania Public Utility Commission (Commission) for consideration </w:t>
      </w:r>
      <w:r>
        <w:rPr>
          <w:sz w:val="26"/>
          <w:szCs w:val="26"/>
        </w:rPr>
        <w:t>is the Petition of Metropolitan Edison Company (Met-Ed), Pennsylvania Electric Company (Penelec) and Pennsylvania Power Company (Penn Power) (collectively, FirstEnergy Companies or Companies)</w:t>
      </w:r>
      <w:r w:rsidR="008F56AC">
        <w:rPr>
          <w:sz w:val="26"/>
          <w:szCs w:val="26"/>
        </w:rPr>
        <w:t xml:space="preserve"> to Approve Modification of the Energy Efficiency and Conservation Charge Rider to Include Final Reconciliation Costs and to Recover the Full Costs for Metropolitan Edison Company’s Suspension of the Residential Direct Load Control Program</w:t>
      </w:r>
      <w:r w:rsidR="008100D0">
        <w:rPr>
          <w:sz w:val="26"/>
          <w:szCs w:val="26"/>
        </w:rPr>
        <w:t xml:space="preserve"> (Petition)</w:t>
      </w:r>
      <w:r w:rsidR="008F56AC">
        <w:rPr>
          <w:sz w:val="26"/>
          <w:szCs w:val="26"/>
        </w:rPr>
        <w:t xml:space="preserve"> </w:t>
      </w:r>
      <w:r w:rsidRPr="00C81AE8">
        <w:rPr>
          <w:sz w:val="26"/>
          <w:szCs w:val="26"/>
        </w:rPr>
        <w:t xml:space="preserve">filed on </w:t>
      </w:r>
      <w:r>
        <w:rPr>
          <w:sz w:val="26"/>
          <w:szCs w:val="26"/>
        </w:rPr>
        <w:t>April 18, 2013</w:t>
      </w:r>
      <w:r w:rsidR="008F56AC">
        <w:rPr>
          <w:sz w:val="26"/>
          <w:szCs w:val="26"/>
        </w:rPr>
        <w:t>, at the above dockets</w:t>
      </w:r>
      <w:r>
        <w:rPr>
          <w:sz w:val="26"/>
          <w:szCs w:val="26"/>
        </w:rPr>
        <w:t xml:space="preserve">.  This </w:t>
      </w:r>
      <w:r w:rsidR="006629D7">
        <w:rPr>
          <w:sz w:val="26"/>
          <w:szCs w:val="26"/>
        </w:rPr>
        <w:t>Order</w:t>
      </w:r>
      <w:r w:rsidR="006629D7" w:rsidRPr="006629D7">
        <w:rPr>
          <w:sz w:val="26"/>
          <w:szCs w:val="26"/>
        </w:rPr>
        <w:t xml:space="preserve"> grant</w:t>
      </w:r>
      <w:r w:rsidR="006629D7">
        <w:rPr>
          <w:sz w:val="26"/>
          <w:szCs w:val="26"/>
        </w:rPr>
        <w:t>s, in part, and denies</w:t>
      </w:r>
      <w:r w:rsidR="006629D7" w:rsidRPr="006629D7">
        <w:rPr>
          <w:sz w:val="26"/>
          <w:szCs w:val="26"/>
        </w:rPr>
        <w:t xml:space="preserve">, in part, the </w:t>
      </w:r>
      <w:r w:rsidR="006629D7">
        <w:rPr>
          <w:sz w:val="26"/>
          <w:szCs w:val="26"/>
        </w:rPr>
        <w:t xml:space="preserve">Companies’ </w:t>
      </w:r>
      <w:r w:rsidR="006629D7" w:rsidRPr="006629D7">
        <w:rPr>
          <w:sz w:val="26"/>
          <w:szCs w:val="26"/>
        </w:rPr>
        <w:t xml:space="preserve">Petition and </w:t>
      </w:r>
      <w:r w:rsidR="00AC1D1D">
        <w:rPr>
          <w:sz w:val="26"/>
          <w:szCs w:val="26"/>
        </w:rPr>
        <w:lastRenderedPageBreak/>
        <w:t xml:space="preserve">tentatively approves a new mechanism for </w:t>
      </w:r>
      <w:r w:rsidR="006629D7" w:rsidRPr="006629D7">
        <w:rPr>
          <w:sz w:val="26"/>
          <w:szCs w:val="26"/>
        </w:rPr>
        <w:t xml:space="preserve">the recovery of the full costs associated with suspending the </w:t>
      </w:r>
      <w:r w:rsidR="006629D7">
        <w:rPr>
          <w:sz w:val="26"/>
          <w:szCs w:val="26"/>
        </w:rPr>
        <w:t xml:space="preserve">Metropolitan Edison Company’s </w:t>
      </w:r>
      <w:r w:rsidR="006629D7" w:rsidRPr="006629D7">
        <w:rPr>
          <w:sz w:val="26"/>
          <w:szCs w:val="26"/>
        </w:rPr>
        <w:t>Residential Direct Load Control Program</w:t>
      </w:r>
      <w:r w:rsidR="002D1444">
        <w:rPr>
          <w:sz w:val="26"/>
          <w:szCs w:val="26"/>
        </w:rPr>
        <w:t>.</w:t>
      </w:r>
    </w:p>
    <w:p w:rsidR="008601DF" w:rsidRPr="000932AE" w:rsidRDefault="00C81AE8" w:rsidP="00C81AE8">
      <w:pPr>
        <w:pStyle w:val="p3"/>
        <w:tabs>
          <w:tab w:val="clear" w:pos="204"/>
          <w:tab w:val="left" w:pos="720"/>
        </w:tabs>
        <w:spacing w:line="360" w:lineRule="auto"/>
        <w:rPr>
          <w:sz w:val="26"/>
          <w:szCs w:val="26"/>
        </w:rPr>
      </w:pPr>
      <w:r w:rsidRPr="00C81AE8">
        <w:rPr>
          <w:sz w:val="26"/>
          <w:szCs w:val="26"/>
        </w:rPr>
        <w:t xml:space="preserve">  </w:t>
      </w:r>
    </w:p>
    <w:p w:rsidR="00FA4295" w:rsidRPr="000932AE" w:rsidRDefault="00FA4295" w:rsidP="00B64A9F">
      <w:pPr>
        <w:pStyle w:val="p3"/>
        <w:tabs>
          <w:tab w:val="clear" w:pos="204"/>
          <w:tab w:val="left" w:pos="720"/>
        </w:tabs>
        <w:spacing w:line="360" w:lineRule="auto"/>
        <w:jc w:val="center"/>
        <w:outlineLvl w:val="0"/>
        <w:rPr>
          <w:b/>
          <w:sz w:val="26"/>
          <w:szCs w:val="26"/>
        </w:rPr>
      </w:pPr>
      <w:bookmarkStart w:id="1" w:name="_Toc334174988"/>
      <w:bookmarkStart w:id="2" w:name="_Toc343073066"/>
      <w:r w:rsidRPr="000932AE">
        <w:rPr>
          <w:b/>
          <w:sz w:val="26"/>
          <w:szCs w:val="26"/>
        </w:rPr>
        <w:t>BACKGROUND</w:t>
      </w:r>
      <w:bookmarkEnd w:id="1"/>
      <w:bookmarkEnd w:id="2"/>
    </w:p>
    <w:p w:rsidR="00FA4295" w:rsidRPr="000932AE" w:rsidRDefault="00FA4295" w:rsidP="00B64A9F">
      <w:pPr>
        <w:pStyle w:val="p3"/>
        <w:tabs>
          <w:tab w:val="clear" w:pos="204"/>
          <w:tab w:val="left" w:pos="720"/>
        </w:tabs>
        <w:spacing w:line="360" w:lineRule="auto"/>
        <w:rPr>
          <w:b/>
          <w:sz w:val="26"/>
          <w:szCs w:val="26"/>
        </w:rPr>
      </w:pPr>
    </w:p>
    <w:p w:rsidR="00B64A9F" w:rsidRDefault="008F56AC" w:rsidP="00B64A9F">
      <w:pPr>
        <w:pStyle w:val="p3"/>
        <w:tabs>
          <w:tab w:val="clear" w:pos="204"/>
          <w:tab w:val="left" w:pos="720"/>
        </w:tabs>
        <w:spacing w:line="360" w:lineRule="auto"/>
        <w:ind w:firstLine="720"/>
        <w:rPr>
          <w:sz w:val="26"/>
          <w:szCs w:val="26"/>
        </w:rPr>
      </w:pPr>
      <w:r w:rsidRPr="008F56AC">
        <w:rPr>
          <w:sz w:val="26"/>
          <w:szCs w:val="26"/>
        </w:rPr>
        <w:t xml:space="preserve">Act 129 of 2008 (the Act or Act 129) was signed into law on October 15, 2008, and became effective on November 14, 2008.  Among other things, the Act created an </w:t>
      </w:r>
      <w:r w:rsidR="00567568">
        <w:rPr>
          <w:sz w:val="26"/>
          <w:szCs w:val="26"/>
        </w:rPr>
        <w:t>Energy Efficiency and Conservation (</w:t>
      </w:r>
      <w:r w:rsidRPr="008F56AC">
        <w:rPr>
          <w:sz w:val="26"/>
          <w:szCs w:val="26"/>
        </w:rPr>
        <w:t>EE&amp;C</w:t>
      </w:r>
      <w:r w:rsidR="00567568">
        <w:rPr>
          <w:sz w:val="26"/>
          <w:szCs w:val="26"/>
        </w:rPr>
        <w:t>)</w:t>
      </w:r>
      <w:r w:rsidRPr="008F56AC">
        <w:rPr>
          <w:sz w:val="26"/>
          <w:szCs w:val="26"/>
        </w:rPr>
        <w:t xml:space="preserve"> Program, codified in the Pennsylvania Public Utility Code at Sections 2806.1 and 2806.2, 66 Pa. C.S. §§2806.1 and 2806.2.  This initial program required an E</w:t>
      </w:r>
      <w:r w:rsidR="002D1444">
        <w:rPr>
          <w:sz w:val="26"/>
          <w:szCs w:val="26"/>
        </w:rPr>
        <w:t xml:space="preserve">lectric </w:t>
      </w:r>
      <w:r w:rsidRPr="008F56AC">
        <w:rPr>
          <w:sz w:val="26"/>
          <w:szCs w:val="26"/>
        </w:rPr>
        <w:t>D</w:t>
      </w:r>
      <w:r w:rsidR="002D1444">
        <w:rPr>
          <w:sz w:val="26"/>
          <w:szCs w:val="26"/>
        </w:rPr>
        <w:t xml:space="preserve">istribution </w:t>
      </w:r>
      <w:r w:rsidRPr="008F56AC">
        <w:rPr>
          <w:sz w:val="26"/>
          <w:szCs w:val="26"/>
        </w:rPr>
        <w:t>C</w:t>
      </w:r>
      <w:r w:rsidR="002D1444">
        <w:rPr>
          <w:sz w:val="26"/>
          <w:szCs w:val="26"/>
        </w:rPr>
        <w:t>ompany (EDC)</w:t>
      </w:r>
      <w:r w:rsidRPr="008F56AC">
        <w:rPr>
          <w:sz w:val="26"/>
          <w:szCs w:val="26"/>
        </w:rPr>
        <w:t xml:space="preserve"> with at least 100,000 customers to adopt an energy efficiency and conservation plan (EE&amp;C plan), approved by the Commission, to reduce electric consumption by at least one percent (1%) of its expected consumption for June 1, 2009 through May 31, 2010, adjusted for weather and extraordinary loads.  This one percent (1%) reduction was to be accomplished by May 31, 2011.  By May 31, 2013, the total annual weather normalized consumption is to be reduced by a minimum of three percent (3%).  Also, by May 31, 2013, peak demand is to be reduced by a minimum of four</w:t>
      </w:r>
      <w:r w:rsidR="00160A69">
        <w:rPr>
          <w:sz w:val="26"/>
          <w:szCs w:val="26"/>
        </w:rPr>
        <w:t>-</w:t>
      </w:r>
      <w:r w:rsidRPr="008F56AC">
        <w:rPr>
          <w:sz w:val="26"/>
          <w:szCs w:val="26"/>
        </w:rPr>
        <w:t>and</w:t>
      </w:r>
      <w:r w:rsidR="00160A69">
        <w:rPr>
          <w:sz w:val="26"/>
          <w:szCs w:val="26"/>
        </w:rPr>
        <w:t>-</w:t>
      </w:r>
      <w:r w:rsidRPr="008F56AC">
        <w:rPr>
          <w:sz w:val="26"/>
          <w:szCs w:val="26"/>
        </w:rPr>
        <w:t>a</w:t>
      </w:r>
      <w:r w:rsidR="00160A69">
        <w:rPr>
          <w:sz w:val="26"/>
          <w:szCs w:val="26"/>
        </w:rPr>
        <w:t>-</w:t>
      </w:r>
      <w:r w:rsidRPr="008F56AC">
        <w:rPr>
          <w:sz w:val="26"/>
          <w:szCs w:val="26"/>
        </w:rPr>
        <w:t xml:space="preserve">half percent (4.5%) of the EDC’s annual system peak demand in the 100 hours of highest demand, measured against the EDC’s peak demand during the period of June 1, 2007 through May 31, 2008.  </w:t>
      </w:r>
    </w:p>
    <w:p w:rsidR="008F56AC" w:rsidRDefault="008F56AC" w:rsidP="00B64A9F">
      <w:pPr>
        <w:pStyle w:val="p3"/>
        <w:tabs>
          <w:tab w:val="clear" w:pos="204"/>
          <w:tab w:val="left" w:pos="720"/>
        </w:tabs>
        <w:spacing w:line="360" w:lineRule="auto"/>
        <w:ind w:firstLine="720"/>
        <w:rPr>
          <w:sz w:val="26"/>
          <w:szCs w:val="26"/>
        </w:rPr>
      </w:pPr>
    </w:p>
    <w:p w:rsidR="00BA655B" w:rsidRPr="00BA655B" w:rsidRDefault="00BA655B" w:rsidP="00BA655B">
      <w:pPr>
        <w:pStyle w:val="p3"/>
        <w:tabs>
          <w:tab w:val="left" w:pos="720"/>
        </w:tabs>
        <w:spacing w:line="360" w:lineRule="auto"/>
        <w:ind w:firstLine="720"/>
        <w:rPr>
          <w:sz w:val="26"/>
          <w:szCs w:val="26"/>
        </w:rPr>
      </w:pPr>
      <w:r w:rsidRPr="00BA655B">
        <w:rPr>
          <w:sz w:val="26"/>
          <w:szCs w:val="26"/>
        </w:rPr>
        <w:t>On January 15, 2009, the Commission adopted an Implementation Order at Docket No. M-2008-2069887</w:t>
      </w:r>
      <w:r w:rsidR="00160A69">
        <w:rPr>
          <w:rStyle w:val="FootnoteReference"/>
          <w:sz w:val="26"/>
          <w:szCs w:val="26"/>
        </w:rPr>
        <w:footnoteReference w:id="1"/>
      </w:r>
      <w:r w:rsidRPr="00BA655B">
        <w:rPr>
          <w:sz w:val="26"/>
          <w:szCs w:val="26"/>
        </w:rPr>
        <w:t xml:space="preserve">  </w:t>
      </w:r>
      <w:r w:rsidR="002D1444">
        <w:rPr>
          <w:sz w:val="26"/>
          <w:szCs w:val="26"/>
        </w:rPr>
        <w:t>that</w:t>
      </w:r>
      <w:r w:rsidRPr="00BA655B">
        <w:rPr>
          <w:sz w:val="26"/>
          <w:szCs w:val="26"/>
        </w:rPr>
        <w:t xml:space="preserve"> established the standards each plan must meet, and which provided guidance on the procedures to be followed for submittal, review and approval of all aspects of the EE&amp;C plans.  The Commission subsequently approved an EE&amp;C plan for each affected EDC.</w:t>
      </w:r>
    </w:p>
    <w:p w:rsidR="00BA655B" w:rsidRPr="00BA655B" w:rsidRDefault="00BA655B" w:rsidP="00BA655B">
      <w:pPr>
        <w:pStyle w:val="p3"/>
        <w:tabs>
          <w:tab w:val="left" w:pos="720"/>
        </w:tabs>
        <w:spacing w:line="360" w:lineRule="auto"/>
        <w:ind w:firstLine="720"/>
        <w:rPr>
          <w:sz w:val="26"/>
          <w:szCs w:val="26"/>
        </w:rPr>
      </w:pPr>
    </w:p>
    <w:p w:rsidR="00F366D3" w:rsidRDefault="00BA655B" w:rsidP="00F53C5C">
      <w:pPr>
        <w:pStyle w:val="p3"/>
        <w:tabs>
          <w:tab w:val="left" w:pos="720"/>
        </w:tabs>
        <w:spacing w:line="360" w:lineRule="auto"/>
        <w:ind w:firstLine="720"/>
        <w:rPr>
          <w:sz w:val="26"/>
          <w:szCs w:val="26"/>
        </w:rPr>
      </w:pPr>
      <w:r w:rsidRPr="00BA655B">
        <w:rPr>
          <w:sz w:val="26"/>
          <w:szCs w:val="26"/>
        </w:rPr>
        <w:t xml:space="preserve">Another requirement of Act 129 directs the Commission to evaluate the costs and benefits of the adopted EE&amp;C Program by November 30, 2013, and every five years thereafter.  The Act provides that the Commission must adopt additional incremental reductions in consumption and peak demand if the benefits of the EE&amp;C Program exceed its costs.   In accordance with that directive, </w:t>
      </w:r>
      <w:r w:rsidR="00F53C5C">
        <w:rPr>
          <w:sz w:val="26"/>
          <w:szCs w:val="26"/>
        </w:rPr>
        <w:t>o</w:t>
      </w:r>
      <w:r w:rsidR="00BB0395" w:rsidRPr="00176285">
        <w:rPr>
          <w:sz w:val="26"/>
          <w:szCs w:val="26"/>
        </w:rPr>
        <w:t xml:space="preserve">n </w:t>
      </w:r>
      <w:r w:rsidR="00176285" w:rsidRPr="00176285">
        <w:rPr>
          <w:sz w:val="26"/>
          <w:szCs w:val="26"/>
        </w:rPr>
        <w:t xml:space="preserve">August </w:t>
      </w:r>
      <w:r w:rsidR="00160A69">
        <w:rPr>
          <w:sz w:val="26"/>
          <w:szCs w:val="26"/>
        </w:rPr>
        <w:t>2</w:t>
      </w:r>
      <w:r w:rsidR="00176285" w:rsidRPr="00176285">
        <w:rPr>
          <w:sz w:val="26"/>
          <w:szCs w:val="26"/>
        </w:rPr>
        <w:t xml:space="preserve">, 2012, the Commission </w:t>
      </w:r>
      <w:r w:rsidR="00160A69">
        <w:rPr>
          <w:sz w:val="26"/>
          <w:szCs w:val="26"/>
        </w:rPr>
        <w:t>adopted</w:t>
      </w:r>
      <w:r w:rsidR="00160A69" w:rsidRPr="00176285">
        <w:rPr>
          <w:sz w:val="26"/>
          <w:szCs w:val="26"/>
        </w:rPr>
        <w:t xml:space="preserve"> </w:t>
      </w:r>
      <w:r w:rsidR="00160A69">
        <w:rPr>
          <w:sz w:val="26"/>
          <w:szCs w:val="26"/>
        </w:rPr>
        <w:t>an</w:t>
      </w:r>
      <w:r w:rsidR="00176285" w:rsidRPr="00176285">
        <w:rPr>
          <w:sz w:val="26"/>
          <w:szCs w:val="26"/>
        </w:rPr>
        <w:t xml:space="preserve"> Implementation Order at Docket No. M-2012-2289411.</w:t>
      </w:r>
      <w:r w:rsidR="00160A69">
        <w:rPr>
          <w:rStyle w:val="FootnoteReference"/>
          <w:sz w:val="26"/>
          <w:szCs w:val="26"/>
        </w:rPr>
        <w:footnoteReference w:id="2"/>
      </w:r>
      <w:r w:rsidR="00176285" w:rsidRPr="00176285">
        <w:rPr>
          <w:sz w:val="26"/>
          <w:szCs w:val="26"/>
        </w:rPr>
        <w:t xml:space="preserve">  The Phase II Implementation Order established the standards each plan must meet</w:t>
      </w:r>
      <w:r w:rsidR="00160A69">
        <w:rPr>
          <w:sz w:val="26"/>
          <w:szCs w:val="26"/>
        </w:rPr>
        <w:t>,</w:t>
      </w:r>
      <w:r w:rsidR="00176285" w:rsidRPr="00176285">
        <w:rPr>
          <w:sz w:val="26"/>
          <w:szCs w:val="26"/>
        </w:rPr>
        <w:t xml:space="preserve"> </w:t>
      </w:r>
      <w:r w:rsidR="005E59FA">
        <w:rPr>
          <w:sz w:val="26"/>
          <w:szCs w:val="26"/>
        </w:rPr>
        <w:t>to include</w:t>
      </w:r>
      <w:r w:rsidR="00176285" w:rsidRPr="00176285">
        <w:rPr>
          <w:sz w:val="26"/>
          <w:szCs w:val="26"/>
        </w:rPr>
        <w:t xml:space="preserve"> additional incremental reductions in consumption that each EDC must meet</w:t>
      </w:r>
      <w:r w:rsidR="005E59FA">
        <w:rPr>
          <w:sz w:val="26"/>
          <w:szCs w:val="26"/>
        </w:rPr>
        <w:t>,</w:t>
      </w:r>
      <w:r w:rsidR="00176285" w:rsidRPr="00176285">
        <w:rPr>
          <w:sz w:val="26"/>
          <w:szCs w:val="26"/>
        </w:rPr>
        <w:t xml:space="preserve"> and provided guidance on the procedures to be followed for submittal, review and approval of all aspects of EDC EE&amp;C plans.  </w:t>
      </w:r>
      <w:r w:rsidR="00F366D3">
        <w:rPr>
          <w:sz w:val="26"/>
          <w:szCs w:val="26"/>
        </w:rPr>
        <w:t xml:space="preserve">The Phase II Implementation Order also provided guidance on the recovery of costs for Phase II and addressed issues related to the EDCs’ Phase I budgets.  </w:t>
      </w:r>
    </w:p>
    <w:p w:rsidR="00F366D3" w:rsidRDefault="00F366D3" w:rsidP="00B64A9F">
      <w:pPr>
        <w:pStyle w:val="p3"/>
        <w:tabs>
          <w:tab w:val="clear" w:pos="204"/>
          <w:tab w:val="left" w:pos="720"/>
        </w:tabs>
        <w:spacing w:line="360" w:lineRule="auto"/>
        <w:ind w:firstLine="720"/>
        <w:rPr>
          <w:sz w:val="26"/>
          <w:szCs w:val="26"/>
        </w:rPr>
      </w:pPr>
    </w:p>
    <w:p w:rsidR="00C55F10" w:rsidRDefault="00176285" w:rsidP="00B64A9F">
      <w:pPr>
        <w:pStyle w:val="p3"/>
        <w:tabs>
          <w:tab w:val="clear" w:pos="204"/>
          <w:tab w:val="left" w:pos="720"/>
        </w:tabs>
        <w:spacing w:line="360" w:lineRule="auto"/>
        <w:ind w:firstLine="720"/>
        <w:rPr>
          <w:sz w:val="26"/>
          <w:szCs w:val="26"/>
        </w:rPr>
      </w:pPr>
      <w:r w:rsidRPr="00176285">
        <w:rPr>
          <w:sz w:val="26"/>
          <w:szCs w:val="26"/>
        </w:rPr>
        <w:t xml:space="preserve">The Commission did not include any demand reduction (DR) targets and corresponding DR programs for the EDCs’ Phase II EE&amp;C Plans.  In the Phase II Implementation Order, the Commission explained that its interpretation of Section 2806.1(d)(2) of Act 129, 66 Pa. C.S. § 2806.1(d)(2), is that, in order for the Commission to prescribe specific peak DR targets for subsequent phases of Act 129, the DR programs must be proven to be cost-effective.  Phase II Implementation Order at 32.  </w:t>
      </w:r>
    </w:p>
    <w:p w:rsidR="00F53C5C" w:rsidRDefault="00F53C5C" w:rsidP="00B64A9F">
      <w:pPr>
        <w:pStyle w:val="p3"/>
        <w:tabs>
          <w:tab w:val="clear" w:pos="204"/>
          <w:tab w:val="left" w:pos="720"/>
        </w:tabs>
        <w:spacing w:line="360" w:lineRule="auto"/>
        <w:ind w:firstLine="720"/>
        <w:rPr>
          <w:sz w:val="26"/>
          <w:szCs w:val="26"/>
        </w:rPr>
      </w:pPr>
    </w:p>
    <w:p w:rsidR="00C55F10" w:rsidRDefault="00C55F10" w:rsidP="00B64A9F">
      <w:pPr>
        <w:pStyle w:val="p3"/>
        <w:tabs>
          <w:tab w:val="clear" w:pos="204"/>
          <w:tab w:val="left" w:pos="720"/>
        </w:tabs>
        <w:spacing w:line="360" w:lineRule="auto"/>
        <w:ind w:firstLine="720"/>
        <w:rPr>
          <w:sz w:val="26"/>
          <w:szCs w:val="26"/>
        </w:rPr>
      </w:pPr>
      <w:r>
        <w:rPr>
          <w:sz w:val="26"/>
          <w:szCs w:val="26"/>
        </w:rPr>
        <w:t>On April 18, 2013, the FirstEnergy Companies filed a petition requesting approval to amend the Companies’ Phase I Energy Efficiency and Conservation Charge Riders (EE&amp;C-C Riders) to allow the EE&amp;C-C Riders to remain in effect until all costs have been recovered.  The EE&amp;C-C Riders currently end on May 31, 2013, and do not provide for the recovery of Phase I costs</w:t>
      </w:r>
      <w:r w:rsidR="005B5099">
        <w:rPr>
          <w:sz w:val="26"/>
          <w:szCs w:val="26"/>
        </w:rPr>
        <w:t xml:space="preserve"> that are incurred after May 31, 2013.  The Petition also requested approval for Met-Ed to recover the full costs associated with suspending its </w:t>
      </w:r>
      <w:r w:rsidR="005B5099">
        <w:rPr>
          <w:sz w:val="26"/>
          <w:szCs w:val="26"/>
        </w:rPr>
        <w:lastRenderedPageBreak/>
        <w:t xml:space="preserve">Residential DLC Program effective May 31, 2013.  The Petition included the Testimony of Kevin M. Siedt, including Exhibits KMS-1 through KMS-4, as Appendix A, and the Testimony of Timothy M. Richard, as Appendix B, as well as a redlined version of Met-Ed’s </w:t>
      </w:r>
      <w:r w:rsidR="005E59FA">
        <w:rPr>
          <w:sz w:val="26"/>
          <w:szCs w:val="26"/>
        </w:rPr>
        <w:t xml:space="preserve">Phase I EE&amp;C </w:t>
      </w:r>
      <w:r w:rsidR="005B5099">
        <w:rPr>
          <w:sz w:val="26"/>
          <w:szCs w:val="26"/>
        </w:rPr>
        <w:t>Plan reflecting the proposed changes.</w:t>
      </w:r>
    </w:p>
    <w:p w:rsidR="000F38D4" w:rsidRDefault="000F38D4" w:rsidP="00B64A9F">
      <w:pPr>
        <w:pStyle w:val="p3"/>
        <w:tabs>
          <w:tab w:val="clear" w:pos="204"/>
          <w:tab w:val="left" w:pos="720"/>
        </w:tabs>
        <w:spacing w:line="360" w:lineRule="auto"/>
        <w:ind w:firstLine="720"/>
        <w:rPr>
          <w:sz w:val="26"/>
          <w:szCs w:val="26"/>
        </w:rPr>
      </w:pPr>
    </w:p>
    <w:p w:rsidR="00176285" w:rsidRDefault="000F38D4" w:rsidP="00B64A9F">
      <w:pPr>
        <w:pStyle w:val="p3"/>
        <w:tabs>
          <w:tab w:val="clear" w:pos="204"/>
          <w:tab w:val="left" w:pos="720"/>
        </w:tabs>
        <w:spacing w:line="360" w:lineRule="auto"/>
        <w:ind w:firstLine="720"/>
        <w:rPr>
          <w:sz w:val="26"/>
          <w:szCs w:val="26"/>
        </w:rPr>
      </w:pPr>
      <w:r>
        <w:rPr>
          <w:sz w:val="26"/>
          <w:szCs w:val="26"/>
        </w:rPr>
        <w:t>A Petition to Intervene and Answer was</w:t>
      </w:r>
      <w:r w:rsidRPr="008F56AC">
        <w:rPr>
          <w:sz w:val="26"/>
          <w:szCs w:val="26"/>
        </w:rPr>
        <w:t xml:space="preserve"> </w:t>
      </w:r>
      <w:r>
        <w:rPr>
          <w:sz w:val="26"/>
          <w:szCs w:val="26"/>
        </w:rPr>
        <w:t>filed by the Met-Ed Industrial Users Group, the Penelec Industrial Customer Alliance and the Penn Power Users Group (collectively, Industrial Customer Groups</w:t>
      </w:r>
      <w:r w:rsidR="008100D0">
        <w:rPr>
          <w:sz w:val="26"/>
          <w:szCs w:val="26"/>
        </w:rPr>
        <w:t xml:space="preserve"> or Groups</w:t>
      </w:r>
      <w:r>
        <w:rPr>
          <w:sz w:val="26"/>
          <w:szCs w:val="26"/>
        </w:rPr>
        <w:t xml:space="preserve">) on May 8, 2013.  </w:t>
      </w:r>
      <w:r w:rsidRPr="008F56AC">
        <w:rPr>
          <w:sz w:val="26"/>
          <w:szCs w:val="26"/>
        </w:rPr>
        <w:t xml:space="preserve">The Office of Consumer Advocate (OCA) </w:t>
      </w:r>
      <w:r w:rsidR="005E59FA">
        <w:rPr>
          <w:sz w:val="26"/>
          <w:szCs w:val="26"/>
        </w:rPr>
        <w:t xml:space="preserve">also </w:t>
      </w:r>
      <w:r w:rsidRPr="008F56AC">
        <w:rPr>
          <w:sz w:val="26"/>
          <w:szCs w:val="26"/>
        </w:rPr>
        <w:t xml:space="preserve">filed Comments on </w:t>
      </w:r>
      <w:r>
        <w:rPr>
          <w:sz w:val="26"/>
          <w:szCs w:val="26"/>
        </w:rPr>
        <w:t>May 8, 2013</w:t>
      </w:r>
      <w:r w:rsidRPr="008F56AC">
        <w:rPr>
          <w:sz w:val="26"/>
          <w:szCs w:val="26"/>
        </w:rPr>
        <w:t xml:space="preserve">.  </w:t>
      </w:r>
    </w:p>
    <w:p w:rsidR="000F38D4" w:rsidRPr="00176285" w:rsidRDefault="000F38D4" w:rsidP="00B64A9F">
      <w:pPr>
        <w:pStyle w:val="p3"/>
        <w:tabs>
          <w:tab w:val="clear" w:pos="204"/>
          <w:tab w:val="left" w:pos="720"/>
        </w:tabs>
        <w:spacing w:line="360" w:lineRule="auto"/>
        <w:ind w:firstLine="720"/>
        <w:rPr>
          <w:sz w:val="26"/>
          <w:szCs w:val="26"/>
        </w:rPr>
      </w:pPr>
    </w:p>
    <w:p w:rsidR="0097557D" w:rsidRDefault="00FA4295" w:rsidP="0097557D">
      <w:pPr>
        <w:pStyle w:val="p3"/>
        <w:tabs>
          <w:tab w:val="clear" w:pos="204"/>
          <w:tab w:val="left" w:pos="720"/>
        </w:tabs>
        <w:spacing w:line="360" w:lineRule="auto"/>
        <w:jc w:val="center"/>
        <w:outlineLvl w:val="0"/>
        <w:rPr>
          <w:b/>
          <w:sz w:val="26"/>
          <w:szCs w:val="26"/>
        </w:rPr>
      </w:pPr>
      <w:bookmarkStart w:id="3" w:name="_Toc334174989"/>
      <w:bookmarkStart w:id="4" w:name="_Toc343073067"/>
      <w:r w:rsidRPr="000932AE">
        <w:rPr>
          <w:b/>
          <w:sz w:val="26"/>
          <w:szCs w:val="26"/>
        </w:rPr>
        <w:t>DISCUSSION</w:t>
      </w:r>
      <w:bookmarkStart w:id="5" w:name="_Toc334175037"/>
      <w:bookmarkEnd w:id="3"/>
      <w:bookmarkEnd w:id="4"/>
    </w:p>
    <w:p w:rsidR="0097557D" w:rsidRDefault="0097557D" w:rsidP="0097557D">
      <w:pPr>
        <w:pStyle w:val="p3"/>
        <w:tabs>
          <w:tab w:val="clear" w:pos="204"/>
          <w:tab w:val="left" w:pos="720"/>
        </w:tabs>
        <w:spacing w:line="360" w:lineRule="auto"/>
        <w:jc w:val="center"/>
        <w:outlineLvl w:val="0"/>
        <w:rPr>
          <w:b/>
          <w:sz w:val="26"/>
          <w:szCs w:val="26"/>
        </w:rPr>
      </w:pPr>
    </w:p>
    <w:p w:rsidR="0097557D" w:rsidRDefault="0097557D" w:rsidP="0097557D">
      <w:pPr>
        <w:pStyle w:val="p3"/>
        <w:tabs>
          <w:tab w:val="clear" w:pos="204"/>
          <w:tab w:val="left" w:pos="720"/>
        </w:tabs>
        <w:spacing w:line="360" w:lineRule="auto"/>
        <w:outlineLvl w:val="0"/>
        <w:rPr>
          <w:b/>
          <w:sz w:val="26"/>
          <w:szCs w:val="26"/>
        </w:rPr>
      </w:pPr>
      <w:r>
        <w:rPr>
          <w:b/>
          <w:sz w:val="26"/>
          <w:szCs w:val="26"/>
        </w:rPr>
        <w:t>A.</w:t>
      </w:r>
      <w:r>
        <w:rPr>
          <w:b/>
          <w:sz w:val="26"/>
          <w:szCs w:val="26"/>
        </w:rPr>
        <w:tab/>
        <w:t>Modification of the EE&amp;C-C Riders</w:t>
      </w:r>
    </w:p>
    <w:p w:rsidR="0097557D" w:rsidRDefault="0097557D" w:rsidP="0097557D">
      <w:pPr>
        <w:pStyle w:val="p3"/>
        <w:tabs>
          <w:tab w:val="clear" w:pos="204"/>
          <w:tab w:val="left" w:pos="720"/>
        </w:tabs>
        <w:spacing w:line="360" w:lineRule="auto"/>
        <w:outlineLvl w:val="0"/>
        <w:rPr>
          <w:sz w:val="26"/>
          <w:szCs w:val="26"/>
        </w:rPr>
      </w:pPr>
    </w:p>
    <w:p w:rsidR="0097557D" w:rsidRDefault="0097557D" w:rsidP="0097557D">
      <w:pPr>
        <w:pStyle w:val="p3"/>
        <w:tabs>
          <w:tab w:val="clear" w:pos="204"/>
          <w:tab w:val="left" w:pos="720"/>
        </w:tabs>
        <w:spacing w:line="360" w:lineRule="auto"/>
        <w:outlineLvl w:val="0"/>
        <w:rPr>
          <w:sz w:val="26"/>
          <w:szCs w:val="26"/>
        </w:rPr>
      </w:pPr>
      <w:r>
        <w:rPr>
          <w:sz w:val="26"/>
          <w:szCs w:val="26"/>
        </w:rPr>
        <w:tab/>
        <w:t xml:space="preserve">The initial EE&amp;C-C Riders for the Companies allowed for a 39-month computation period from March 1, 2010 through May 31, 2013.  </w:t>
      </w:r>
      <w:r w:rsidR="005E59FA">
        <w:rPr>
          <w:sz w:val="26"/>
          <w:szCs w:val="26"/>
        </w:rPr>
        <w:t>The</w:t>
      </w:r>
      <w:r>
        <w:rPr>
          <w:sz w:val="26"/>
          <w:szCs w:val="26"/>
        </w:rPr>
        <w:t xml:space="preserve"> Companies state</w:t>
      </w:r>
      <w:r w:rsidR="005E59FA">
        <w:rPr>
          <w:sz w:val="26"/>
          <w:szCs w:val="26"/>
        </w:rPr>
        <w:t>, however,</w:t>
      </w:r>
      <w:r>
        <w:rPr>
          <w:sz w:val="26"/>
          <w:szCs w:val="26"/>
        </w:rPr>
        <w:t xml:space="preserve"> that Phase I costs will continue to accrue up to and through September 30, 2013.  As such, the Companies request modification of the EE&amp;C-C Riders to provide the ability to recover Phase I costs that accrue beyond May 31, 2013.  Specifically, the Companies request approval to modify their respective EE&amp;C-C Rider rates effective June 1, 2013, allowing them to be computed by including a calculation of the net remaining budgeted costs as of May 31, 2013, using cumulative actual revenues by class through January 31, 2013, and the latest budgeted revenues for February 1, 2013 through May 31, 2013.  The Companies state that any net remaining EE&amp;C costs would be recovered based on kilowatt-hour deliveries, except for the Industrial Class, which recovers cost on a peak load share kilowatt basis for the period June 1, 2013 through May 31, 2014.  As of September 30, 2013, a final reconciliation of all actual costs incurred and actual revenue collected through September 30, 2013, plus budgeted revenues for the </w:t>
      </w:r>
      <w:r>
        <w:rPr>
          <w:sz w:val="26"/>
          <w:szCs w:val="26"/>
        </w:rPr>
        <w:lastRenderedPageBreak/>
        <w:t xml:space="preserve">period October 1, 2013 through December 31, 2013, would be performed.  </w:t>
      </w:r>
      <w:r w:rsidR="008100D0">
        <w:rPr>
          <w:sz w:val="26"/>
          <w:szCs w:val="26"/>
        </w:rPr>
        <w:t>The Companies propose to recover or refund any under- or over-collection during the period beginning January 1, 2014, and ending May 31, 2014.</w:t>
      </w:r>
      <w:r w:rsidR="008100D0">
        <w:rPr>
          <w:rStyle w:val="FootnoteReference"/>
          <w:sz w:val="26"/>
          <w:szCs w:val="26"/>
        </w:rPr>
        <w:footnoteReference w:id="3"/>
      </w:r>
      <w:r w:rsidR="008100D0">
        <w:rPr>
          <w:sz w:val="26"/>
          <w:szCs w:val="26"/>
        </w:rPr>
        <w:t xml:space="preserve">  </w:t>
      </w:r>
    </w:p>
    <w:p w:rsidR="008100D0" w:rsidRDefault="008100D0" w:rsidP="0097557D">
      <w:pPr>
        <w:pStyle w:val="p3"/>
        <w:tabs>
          <w:tab w:val="clear" w:pos="204"/>
          <w:tab w:val="left" w:pos="720"/>
        </w:tabs>
        <w:spacing w:line="360" w:lineRule="auto"/>
        <w:outlineLvl w:val="0"/>
        <w:rPr>
          <w:sz w:val="26"/>
          <w:szCs w:val="26"/>
        </w:rPr>
      </w:pPr>
    </w:p>
    <w:p w:rsidR="008100D0" w:rsidRDefault="008100D0" w:rsidP="0097557D">
      <w:pPr>
        <w:pStyle w:val="p3"/>
        <w:tabs>
          <w:tab w:val="clear" w:pos="204"/>
          <w:tab w:val="left" w:pos="720"/>
        </w:tabs>
        <w:spacing w:line="360" w:lineRule="auto"/>
        <w:outlineLvl w:val="0"/>
        <w:rPr>
          <w:sz w:val="26"/>
          <w:szCs w:val="26"/>
        </w:rPr>
      </w:pPr>
      <w:r>
        <w:rPr>
          <w:sz w:val="26"/>
          <w:szCs w:val="26"/>
        </w:rPr>
        <w:tab/>
        <w:t xml:space="preserve">The Industrial Customer Groups believe the Petition may require further investigation.  Specifically, the Groups </w:t>
      </w:r>
      <w:r w:rsidR="00732C49">
        <w:rPr>
          <w:sz w:val="26"/>
          <w:szCs w:val="26"/>
        </w:rPr>
        <w:t>state</w:t>
      </w:r>
      <w:r>
        <w:rPr>
          <w:sz w:val="26"/>
          <w:szCs w:val="26"/>
        </w:rPr>
        <w:t xml:space="preserve"> that the Companies proposal to extend their Phase I cost recovery until September 30, 2013, may be prohibited by the Commission’s Phase II Implementation Order.  The Industrial Customer Groups reference the language at page 107 of the Phase II Implementation Order</w:t>
      </w:r>
      <w:r w:rsidR="005E59FA">
        <w:rPr>
          <w:sz w:val="26"/>
          <w:szCs w:val="26"/>
        </w:rPr>
        <w:t>,</w:t>
      </w:r>
      <w:r>
        <w:rPr>
          <w:sz w:val="26"/>
          <w:szCs w:val="26"/>
        </w:rPr>
        <w:t xml:space="preserve"> which states that the EDCs may not recover costs from Phase I after May 31, 2013, other than “to account for those program measures installed and operable on or before May 31, 2013, and to finalize the [Conservation Service Provider] and administrative fees related to Phase I.”  Based on this language, the Groups believe that, depending on which costs the Companies recover through September 30, 2013, there is a potential that such a collection would be inconsistent with the Phase II Implementation Order.</w:t>
      </w:r>
      <w:r w:rsidR="00D43AAF">
        <w:rPr>
          <w:rStyle w:val="FootnoteReference"/>
          <w:sz w:val="26"/>
          <w:szCs w:val="26"/>
        </w:rPr>
        <w:footnoteReference w:id="4"/>
      </w:r>
    </w:p>
    <w:p w:rsidR="008100D0" w:rsidRDefault="008100D0" w:rsidP="0097557D">
      <w:pPr>
        <w:pStyle w:val="p3"/>
        <w:tabs>
          <w:tab w:val="clear" w:pos="204"/>
          <w:tab w:val="left" w:pos="720"/>
        </w:tabs>
        <w:spacing w:line="360" w:lineRule="auto"/>
        <w:outlineLvl w:val="0"/>
        <w:rPr>
          <w:sz w:val="26"/>
          <w:szCs w:val="26"/>
        </w:rPr>
      </w:pPr>
    </w:p>
    <w:p w:rsidR="00D43AAF" w:rsidRDefault="008100D0" w:rsidP="0097557D">
      <w:pPr>
        <w:pStyle w:val="p3"/>
        <w:tabs>
          <w:tab w:val="clear" w:pos="204"/>
          <w:tab w:val="left" w:pos="720"/>
        </w:tabs>
        <w:spacing w:line="360" w:lineRule="auto"/>
        <w:outlineLvl w:val="0"/>
        <w:rPr>
          <w:sz w:val="26"/>
          <w:szCs w:val="26"/>
        </w:rPr>
      </w:pPr>
      <w:r>
        <w:rPr>
          <w:sz w:val="26"/>
          <w:szCs w:val="26"/>
        </w:rPr>
        <w:tab/>
        <w:t>The Industrial Customer Groups also</w:t>
      </w:r>
      <w:r w:rsidR="00D43AAF">
        <w:rPr>
          <w:sz w:val="26"/>
          <w:szCs w:val="26"/>
        </w:rPr>
        <w:t xml:space="preserve"> request </w:t>
      </w:r>
      <w:r>
        <w:rPr>
          <w:sz w:val="26"/>
          <w:szCs w:val="26"/>
        </w:rPr>
        <w:t xml:space="preserve">clarity regarding the recovery of costs through May 31, 2014.  The Groups </w:t>
      </w:r>
      <w:r w:rsidR="00732C49">
        <w:rPr>
          <w:sz w:val="26"/>
          <w:szCs w:val="26"/>
        </w:rPr>
        <w:t>assert that</w:t>
      </w:r>
      <w:r w:rsidR="00D43AAF">
        <w:rPr>
          <w:sz w:val="26"/>
          <w:szCs w:val="26"/>
        </w:rPr>
        <w:t xml:space="preserve"> the Petition is unclear as to why the Phase I reconciliation could not conclude at an earlier date.  </w:t>
      </w:r>
      <w:r w:rsidR="005A3F8E">
        <w:rPr>
          <w:sz w:val="26"/>
          <w:szCs w:val="26"/>
        </w:rPr>
        <w:t>The</w:t>
      </w:r>
      <w:r w:rsidR="00D43AAF">
        <w:rPr>
          <w:sz w:val="26"/>
          <w:szCs w:val="26"/>
        </w:rPr>
        <w:t xml:space="preserve"> Groups </w:t>
      </w:r>
      <w:r w:rsidR="005A3F8E">
        <w:rPr>
          <w:sz w:val="26"/>
          <w:szCs w:val="26"/>
        </w:rPr>
        <w:t xml:space="preserve">request </w:t>
      </w:r>
      <w:r w:rsidR="00D43AAF">
        <w:rPr>
          <w:sz w:val="26"/>
          <w:szCs w:val="26"/>
        </w:rPr>
        <w:t>that the Commission evaluate whether or not the Companies’ proposal complies with Act 129 and the Commission’s Act 129 Orders.</w:t>
      </w:r>
      <w:r w:rsidR="005A3F8E">
        <w:rPr>
          <w:sz w:val="26"/>
          <w:szCs w:val="26"/>
        </w:rPr>
        <w:t xml:space="preserve">  </w:t>
      </w:r>
      <w:r w:rsidR="00D43AAF">
        <w:rPr>
          <w:sz w:val="26"/>
          <w:szCs w:val="26"/>
        </w:rPr>
        <w:t>Lastly, the Industrial Customer Groups express concern with respect to any modifications to rate design or billing associated with the Companies’ proposed reconciliation mechanism that may impact Large Commercial and Industrial customers.</w:t>
      </w:r>
      <w:r w:rsidR="00D43AAF">
        <w:rPr>
          <w:rStyle w:val="FootnoteReference"/>
          <w:sz w:val="26"/>
          <w:szCs w:val="26"/>
        </w:rPr>
        <w:footnoteReference w:id="5"/>
      </w:r>
    </w:p>
    <w:p w:rsidR="00D43AAF" w:rsidRDefault="00D43AAF" w:rsidP="0097557D">
      <w:pPr>
        <w:pStyle w:val="p3"/>
        <w:tabs>
          <w:tab w:val="clear" w:pos="204"/>
          <w:tab w:val="left" w:pos="720"/>
        </w:tabs>
        <w:spacing w:line="360" w:lineRule="auto"/>
        <w:outlineLvl w:val="0"/>
        <w:rPr>
          <w:sz w:val="26"/>
          <w:szCs w:val="26"/>
        </w:rPr>
      </w:pPr>
    </w:p>
    <w:p w:rsidR="00D43AAF" w:rsidRDefault="00D43AAF" w:rsidP="0097557D">
      <w:pPr>
        <w:pStyle w:val="p3"/>
        <w:tabs>
          <w:tab w:val="clear" w:pos="204"/>
          <w:tab w:val="left" w:pos="720"/>
        </w:tabs>
        <w:spacing w:line="360" w:lineRule="auto"/>
        <w:outlineLvl w:val="0"/>
        <w:rPr>
          <w:sz w:val="26"/>
          <w:szCs w:val="26"/>
        </w:rPr>
      </w:pPr>
      <w:r>
        <w:rPr>
          <w:sz w:val="26"/>
          <w:szCs w:val="26"/>
        </w:rPr>
        <w:tab/>
      </w:r>
      <w:r w:rsidR="00732C49">
        <w:rPr>
          <w:sz w:val="26"/>
          <w:szCs w:val="26"/>
        </w:rPr>
        <w:t xml:space="preserve">The OCA expresses concern over the Companies recovering Phase I and Phase II </w:t>
      </w:r>
      <w:r w:rsidR="00732C49">
        <w:rPr>
          <w:sz w:val="26"/>
          <w:szCs w:val="26"/>
        </w:rPr>
        <w:lastRenderedPageBreak/>
        <w:t>costs concurrently.  The OCA submits that, if the Commission approves the Companies’ proposal, the Companies should begin reconciliation as soon as possible, rather than waiting until January 1, 2014, and extend the recovery timeframe for a longer period than six months, without interest, in order to mitigate any impact on customers.</w:t>
      </w:r>
      <w:r w:rsidR="00732C49">
        <w:rPr>
          <w:rStyle w:val="FootnoteReference"/>
          <w:sz w:val="26"/>
          <w:szCs w:val="26"/>
        </w:rPr>
        <w:footnoteReference w:id="6"/>
      </w:r>
    </w:p>
    <w:p w:rsidR="0097557D" w:rsidRDefault="0097557D" w:rsidP="0097557D">
      <w:pPr>
        <w:pStyle w:val="p3"/>
        <w:tabs>
          <w:tab w:val="clear" w:pos="204"/>
          <w:tab w:val="left" w:pos="720"/>
        </w:tabs>
        <w:spacing w:line="360" w:lineRule="auto"/>
        <w:outlineLvl w:val="0"/>
        <w:rPr>
          <w:sz w:val="26"/>
          <w:szCs w:val="26"/>
        </w:rPr>
      </w:pPr>
    </w:p>
    <w:p w:rsidR="0094323D" w:rsidRDefault="00865FC7" w:rsidP="0097557D">
      <w:pPr>
        <w:pStyle w:val="p3"/>
        <w:tabs>
          <w:tab w:val="clear" w:pos="204"/>
          <w:tab w:val="left" w:pos="720"/>
        </w:tabs>
        <w:spacing w:line="360" w:lineRule="auto"/>
        <w:outlineLvl w:val="0"/>
        <w:rPr>
          <w:sz w:val="26"/>
          <w:szCs w:val="26"/>
        </w:rPr>
      </w:pPr>
      <w:r>
        <w:rPr>
          <w:sz w:val="26"/>
          <w:szCs w:val="26"/>
        </w:rPr>
        <w:tab/>
        <w:t xml:space="preserve">The Commission approves the Companies’ proposal to modify the EE&amp;C-C Riders to recover Phase I costs that </w:t>
      </w:r>
      <w:r w:rsidR="007C5CEC">
        <w:rPr>
          <w:sz w:val="26"/>
          <w:szCs w:val="26"/>
        </w:rPr>
        <w:t>continue to accrue after the completion of Phase I</w:t>
      </w:r>
      <w:r>
        <w:rPr>
          <w:sz w:val="26"/>
          <w:szCs w:val="26"/>
        </w:rPr>
        <w:t xml:space="preserve">.  The Commission recognizes that customers may take advantage of rebates </w:t>
      </w:r>
      <w:r w:rsidR="000D6504">
        <w:rPr>
          <w:sz w:val="26"/>
          <w:szCs w:val="26"/>
        </w:rPr>
        <w:t>for equipment installed on or before</w:t>
      </w:r>
      <w:r w:rsidR="005A3F8E">
        <w:rPr>
          <w:sz w:val="26"/>
          <w:szCs w:val="26"/>
        </w:rPr>
        <w:t xml:space="preserve"> May 31, 2013,</w:t>
      </w:r>
      <w:r>
        <w:rPr>
          <w:sz w:val="26"/>
          <w:szCs w:val="26"/>
        </w:rPr>
        <w:t xml:space="preserve"> the conclusion of Phase I, and that, as such, the Companies will incur the costs associated with those measures</w:t>
      </w:r>
      <w:r w:rsidR="005A3F8E">
        <w:rPr>
          <w:sz w:val="26"/>
          <w:szCs w:val="26"/>
        </w:rPr>
        <w:t xml:space="preserve"> </w:t>
      </w:r>
      <w:r w:rsidR="000D6504">
        <w:rPr>
          <w:sz w:val="26"/>
          <w:szCs w:val="26"/>
        </w:rPr>
        <w:t>beyond</w:t>
      </w:r>
      <w:r w:rsidR="005A3F8E">
        <w:rPr>
          <w:sz w:val="26"/>
          <w:szCs w:val="26"/>
        </w:rPr>
        <w:t xml:space="preserve"> that date</w:t>
      </w:r>
      <w:r>
        <w:rPr>
          <w:sz w:val="26"/>
          <w:szCs w:val="26"/>
        </w:rPr>
        <w:t>.</w:t>
      </w:r>
    </w:p>
    <w:p w:rsidR="0043352C" w:rsidRDefault="0043352C" w:rsidP="0097557D">
      <w:pPr>
        <w:pStyle w:val="p3"/>
        <w:tabs>
          <w:tab w:val="clear" w:pos="204"/>
          <w:tab w:val="left" w:pos="720"/>
        </w:tabs>
        <w:spacing w:line="360" w:lineRule="auto"/>
        <w:outlineLvl w:val="0"/>
        <w:rPr>
          <w:sz w:val="26"/>
          <w:szCs w:val="26"/>
        </w:rPr>
      </w:pPr>
    </w:p>
    <w:p w:rsidR="00A66066" w:rsidRDefault="0043352C" w:rsidP="0097557D">
      <w:pPr>
        <w:pStyle w:val="p3"/>
        <w:tabs>
          <w:tab w:val="clear" w:pos="204"/>
          <w:tab w:val="left" w:pos="720"/>
        </w:tabs>
        <w:spacing w:line="360" w:lineRule="auto"/>
        <w:outlineLvl w:val="0"/>
        <w:rPr>
          <w:sz w:val="26"/>
          <w:szCs w:val="26"/>
        </w:rPr>
      </w:pPr>
      <w:r>
        <w:rPr>
          <w:sz w:val="26"/>
          <w:szCs w:val="26"/>
        </w:rPr>
        <w:tab/>
        <w:t>The Industrial Customer Group questioned why the Phase I reconciliation could not conclude at an earlier date</w:t>
      </w:r>
      <w:r w:rsidR="002A3ECF">
        <w:rPr>
          <w:sz w:val="26"/>
          <w:szCs w:val="26"/>
        </w:rPr>
        <w:t xml:space="preserve"> and</w:t>
      </w:r>
      <w:r>
        <w:rPr>
          <w:sz w:val="26"/>
          <w:szCs w:val="26"/>
        </w:rPr>
        <w:t xml:space="preserve"> the OCA commented that the reconciliation should begin as soon as possible, rather than waiting until January 1, 2014.  </w:t>
      </w:r>
      <w:r w:rsidR="002A3ECF">
        <w:rPr>
          <w:sz w:val="26"/>
          <w:szCs w:val="26"/>
        </w:rPr>
        <w:t>To clarify, t</w:t>
      </w:r>
      <w:r>
        <w:rPr>
          <w:sz w:val="26"/>
          <w:szCs w:val="26"/>
        </w:rPr>
        <w:t>he June 1, 2013 rate</w:t>
      </w:r>
      <w:r w:rsidR="009D3AB2">
        <w:rPr>
          <w:sz w:val="26"/>
          <w:szCs w:val="26"/>
        </w:rPr>
        <w:t>s</w:t>
      </w:r>
      <w:r>
        <w:rPr>
          <w:sz w:val="26"/>
          <w:szCs w:val="26"/>
        </w:rPr>
        <w:t xml:space="preserve"> that the Companies are proposing to put into effect are rates developed to reconcile costs incurred and revenue collected through May 31, 2013.  The Companies will </w:t>
      </w:r>
      <w:r w:rsidR="009D3AB2">
        <w:rPr>
          <w:sz w:val="26"/>
          <w:szCs w:val="26"/>
        </w:rPr>
        <w:t>perform</w:t>
      </w:r>
      <w:r>
        <w:rPr>
          <w:sz w:val="26"/>
          <w:szCs w:val="26"/>
        </w:rPr>
        <w:t xml:space="preserve"> </w:t>
      </w:r>
      <w:r w:rsidR="002A3ECF">
        <w:rPr>
          <w:sz w:val="26"/>
          <w:szCs w:val="26"/>
        </w:rPr>
        <w:t>another reconciliation</w:t>
      </w:r>
      <w:r>
        <w:rPr>
          <w:sz w:val="26"/>
          <w:szCs w:val="26"/>
        </w:rPr>
        <w:t xml:space="preserve"> </w:t>
      </w:r>
      <w:r w:rsidR="000D6504">
        <w:rPr>
          <w:sz w:val="26"/>
          <w:szCs w:val="26"/>
        </w:rPr>
        <w:t>on</w:t>
      </w:r>
      <w:r>
        <w:rPr>
          <w:sz w:val="26"/>
          <w:szCs w:val="26"/>
        </w:rPr>
        <w:t xml:space="preserve"> S</w:t>
      </w:r>
      <w:r w:rsidR="002A3ECF">
        <w:rPr>
          <w:sz w:val="26"/>
          <w:szCs w:val="26"/>
        </w:rPr>
        <w:t>eptember 3</w:t>
      </w:r>
      <w:r w:rsidR="00A02525">
        <w:rPr>
          <w:sz w:val="26"/>
          <w:szCs w:val="26"/>
        </w:rPr>
        <w:t>0</w:t>
      </w:r>
      <w:r w:rsidR="002A3ECF">
        <w:rPr>
          <w:sz w:val="26"/>
          <w:szCs w:val="26"/>
        </w:rPr>
        <w:t>, 2013</w:t>
      </w:r>
      <w:r w:rsidR="00A02525">
        <w:rPr>
          <w:sz w:val="26"/>
          <w:szCs w:val="26"/>
        </w:rPr>
        <w:t>,</w:t>
      </w:r>
      <w:r w:rsidR="002A3ECF">
        <w:rPr>
          <w:sz w:val="26"/>
          <w:szCs w:val="26"/>
        </w:rPr>
        <w:t xml:space="preserve"> to </w:t>
      </w:r>
      <w:r w:rsidR="00CE5D17">
        <w:rPr>
          <w:sz w:val="26"/>
          <w:szCs w:val="26"/>
        </w:rPr>
        <w:t xml:space="preserve">ensure all </w:t>
      </w:r>
      <w:r w:rsidR="00AA06B9">
        <w:rPr>
          <w:sz w:val="26"/>
          <w:szCs w:val="26"/>
        </w:rPr>
        <w:t xml:space="preserve">actual </w:t>
      </w:r>
      <w:r>
        <w:rPr>
          <w:sz w:val="26"/>
          <w:szCs w:val="26"/>
        </w:rPr>
        <w:t>costs</w:t>
      </w:r>
      <w:r w:rsidR="009D3AB2">
        <w:rPr>
          <w:sz w:val="26"/>
          <w:szCs w:val="26"/>
        </w:rPr>
        <w:t xml:space="preserve"> </w:t>
      </w:r>
      <w:r w:rsidR="00CE5D17">
        <w:rPr>
          <w:sz w:val="26"/>
          <w:szCs w:val="26"/>
        </w:rPr>
        <w:t>are being reconciled to</w:t>
      </w:r>
      <w:r>
        <w:rPr>
          <w:sz w:val="26"/>
          <w:szCs w:val="26"/>
        </w:rPr>
        <w:t xml:space="preserve"> reve</w:t>
      </w:r>
      <w:r w:rsidR="002A3ECF">
        <w:rPr>
          <w:sz w:val="26"/>
          <w:szCs w:val="26"/>
        </w:rPr>
        <w:t xml:space="preserve">nues </w:t>
      </w:r>
      <w:r w:rsidR="009D3AB2">
        <w:rPr>
          <w:sz w:val="26"/>
          <w:szCs w:val="26"/>
        </w:rPr>
        <w:t>collected</w:t>
      </w:r>
      <w:r w:rsidR="003B17BD">
        <w:rPr>
          <w:sz w:val="26"/>
          <w:szCs w:val="26"/>
        </w:rPr>
        <w:t>.</w:t>
      </w:r>
      <w:r w:rsidR="002A3ECF">
        <w:rPr>
          <w:sz w:val="26"/>
          <w:szCs w:val="26"/>
        </w:rPr>
        <w:t xml:space="preserve">  This reconciliation will be used to develop rates for the </w:t>
      </w:r>
      <w:r w:rsidR="00A02525">
        <w:rPr>
          <w:sz w:val="26"/>
          <w:szCs w:val="26"/>
        </w:rPr>
        <w:t>five-</w:t>
      </w:r>
      <w:r w:rsidR="002A3ECF">
        <w:rPr>
          <w:sz w:val="26"/>
          <w:szCs w:val="26"/>
        </w:rPr>
        <w:t xml:space="preserve">month period of January 1, 2014 through May 31, 2014.  </w:t>
      </w:r>
      <w:r w:rsidR="009D3AB2">
        <w:rPr>
          <w:sz w:val="26"/>
          <w:szCs w:val="26"/>
        </w:rPr>
        <w:t>At that time</w:t>
      </w:r>
      <w:r w:rsidR="002A51F8">
        <w:rPr>
          <w:sz w:val="26"/>
          <w:szCs w:val="26"/>
        </w:rPr>
        <w:t>,</w:t>
      </w:r>
      <w:r w:rsidR="009D3AB2">
        <w:rPr>
          <w:sz w:val="26"/>
          <w:szCs w:val="26"/>
        </w:rPr>
        <w:t xml:space="preserve"> a final </w:t>
      </w:r>
      <w:r w:rsidR="002A51F8">
        <w:rPr>
          <w:sz w:val="26"/>
          <w:szCs w:val="26"/>
        </w:rPr>
        <w:t>12-</w:t>
      </w:r>
      <w:r w:rsidR="009D3AB2">
        <w:rPr>
          <w:sz w:val="26"/>
          <w:szCs w:val="26"/>
        </w:rPr>
        <w:t>month reconciliation for the period ending May 31, 2014</w:t>
      </w:r>
      <w:r w:rsidR="002A51F8">
        <w:rPr>
          <w:sz w:val="26"/>
          <w:szCs w:val="26"/>
        </w:rPr>
        <w:t>,</w:t>
      </w:r>
      <w:r w:rsidR="009D3AB2">
        <w:rPr>
          <w:sz w:val="26"/>
          <w:szCs w:val="26"/>
        </w:rPr>
        <w:t xml:space="preserve"> will be performed pursuant to Section 1307(e) of the Pennsylvania Public Utility Code, 66 Pa. C.S. §1307(e).</w:t>
      </w:r>
      <w:r w:rsidR="002A51F8">
        <w:rPr>
          <w:sz w:val="26"/>
          <w:szCs w:val="26"/>
        </w:rPr>
        <w:t xml:space="preserve">  </w:t>
      </w:r>
      <w:r w:rsidR="00A66066">
        <w:rPr>
          <w:sz w:val="26"/>
          <w:szCs w:val="26"/>
        </w:rPr>
        <w:t xml:space="preserve">The Companies’ proposed modifications </w:t>
      </w:r>
      <w:r w:rsidR="00536F2B">
        <w:rPr>
          <w:sz w:val="26"/>
          <w:szCs w:val="26"/>
        </w:rPr>
        <w:t xml:space="preserve">are </w:t>
      </w:r>
      <w:r w:rsidR="00A66066">
        <w:rPr>
          <w:sz w:val="26"/>
          <w:szCs w:val="26"/>
        </w:rPr>
        <w:t xml:space="preserve">consistent with prior Commission guidance regarding </w:t>
      </w:r>
      <w:r w:rsidR="00536F2B">
        <w:rPr>
          <w:sz w:val="26"/>
          <w:szCs w:val="26"/>
        </w:rPr>
        <w:t>Act 129 Phase I cost recovery.</w:t>
      </w:r>
    </w:p>
    <w:p w:rsidR="00865FC7" w:rsidRPr="0097557D" w:rsidRDefault="00865FC7" w:rsidP="0097557D">
      <w:pPr>
        <w:pStyle w:val="p3"/>
        <w:tabs>
          <w:tab w:val="clear" w:pos="204"/>
          <w:tab w:val="left" w:pos="720"/>
        </w:tabs>
        <w:spacing w:line="360" w:lineRule="auto"/>
        <w:outlineLvl w:val="0"/>
        <w:rPr>
          <w:sz w:val="26"/>
          <w:szCs w:val="26"/>
        </w:rPr>
      </w:pPr>
    </w:p>
    <w:p w:rsidR="0097557D" w:rsidRPr="0097557D" w:rsidRDefault="0097557D" w:rsidP="0097557D">
      <w:pPr>
        <w:pStyle w:val="p3"/>
        <w:tabs>
          <w:tab w:val="clear" w:pos="204"/>
          <w:tab w:val="left" w:pos="720"/>
        </w:tabs>
        <w:spacing w:line="360" w:lineRule="auto"/>
        <w:outlineLvl w:val="0"/>
        <w:rPr>
          <w:b/>
          <w:sz w:val="26"/>
          <w:szCs w:val="26"/>
        </w:rPr>
      </w:pPr>
      <w:r>
        <w:rPr>
          <w:b/>
          <w:sz w:val="26"/>
          <w:szCs w:val="26"/>
        </w:rPr>
        <w:t>B.</w:t>
      </w:r>
      <w:r>
        <w:rPr>
          <w:b/>
          <w:sz w:val="26"/>
          <w:szCs w:val="26"/>
        </w:rPr>
        <w:tab/>
        <w:t>Recovery of Costs of DLC Program</w:t>
      </w:r>
    </w:p>
    <w:p w:rsidR="0097557D" w:rsidRDefault="0097557D" w:rsidP="0097557D">
      <w:pPr>
        <w:spacing w:line="360" w:lineRule="auto"/>
        <w:rPr>
          <w:b/>
          <w:sz w:val="26"/>
          <w:szCs w:val="26"/>
        </w:rPr>
      </w:pPr>
    </w:p>
    <w:p w:rsidR="00941709" w:rsidRPr="00834F13" w:rsidRDefault="00834F13" w:rsidP="0097557D">
      <w:pPr>
        <w:spacing w:line="360" w:lineRule="auto"/>
        <w:rPr>
          <w:sz w:val="26"/>
          <w:szCs w:val="26"/>
        </w:rPr>
      </w:pPr>
      <w:r>
        <w:rPr>
          <w:b/>
          <w:sz w:val="26"/>
          <w:szCs w:val="26"/>
        </w:rPr>
        <w:lastRenderedPageBreak/>
        <w:tab/>
      </w:r>
      <w:r>
        <w:rPr>
          <w:sz w:val="26"/>
          <w:szCs w:val="26"/>
        </w:rPr>
        <w:t xml:space="preserve">Because a discontinuance of </w:t>
      </w:r>
      <w:r w:rsidR="007477E0">
        <w:rPr>
          <w:sz w:val="26"/>
          <w:szCs w:val="26"/>
        </w:rPr>
        <w:t>the Residential DLC Program was not anticipated at the time of the Program’s approval, Met-Ed’s budget for the Residential DLC Program did not include funds to cover the removal of equipment</w:t>
      </w:r>
      <w:r w:rsidR="005A3F8E">
        <w:rPr>
          <w:sz w:val="26"/>
          <w:szCs w:val="26"/>
        </w:rPr>
        <w:t xml:space="preserve"> used to implement the program</w:t>
      </w:r>
      <w:r w:rsidR="007477E0">
        <w:rPr>
          <w:sz w:val="26"/>
          <w:szCs w:val="26"/>
        </w:rPr>
        <w:t>.</w:t>
      </w:r>
      <w:r w:rsidR="007477E0">
        <w:rPr>
          <w:rStyle w:val="FootnoteReference"/>
          <w:sz w:val="26"/>
          <w:szCs w:val="26"/>
        </w:rPr>
        <w:footnoteReference w:id="7"/>
      </w:r>
      <w:r w:rsidR="007477E0">
        <w:rPr>
          <w:sz w:val="26"/>
          <w:szCs w:val="26"/>
        </w:rPr>
        <w:t xml:space="preserve">  </w:t>
      </w:r>
      <w:r w:rsidR="005A3F8E">
        <w:rPr>
          <w:sz w:val="26"/>
          <w:szCs w:val="26"/>
        </w:rPr>
        <w:t>The record shows that</w:t>
      </w:r>
      <w:r w:rsidR="007477E0">
        <w:rPr>
          <w:sz w:val="26"/>
          <w:szCs w:val="26"/>
        </w:rPr>
        <w:t xml:space="preserve"> contracts entered into with Met-Ed customers participating in the </w:t>
      </w:r>
      <w:r w:rsidR="005A3F8E">
        <w:rPr>
          <w:sz w:val="26"/>
          <w:szCs w:val="26"/>
        </w:rPr>
        <w:t xml:space="preserve">DLC </w:t>
      </w:r>
      <w:r w:rsidR="007477E0">
        <w:rPr>
          <w:sz w:val="26"/>
          <w:szCs w:val="26"/>
        </w:rPr>
        <w:t xml:space="preserve">Program permits the customers to leave the </w:t>
      </w:r>
      <w:r w:rsidR="005A3F8E">
        <w:rPr>
          <w:sz w:val="26"/>
          <w:szCs w:val="26"/>
        </w:rPr>
        <w:t xml:space="preserve">program </w:t>
      </w:r>
      <w:r w:rsidR="007477E0">
        <w:rPr>
          <w:sz w:val="26"/>
          <w:szCs w:val="26"/>
        </w:rPr>
        <w:t>and to request the removal of the Integrated Distributed Energy Reduction (IDER) equipment.</w:t>
      </w:r>
      <w:r w:rsidR="007477E0">
        <w:rPr>
          <w:rStyle w:val="FootnoteReference"/>
          <w:sz w:val="26"/>
          <w:szCs w:val="26"/>
        </w:rPr>
        <w:footnoteReference w:id="8"/>
      </w:r>
      <w:r w:rsidR="007477E0">
        <w:rPr>
          <w:sz w:val="26"/>
          <w:szCs w:val="26"/>
        </w:rPr>
        <w:t xml:space="preserve">  </w:t>
      </w:r>
      <w:r w:rsidR="00FC4443">
        <w:rPr>
          <w:sz w:val="26"/>
          <w:szCs w:val="26"/>
        </w:rPr>
        <w:t xml:space="preserve">Met-Ed anticipates that, upon notifying the </w:t>
      </w:r>
      <w:r w:rsidR="005A3F8E">
        <w:rPr>
          <w:sz w:val="26"/>
          <w:szCs w:val="26"/>
        </w:rPr>
        <w:t xml:space="preserve">DLC </w:t>
      </w:r>
      <w:r w:rsidR="00FC4443">
        <w:rPr>
          <w:sz w:val="26"/>
          <w:szCs w:val="26"/>
        </w:rPr>
        <w:t>Program participants of its expiration, a large number of customers will exercise their right to request removal of the IDER equipment.</w:t>
      </w:r>
      <w:r w:rsidR="00FC4443">
        <w:rPr>
          <w:rStyle w:val="FootnoteReference"/>
          <w:sz w:val="26"/>
          <w:szCs w:val="26"/>
        </w:rPr>
        <w:footnoteReference w:id="9"/>
      </w:r>
      <w:r w:rsidR="00FC4443">
        <w:rPr>
          <w:sz w:val="26"/>
          <w:szCs w:val="26"/>
        </w:rPr>
        <w:t xml:space="preserve">  As such, Met-Ed </w:t>
      </w:r>
      <w:r w:rsidR="005A3F8E">
        <w:rPr>
          <w:sz w:val="26"/>
          <w:szCs w:val="26"/>
        </w:rPr>
        <w:t xml:space="preserve">asserts that it </w:t>
      </w:r>
      <w:r w:rsidR="00FC4443">
        <w:rPr>
          <w:sz w:val="26"/>
          <w:szCs w:val="26"/>
        </w:rPr>
        <w:t xml:space="preserve">will </w:t>
      </w:r>
      <w:r w:rsidR="005A3F8E">
        <w:rPr>
          <w:sz w:val="26"/>
          <w:szCs w:val="26"/>
        </w:rPr>
        <w:t>incur</w:t>
      </w:r>
      <w:r w:rsidR="00FC4443">
        <w:rPr>
          <w:sz w:val="26"/>
          <w:szCs w:val="26"/>
        </w:rPr>
        <w:t xml:space="preserve"> unforeseen DLC Program costs.  There is currently $226,783.00 remaining in the budget for the Residential DLC Program.  </w:t>
      </w:r>
      <w:r w:rsidR="00021E51">
        <w:rPr>
          <w:sz w:val="26"/>
          <w:szCs w:val="26"/>
        </w:rPr>
        <w:t>Met-Ed requests a net budget increase of $3,984,171.00, taking the total Residential DLC Program budget to $4,210,954.00.</w:t>
      </w:r>
      <w:r w:rsidR="00C03451">
        <w:rPr>
          <w:rStyle w:val="FootnoteReference"/>
          <w:sz w:val="26"/>
          <w:szCs w:val="26"/>
        </w:rPr>
        <w:footnoteReference w:id="10"/>
      </w:r>
      <w:r w:rsidR="00021E51">
        <w:rPr>
          <w:sz w:val="26"/>
          <w:szCs w:val="26"/>
        </w:rPr>
        <w:t xml:space="preserve">  For the purposes of budgeting, Met-Ed assumes that all customers will request removal of the IDER equipment.</w:t>
      </w:r>
      <w:r w:rsidR="00021E51">
        <w:rPr>
          <w:rStyle w:val="FootnoteReference"/>
          <w:sz w:val="26"/>
          <w:szCs w:val="26"/>
        </w:rPr>
        <w:footnoteReference w:id="11"/>
      </w:r>
      <w:r w:rsidR="00E71325">
        <w:rPr>
          <w:sz w:val="26"/>
          <w:szCs w:val="26"/>
        </w:rPr>
        <w:t xml:space="preserve">  The total budget of approximately $4.2 million would support the removal of </w:t>
      </w:r>
      <w:r w:rsidR="00B12382">
        <w:rPr>
          <w:sz w:val="26"/>
          <w:szCs w:val="26"/>
        </w:rPr>
        <w:t xml:space="preserve">all </w:t>
      </w:r>
      <w:r w:rsidR="00E71325">
        <w:rPr>
          <w:sz w:val="26"/>
          <w:szCs w:val="26"/>
        </w:rPr>
        <w:t>19,300 IDER devices that remain at customers’ homes.</w:t>
      </w:r>
      <w:r w:rsidR="00FC6EB8">
        <w:rPr>
          <w:sz w:val="26"/>
          <w:szCs w:val="26"/>
        </w:rPr>
        <w:t xml:space="preserve">  Met-Ed states that the anticipated removal cost, including the requested budget increase, is within its two percent (2%) budget limitation for its EE&amp;C </w:t>
      </w:r>
      <w:r w:rsidR="00B12382">
        <w:rPr>
          <w:sz w:val="26"/>
          <w:szCs w:val="26"/>
        </w:rPr>
        <w:t>Plan</w:t>
      </w:r>
      <w:r w:rsidR="00FC6EB8">
        <w:rPr>
          <w:sz w:val="26"/>
          <w:szCs w:val="26"/>
        </w:rPr>
        <w:t>.</w:t>
      </w:r>
      <w:r w:rsidR="00E71325">
        <w:rPr>
          <w:rStyle w:val="FootnoteReference"/>
          <w:sz w:val="26"/>
          <w:szCs w:val="26"/>
        </w:rPr>
        <w:footnoteReference w:id="12"/>
      </w:r>
    </w:p>
    <w:p w:rsidR="00941709" w:rsidRDefault="00941709" w:rsidP="0097557D">
      <w:pPr>
        <w:spacing w:line="360" w:lineRule="auto"/>
        <w:rPr>
          <w:b/>
          <w:sz w:val="26"/>
          <w:szCs w:val="26"/>
        </w:rPr>
      </w:pPr>
    </w:p>
    <w:p w:rsidR="000C500E" w:rsidRDefault="00ED30CF" w:rsidP="0097557D">
      <w:pPr>
        <w:spacing w:line="360" w:lineRule="auto"/>
        <w:rPr>
          <w:sz w:val="26"/>
          <w:szCs w:val="26"/>
        </w:rPr>
      </w:pPr>
      <w:r>
        <w:rPr>
          <w:b/>
          <w:sz w:val="26"/>
          <w:szCs w:val="26"/>
        </w:rPr>
        <w:tab/>
      </w:r>
      <w:r>
        <w:rPr>
          <w:sz w:val="26"/>
          <w:szCs w:val="26"/>
        </w:rPr>
        <w:t xml:space="preserve">Regarding the recovery of the increased budget, Met-Ed references nuclear decommissioning </w:t>
      </w:r>
      <w:r w:rsidR="00B12382">
        <w:rPr>
          <w:sz w:val="26"/>
          <w:szCs w:val="26"/>
        </w:rPr>
        <w:t xml:space="preserve">as an example </w:t>
      </w:r>
      <w:r>
        <w:rPr>
          <w:sz w:val="26"/>
          <w:szCs w:val="26"/>
        </w:rPr>
        <w:t xml:space="preserve">and proposes that revenues be collected through the EE&amp;C-C charge, with a regulatory expense and associated regulatory liability account increase for every dollar collected.  As costs are actually incurred, Met-Ed states that the regulatory liability account will be reduced until there is </w:t>
      </w:r>
      <w:r w:rsidR="00B12382">
        <w:rPr>
          <w:sz w:val="26"/>
          <w:szCs w:val="26"/>
        </w:rPr>
        <w:t xml:space="preserve">no </w:t>
      </w:r>
      <w:r>
        <w:rPr>
          <w:sz w:val="26"/>
          <w:szCs w:val="26"/>
        </w:rPr>
        <w:t xml:space="preserve">additional </w:t>
      </w:r>
      <w:r w:rsidR="00B12382">
        <w:rPr>
          <w:sz w:val="26"/>
          <w:szCs w:val="26"/>
        </w:rPr>
        <w:t xml:space="preserve">removal </w:t>
      </w:r>
      <w:r>
        <w:rPr>
          <w:sz w:val="26"/>
          <w:szCs w:val="26"/>
        </w:rPr>
        <w:t xml:space="preserve">requests expected.  At that point, any remaining balance in the regulatory liability account could, at a future point in time, be returned to customers.  In the meantime, the customers’ funds </w:t>
      </w:r>
      <w:r>
        <w:rPr>
          <w:sz w:val="26"/>
          <w:szCs w:val="26"/>
        </w:rPr>
        <w:lastRenderedPageBreak/>
        <w:t>would be treated as a deduction from rate base in any future rate proceeding, treating the sum similarly to customer deposits.</w:t>
      </w:r>
      <w:r>
        <w:rPr>
          <w:rStyle w:val="FootnoteReference"/>
          <w:sz w:val="26"/>
          <w:szCs w:val="26"/>
        </w:rPr>
        <w:footnoteReference w:id="13"/>
      </w:r>
      <w:r>
        <w:rPr>
          <w:sz w:val="26"/>
          <w:szCs w:val="26"/>
        </w:rPr>
        <w:t xml:space="preserve">  Additionally, the $4,210,954.00 cost would be included in the final reconciliation process requested by </w:t>
      </w:r>
      <w:r w:rsidR="00B12382">
        <w:rPr>
          <w:sz w:val="26"/>
          <w:szCs w:val="26"/>
        </w:rPr>
        <w:t>Met-Ed</w:t>
      </w:r>
      <w:r>
        <w:rPr>
          <w:sz w:val="26"/>
          <w:szCs w:val="26"/>
        </w:rPr>
        <w:t xml:space="preserve"> in the Petition.</w:t>
      </w:r>
      <w:r>
        <w:rPr>
          <w:rStyle w:val="FootnoteReference"/>
          <w:sz w:val="26"/>
          <w:szCs w:val="26"/>
        </w:rPr>
        <w:footnoteReference w:id="14"/>
      </w:r>
    </w:p>
    <w:p w:rsidR="000C500E" w:rsidRDefault="000C500E" w:rsidP="0097557D">
      <w:pPr>
        <w:spacing w:line="360" w:lineRule="auto"/>
        <w:rPr>
          <w:sz w:val="26"/>
          <w:szCs w:val="26"/>
        </w:rPr>
      </w:pPr>
    </w:p>
    <w:p w:rsidR="000C500E" w:rsidRDefault="000C500E" w:rsidP="0097557D">
      <w:pPr>
        <w:spacing w:line="360" w:lineRule="auto"/>
        <w:rPr>
          <w:sz w:val="26"/>
          <w:szCs w:val="26"/>
        </w:rPr>
      </w:pPr>
      <w:r>
        <w:rPr>
          <w:sz w:val="26"/>
          <w:szCs w:val="26"/>
        </w:rPr>
        <w:tab/>
        <w:t>The OCA does not oppose the collection of the remaining costs for removal of the IDER equipment within Met-Ed’s 2% budget cap.</w:t>
      </w:r>
      <w:r>
        <w:rPr>
          <w:rStyle w:val="FootnoteReference"/>
          <w:sz w:val="26"/>
          <w:szCs w:val="26"/>
        </w:rPr>
        <w:footnoteReference w:id="15"/>
      </w:r>
    </w:p>
    <w:p w:rsidR="000C500E" w:rsidRDefault="000C500E" w:rsidP="0097557D">
      <w:pPr>
        <w:spacing w:line="360" w:lineRule="auto"/>
        <w:rPr>
          <w:sz w:val="26"/>
          <w:szCs w:val="26"/>
        </w:rPr>
      </w:pPr>
    </w:p>
    <w:p w:rsidR="00E57BC2" w:rsidRDefault="000C500E" w:rsidP="00AC1D1D">
      <w:pPr>
        <w:spacing w:line="360" w:lineRule="auto"/>
        <w:rPr>
          <w:sz w:val="26"/>
          <w:szCs w:val="26"/>
        </w:rPr>
      </w:pPr>
      <w:r>
        <w:rPr>
          <w:sz w:val="26"/>
          <w:szCs w:val="26"/>
        </w:rPr>
        <w:tab/>
        <w:t>The Commission recognizes the need for Met-Ed to increase its Residential DLC Program budget to cover the</w:t>
      </w:r>
      <w:r w:rsidR="006629D7">
        <w:rPr>
          <w:sz w:val="26"/>
          <w:szCs w:val="26"/>
        </w:rPr>
        <w:t xml:space="preserve"> costs of IDER device removal.  </w:t>
      </w:r>
      <w:r w:rsidR="00AC1D1D">
        <w:rPr>
          <w:sz w:val="26"/>
          <w:szCs w:val="26"/>
        </w:rPr>
        <w:t xml:space="preserve">As such, we approve Met-Ed’s requested budget increase of $3,984,171.00 to provide a total budget of $4,210,954.00 for its Residential DLC Program.  </w:t>
      </w:r>
      <w:r w:rsidR="00B12382">
        <w:rPr>
          <w:sz w:val="26"/>
          <w:szCs w:val="26"/>
        </w:rPr>
        <w:t>The Commission, however, does</w:t>
      </w:r>
      <w:r w:rsidR="006629D7">
        <w:rPr>
          <w:sz w:val="26"/>
          <w:szCs w:val="26"/>
        </w:rPr>
        <w:t xml:space="preserve"> have concerns with Met-Ed’s proposed recovery mechanism for the costs of the Residential DLC Program.  In </w:t>
      </w:r>
      <w:r w:rsidR="00B12382">
        <w:rPr>
          <w:sz w:val="26"/>
          <w:szCs w:val="26"/>
        </w:rPr>
        <w:t xml:space="preserve">the </w:t>
      </w:r>
      <w:r w:rsidR="006629D7">
        <w:rPr>
          <w:sz w:val="26"/>
          <w:szCs w:val="26"/>
        </w:rPr>
        <w:t xml:space="preserve">Phase II Implementation Order, </w:t>
      </w:r>
      <w:r w:rsidR="00B12382">
        <w:rPr>
          <w:sz w:val="26"/>
          <w:szCs w:val="26"/>
        </w:rPr>
        <w:t>we</w:t>
      </w:r>
      <w:r w:rsidR="006629D7">
        <w:rPr>
          <w:sz w:val="26"/>
          <w:szCs w:val="26"/>
        </w:rPr>
        <w:t xml:space="preserve"> stated </w:t>
      </w:r>
      <w:r w:rsidR="00B12382">
        <w:rPr>
          <w:sz w:val="26"/>
          <w:szCs w:val="26"/>
        </w:rPr>
        <w:t>that we do “</w:t>
      </w:r>
      <w:r w:rsidR="006629D7">
        <w:rPr>
          <w:sz w:val="26"/>
          <w:szCs w:val="26"/>
        </w:rPr>
        <w:t>not believe it to be sound policy to continue spending Phase I budgets in Phase II when those monies should be returned back to the appropriate rate classes.”</w:t>
      </w:r>
      <w:r w:rsidR="006629D7">
        <w:rPr>
          <w:rStyle w:val="FootnoteReference"/>
          <w:sz w:val="26"/>
          <w:szCs w:val="26"/>
        </w:rPr>
        <w:footnoteReference w:id="16"/>
      </w:r>
      <w:r w:rsidR="006629D7">
        <w:rPr>
          <w:sz w:val="26"/>
          <w:szCs w:val="26"/>
        </w:rPr>
        <w:t xml:space="preserve">  While this language was in reference to </w:t>
      </w:r>
      <w:r w:rsidR="00E57BC2">
        <w:rPr>
          <w:sz w:val="26"/>
          <w:szCs w:val="26"/>
        </w:rPr>
        <w:t xml:space="preserve">costs associated with savings in </w:t>
      </w:r>
      <w:r w:rsidR="006629D7">
        <w:rPr>
          <w:sz w:val="26"/>
          <w:szCs w:val="26"/>
        </w:rPr>
        <w:t xml:space="preserve">excess </w:t>
      </w:r>
      <w:r w:rsidR="00E57BC2">
        <w:rPr>
          <w:sz w:val="26"/>
          <w:szCs w:val="26"/>
        </w:rPr>
        <w:t>of the 3% that apply to the Phase II reduction requirements</w:t>
      </w:r>
      <w:r w:rsidR="006629D7">
        <w:rPr>
          <w:sz w:val="26"/>
          <w:szCs w:val="26"/>
        </w:rPr>
        <w:t xml:space="preserve">, we </w:t>
      </w:r>
      <w:r w:rsidR="00E57BC2">
        <w:rPr>
          <w:sz w:val="26"/>
          <w:szCs w:val="26"/>
        </w:rPr>
        <w:t>believe these</w:t>
      </w:r>
      <w:r w:rsidR="006629D7">
        <w:rPr>
          <w:sz w:val="26"/>
          <w:szCs w:val="26"/>
        </w:rPr>
        <w:t xml:space="preserve"> same concerns </w:t>
      </w:r>
      <w:r w:rsidR="00E57BC2">
        <w:rPr>
          <w:sz w:val="26"/>
          <w:szCs w:val="26"/>
        </w:rPr>
        <w:t xml:space="preserve">apply to </w:t>
      </w:r>
      <w:r w:rsidR="006629D7">
        <w:rPr>
          <w:sz w:val="26"/>
          <w:szCs w:val="26"/>
        </w:rPr>
        <w:t xml:space="preserve">Met-Ed’s </w:t>
      </w:r>
      <w:r w:rsidR="00E57BC2">
        <w:rPr>
          <w:sz w:val="26"/>
          <w:szCs w:val="26"/>
        </w:rPr>
        <w:t xml:space="preserve">current </w:t>
      </w:r>
      <w:r w:rsidR="006629D7">
        <w:rPr>
          <w:sz w:val="26"/>
          <w:szCs w:val="26"/>
        </w:rPr>
        <w:t xml:space="preserve">proposal.  </w:t>
      </w:r>
    </w:p>
    <w:p w:rsidR="00E57BC2" w:rsidRDefault="00E57BC2" w:rsidP="00AC1D1D">
      <w:pPr>
        <w:spacing w:line="360" w:lineRule="auto"/>
        <w:rPr>
          <w:sz w:val="26"/>
          <w:szCs w:val="26"/>
        </w:rPr>
      </w:pPr>
    </w:p>
    <w:p w:rsidR="00002488" w:rsidRPr="00ED30CF" w:rsidRDefault="006629D7" w:rsidP="00F53C5C">
      <w:pPr>
        <w:spacing w:line="360" w:lineRule="auto"/>
        <w:ind w:firstLine="720"/>
        <w:rPr>
          <w:sz w:val="26"/>
          <w:szCs w:val="26"/>
        </w:rPr>
      </w:pPr>
      <w:r>
        <w:rPr>
          <w:sz w:val="26"/>
          <w:szCs w:val="26"/>
        </w:rPr>
        <w:t>Met-Ed proposes to continue spending the budget for the Residential DLC Program for IDER device removal until no additional removal requests are expected, with any remaining balance being treated as a deduction from rate base in any future rate proceeding.</w:t>
      </w:r>
      <w:r>
        <w:rPr>
          <w:rStyle w:val="FootnoteReference"/>
          <w:sz w:val="26"/>
          <w:szCs w:val="26"/>
        </w:rPr>
        <w:footnoteReference w:id="17"/>
      </w:r>
      <w:r>
        <w:rPr>
          <w:sz w:val="26"/>
          <w:szCs w:val="26"/>
        </w:rPr>
        <w:t xml:space="preserve">  The Commission is concerned that a Met-Ed rate proceeding may not occur in the relatively near future.  </w:t>
      </w:r>
      <w:r w:rsidR="00AC1D1D">
        <w:rPr>
          <w:sz w:val="26"/>
          <w:szCs w:val="26"/>
        </w:rPr>
        <w:t xml:space="preserve">Additionally, Met-Ed did not </w:t>
      </w:r>
      <w:r w:rsidR="00E57BC2">
        <w:rPr>
          <w:sz w:val="26"/>
          <w:szCs w:val="26"/>
        </w:rPr>
        <w:t>specify</w:t>
      </w:r>
      <w:r w:rsidR="00AC1D1D">
        <w:rPr>
          <w:sz w:val="26"/>
          <w:szCs w:val="26"/>
        </w:rPr>
        <w:t xml:space="preserve"> that the </w:t>
      </w:r>
      <w:r w:rsidR="00AC1D1D">
        <w:rPr>
          <w:sz w:val="26"/>
          <w:szCs w:val="26"/>
        </w:rPr>
        <w:lastRenderedPageBreak/>
        <w:t xml:space="preserve">remaining balance be included as a deduction on its </w:t>
      </w:r>
      <w:r w:rsidR="00AC1D1D">
        <w:rPr>
          <w:i/>
          <w:sz w:val="26"/>
          <w:szCs w:val="26"/>
        </w:rPr>
        <w:t>next</w:t>
      </w:r>
      <w:r w:rsidR="00AC1D1D">
        <w:rPr>
          <w:sz w:val="26"/>
          <w:szCs w:val="26"/>
        </w:rPr>
        <w:t xml:space="preserve"> rate proceeding but, instead, referenced “any” future rate proceeding.  We do not believe it to be sound policy to allow Met-Ed to maintain those funds in a regulatory liability account for an unknown amount of time.  As such, we propose that Met-Ed be allowed to continue </w:t>
      </w:r>
      <w:r w:rsidR="00E57BC2">
        <w:rPr>
          <w:sz w:val="26"/>
          <w:szCs w:val="26"/>
        </w:rPr>
        <w:t xml:space="preserve">utilizing </w:t>
      </w:r>
      <w:r w:rsidR="00AC1D1D">
        <w:rPr>
          <w:sz w:val="26"/>
          <w:szCs w:val="26"/>
        </w:rPr>
        <w:t>the Residential DLC Program budget for the removal of IDER devices until no additional removal requests are expected or until the expiration of Phase II, at which time the balance would be included in Met-Ed’s Phase II reconciliation</w:t>
      </w:r>
      <w:r w:rsidR="00BD3B2C">
        <w:rPr>
          <w:sz w:val="26"/>
          <w:szCs w:val="26"/>
        </w:rPr>
        <w:t>, whichever comes first</w:t>
      </w:r>
      <w:r w:rsidR="00AC1D1D">
        <w:rPr>
          <w:sz w:val="26"/>
          <w:szCs w:val="26"/>
        </w:rPr>
        <w:t xml:space="preserve">.  This mechanism allows Met-Ed to pay for the costs of IDER device removal for an additional three years, following the </w:t>
      </w:r>
      <w:r w:rsidR="00E57BC2">
        <w:rPr>
          <w:sz w:val="26"/>
          <w:szCs w:val="26"/>
        </w:rPr>
        <w:t xml:space="preserve">DLC </w:t>
      </w:r>
      <w:r w:rsidR="00AC1D1D">
        <w:rPr>
          <w:sz w:val="26"/>
          <w:szCs w:val="26"/>
        </w:rPr>
        <w:t xml:space="preserve">Program’s expiration on May 31, 2013, while allowing any remaining </w:t>
      </w:r>
      <w:r w:rsidR="00E57BC2">
        <w:rPr>
          <w:sz w:val="26"/>
          <w:szCs w:val="26"/>
        </w:rPr>
        <w:t xml:space="preserve">funds </w:t>
      </w:r>
      <w:r w:rsidR="00AC1D1D">
        <w:rPr>
          <w:sz w:val="26"/>
          <w:szCs w:val="26"/>
        </w:rPr>
        <w:t xml:space="preserve">to be returned to customers in a reasonable timeframe.  The Commission will tentatively approve this </w:t>
      </w:r>
      <w:r w:rsidR="00FD6404">
        <w:rPr>
          <w:sz w:val="26"/>
          <w:szCs w:val="26"/>
        </w:rPr>
        <w:t>cost recovery mechanism.  P</w:t>
      </w:r>
      <w:r w:rsidR="00AC1D1D">
        <w:rPr>
          <w:sz w:val="26"/>
          <w:szCs w:val="26"/>
        </w:rPr>
        <w:t xml:space="preserve">arties may submit comments </w:t>
      </w:r>
      <w:r w:rsidR="00FD6404">
        <w:rPr>
          <w:sz w:val="26"/>
          <w:szCs w:val="26"/>
        </w:rPr>
        <w:t xml:space="preserve">on the tentatively approved cost recovery mechanism </w:t>
      </w:r>
      <w:r w:rsidR="00AC1D1D">
        <w:rPr>
          <w:sz w:val="26"/>
          <w:szCs w:val="26"/>
        </w:rPr>
        <w:t xml:space="preserve">within 15 days of the entrance of this Order.  If no </w:t>
      </w:r>
      <w:r w:rsidR="00FD6404">
        <w:rPr>
          <w:sz w:val="26"/>
          <w:szCs w:val="26"/>
        </w:rPr>
        <w:t>adverse comments are filed regarding the modified Met-Ed DLC Program cost recovery</w:t>
      </w:r>
      <w:r w:rsidR="00AC1D1D">
        <w:rPr>
          <w:sz w:val="26"/>
          <w:szCs w:val="26"/>
        </w:rPr>
        <w:t xml:space="preserve"> mechanism</w:t>
      </w:r>
      <w:r w:rsidR="00FD6404">
        <w:rPr>
          <w:sz w:val="26"/>
          <w:szCs w:val="26"/>
        </w:rPr>
        <w:t>, this Order shall be deemed final without further Commission action</w:t>
      </w:r>
      <w:r w:rsidR="00AC1D1D">
        <w:rPr>
          <w:sz w:val="26"/>
          <w:szCs w:val="26"/>
        </w:rPr>
        <w:t>.</w:t>
      </w:r>
      <w:r>
        <w:rPr>
          <w:sz w:val="26"/>
          <w:szCs w:val="26"/>
        </w:rPr>
        <w:br/>
      </w:r>
    </w:p>
    <w:p w:rsidR="00282DD9" w:rsidRPr="000932AE" w:rsidRDefault="00143CDE" w:rsidP="008B7E63">
      <w:pPr>
        <w:pStyle w:val="Heading1"/>
        <w:spacing w:before="0" w:after="0" w:line="360" w:lineRule="auto"/>
        <w:jc w:val="center"/>
        <w:rPr>
          <w:rFonts w:ascii="Times New Roman" w:hAnsi="Times New Roman" w:cs="Times New Roman"/>
          <w:sz w:val="26"/>
          <w:szCs w:val="26"/>
        </w:rPr>
      </w:pPr>
      <w:bookmarkStart w:id="6" w:name="_Toc343073114"/>
      <w:r w:rsidRPr="000932AE">
        <w:rPr>
          <w:rFonts w:ascii="Times New Roman" w:hAnsi="Times New Roman" w:cs="Times New Roman"/>
          <w:sz w:val="26"/>
          <w:szCs w:val="26"/>
        </w:rPr>
        <w:t>CONCLUSION</w:t>
      </w:r>
      <w:bookmarkEnd w:id="5"/>
      <w:bookmarkEnd w:id="6"/>
    </w:p>
    <w:p w:rsidR="00143CDE" w:rsidRPr="000932AE" w:rsidRDefault="00143CDE" w:rsidP="008B7E63">
      <w:pPr>
        <w:spacing w:line="360" w:lineRule="auto"/>
        <w:rPr>
          <w:sz w:val="26"/>
          <w:szCs w:val="26"/>
        </w:rPr>
      </w:pPr>
    </w:p>
    <w:p w:rsidR="00EB401D" w:rsidRPr="000932AE" w:rsidRDefault="00D01942" w:rsidP="008B7E63">
      <w:pPr>
        <w:spacing w:line="360" w:lineRule="auto"/>
        <w:ind w:firstLine="720"/>
        <w:rPr>
          <w:sz w:val="26"/>
          <w:szCs w:val="26"/>
        </w:rPr>
      </w:pPr>
      <w:r w:rsidRPr="000932AE">
        <w:rPr>
          <w:sz w:val="26"/>
          <w:szCs w:val="26"/>
        </w:rPr>
        <w:t xml:space="preserve">This </w:t>
      </w:r>
      <w:r w:rsidR="00BB0395">
        <w:rPr>
          <w:sz w:val="26"/>
          <w:szCs w:val="26"/>
        </w:rPr>
        <w:t xml:space="preserve">Opinion and </w:t>
      </w:r>
      <w:r w:rsidRPr="000932AE">
        <w:rPr>
          <w:sz w:val="26"/>
          <w:szCs w:val="26"/>
        </w:rPr>
        <w:t>Order</w:t>
      </w:r>
      <w:r w:rsidR="000C500E" w:rsidRPr="000C500E">
        <w:rPr>
          <w:sz w:val="26"/>
          <w:szCs w:val="26"/>
        </w:rPr>
        <w:t xml:space="preserve"> </w:t>
      </w:r>
      <w:r w:rsidR="000C500E">
        <w:rPr>
          <w:sz w:val="26"/>
          <w:szCs w:val="26"/>
        </w:rPr>
        <w:t>grants</w:t>
      </w:r>
      <w:r w:rsidR="00AC1D1D">
        <w:rPr>
          <w:sz w:val="26"/>
          <w:szCs w:val="26"/>
        </w:rPr>
        <w:t>, in part, and denies, in part,</w:t>
      </w:r>
      <w:r w:rsidR="000C500E">
        <w:rPr>
          <w:sz w:val="26"/>
          <w:szCs w:val="26"/>
        </w:rPr>
        <w:t xml:space="preserve"> the Petition of Metropolitan Edison Company, Pennsylvania Electric Company and Pennsylvania Power Company to Approve Modifications of the Energy Efficiency and Conservation Charge Rider to Include Final Reconciliation Costs and to Recover the Full Costs for Metropolitan Edison Company’s Suspension of the Residential Direct Load Control Program Effective May 31, 2013.  This </w:t>
      </w:r>
      <w:r w:rsidR="00BB0395">
        <w:rPr>
          <w:sz w:val="26"/>
          <w:szCs w:val="26"/>
        </w:rPr>
        <w:t xml:space="preserve">Opinion and </w:t>
      </w:r>
      <w:r w:rsidR="000C500E">
        <w:rPr>
          <w:sz w:val="26"/>
          <w:szCs w:val="26"/>
        </w:rPr>
        <w:t xml:space="preserve">Order grants the </w:t>
      </w:r>
      <w:r w:rsidR="00AC1D1D">
        <w:rPr>
          <w:sz w:val="26"/>
          <w:szCs w:val="26"/>
        </w:rPr>
        <w:t xml:space="preserve">request to amend the Companies’ Phase I Energy Efficiency and Conservation Charge Riders to allow the Riders to remain in effect until all costs have been recovered.  This </w:t>
      </w:r>
      <w:r w:rsidR="00BB0395">
        <w:rPr>
          <w:sz w:val="26"/>
          <w:szCs w:val="26"/>
        </w:rPr>
        <w:t xml:space="preserve">Opinion and </w:t>
      </w:r>
      <w:r w:rsidR="00AC1D1D">
        <w:rPr>
          <w:sz w:val="26"/>
          <w:szCs w:val="26"/>
        </w:rPr>
        <w:t xml:space="preserve">Order </w:t>
      </w:r>
      <w:r w:rsidR="001C7D3D">
        <w:rPr>
          <w:sz w:val="26"/>
          <w:szCs w:val="26"/>
        </w:rPr>
        <w:t>also grants Metropolitan Edison Company’s request for an additional $3,984,171.00 for its Residential Direct Load Control Program, providing a total budget of $4,210,954.00</w:t>
      </w:r>
      <w:r w:rsidR="00E57BC2">
        <w:rPr>
          <w:sz w:val="26"/>
          <w:szCs w:val="26"/>
        </w:rPr>
        <w:t xml:space="preserve"> </w:t>
      </w:r>
      <w:r w:rsidR="00E57BC2">
        <w:rPr>
          <w:sz w:val="26"/>
          <w:szCs w:val="26"/>
        </w:rPr>
        <w:lastRenderedPageBreak/>
        <w:t>for this program</w:t>
      </w:r>
      <w:r w:rsidR="001C7D3D">
        <w:rPr>
          <w:sz w:val="26"/>
          <w:szCs w:val="26"/>
        </w:rPr>
        <w:t xml:space="preserve">.  This </w:t>
      </w:r>
      <w:r w:rsidR="00BB0395">
        <w:rPr>
          <w:sz w:val="26"/>
          <w:szCs w:val="26"/>
        </w:rPr>
        <w:t xml:space="preserve">Opinion and </w:t>
      </w:r>
      <w:r w:rsidR="001C7D3D">
        <w:rPr>
          <w:sz w:val="26"/>
          <w:szCs w:val="26"/>
        </w:rPr>
        <w:t xml:space="preserve">Order </w:t>
      </w:r>
      <w:r w:rsidR="00AC1D1D">
        <w:rPr>
          <w:sz w:val="26"/>
          <w:szCs w:val="26"/>
        </w:rPr>
        <w:t xml:space="preserve">denies </w:t>
      </w:r>
      <w:r w:rsidR="001C7D3D">
        <w:rPr>
          <w:sz w:val="26"/>
          <w:szCs w:val="26"/>
        </w:rPr>
        <w:t>Metropolitan Edison’s</w:t>
      </w:r>
      <w:r w:rsidR="00AC1D1D">
        <w:rPr>
          <w:sz w:val="26"/>
          <w:szCs w:val="26"/>
        </w:rPr>
        <w:t xml:space="preserve"> </w:t>
      </w:r>
      <w:r w:rsidR="001C7D3D">
        <w:rPr>
          <w:sz w:val="26"/>
          <w:szCs w:val="26"/>
        </w:rPr>
        <w:t>proposed recovery mechanism for the recovery of the full costs associated with suspending its Residential Direct Load Control program and tentatively approves a new mechanism for the recovery of those costs.</w:t>
      </w:r>
    </w:p>
    <w:p w:rsidR="00143CDE" w:rsidRPr="000932AE" w:rsidRDefault="007E1679" w:rsidP="00EB401D">
      <w:pPr>
        <w:spacing w:line="360" w:lineRule="auto"/>
        <w:rPr>
          <w:sz w:val="26"/>
          <w:szCs w:val="26"/>
        </w:rPr>
      </w:pPr>
      <w:r w:rsidRPr="000932AE">
        <w:rPr>
          <w:b/>
          <w:sz w:val="26"/>
          <w:szCs w:val="26"/>
        </w:rPr>
        <w:t>THEREFORE,</w:t>
      </w:r>
    </w:p>
    <w:p w:rsidR="00326DC7" w:rsidRPr="000932AE" w:rsidRDefault="00326DC7" w:rsidP="00FA4295">
      <w:pPr>
        <w:spacing w:line="360" w:lineRule="auto"/>
        <w:rPr>
          <w:sz w:val="26"/>
          <w:szCs w:val="26"/>
        </w:rPr>
      </w:pPr>
    </w:p>
    <w:p w:rsidR="007E1679" w:rsidRPr="000932AE" w:rsidRDefault="007E1679" w:rsidP="00FA4295">
      <w:pPr>
        <w:spacing w:line="360" w:lineRule="auto"/>
        <w:rPr>
          <w:b/>
          <w:sz w:val="26"/>
          <w:szCs w:val="26"/>
        </w:rPr>
      </w:pPr>
      <w:r w:rsidRPr="000932AE">
        <w:rPr>
          <w:sz w:val="26"/>
          <w:szCs w:val="26"/>
        </w:rPr>
        <w:tab/>
      </w:r>
      <w:r w:rsidRPr="000932AE">
        <w:rPr>
          <w:b/>
          <w:sz w:val="26"/>
          <w:szCs w:val="26"/>
        </w:rPr>
        <w:t>IT IS ORDERED:</w:t>
      </w:r>
    </w:p>
    <w:p w:rsidR="007E1679" w:rsidRPr="000932AE" w:rsidRDefault="007E1679" w:rsidP="00FA4295">
      <w:pPr>
        <w:spacing w:line="360" w:lineRule="auto"/>
        <w:rPr>
          <w:sz w:val="26"/>
          <w:szCs w:val="26"/>
        </w:rPr>
      </w:pPr>
    </w:p>
    <w:p w:rsidR="00B23EB7" w:rsidRDefault="000E3740" w:rsidP="005F6EEF">
      <w:pPr>
        <w:spacing w:line="360" w:lineRule="auto"/>
        <w:rPr>
          <w:sz w:val="26"/>
          <w:szCs w:val="26"/>
        </w:rPr>
      </w:pPr>
      <w:r w:rsidRPr="000932AE">
        <w:rPr>
          <w:sz w:val="26"/>
          <w:szCs w:val="26"/>
        </w:rPr>
        <w:tab/>
        <w:t>1.</w:t>
      </w:r>
      <w:r w:rsidRPr="000932AE">
        <w:rPr>
          <w:sz w:val="26"/>
          <w:szCs w:val="26"/>
        </w:rPr>
        <w:tab/>
      </w:r>
      <w:r w:rsidR="008D5E75" w:rsidRPr="000932AE">
        <w:rPr>
          <w:sz w:val="26"/>
          <w:szCs w:val="26"/>
        </w:rPr>
        <w:t xml:space="preserve"> </w:t>
      </w:r>
      <w:r w:rsidR="00FD6404">
        <w:rPr>
          <w:sz w:val="26"/>
          <w:szCs w:val="26"/>
        </w:rPr>
        <w:t>That the Petition of Metropolitan Edison Company, Pennsylvania Electric Company and Pennsylvania Power Company seeking approval of modifications to their Energy Efficiency and Conservation Charge Rider to include final reconciliation costs is granted, as modified by this Opinion and Order.</w:t>
      </w:r>
    </w:p>
    <w:p w:rsidR="00FD6404" w:rsidRDefault="00FD6404" w:rsidP="005F6EEF">
      <w:pPr>
        <w:spacing w:line="360" w:lineRule="auto"/>
        <w:rPr>
          <w:sz w:val="26"/>
          <w:szCs w:val="26"/>
        </w:rPr>
      </w:pPr>
    </w:p>
    <w:p w:rsidR="00FD6404" w:rsidRDefault="00FD6404" w:rsidP="005F6EEF">
      <w:pPr>
        <w:spacing w:line="360" w:lineRule="auto"/>
        <w:rPr>
          <w:sz w:val="26"/>
          <w:szCs w:val="26"/>
        </w:rPr>
      </w:pPr>
      <w:r>
        <w:rPr>
          <w:sz w:val="26"/>
          <w:szCs w:val="26"/>
        </w:rPr>
        <w:tab/>
        <w:t>2.</w:t>
      </w:r>
      <w:r>
        <w:rPr>
          <w:sz w:val="26"/>
          <w:szCs w:val="26"/>
        </w:rPr>
        <w:tab/>
        <w:t xml:space="preserve">That the Petition of Metropolitan Edison Company seeking to recover the full costs related to its suspension of the Residential Direct Load Control Program </w:t>
      </w:r>
      <w:r w:rsidR="00BB0395">
        <w:rPr>
          <w:sz w:val="26"/>
          <w:szCs w:val="26"/>
        </w:rPr>
        <w:t>is tentatively approved, as modified by this Opinion and Order.  Parties may submit comments on the tentatively approved cost recovery mechanism, as modified by this Opinion and Order, within 15 days of the entrance of this Opinion and Order.  If no adverse comments are filed, this Opinion and Order shall be deemed final without further Commission action.</w:t>
      </w:r>
    </w:p>
    <w:p w:rsidR="00971A30" w:rsidRDefault="00971A30">
      <w:pPr>
        <w:overflowPunct/>
        <w:autoSpaceDE/>
        <w:autoSpaceDN/>
        <w:adjustRightInd/>
        <w:rPr>
          <w:sz w:val="26"/>
          <w:szCs w:val="26"/>
        </w:rPr>
      </w:pPr>
      <w:r>
        <w:rPr>
          <w:sz w:val="26"/>
          <w:szCs w:val="26"/>
        </w:rPr>
        <w:br w:type="page"/>
      </w:r>
    </w:p>
    <w:p w:rsidR="00BB0395" w:rsidRPr="000932AE" w:rsidRDefault="00BB0395" w:rsidP="005F6EEF">
      <w:pPr>
        <w:spacing w:line="360" w:lineRule="auto"/>
        <w:rPr>
          <w:sz w:val="26"/>
          <w:szCs w:val="26"/>
        </w:rPr>
      </w:pPr>
      <w:r>
        <w:rPr>
          <w:sz w:val="26"/>
          <w:szCs w:val="26"/>
        </w:rPr>
        <w:lastRenderedPageBreak/>
        <w:tab/>
        <w:t>3.</w:t>
      </w:r>
      <w:r>
        <w:rPr>
          <w:sz w:val="26"/>
          <w:szCs w:val="26"/>
        </w:rPr>
        <w:tab/>
        <w:t>That a copy of this Opinion and Order be served on Metropolitan Edison Company, Pennsylvania Electric Company, Pennsylvania Power Company, the Office of Consumer Advocate, the Office of Small Business Advocate, the Bureau of Investigation and Enforcement and all parties that intervened in this proceeding.</w:t>
      </w:r>
    </w:p>
    <w:p w:rsidR="00A02129" w:rsidRPr="000932AE" w:rsidRDefault="00A02129" w:rsidP="00556F62">
      <w:pPr>
        <w:spacing w:line="360" w:lineRule="auto"/>
        <w:rPr>
          <w:sz w:val="26"/>
          <w:szCs w:val="26"/>
        </w:rPr>
      </w:pPr>
    </w:p>
    <w:p w:rsidR="00FA4295" w:rsidRPr="000932AE" w:rsidRDefault="00971A30" w:rsidP="00FA4295">
      <w:pPr>
        <w:pStyle w:val="p17"/>
        <w:ind w:left="5057"/>
        <w:rPr>
          <w:b/>
          <w:bCs/>
          <w:sz w:val="26"/>
          <w:szCs w:val="26"/>
        </w:rPr>
      </w:pPr>
      <w:r>
        <w:rPr>
          <w:noProof/>
        </w:rPr>
        <w:drawing>
          <wp:anchor distT="0" distB="0" distL="114300" distR="114300" simplePos="0" relativeHeight="251659264" behindDoc="1" locked="0" layoutInCell="1" allowOverlap="1" wp14:anchorId="60A4B1AE" wp14:editId="294149B6">
            <wp:simplePos x="0" y="0"/>
            <wp:positionH relativeFrom="column">
              <wp:posOffset>2809875</wp:posOffset>
            </wp:positionH>
            <wp:positionV relativeFrom="paragraph">
              <wp:posOffset>102870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A4295" w:rsidRPr="000932AE">
        <w:rPr>
          <w:b/>
          <w:bCs/>
          <w:sz w:val="26"/>
          <w:szCs w:val="26"/>
        </w:rPr>
        <w:t>BY THE COMMISSION</w:t>
      </w:r>
    </w:p>
    <w:p w:rsidR="00621C57" w:rsidRPr="000932AE" w:rsidRDefault="00621C57" w:rsidP="00FA4295">
      <w:pPr>
        <w:pStyle w:val="p17"/>
        <w:ind w:left="5057"/>
        <w:rPr>
          <w:b/>
          <w:bCs/>
          <w:sz w:val="26"/>
          <w:szCs w:val="26"/>
        </w:rPr>
      </w:pPr>
    </w:p>
    <w:p w:rsidR="00FA4295" w:rsidRPr="000932AE" w:rsidRDefault="00FA4295" w:rsidP="00FA4295">
      <w:pPr>
        <w:tabs>
          <w:tab w:val="left" w:pos="5057"/>
        </w:tabs>
        <w:rPr>
          <w:bCs/>
          <w:sz w:val="26"/>
          <w:szCs w:val="26"/>
        </w:rPr>
      </w:pPr>
    </w:p>
    <w:p w:rsidR="00FA4295" w:rsidRPr="000932AE" w:rsidRDefault="00FA4295" w:rsidP="00FA4295">
      <w:pPr>
        <w:tabs>
          <w:tab w:val="left" w:pos="5057"/>
        </w:tabs>
        <w:rPr>
          <w:b/>
          <w:bCs/>
          <w:sz w:val="26"/>
          <w:szCs w:val="26"/>
        </w:rPr>
      </w:pPr>
    </w:p>
    <w:p w:rsidR="00FA4295" w:rsidRPr="000932AE" w:rsidRDefault="00FA4295" w:rsidP="00FA4295">
      <w:pPr>
        <w:pStyle w:val="p18"/>
        <w:ind w:left="5062"/>
        <w:rPr>
          <w:sz w:val="26"/>
          <w:szCs w:val="26"/>
        </w:rPr>
      </w:pPr>
      <w:r w:rsidRPr="000932AE">
        <w:rPr>
          <w:sz w:val="26"/>
          <w:szCs w:val="26"/>
        </w:rPr>
        <w:t>Rosemary Chiavetta</w:t>
      </w:r>
    </w:p>
    <w:p w:rsidR="00FA4295" w:rsidRPr="000932AE" w:rsidRDefault="00FA4295" w:rsidP="00FA4295">
      <w:pPr>
        <w:pStyle w:val="p18"/>
        <w:ind w:left="5062"/>
        <w:rPr>
          <w:sz w:val="26"/>
          <w:szCs w:val="26"/>
        </w:rPr>
      </w:pPr>
      <w:r w:rsidRPr="000932AE">
        <w:rPr>
          <w:sz w:val="26"/>
          <w:szCs w:val="26"/>
        </w:rPr>
        <w:t>Secretary</w:t>
      </w:r>
    </w:p>
    <w:p w:rsidR="00FA4295" w:rsidRPr="000932AE" w:rsidRDefault="00FA4295" w:rsidP="00FA4295">
      <w:pPr>
        <w:tabs>
          <w:tab w:val="left" w:pos="5062"/>
        </w:tabs>
        <w:rPr>
          <w:sz w:val="26"/>
          <w:szCs w:val="26"/>
        </w:rPr>
      </w:pPr>
    </w:p>
    <w:p w:rsidR="00A02129" w:rsidRDefault="00A02129" w:rsidP="00FA4295">
      <w:pPr>
        <w:pStyle w:val="p14"/>
        <w:rPr>
          <w:sz w:val="26"/>
          <w:szCs w:val="26"/>
        </w:rPr>
      </w:pPr>
    </w:p>
    <w:p w:rsidR="00A02129" w:rsidRDefault="00A02129" w:rsidP="00FA4295">
      <w:pPr>
        <w:pStyle w:val="p14"/>
        <w:rPr>
          <w:sz w:val="26"/>
          <w:szCs w:val="26"/>
        </w:rPr>
      </w:pPr>
    </w:p>
    <w:p w:rsidR="00A02129" w:rsidRDefault="00A02129" w:rsidP="00FA4295">
      <w:pPr>
        <w:pStyle w:val="p14"/>
        <w:rPr>
          <w:sz w:val="26"/>
          <w:szCs w:val="26"/>
        </w:rPr>
      </w:pPr>
    </w:p>
    <w:p w:rsidR="00A02129" w:rsidRDefault="00A02129" w:rsidP="00FA4295">
      <w:pPr>
        <w:pStyle w:val="p14"/>
        <w:rPr>
          <w:sz w:val="26"/>
          <w:szCs w:val="26"/>
        </w:rPr>
      </w:pPr>
    </w:p>
    <w:p w:rsidR="00A02129" w:rsidRDefault="00A02129" w:rsidP="00FA4295">
      <w:pPr>
        <w:pStyle w:val="p14"/>
        <w:rPr>
          <w:sz w:val="26"/>
          <w:szCs w:val="26"/>
        </w:rPr>
      </w:pPr>
    </w:p>
    <w:p w:rsidR="00FA4295" w:rsidRPr="000932AE" w:rsidRDefault="00FA4295" w:rsidP="00FA4295">
      <w:pPr>
        <w:pStyle w:val="p14"/>
        <w:rPr>
          <w:sz w:val="26"/>
          <w:szCs w:val="26"/>
        </w:rPr>
      </w:pPr>
      <w:r w:rsidRPr="000932AE">
        <w:rPr>
          <w:sz w:val="26"/>
          <w:szCs w:val="26"/>
        </w:rPr>
        <w:t>(SEAL)</w:t>
      </w:r>
    </w:p>
    <w:p w:rsidR="00FA4295" w:rsidRPr="000932AE" w:rsidRDefault="00FA4295" w:rsidP="00FA4295">
      <w:pPr>
        <w:tabs>
          <w:tab w:val="left" w:pos="204"/>
        </w:tabs>
        <w:rPr>
          <w:sz w:val="26"/>
          <w:szCs w:val="26"/>
        </w:rPr>
      </w:pPr>
    </w:p>
    <w:p w:rsidR="00FA4295" w:rsidRPr="000932AE" w:rsidRDefault="00FA4295" w:rsidP="00FA4295">
      <w:pPr>
        <w:pStyle w:val="p14"/>
        <w:rPr>
          <w:sz w:val="26"/>
          <w:szCs w:val="26"/>
        </w:rPr>
      </w:pPr>
      <w:r w:rsidRPr="000932AE">
        <w:rPr>
          <w:sz w:val="26"/>
          <w:szCs w:val="26"/>
        </w:rPr>
        <w:t xml:space="preserve">ORDER ADOPTED:  </w:t>
      </w:r>
      <w:r w:rsidR="005F6EEF">
        <w:rPr>
          <w:sz w:val="26"/>
          <w:szCs w:val="26"/>
        </w:rPr>
        <w:t>May 23, 2013</w:t>
      </w:r>
    </w:p>
    <w:p w:rsidR="00FA4295" w:rsidRPr="000932AE" w:rsidRDefault="00FA4295" w:rsidP="00FA4295">
      <w:pPr>
        <w:pStyle w:val="p14"/>
        <w:rPr>
          <w:sz w:val="26"/>
          <w:szCs w:val="26"/>
        </w:rPr>
      </w:pPr>
    </w:p>
    <w:p w:rsidR="00621C57" w:rsidRPr="000932AE" w:rsidRDefault="00FA4295" w:rsidP="00FA4295">
      <w:pPr>
        <w:pStyle w:val="p14"/>
        <w:rPr>
          <w:sz w:val="26"/>
          <w:szCs w:val="26"/>
        </w:rPr>
      </w:pPr>
      <w:r w:rsidRPr="000932AE">
        <w:rPr>
          <w:sz w:val="26"/>
          <w:szCs w:val="26"/>
        </w:rPr>
        <w:t xml:space="preserve">ORDER ENTERED:  </w:t>
      </w:r>
      <w:r w:rsidR="00BB3C16">
        <w:rPr>
          <w:sz w:val="26"/>
          <w:szCs w:val="26"/>
        </w:rPr>
        <w:t xml:space="preserve"> </w:t>
      </w:r>
      <w:r w:rsidR="00971A30">
        <w:rPr>
          <w:sz w:val="26"/>
          <w:szCs w:val="26"/>
        </w:rPr>
        <w:t>May 23, 2013</w:t>
      </w:r>
    </w:p>
    <w:sectPr w:rsidR="00621C57" w:rsidRPr="000932AE" w:rsidSect="007009E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508" w:rsidRDefault="00CB1508" w:rsidP="00FA4295">
      <w:r>
        <w:separator/>
      </w:r>
    </w:p>
    <w:p w:rsidR="00CB1508" w:rsidRDefault="00CB1508"/>
  </w:endnote>
  <w:endnote w:type="continuationSeparator" w:id="0">
    <w:p w:rsidR="00CB1508" w:rsidRDefault="00CB1508" w:rsidP="00FA4295">
      <w:r>
        <w:continuationSeparator/>
      </w:r>
    </w:p>
    <w:p w:rsidR="00CB1508" w:rsidRDefault="00CB1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E8" w:rsidRDefault="00C81AE8">
    <w:pPr>
      <w:pStyle w:val="Footer"/>
      <w:jc w:val="center"/>
    </w:pPr>
    <w:r>
      <w:fldChar w:fldCharType="begin"/>
    </w:r>
    <w:r>
      <w:instrText xml:space="preserve"> PAGE   \* MERGEFORMAT </w:instrText>
    </w:r>
    <w:r>
      <w:fldChar w:fldCharType="separate"/>
    </w:r>
    <w:r w:rsidR="00971A30">
      <w:rPr>
        <w:noProof/>
      </w:rPr>
      <w:t>1</w:t>
    </w:r>
    <w:r>
      <w:rPr>
        <w:noProof/>
      </w:rPr>
      <w:fldChar w:fldCharType="end"/>
    </w:r>
  </w:p>
  <w:p w:rsidR="00C81AE8" w:rsidRDefault="00C81AE8">
    <w:pPr>
      <w:pStyle w:val="Footer"/>
    </w:pPr>
  </w:p>
  <w:p w:rsidR="00C81AE8" w:rsidRDefault="00C81A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508" w:rsidRDefault="00CB1508" w:rsidP="00FA4295">
      <w:r>
        <w:separator/>
      </w:r>
    </w:p>
    <w:p w:rsidR="00CB1508" w:rsidRDefault="00CB1508"/>
  </w:footnote>
  <w:footnote w:type="continuationSeparator" w:id="0">
    <w:p w:rsidR="00CB1508" w:rsidRDefault="00CB1508" w:rsidP="00FA4295">
      <w:r>
        <w:continuationSeparator/>
      </w:r>
    </w:p>
    <w:p w:rsidR="00CB1508" w:rsidRDefault="00CB1508"/>
  </w:footnote>
  <w:footnote w:id="1">
    <w:p w:rsidR="00160A69" w:rsidRPr="00F53C5C" w:rsidRDefault="00160A69">
      <w:pPr>
        <w:pStyle w:val="FootnoteText"/>
        <w:rPr>
          <w:sz w:val="22"/>
          <w:szCs w:val="22"/>
        </w:rPr>
      </w:pPr>
      <w:r w:rsidRPr="00F53C5C">
        <w:rPr>
          <w:rStyle w:val="FootnoteReference"/>
          <w:sz w:val="22"/>
          <w:szCs w:val="22"/>
        </w:rPr>
        <w:footnoteRef/>
      </w:r>
      <w:r w:rsidRPr="00F53C5C">
        <w:rPr>
          <w:sz w:val="22"/>
          <w:szCs w:val="22"/>
        </w:rPr>
        <w:t xml:space="preserve"> </w:t>
      </w:r>
      <w:r w:rsidRPr="00F53C5C">
        <w:rPr>
          <w:i/>
          <w:sz w:val="22"/>
          <w:szCs w:val="22"/>
        </w:rPr>
        <w:t>See</w:t>
      </w:r>
      <w:r w:rsidRPr="00F53C5C">
        <w:rPr>
          <w:sz w:val="22"/>
          <w:szCs w:val="22"/>
        </w:rPr>
        <w:t xml:space="preserve">, </w:t>
      </w:r>
      <w:r w:rsidRPr="00F53C5C">
        <w:rPr>
          <w:i/>
          <w:sz w:val="22"/>
          <w:szCs w:val="22"/>
        </w:rPr>
        <w:t>Energy Efficiency and Conservation Program</w:t>
      </w:r>
      <w:r w:rsidRPr="00F53C5C">
        <w:rPr>
          <w:sz w:val="22"/>
          <w:szCs w:val="22"/>
        </w:rPr>
        <w:t>, Implementation Order at Docket No. M-2008-2069887, entered January 16, 2009 (Phase I Implementation Order).</w:t>
      </w:r>
    </w:p>
  </w:footnote>
  <w:footnote w:id="2">
    <w:p w:rsidR="00160A69" w:rsidRPr="00F53C5C" w:rsidRDefault="00160A69">
      <w:pPr>
        <w:pStyle w:val="FootnoteText"/>
        <w:rPr>
          <w:sz w:val="22"/>
          <w:szCs w:val="22"/>
        </w:rPr>
      </w:pPr>
      <w:r w:rsidRPr="00F53C5C">
        <w:rPr>
          <w:rStyle w:val="FootnoteReference"/>
          <w:sz w:val="22"/>
          <w:szCs w:val="22"/>
        </w:rPr>
        <w:footnoteRef/>
      </w:r>
      <w:r w:rsidRPr="00F53C5C">
        <w:rPr>
          <w:sz w:val="22"/>
          <w:szCs w:val="22"/>
        </w:rPr>
        <w:t xml:space="preserve"> </w:t>
      </w:r>
      <w:r w:rsidRPr="00F53C5C">
        <w:rPr>
          <w:i/>
          <w:sz w:val="22"/>
          <w:szCs w:val="22"/>
        </w:rPr>
        <w:t>See</w:t>
      </w:r>
      <w:r w:rsidRPr="00F53C5C">
        <w:rPr>
          <w:sz w:val="22"/>
          <w:szCs w:val="22"/>
        </w:rPr>
        <w:t xml:space="preserve">, </w:t>
      </w:r>
      <w:r w:rsidRPr="00F53C5C">
        <w:rPr>
          <w:i/>
          <w:sz w:val="22"/>
          <w:szCs w:val="22"/>
        </w:rPr>
        <w:t>Energy Efficiency and Conservation Program</w:t>
      </w:r>
      <w:r w:rsidRPr="00F53C5C">
        <w:rPr>
          <w:sz w:val="22"/>
          <w:szCs w:val="22"/>
        </w:rPr>
        <w:t>, Implementation Order at Docket Nos. M-2012-2289411 and M-2008-2069887, entered August 3, 2012 (Phase II Implementation Order).</w:t>
      </w:r>
    </w:p>
  </w:footnote>
  <w:footnote w:id="3">
    <w:p w:rsidR="008100D0" w:rsidRPr="00F53C5C" w:rsidRDefault="008100D0" w:rsidP="008100D0">
      <w:pPr>
        <w:pStyle w:val="FootnoteText"/>
        <w:tabs>
          <w:tab w:val="left" w:pos="720"/>
        </w:tabs>
        <w:rPr>
          <w:sz w:val="22"/>
          <w:szCs w:val="22"/>
        </w:rPr>
      </w:pPr>
      <w:r w:rsidRPr="00F53C5C">
        <w:rPr>
          <w:rStyle w:val="FootnoteReference"/>
          <w:sz w:val="22"/>
          <w:szCs w:val="22"/>
        </w:rPr>
        <w:footnoteRef/>
      </w:r>
      <w:r w:rsidRPr="00F53C5C">
        <w:rPr>
          <w:sz w:val="22"/>
          <w:szCs w:val="22"/>
        </w:rPr>
        <w:t xml:space="preserve"> Petition at 10 and 11.</w:t>
      </w:r>
      <w:r w:rsidRPr="00F53C5C">
        <w:rPr>
          <w:sz w:val="22"/>
          <w:szCs w:val="22"/>
        </w:rPr>
        <w:tab/>
      </w:r>
    </w:p>
  </w:footnote>
  <w:footnote w:id="4">
    <w:p w:rsidR="00D43AAF" w:rsidRPr="00F53C5C" w:rsidRDefault="00D43AAF">
      <w:pPr>
        <w:pStyle w:val="FootnoteText"/>
        <w:rPr>
          <w:sz w:val="22"/>
          <w:szCs w:val="22"/>
        </w:rPr>
      </w:pPr>
      <w:r w:rsidRPr="00F53C5C">
        <w:rPr>
          <w:rStyle w:val="FootnoteReference"/>
          <w:sz w:val="22"/>
          <w:szCs w:val="22"/>
        </w:rPr>
        <w:footnoteRef/>
      </w:r>
      <w:r w:rsidRPr="00F53C5C">
        <w:rPr>
          <w:sz w:val="22"/>
          <w:szCs w:val="22"/>
        </w:rPr>
        <w:t xml:space="preserve"> The Industrial Customer Groups </w:t>
      </w:r>
      <w:r w:rsidR="005A3F8E">
        <w:rPr>
          <w:sz w:val="22"/>
          <w:szCs w:val="22"/>
        </w:rPr>
        <w:t xml:space="preserve">Comments </w:t>
      </w:r>
      <w:r w:rsidRPr="00F53C5C">
        <w:rPr>
          <w:sz w:val="22"/>
          <w:szCs w:val="22"/>
        </w:rPr>
        <w:t>at 5.</w:t>
      </w:r>
    </w:p>
  </w:footnote>
  <w:footnote w:id="5">
    <w:p w:rsidR="00D43AAF" w:rsidRPr="00F53C5C" w:rsidRDefault="00D43AAF">
      <w:pPr>
        <w:pStyle w:val="FootnoteText"/>
        <w:rPr>
          <w:sz w:val="22"/>
          <w:szCs w:val="22"/>
        </w:rPr>
      </w:pPr>
      <w:r w:rsidRPr="00F53C5C">
        <w:rPr>
          <w:rStyle w:val="FootnoteReference"/>
          <w:sz w:val="22"/>
          <w:szCs w:val="22"/>
        </w:rPr>
        <w:footnoteRef/>
      </w:r>
      <w:r w:rsidRPr="00F53C5C">
        <w:rPr>
          <w:sz w:val="22"/>
          <w:szCs w:val="22"/>
        </w:rPr>
        <w:t xml:space="preserve"> </w:t>
      </w:r>
      <w:r w:rsidRPr="00F53C5C">
        <w:rPr>
          <w:i/>
          <w:sz w:val="22"/>
          <w:szCs w:val="22"/>
        </w:rPr>
        <w:t>Id.</w:t>
      </w:r>
    </w:p>
  </w:footnote>
  <w:footnote w:id="6">
    <w:p w:rsidR="00732C49" w:rsidRPr="00F53C5C" w:rsidRDefault="00732C49">
      <w:pPr>
        <w:pStyle w:val="FootnoteText"/>
        <w:rPr>
          <w:sz w:val="22"/>
          <w:szCs w:val="22"/>
        </w:rPr>
      </w:pPr>
      <w:r w:rsidRPr="00F53C5C">
        <w:rPr>
          <w:rStyle w:val="FootnoteReference"/>
          <w:sz w:val="22"/>
          <w:szCs w:val="22"/>
        </w:rPr>
        <w:footnoteRef/>
      </w:r>
      <w:r w:rsidRPr="00F53C5C">
        <w:rPr>
          <w:sz w:val="22"/>
          <w:szCs w:val="22"/>
        </w:rPr>
        <w:t xml:space="preserve"> OCA </w:t>
      </w:r>
      <w:r w:rsidR="005A3F8E">
        <w:rPr>
          <w:sz w:val="22"/>
          <w:szCs w:val="22"/>
        </w:rPr>
        <w:t xml:space="preserve">Comments </w:t>
      </w:r>
      <w:r w:rsidRPr="00F53C5C">
        <w:rPr>
          <w:sz w:val="22"/>
          <w:szCs w:val="22"/>
        </w:rPr>
        <w:t>at 4.</w:t>
      </w:r>
    </w:p>
  </w:footnote>
  <w:footnote w:id="7">
    <w:p w:rsidR="007477E0" w:rsidRPr="00F53C5C" w:rsidRDefault="007477E0">
      <w:pPr>
        <w:pStyle w:val="FootnoteText"/>
        <w:rPr>
          <w:sz w:val="22"/>
          <w:szCs w:val="22"/>
        </w:rPr>
      </w:pPr>
      <w:r w:rsidRPr="00F53C5C">
        <w:rPr>
          <w:rStyle w:val="FootnoteReference"/>
          <w:sz w:val="22"/>
          <w:szCs w:val="22"/>
        </w:rPr>
        <w:footnoteRef/>
      </w:r>
      <w:r w:rsidRPr="00F53C5C">
        <w:rPr>
          <w:sz w:val="22"/>
          <w:szCs w:val="22"/>
        </w:rPr>
        <w:t xml:space="preserve"> Petition at 11 and 12.</w:t>
      </w:r>
    </w:p>
  </w:footnote>
  <w:footnote w:id="8">
    <w:p w:rsidR="007477E0" w:rsidRPr="00F53C5C" w:rsidRDefault="007477E0">
      <w:pPr>
        <w:pStyle w:val="FootnoteText"/>
        <w:rPr>
          <w:sz w:val="22"/>
          <w:szCs w:val="22"/>
        </w:rPr>
      </w:pPr>
      <w:r w:rsidRPr="00F53C5C">
        <w:rPr>
          <w:rStyle w:val="FootnoteReference"/>
          <w:sz w:val="22"/>
          <w:szCs w:val="22"/>
        </w:rPr>
        <w:footnoteRef/>
      </w:r>
      <w:r w:rsidRPr="00F53C5C">
        <w:rPr>
          <w:sz w:val="22"/>
          <w:szCs w:val="22"/>
        </w:rPr>
        <w:t xml:space="preserve"> Testimony of Timothy M. Richard at 4.</w:t>
      </w:r>
    </w:p>
  </w:footnote>
  <w:footnote w:id="9">
    <w:p w:rsidR="00FC4443" w:rsidRPr="00F53C5C" w:rsidRDefault="00FC4443">
      <w:pPr>
        <w:pStyle w:val="FootnoteText"/>
        <w:rPr>
          <w:sz w:val="22"/>
          <w:szCs w:val="22"/>
        </w:rPr>
      </w:pPr>
      <w:r w:rsidRPr="00F53C5C">
        <w:rPr>
          <w:rStyle w:val="FootnoteReference"/>
          <w:sz w:val="22"/>
          <w:szCs w:val="22"/>
        </w:rPr>
        <w:footnoteRef/>
      </w:r>
      <w:r w:rsidRPr="00F53C5C">
        <w:rPr>
          <w:sz w:val="22"/>
          <w:szCs w:val="22"/>
        </w:rPr>
        <w:t xml:space="preserve"> </w:t>
      </w:r>
      <w:r w:rsidRPr="00F53C5C">
        <w:rPr>
          <w:i/>
          <w:sz w:val="22"/>
          <w:szCs w:val="22"/>
        </w:rPr>
        <w:t>Id.</w:t>
      </w:r>
    </w:p>
  </w:footnote>
  <w:footnote w:id="10">
    <w:p w:rsidR="00C03451" w:rsidRPr="00F53C5C" w:rsidRDefault="00C03451">
      <w:pPr>
        <w:pStyle w:val="FootnoteText"/>
        <w:rPr>
          <w:sz w:val="22"/>
          <w:szCs w:val="22"/>
        </w:rPr>
      </w:pPr>
      <w:r w:rsidRPr="00F53C5C">
        <w:rPr>
          <w:rStyle w:val="FootnoteReference"/>
          <w:sz w:val="22"/>
          <w:szCs w:val="22"/>
        </w:rPr>
        <w:footnoteRef/>
      </w:r>
      <w:r w:rsidRPr="00F53C5C">
        <w:rPr>
          <w:sz w:val="22"/>
          <w:szCs w:val="22"/>
        </w:rPr>
        <w:t xml:space="preserve"> Petition at 12.</w:t>
      </w:r>
    </w:p>
  </w:footnote>
  <w:footnote w:id="11">
    <w:p w:rsidR="00021E51" w:rsidRPr="00F53C5C" w:rsidRDefault="00021E51">
      <w:pPr>
        <w:pStyle w:val="FootnoteText"/>
        <w:rPr>
          <w:sz w:val="22"/>
          <w:szCs w:val="22"/>
        </w:rPr>
      </w:pPr>
      <w:r w:rsidRPr="00F53C5C">
        <w:rPr>
          <w:rStyle w:val="FootnoteReference"/>
          <w:sz w:val="22"/>
          <w:szCs w:val="22"/>
        </w:rPr>
        <w:footnoteRef/>
      </w:r>
      <w:r w:rsidRPr="00F53C5C">
        <w:rPr>
          <w:sz w:val="22"/>
          <w:szCs w:val="22"/>
        </w:rPr>
        <w:t xml:space="preserve"> </w:t>
      </w:r>
      <w:r w:rsidR="00E71325" w:rsidRPr="00F53C5C">
        <w:rPr>
          <w:sz w:val="22"/>
          <w:szCs w:val="22"/>
        </w:rPr>
        <w:t xml:space="preserve">Testimony of Timothy M. Richard at </w:t>
      </w:r>
      <w:r w:rsidRPr="00F53C5C">
        <w:rPr>
          <w:sz w:val="22"/>
          <w:szCs w:val="22"/>
        </w:rPr>
        <w:t>5.</w:t>
      </w:r>
    </w:p>
  </w:footnote>
  <w:footnote w:id="12">
    <w:p w:rsidR="00E71325" w:rsidRPr="00F53C5C" w:rsidRDefault="00E71325">
      <w:pPr>
        <w:pStyle w:val="FootnoteText"/>
        <w:rPr>
          <w:sz w:val="22"/>
          <w:szCs w:val="22"/>
        </w:rPr>
      </w:pPr>
      <w:r w:rsidRPr="00F53C5C">
        <w:rPr>
          <w:rStyle w:val="FootnoteReference"/>
          <w:sz w:val="22"/>
          <w:szCs w:val="22"/>
        </w:rPr>
        <w:footnoteRef/>
      </w:r>
      <w:r w:rsidRPr="00F53C5C">
        <w:rPr>
          <w:sz w:val="22"/>
          <w:szCs w:val="22"/>
        </w:rPr>
        <w:t xml:space="preserve"> Petition at 10.</w:t>
      </w:r>
    </w:p>
  </w:footnote>
  <w:footnote w:id="13">
    <w:p w:rsidR="00ED30CF" w:rsidRPr="00F53C5C" w:rsidRDefault="00ED30CF">
      <w:pPr>
        <w:pStyle w:val="FootnoteText"/>
        <w:rPr>
          <w:sz w:val="22"/>
          <w:szCs w:val="22"/>
        </w:rPr>
      </w:pPr>
      <w:r w:rsidRPr="00F53C5C">
        <w:rPr>
          <w:rStyle w:val="FootnoteReference"/>
          <w:sz w:val="22"/>
          <w:szCs w:val="22"/>
        </w:rPr>
        <w:footnoteRef/>
      </w:r>
      <w:r w:rsidRPr="00F53C5C">
        <w:rPr>
          <w:sz w:val="22"/>
          <w:szCs w:val="22"/>
        </w:rPr>
        <w:t xml:space="preserve"> Testimony of </w:t>
      </w:r>
      <w:r w:rsidR="00F51461" w:rsidRPr="00F53C5C">
        <w:rPr>
          <w:sz w:val="22"/>
          <w:szCs w:val="22"/>
        </w:rPr>
        <w:t>Kevin M. Siedt at 6.</w:t>
      </w:r>
    </w:p>
  </w:footnote>
  <w:footnote w:id="14">
    <w:p w:rsidR="00ED30CF" w:rsidRPr="00F53C5C" w:rsidRDefault="00ED30CF" w:rsidP="00ED30CF">
      <w:pPr>
        <w:pStyle w:val="FootnoteText"/>
        <w:rPr>
          <w:sz w:val="22"/>
          <w:szCs w:val="22"/>
        </w:rPr>
      </w:pPr>
      <w:r w:rsidRPr="00F53C5C">
        <w:rPr>
          <w:rStyle w:val="FootnoteReference"/>
          <w:sz w:val="22"/>
          <w:szCs w:val="22"/>
        </w:rPr>
        <w:footnoteRef/>
      </w:r>
      <w:r w:rsidRPr="00F53C5C">
        <w:rPr>
          <w:sz w:val="22"/>
          <w:szCs w:val="22"/>
        </w:rPr>
        <w:t xml:space="preserve"> Petition at 12.</w:t>
      </w:r>
    </w:p>
  </w:footnote>
  <w:footnote w:id="15">
    <w:p w:rsidR="000C500E" w:rsidRPr="00F53C5C" w:rsidRDefault="000C500E">
      <w:pPr>
        <w:pStyle w:val="FootnoteText"/>
        <w:rPr>
          <w:sz w:val="22"/>
          <w:szCs w:val="22"/>
        </w:rPr>
      </w:pPr>
      <w:r w:rsidRPr="00F53C5C">
        <w:rPr>
          <w:rStyle w:val="FootnoteReference"/>
          <w:sz w:val="22"/>
          <w:szCs w:val="22"/>
        </w:rPr>
        <w:footnoteRef/>
      </w:r>
      <w:r w:rsidRPr="00F53C5C">
        <w:rPr>
          <w:sz w:val="22"/>
          <w:szCs w:val="22"/>
        </w:rPr>
        <w:t xml:space="preserve"> OCA </w:t>
      </w:r>
      <w:r w:rsidR="00B12382">
        <w:rPr>
          <w:sz w:val="22"/>
          <w:szCs w:val="22"/>
        </w:rPr>
        <w:t xml:space="preserve">Comments </w:t>
      </w:r>
      <w:r w:rsidRPr="00F53C5C">
        <w:rPr>
          <w:sz w:val="22"/>
          <w:szCs w:val="22"/>
        </w:rPr>
        <w:t>at 3.</w:t>
      </w:r>
    </w:p>
  </w:footnote>
  <w:footnote w:id="16">
    <w:p w:rsidR="006629D7" w:rsidRPr="00F53C5C" w:rsidRDefault="006629D7">
      <w:pPr>
        <w:pStyle w:val="FootnoteText"/>
        <w:rPr>
          <w:sz w:val="22"/>
          <w:szCs w:val="22"/>
        </w:rPr>
      </w:pPr>
      <w:r w:rsidRPr="00F53C5C">
        <w:rPr>
          <w:rStyle w:val="FootnoteReference"/>
          <w:sz w:val="22"/>
          <w:szCs w:val="22"/>
        </w:rPr>
        <w:footnoteRef/>
      </w:r>
      <w:r w:rsidRPr="00F53C5C">
        <w:rPr>
          <w:sz w:val="22"/>
          <w:szCs w:val="22"/>
        </w:rPr>
        <w:t xml:space="preserve"> Phase II Implementation Order at 107.</w:t>
      </w:r>
    </w:p>
  </w:footnote>
  <w:footnote w:id="17">
    <w:p w:rsidR="006629D7" w:rsidRDefault="006629D7">
      <w:pPr>
        <w:pStyle w:val="FootnoteText"/>
      </w:pPr>
      <w:r w:rsidRPr="00F53C5C">
        <w:rPr>
          <w:rStyle w:val="FootnoteReference"/>
          <w:sz w:val="22"/>
          <w:szCs w:val="22"/>
        </w:rPr>
        <w:footnoteRef/>
      </w:r>
      <w:r w:rsidRPr="00F53C5C">
        <w:rPr>
          <w:sz w:val="22"/>
          <w:szCs w:val="22"/>
        </w:rPr>
        <w:t xml:space="preserve"> Petition at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E0E"/>
    <w:multiLevelType w:val="hybridMultilevel"/>
    <w:tmpl w:val="D3A061F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B41D75"/>
    <w:multiLevelType w:val="hybridMultilevel"/>
    <w:tmpl w:val="6DB8A9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3D5994"/>
    <w:multiLevelType w:val="hybridMultilevel"/>
    <w:tmpl w:val="833ADB5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EA3344A"/>
    <w:multiLevelType w:val="hybridMultilevel"/>
    <w:tmpl w:val="4C7215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7624AAC"/>
    <w:multiLevelType w:val="hybridMultilevel"/>
    <w:tmpl w:val="D7FA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728DF"/>
    <w:multiLevelType w:val="hybridMultilevel"/>
    <w:tmpl w:val="5FF00F0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E723D3"/>
    <w:multiLevelType w:val="hybridMultilevel"/>
    <w:tmpl w:val="6FCEC3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1562B0"/>
    <w:multiLevelType w:val="hybridMultilevel"/>
    <w:tmpl w:val="8D1014BE"/>
    <w:lvl w:ilvl="0" w:tplc="2354D1FE">
      <w:start w:val="1"/>
      <w:numFmt w:val="bullet"/>
      <w:lvlText w:val="•"/>
      <w:lvlJc w:val="left"/>
      <w:pPr>
        <w:tabs>
          <w:tab w:val="num" w:pos="720"/>
        </w:tabs>
        <w:ind w:left="720" w:hanging="360"/>
      </w:pPr>
      <w:rPr>
        <w:rFonts w:ascii="Times New Roman" w:hAnsi="Times New Roman" w:hint="default"/>
      </w:rPr>
    </w:lvl>
    <w:lvl w:ilvl="1" w:tplc="A344139E" w:tentative="1">
      <w:start w:val="1"/>
      <w:numFmt w:val="bullet"/>
      <w:lvlText w:val="•"/>
      <w:lvlJc w:val="left"/>
      <w:pPr>
        <w:tabs>
          <w:tab w:val="num" w:pos="1440"/>
        </w:tabs>
        <w:ind w:left="1440" w:hanging="360"/>
      </w:pPr>
      <w:rPr>
        <w:rFonts w:ascii="Times New Roman" w:hAnsi="Times New Roman" w:hint="default"/>
      </w:rPr>
    </w:lvl>
    <w:lvl w:ilvl="2" w:tplc="17CE824E" w:tentative="1">
      <w:start w:val="1"/>
      <w:numFmt w:val="bullet"/>
      <w:lvlText w:val="•"/>
      <w:lvlJc w:val="left"/>
      <w:pPr>
        <w:tabs>
          <w:tab w:val="num" w:pos="2160"/>
        </w:tabs>
        <w:ind w:left="2160" w:hanging="360"/>
      </w:pPr>
      <w:rPr>
        <w:rFonts w:ascii="Times New Roman" w:hAnsi="Times New Roman" w:hint="default"/>
      </w:rPr>
    </w:lvl>
    <w:lvl w:ilvl="3" w:tplc="6B4E2476" w:tentative="1">
      <w:start w:val="1"/>
      <w:numFmt w:val="bullet"/>
      <w:lvlText w:val="•"/>
      <w:lvlJc w:val="left"/>
      <w:pPr>
        <w:tabs>
          <w:tab w:val="num" w:pos="2880"/>
        </w:tabs>
        <w:ind w:left="2880" w:hanging="360"/>
      </w:pPr>
      <w:rPr>
        <w:rFonts w:ascii="Times New Roman" w:hAnsi="Times New Roman" w:hint="default"/>
      </w:rPr>
    </w:lvl>
    <w:lvl w:ilvl="4" w:tplc="2042D2DA" w:tentative="1">
      <w:start w:val="1"/>
      <w:numFmt w:val="bullet"/>
      <w:lvlText w:val="•"/>
      <w:lvlJc w:val="left"/>
      <w:pPr>
        <w:tabs>
          <w:tab w:val="num" w:pos="3600"/>
        </w:tabs>
        <w:ind w:left="3600" w:hanging="360"/>
      </w:pPr>
      <w:rPr>
        <w:rFonts w:ascii="Times New Roman" w:hAnsi="Times New Roman" w:hint="default"/>
      </w:rPr>
    </w:lvl>
    <w:lvl w:ilvl="5" w:tplc="79EE3C30" w:tentative="1">
      <w:start w:val="1"/>
      <w:numFmt w:val="bullet"/>
      <w:lvlText w:val="•"/>
      <w:lvlJc w:val="left"/>
      <w:pPr>
        <w:tabs>
          <w:tab w:val="num" w:pos="4320"/>
        </w:tabs>
        <w:ind w:left="4320" w:hanging="360"/>
      </w:pPr>
      <w:rPr>
        <w:rFonts w:ascii="Times New Roman" w:hAnsi="Times New Roman" w:hint="default"/>
      </w:rPr>
    </w:lvl>
    <w:lvl w:ilvl="6" w:tplc="7974C60E" w:tentative="1">
      <w:start w:val="1"/>
      <w:numFmt w:val="bullet"/>
      <w:lvlText w:val="•"/>
      <w:lvlJc w:val="left"/>
      <w:pPr>
        <w:tabs>
          <w:tab w:val="num" w:pos="5040"/>
        </w:tabs>
        <w:ind w:left="5040" w:hanging="360"/>
      </w:pPr>
      <w:rPr>
        <w:rFonts w:ascii="Times New Roman" w:hAnsi="Times New Roman" w:hint="default"/>
      </w:rPr>
    </w:lvl>
    <w:lvl w:ilvl="7" w:tplc="827071B6" w:tentative="1">
      <w:start w:val="1"/>
      <w:numFmt w:val="bullet"/>
      <w:lvlText w:val="•"/>
      <w:lvlJc w:val="left"/>
      <w:pPr>
        <w:tabs>
          <w:tab w:val="num" w:pos="5760"/>
        </w:tabs>
        <w:ind w:left="5760" w:hanging="360"/>
      </w:pPr>
      <w:rPr>
        <w:rFonts w:ascii="Times New Roman" w:hAnsi="Times New Roman" w:hint="default"/>
      </w:rPr>
    </w:lvl>
    <w:lvl w:ilvl="8" w:tplc="F1889A9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74F1DF5"/>
    <w:multiLevelType w:val="hybridMultilevel"/>
    <w:tmpl w:val="5F4ECBA2"/>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8128565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BB4AAC"/>
    <w:multiLevelType w:val="hybridMultilevel"/>
    <w:tmpl w:val="C7186C68"/>
    <w:lvl w:ilvl="0" w:tplc="8128565C">
      <w:start w:val="1"/>
      <w:numFmt w:val="lowerLetter"/>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8F70B6C"/>
    <w:multiLevelType w:val="hybridMultilevel"/>
    <w:tmpl w:val="AA88AD1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A3670D5"/>
    <w:multiLevelType w:val="multilevel"/>
    <w:tmpl w:val="614E7204"/>
    <w:lvl w:ilvl="0">
      <w:start w:val="1"/>
      <w:numFmt w:val="decimal"/>
      <w:pStyle w:val="source1"/>
      <w:lvlText w:val="%1."/>
      <w:lvlJc w:val="left"/>
      <w:pPr>
        <w:tabs>
          <w:tab w:val="num" w:pos="720"/>
        </w:tabs>
        <w:ind w:left="72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nsid w:val="3B457F50"/>
    <w:multiLevelType w:val="hybridMultilevel"/>
    <w:tmpl w:val="C45220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BF03470"/>
    <w:multiLevelType w:val="hybridMultilevel"/>
    <w:tmpl w:val="CCB4BDC8"/>
    <w:lvl w:ilvl="0" w:tplc="0ECE3F9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D256F5C"/>
    <w:multiLevelType w:val="hybridMultilevel"/>
    <w:tmpl w:val="5434C86C"/>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20B589D"/>
    <w:multiLevelType w:val="hybridMultilevel"/>
    <w:tmpl w:val="C7186C68"/>
    <w:lvl w:ilvl="0" w:tplc="8128565C">
      <w:start w:val="1"/>
      <w:numFmt w:val="lowerLetter"/>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4070AC8"/>
    <w:multiLevelType w:val="hybridMultilevel"/>
    <w:tmpl w:val="C7186C68"/>
    <w:lvl w:ilvl="0" w:tplc="8128565C">
      <w:start w:val="1"/>
      <w:numFmt w:val="lowerLetter"/>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5551F1D"/>
    <w:multiLevelType w:val="hybridMultilevel"/>
    <w:tmpl w:val="8DE4D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950C97"/>
    <w:multiLevelType w:val="hybridMultilevel"/>
    <w:tmpl w:val="324A9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E0032E"/>
    <w:multiLevelType w:val="hybridMultilevel"/>
    <w:tmpl w:val="418E54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04A6550"/>
    <w:multiLevelType w:val="hybridMultilevel"/>
    <w:tmpl w:val="D234B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FD0284"/>
    <w:multiLevelType w:val="hybridMultilevel"/>
    <w:tmpl w:val="4440A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BF7101"/>
    <w:multiLevelType w:val="hybridMultilevel"/>
    <w:tmpl w:val="EE468B0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572869BF"/>
    <w:multiLevelType w:val="hybridMultilevel"/>
    <w:tmpl w:val="0D56E9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1D330AD"/>
    <w:multiLevelType w:val="hybridMultilevel"/>
    <w:tmpl w:val="5F84CCF4"/>
    <w:lvl w:ilvl="0" w:tplc="8128565C">
      <w:start w:val="1"/>
      <w:numFmt w:val="lowerLetter"/>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9105A10"/>
    <w:multiLevelType w:val="hybridMultilevel"/>
    <w:tmpl w:val="AA88AD1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E4C29BC"/>
    <w:multiLevelType w:val="hybridMultilevel"/>
    <w:tmpl w:val="7598C5E2"/>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8128565C">
      <w:start w:val="1"/>
      <w:numFmt w:val="lowerLetter"/>
      <w:lvlText w:val="%4."/>
      <w:lvlJc w:val="left"/>
      <w:pPr>
        <w:ind w:left="180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082E38"/>
    <w:multiLevelType w:val="hybridMultilevel"/>
    <w:tmpl w:val="CEE814E2"/>
    <w:lvl w:ilvl="0" w:tplc="0409000F">
      <w:start w:val="1"/>
      <w:numFmt w:val="decimal"/>
      <w:lvlText w:val="%1."/>
      <w:lvlJc w:val="left"/>
      <w:pPr>
        <w:ind w:left="1080" w:hanging="360"/>
      </w:pPr>
    </w:lvl>
    <w:lvl w:ilvl="1" w:tplc="9A7C0E72">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6167AF2"/>
    <w:multiLevelType w:val="hybridMultilevel"/>
    <w:tmpl w:val="F76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0"/>
  </w:num>
  <w:num w:numId="4">
    <w:abstractNumId w:val="2"/>
  </w:num>
  <w:num w:numId="5">
    <w:abstractNumId w:val="5"/>
  </w:num>
  <w:num w:numId="6">
    <w:abstractNumId w:val="13"/>
  </w:num>
  <w:num w:numId="7">
    <w:abstractNumId w:val="23"/>
  </w:num>
  <w:num w:numId="8">
    <w:abstractNumId w:val="20"/>
  </w:num>
  <w:num w:numId="9">
    <w:abstractNumId w:val="8"/>
  </w:num>
  <w:num w:numId="10">
    <w:abstractNumId w:val="28"/>
  </w:num>
  <w:num w:numId="11">
    <w:abstractNumId w:val="7"/>
  </w:num>
  <w:num w:numId="12">
    <w:abstractNumId w:val="1"/>
  </w:num>
  <w:num w:numId="13">
    <w:abstractNumId w:val="9"/>
  </w:num>
  <w:num w:numId="14">
    <w:abstractNumId w:val="26"/>
  </w:num>
  <w:num w:numId="15">
    <w:abstractNumId w:val="29"/>
  </w:num>
  <w:num w:numId="16">
    <w:abstractNumId w:val="19"/>
  </w:num>
  <w:num w:numId="17">
    <w:abstractNumId w:val="30"/>
  </w:num>
  <w:num w:numId="18">
    <w:abstractNumId w:val="27"/>
  </w:num>
  <w:num w:numId="19">
    <w:abstractNumId w:val="12"/>
  </w:num>
  <w:num w:numId="20">
    <w:abstractNumId w:val="6"/>
  </w:num>
  <w:num w:numId="21">
    <w:abstractNumId w:val="4"/>
  </w:num>
  <w:num w:numId="22">
    <w:abstractNumId w:val="21"/>
  </w:num>
  <w:num w:numId="23">
    <w:abstractNumId w:val="11"/>
  </w:num>
  <w:num w:numId="24">
    <w:abstractNumId w:val="18"/>
  </w:num>
  <w:num w:numId="25">
    <w:abstractNumId w:val="1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5"/>
  </w:num>
  <w:num w:numId="29">
    <w:abstractNumId w:val="3"/>
  </w:num>
  <w:num w:numId="30">
    <w:abstractNumId w:val="14"/>
  </w:num>
  <w:num w:numId="31">
    <w:abstractNumId w:val="0"/>
  </w:num>
  <w:num w:numId="32">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95"/>
    <w:rsid w:val="0000077F"/>
    <w:rsid w:val="00000BDF"/>
    <w:rsid w:val="0000137F"/>
    <w:rsid w:val="000014EA"/>
    <w:rsid w:val="000018C3"/>
    <w:rsid w:val="00001D11"/>
    <w:rsid w:val="00002488"/>
    <w:rsid w:val="00002797"/>
    <w:rsid w:val="00002C0D"/>
    <w:rsid w:val="00005BD1"/>
    <w:rsid w:val="00005F22"/>
    <w:rsid w:val="00007203"/>
    <w:rsid w:val="00007608"/>
    <w:rsid w:val="0001030D"/>
    <w:rsid w:val="00011F67"/>
    <w:rsid w:val="0001379C"/>
    <w:rsid w:val="00013A2F"/>
    <w:rsid w:val="00013D89"/>
    <w:rsid w:val="0001450E"/>
    <w:rsid w:val="00014B69"/>
    <w:rsid w:val="00016D73"/>
    <w:rsid w:val="00017D88"/>
    <w:rsid w:val="00017F11"/>
    <w:rsid w:val="00021064"/>
    <w:rsid w:val="0002128B"/>
    <w:rsid w:val="00021578"/>
    <w:rsid w:val="00021E51"/>
    <w:rsid w:val="00022080"/>
    <w:rsid w:val="000220F8"/>
    <w:rsid w:val="0002303B"/>
    <w:rsid w:val="00023D54"/>
    <w:rsid w:val="00024660"/>
    <w:rsid w:val="00025BCC"/>
    <w:rsid w:val="00025DEC"/>
    <w:rsid w:val="00026422"/>
    <w:rsid w:val="00026F10"/>
    <w:rsid w:val="00031008"/>
    <w:rsid w:val="00033F2E"/>
    <w:rsid w:val="00036C90"/>
    <w:rsid w:val="00037F2E"/>
    <w:rsid w:val="0004092E"/>
    <w:rsid w:val="00041F11"/>
    <w:rsid w:val="00042145"/>
    <w:rsid w:val="000451A3"/>
    <w:rsid w:val="000454BD"/>
    <w:rsid w:val="000465B3"/>
    <w:rsid w:val="000465C4"/>
    <w:rsid w:val="00046658"/>
    <w:rsid w:val="00046826"/>
    <w:rsid w:val="000474BB"/>
    <w:rsid w:val="00050E8B"/>
    <w:rsid w:val="0005254D"/>
    <w:rsid w:val="000530C3"/>
    <w:rsid w:val="00053176"/>
    <w:rsid w:val="0005334A"/>
    <w:rsid w:val="000536EB"/>
    <w:rsid w:val="00054B77"/>
    <w:rsid w:val="00055EB0"/>
    <w:rsid w:val="00060497"/>
    <w:rsid w:val="000606EE"/>
    <w:rsid w:val="000608C4"/>
    <w:rsid w:val="000633E2"/>
    <w:rsid w:val="00064A8F"/>
    <w:rsid w:val="00064C42"/>
    <w:rsid w:val="00066613"/>
    <w:rsid w:val="0006664A"/>
    <w:rsid w:val="00066898"/>
    <w:rsid w:val="00070311"/>
    <w:rsid w:val="000716B6"/>
    <w:rsid w:val="00071C3F"/>
    <w:rsid w:val="00072480"/>
    <w:rsid w:val="00072646"/>
    <w:rsid w:val="00072769"/>
    <w:rsid w:val="00073086"/>
    <w:rsid w:val="0007435F"/>
    <w:rsid w:val="00074E28"/>
    <w:rsid w:val="0007569B"/>
    <w:rsid w:val="0007698A"/>
    <w:rsid w:val="000771DE"/>
    <w:rsid w:val="000774AA"/>
    <w:rsid w:val="00077C83"/>
    <w:rsid w:val="00077E5A"/>
    <w:rsid w:val="00080B9F"/>
    <w:rsid w:val="00080D96"/>
    <w:rsid w:val="000813D8"/>
    <w:rsid w:val="00081820"/>
    <w:rsid w:val="00081BB0"/>
    <w:rsid w:val="00082881"/>
    <w:rsid w:val="00082B41"/>
    <w:rsid w:val="00082F8F"/>
    <w:rsid w:val="00083F8F"/>
    <w:rsid w:val="0008417E"/>
    <w:rsid w:val="000843BE"/>
    <w:rsid w:val="00084E4A"/>
    <w:rsid w:val="00085649"/>
    <w:rsid w:val="00085FEA"/>
    <w:rsid w:val="000860CE"/>
    <w:rsid w:val="000864D9"/>
    <w:rsid w:val="00086685"/>
    <w:rsid w:val="00091082"/>
    <w:rsid w:val="000920CE"/>
    <w:rsid w:val="0009246B"/>
    <w:rsid w:val="0009259C"/>
    <w:rsid w:val="0009307B"/>
    <w:rsid w:val="000932AE"/>
    <w:rsid w:val="00094D40"/>
    <w:rsid w:val="00095802"/>
    <w:rsid w:val="000959E0"/>
    <w:rsid w:val="00095D31"/>
    <w:rsid w:val="00096068"/>
    <w:rsid w:val="0009799B"/>
    <w:rsid w:val="000A0646"/>
    <w:rsid w:val="000A1950"/>
    <w:rsid w:val="000A2007"/>
    <w:rsid w:val="000A26DB"/>
    <w:rsid w:val="000A2B31"/>
    <w:rsid w:val="000A3CCC"/>
    <w:rsid w:val="000A3FE3"/>
    <w:rsid w:val="000A4286"/>
    <w:rsid w:val="000A602F"/>
    <w:rsid w:val="000A6810"/>
    <w:rsid w:val="000A7CCA"/>
    <w:rsid w:val="000B0418"/>
    <w:rsid w:val="000B18FF"/>
    <w:rsid w:val="000B3692"/>
    <w:rsid w:val="000B378F"/>
    <w:rsid w:val="000B4850"/>
    <w:rsid w:val="000B4DC5"/>
    <w:rsid w:val="000B51E8"/>
    <w:rsid w:val="000B5D5B"/>
    <w:rsid w:val="000B71FB"/>
    <w:rsid w:val="000B7BA1"/>
    <w:rsid w:val="000C216F"/>
    <w:rsid w:val="000C22CC"/>
    <w:rsid w:val="000C235A"/>
    <w:rsid w:val="000C500E"/>
    <w:rsid w:val="000C55A0"/>
    <w:rsid w:val="000C5FF3"/>
    <w:rsid w:val="000C7CFC"/>
    <w:rsid w:val="000D03D3"/>
    <w:rsid w:val="000D1B6A"/>
    <w:rsid w:val="000D2856"/>
    <w:rsid w:val="000D6504"/>
    <w:rsid w:val="000D798E"/>
    <w:rsid w:val="000E0805"/>
    <w:rsid w:val="000E0983"/>
    <w:rsid w:val="000E198B"/>
    <w:rsid w:val="000E1F8F"/>
    <w:rsid w:val="000E27B4"/>
    <w:rsid w:val="000E3740"/>
    <w:rsid w:val="000E5AEC"/>
    <w:rsid w:val="000E5BC3"/>
    <w:rsid w:val="000F1120"/>
    <w:rsid w:val="000F25AE"/>
    <w:rsid w:val="000F38D4"/>
    <w:rsid w:val="00100BE3"/>
    <w:rsid w:val="0010151F"/>
    <w:rsid w:val="00101DB4"/>
    <w:rsid w:val="00103353"/>
    <w:rsid w:val="0010356E"/>
    <w:rsid w:val="001036DC"/>
    <w:rsid w:val="00103755"/>
    <w:rsid w:val="0010391A"/>
    <w:rsid w:val="00106070"/>
    <w:rsid w:val="0010724B"/>
    <w:rsid w:val="001077CE"/>
    <w:rsid w:val="00110926"/>
    <w:rsid w:val="0011241F"/>
    <w:rsid w:val="00112A70"/>
    <w:rsid w:val="00114BA3"/>
    <w:rsid w:val="00114FDD"/>
    <w:rsid w:val="00115018"/>
    <w:rsid w:val="00116015"/>
    <w:rsid w:val="00116EF3"/>
    <w:rsid w:val="00117906"/>
    <w:rsid w:val="00117A1D"/>
    <w:rsid w:val="001209CA"/>
    <w:rsid w:val="001224A3"/>
    <w:rsid w:val="00122511"/>
    <w:rsid w:val="00123115"/>
    <w:rsid w:val="0012364F"/>
    <w:rsid w:val="001243A2"/>
    <w:rsid w:val="0012570F"/>
    <w:rsid w:val="00125A76"/>
    <w:rsid w:val="00125F7E"/>
    <w:rsid w:val="00126E61"/>
    <w:rsid w:val="00127230"/>
    <w:rsid w:val="00127750"/>
    <w:rsid w:val="00127A39"/>
    <w:rsid w:val="00127D2C"/>
    <w:rsid w:val="00127EC4"/>
    <w:rsid w:val="00127F73"/>
    <w:rsid w:val="00130085"/>
    <w:rsid w:val="001302A1"/>
    <w:rsid w:val="001319A9"/>
    <w:rsid w:val="001324E3"/>
    <w:rsid w:val="001327F3"/>
    <w:rsid w:val="00132E88"/>
    <w:rsid w:val="0013309D"/>
    <w:rsid w:val="0013414E"/>
    <w:rsid w:val="00140B9E"/>
    <w:rsid w:val="00142385"/>
    <w:rsid w:val="001434B2"/>
    <w:rsid w:val="00143A90"/>
    <w:rsid w:val="00143CDE"/>
    <w:rsid w:val="00143DE4"/>
    <w:rsid w:val="0014415B"/>
    <w:rsid w:val="0014564F"/>
    <w:rsid w:val="001463DA"/>
    <w:rsid w:val="00146433"/>
    <w:rsid w:val="0014714D"/>
    <w:rsid w:val="0015085D"/>
    <w:rsid w:val="00150ECE"/>
    <w:rsid w:val="0015189D"/>
    <w:rsid w:val="00151E9D"/>
    <w:rsid w:val="00152EB5"/>
    <w:rsid w:val="0015309D"/>
    <w:rsid w:val="001541F6"/>
    <w:rsid w:val="00154826"/>
    <w:rsid w:val="001553CA"/>
    <w:rsid w:val="00156239"/>
    <w:rsid w:val="001565A7"/>
    <w:rsid w:val="001568ED"/>
    <w:rsid w:val="00156AD6"/>
    <w:rsid w:val="0016052A"/>
    <w:rsid w:val="00160A69"/>
    <w:rsid w:val="00161721"/>
    <w:rsid w:val="00161D97"/>
    <w:rsid w:val="00161FC4"/>
    <w:rsid w:val="001620D5"/>
    <w:rsid w:val="00162BB0"/>
    <w:rsid w:val="0016372A"/>
    <w:rsid w:val="00163CD5"/>
    <w:rsid w:val="00163F12"/>
    <w:rsid w:val="00164C3D"/>
    <w:rsid w:val="00165E1E"/>
    <w:rsid w:val="00165FCB"/>
    <w:rsid w:val="001663FA"/>
    <w:rsid w:val="00167255"/>
    <w:rsid w:val="00171118"/>
    <w:rsid w:val="001711AB"/>
    <w:rsid w:val="00171C97"/>
    <w:rsid w:val="0017288C"/>
    <w:rsid w:val="00173038"/>
    <w:rsid w:val="0017373A"/>
    <w:rsid w:val="00174339"/>
    <w:rsid w:val="00174955"/>
    <w:rsid w:val="0017507D"/>
    <w:rsid w:val="00175A69"/>
    <w:rsid w:val="00176285"/>
    <w:rsid w:val="00176E15"/>
    <w:rsid w:val="00177E61"/>
    <w:rsid w:val="001804A0"/>
    <w:rsid w:val="00181370"/>
    <w:rsid w:val="00181ED6"/>
    <w:rsid w:val="001821C2"/>
    <w:rsid w:val="00182813"/>
    <w:rsid w:val="001829FF"/>
    <w:rsid w:val="00182E1A"/>
    <w:rsid w:val="0018309B"/>
    <w:rsid w:val="001833C9"/>
    <w:rsid w:val="00183824"/>
    <w:rsid w:val="0018477A"/>
    <w:rsid w:val="00184ADF"/>
    <w:rsid w:val="00184D5B"/>
    <w:rsid w:val="00185B20"/>
    <w:rsid w:val="001863A6"/>
    <w:rsid w:val="00186443"/>
    <w:rsid w:val="00186702"/>
    <w:rsid w:val="00186991"/>
    <w:rsid w:val="001869C0"/>
    <w:rsid w:val="00186A95"/>
    <w:rsid w:val="00187A9D"/>
    <w:rsid w:val="001904B0"/>
    <w:rsid w:val="00190541"/>
    <w:rsid w:val="00190B80"/>
    <w:rsid w:val="00190BE9"/>
    <w:rsid w:val="0019156C"/>
    <w:rsid w:val="00192008"/>
    <w:rsid w:val="001921F4"/>
    <w:rsid w:val="0019283A"/>
    <w:rsid w:val="001932AB"/>
    <w:rsid w:val="00193D4C"/>
    <w:rsid w:val="001946D5"/>
    <w:rsid w:val="001956D9"/>
    <w:rsid w:val="00196B57"/>
    <w:rsid w:val="00197612"/>
    <w:rsid w:val="001A05B8"/>
    <w:rsid w:val="001A09AF"/>
    <w:rsid w:val="001A1E7D"/>
    <w:rsid w:val="001A3E7D"/>
    <w:rsid w:val="001A45AE"/>
    <w:rsid w:val="001A588B"/>
    <w:rsid w:val="001A63CE"/>
    <w:rsid w:val="001A6F5C"/>
    <w:rsid w:val="001A78EF"/>
    <w:rsid w:val="001B0EA5"/>
    <w:rsid w:val="001B2354"/>
    <w:rsid w:val="001B36EE"/>
    <w:rsid w:val="001B398F"/>
    <w:rsid w:val="001B3BB8"/>
    <w:rsid w:val="001B5A44"/>
    <w:rsid w:val="001B6068"/>
    <w:rsid w:val="001B6DA6"/>
    <w:rsid w:val="001B7291"/>
    <w:rsid w:val="001B7B5A"/>
    <w:rsid w:val="001C08FB"/>
    <w:rsid w:val="001C0F2A"/>
    <w:rsid w:val="001C32B9"/>
    <w:rsid w:val="001C49A2"/>
    <w:rsid w:val="001C4D97"/>
    <w:rsid w:val="001C503D"/>
    <w:rsid w:val="001C68CE"/>
    <w:rsid w:val="001C7D3D"/>
    <w:rsid w:val="001C7E19"/>
    <w:rsid w:val="001D002F"/>
    <w:rsid w:val="001D03A5"/>
    <w:rsid w:val="001D0DE9"/>
    <w:rsid w:val="001D26A3"/>
    <w:rsid w:val="001D314E"/>
    <w:rsid w:val="001D3523"/>
    <w:rsid w:val="001D3A04"/>
    <w:rsid w:val="001D4ACF"/>
    <w:rsid w:val="001D517E"/>
    <w:rsid w:val="001D58A8"/>
    <w:rsid w:val="001D6661"/>
    <w:rsid w:val="001D7A4D"/>
    <w:rsid w:val="001E1ED6"/>
    <w:rsid w:val="001E3137"/>
    <w:rsid w:val="001E3C2E"/>
    <w:rsid w:val="001E4196"/>
    <w:rsid w:val="001E482D"/>
    <w:rsid w:val="001E6772"/>
    <w:rsid w:val="001E6930"/>
    <w:rsid w:val="001E6D70"/>
    <w:rsid w:val="001E716A"/>
    <w:rsid w:val="001E7614"/>
    <w:rsid w:val="001E7E31"/>
    <w:rsid w:val="001E7FEF"/>
    <w:rsid w:val="001F12A7"/>
    <w:rsid w:val="001F5FEB"/>
    <w:rsid w:val="001F6262"/>
    <w:rsid w:val="001F637A"/>
    <w:rsid w:val="001F6982"/>
    <w:rsid w:val="001F6FB1"/>
    <w:rsid w:val="001F7384"/>
    <w:rsid w:val="001F78B6"/>
    <w:rsid w:val="00201EC9"/>
    <w:rsid w:val="00202317"/>
    <w:rsid w:val="002029B8"/>
    <w:rsid w:val="00203511"/>
    <w:rsid w:val="00203750"/>
    <w:rsid w:val="00203B5C"/>
    <w:rsid w:val="00203EB9"/>
    <w:rsid w:val="00204E11"/>
    <w:rsid w:val="002055A5"/>
    <w:rsid w:val="00205B3B"/>
    <w:rsid w:val="0020608D"/>
    <w:rsid w:val="00210CFD"/>
    <w:rsid w:val="00211CEA"/>
    <w:rsid w:val="002120AF"/>
    <w:rsid w:val="00212144"/>
    <w:rsid w:val="00212357"/>
    <w:rsid w:val="0021325D"/>
    <w:rsid w:val="0021451A"/>
    <w:rsid w:val="00214F7B"/>
    <w:rsid w:val="002153EF"/>
    <w:rsid w:val="002157ED"/>
    <w:rsid w:val="00217B31"/>
    <w:rsid w:val="00217C55"/>
    <w:rsid w:val="002206C2"/>
    <w:rsid w:val="0022183E"/>
    <w:rsid w:val="0022227D"/>
    <w:rsid w:val="0022419B"/>
    <w:rsid w:val="00224A14"/>
    <w:rsid w:val="00224A24"/>
    <w:rsid w:val="00224CA6"/>
    <w:rsid w:val="002252BA"/>
    <w:rsid w:val="002269B0"/>
    <w:rsid w:val="00227DD1"/>
    <w:rsid w:val="00227F55"/>
    <w:rsid w:val="00230A47"/>
    <w:rsid w:val="002312BA"/>
    <w:rsid w:val="002318E9"/>
    <w:rsid w:val="002323FC"/>
    <w:rsid w:val="00232F3A"/>
    <w:rsid w:val="00234FA7"/>
    <w:rsid w:val="00235C2A"/>
    <w:rsid w:val="002364F2"/>
    <w:rsid w:val="0024186F"/>
    <w:rsid w:val="00245D6B"/>
    <w:rsid w:val="002514A5"/>
    <w:rsid w:val="00252997"/>
    <w:rsid w:val="0025462B"/>
    <w:rsid w:val="002557A0"/>
    <w:rsid w:val="00256663"/>
    <w:rsid w:val="00256690"/>
    <w:rsid w:val="00256BD4"/>
    <w:rsid w:val="00257474"/>
    <w:rsid w:val="00257AAB"/>
    <w:rsid w:val="00260C1D"/>
    <w:rsid w:val="002615F9"/>
    <w:rsid w:val="00261C4E"/>
    <w:rsid w:val="0026232E"/>
    <w:rsid w:val="0026235D"/>
    <w:rsid w:val="00262940"/>
    <w:rsid w:val="00263BAD"/>
    <w:rsid w:val="00263BFB"/>
    <w:rsid w:val="00265AC7"/>
    <w:rsid w:val="00265E77"/>
    <w:rsid w:val="0026659F"/>
    <w:rsid w:val="00266D22"/>
    <w:rsid w:val="00266DDB"/>
    <w:rsid w:val="00266EAE"/>
    <w:rsid w:val="00266F5B"/>
    <w:rsid w:val="00267019"/>
    <w:rsid w:val="0026775A"/>
    <w:rsid w:val="00270B2D"/>
    <w:rsid w:val="00271B84"/>
    <w:rsid w:val="00272381"/>
    <w:rsid w:val="00273195"/>
    <w:rsid w:val="00274333"/>
    <w:rsid w:val="00275561"/>
    <w:rsid w:val="00275D79"/>
    <w:rsid w:val="00276C1C"/>
    <w:rsid w:val="002770FB"/>
    <w:rsid w:val="002777A5"/>
    <w:rsid w:val="0028014F"/>
    <w:rsid w:val="00280220"/>
    <w:rsid w:val="00280772"/>
    <w:rsid w:val="00280B8F"/>
    <w:rsid w:val="0028170B"/>
    <w:rsid w:val="00282DD9"/>
    <w:rsid w:val="00284E2D"/>
    <w:rsid w:val="002863A8"/>
    <w:rsid w:val="002903AF"/>
    <w:rsid w:val="00290A7F"/>
    <w:rsid w:val="002914CE"/>
    <w:rsid w:val="0029336E"/>
    <w:rsid w:val="0029361B"/>
    <w:rsid w:val="00293B99"/>
    <w:rsid w:val="002952CF"/>
    <w:rsid w:val="00296087"/>
    <w:rsid w:val="002966EA"/>
    <w:rsid w:val="0029711B"/>
    <w:rsid w:val="00297816"/>
    <w:rsid w:val="002A00C9"/>
    <w:rsid w:val="002A1AC3"/>
    <w:rsid w:val="002A2410"/>
    <w:rsid w:val="002A2475"/>
    <w:rsid w:val="002A30E7"/>
    <w:rsid w:val="002A3454"/>
    <w:rsid w:val="002A3723"/>
    <w:rsid w:val="002A3ECF"/>
    <w:rsid w:val="002A51F8"/>
    <w:rsid w:val="002A54AB"/>
    <w:rsid w:val="002A60DD"/>
    <w:rsid w:val="002A642E"/>
    <w:rsid w:val="002A70B2"/>
    <w:rsid w:val="002A7AC6"/>
    <w:rsid w:val="002B0291"/>
    <w:rsid w:val="002B2BBE"/>
    <w:rsid w:val="002B3116"/>
    <w:rsid w:val="002B36EE"/>
    <w:rsid w:val="002B44FC"/>
    <w:rsid w:val="002B7189"/>
    <w:rsid w:val="002C01FB"/>
    <w:rsid w:val="002C0306"/>
    <w:rsid w:val="002C1461"/>
    <w:rsid w:val="002C1D36"/>
    <w:rsid w:val="002C20CE"/>
    <w:rsid w:val="002C37DE"/>
    <w:rsid w:val="002C3B51"/>
    <w:rsid w:val="002C3DFF"/>
    <w:rsid w:val="002C452F"/>
    <w:rsid w:val="002C46C8"/>
    <w:rsid w:val="002C4D6F"/>
    <w:rsid w:val="002C59CE"/>
    <w:rsid w:val="002C5A88"/>
    <w:rsid w:val="002C5EFF"/>
    <w:rsid w:val="002C61F1"/>
    <w:rsid w:val="002C6298"/>
    <w:rsid w:val="002C64ED"/>
    <w:rsid w:val="002D02DD"/>
    <w:rsid w:val="002D042F"/>
    <w:rsid w:val="002D06E9"/>
    <w:rsid w:val="002D0C61"/>
    <w:rsid w:val="002D1444"/>
    <w:rsid w:val="002D180A"/>
    <w:rsid w:val="002D1DB1"/>
    <w:rsid w:val="002D22CA"/>
    <w:rsid w:val="002D28F3"/>
    <w:rsid w:val="002D3EA7"/>
    <w:rsid w:val="002D40BB"/>
    <w:rsid w:val="002D514E"/>
    <w:rsid w:val="002D639F"/>
    <w:rsid w:val="002D6A33"/>
    <w:rsid w:val="002D73FA"/>
    <w:rsid w:val="002D740F"/>
    <w:rsid w:val="002D7DF9"/>
    <w:rsid w:val="002E05F5"/>
    <w:rsid w:val="002E0C00"/>
    <w:rsid w:val="002E12B5"/>
    <w:rsid w:val="002E175B"/>
    <w:rsid w:val="002E1ED3"/>
    <w:rsid w:val="002E20E3"/>
    <w:rsid w:val="002E219F"/>
    <w:rsid w:val="002E3A3B"/>
    <w:rsid w:val="002E4A69"/>
    <w:rsid w:val="002E59CB"/>
    <w:rsid w:val="002E75C1"/>
    <w:rsid w:val="002E7C59"/>
    <w:rsid w:val="002F02E0"/>
    <w:rsid w:val="002F035F"/>
    <w:rsid w:val="002F0C19"/>
    <w:rsid w:val="002F123F"/>
    <w:rsid w:val="002F14BA"/>
    <w:rsid w:val="002F1A3D"/>
    <w:rsid w:val="002F2319"/>
    <w:rsid w:val="002F2AFC"/>
    <w:rsid w:val="002F4035"/>
    <w:rsid w:val="002F497F"/>
    <w:rsid w:val="002F51C2"/>
    <w:rsid w:val="002F6DF9"/>
    <w:rsid w:val="00302309"/>
    <w:rsid w:val="0030265E"/>
    <w:rsid w:val="00303378"/>
    <w:rsid w:val="003036C1"/>
    <w:rsid w:val="00303B04"/>
    <w:rsid w:val="0030554D"/>
    <w:rsid w:val="00307D0A"/>
    <w:rsid w:val="00307FBE"/>
    <w:rsid w:val="003103DB"/>
    <w:rsid w:val="00310791"/>
    <w:rsid w:val="00310A07"/>
    <w:rsid w:val="0031159C"/>
    <w:rsid w:val="00311B4C"/>
    <w:rsid w:val="0031212A"/>
    <w:rsid w:val="00312B7C"/>
    <w:rsid w:val="00312E37"/>
    <w:rsid w:val="00312EA5"/>
    <w:rsid w:val="003135DA"/>
    <w:rsid w:val="00313605"/>
    <w:rsid w:val="00316766"/>
    <w:rsid w:val="00321CCC"/>
    <w:rsid w:val="003227B2"/>
    <w:rsid w:val="0032291B"/>
    <w:rsid w:val="00323673"/>
    <w:rsid w:val="0032385A"/>
    <w:rsid w:val="003239BD"/>
    <w:rsid w:val="003243F9"/>
    <w:rsid w:val="00324AF9"/>
    <w:rsid w:val="00326DC7"/>
    <w:rsid w:val="0032719C"/>
    <w:rsid w:val="003302A1"/>
    <w:rsid w:val="003307FA"/>
    <w:rsid w:val="00330D76"/>
    <w:rsid w:val="00333344"/>
    <w:rsid w:val="00333519"/>
    <w:rsid w:val="00333913"/>
    <w:rsid w:val="0033545A"/>
    <w:rsid w:val="0033596D"/>
    <w:rsid w:val="00335AD5"/>
    <w:rsid w:val="00335E0D"/>
    <w:rsid w:val="0033671A"/>
    <w:rsid w:val="00336A0D"/>
    <w:rsid w:val="003404C1"/>
    <w:rsid w:val="003405C3"/>
    <w:rsid w:val="00340CFB"/>
    <w:rsid w:val="0034267B"/>
    <w:rsid w:val="00344400"/>
    <w:rsid w:val="00345438"/>
    <w:rsid w:val="00345493"/>
    <w:rsid w:val="00347047"/>
    <w:rsid w:val="0034731D"/>
    <w:rsid w:val="00350905"/>
    <w:rsid w:val="00350F05"/>
    <w:rsid w:val="0035264B"/>
    <w:rsid w:val="003536B1"/>
    <w:rsid w:val="003541B3"/>
    <w:rsid w:val="0035437C"/>
    <w:rsid w:val="0035594A"/>
    <w:rsid w:val="003559B8"/>
    <w:rsid w:val="003559D9"/>
    <w:rsid w:val="00356941"/>
    <w:rsid w:val="00356A12"/>
    <w:rsid w:val="00360404"/>
    <w:rsid w:val="003609E9"/>
    <w:rsid w:val="00361205"/>
    <w:rsid w:val="0036134B"/>
    <w:rsid w:val="003613F4"/>
    <w:rsid w:val="00362BB3"/>
    <w:rsid w:val="0036307B"/>
    <w:rsid w:val="0036332C"/>
    <w:rsid w:val="00365197"/>
    <w:rsid w:val="0036543C"/>
    <w:rsid w:val="00365B2D"/>
    <w:rsid w:val="003678D1"/>
    <w:rsid w:val="00367E49"/>
    <w:rsid w:val="0037312D"/>
    <w:rsid w:val="003731F1"/>
    <w:rsid w:val="003746DD"/>
    <w:rsid w:val="0037538F"/>
    <w:rsid w:val="00375D08"/>
    <w:rsid w:val="00375F8F"/>
    <w:rsid w:val="003769EF"/>
    <w:rsid w:val="00380A67"/>
    <w:rsid w:val="00382836"/>
    <w:rsid w:val="003831EE"/>
    <w:rsid w:val="003840FE"/>
    <w:rsid w:val="00385D2B"/>
    <w:rsid w:val="00386FB6"/>
    <w:rsid w:val="003870AC"/>
    <w:rsid w:val="00390D70"/>
    <w:rsid w:val="003914C0"/>
    <w:rsid w:val="00391B7B"/>
    <w:rsid w:val="003926E8"/>
    <w:rsid w:val="00392D03"/>
    <w:rsid w:val="00392FAF"/>
    <w:rsid w:val="00393537"/>
    <w:rsid w:val="00394267"/>
    <w:rsid w:val="00394A84"/>
    <w:rsid w:val="00395D5E"/>
    <w:rsid w:val="00396A88"/>
    <w:rsid w:val="00397124"/>
    <w:rsid w:val="003975B5"/>
    <w:rsid w:val="00397F71"/>
    <w:rsid w:val="003A05F6"/>
    <w:rsid w:val="003A071E"/>
    <w:rsid w:val="003A242F"/>
    <w:rsid w:val="003A24F6"/>
    <w:rsid w:val="003A5FDD"/>
    <w:rsid w:val="003A60A6"/>
    <w:rsid w:val="003A6B02"/>
    <w:rsid w:val="003A6CFC"/>
    <w:rsid w:val="003A78B9"/>
    <w:rsid w:val="003B0015"/>
    <w:rsid w:val="003B1721"/>
    <w:rsid w:val="003B17BD"/>
    <w:rsid w:val="003B1D6D"/>
    <w:rsid w:val="003B2320"/>
    <w:rsid w:val="003B2871"/>
    <w:rsid w:val="003B2A0E"/>
    <w:rsid w:val="003B3726"/>
    <w:rsid w:val="003B39AD"/>
    <w:rsid w:val="003B3A96"/>
    <w:rsid w:val="003B3B50"/>
    <w:rsid w:val="003B4118"/>
    <w:rsid w:val="003B5757"/>
    <w:rsid w:val="003B5C90"/>
    <w:rsid w:val="003B6239"/>
    <w:rsid w:val="003B6605"/>
    <w:rsid w:val="003B78B5"/>
    <w:rsid w:val="003B79B4"/>
    <w:rsid w:val="003B7E63"/>
    <w:rsid w:val="003B7EE3"/>
    <w:rsid w:val="003C00F9"/>
    <w:rsid w:val="003C1156"/>
    <w:rsid w:val="003C120F"/>
    <w:rsid w:val="003C1BF2"/>
    <w:rsid w:val="003C261E"/>
    <w:rsid w:val="003C40F7"/>
    <w:rsid w:val="003C45B8"/>
    <w:rsid w:val="003C563F"/>
    <w:rsid w:val="003C6294"/>
    <w:rsid w:val="003C68B1"/>
    <w:rsid w:val="003C77E1"/>
    <w:rsid w:val="003C7A47"/>
    <w:rsid w:val="003C7C4B"/>
    <w:rsid w:val="003D6527"/>
    <w:rsid w:val="003D6B00"/>
    <w:rsid w:val="003D7B84"/>
    <w:rsid w:val="003E020D"/>
    <w:rsid w:val="003E0F4E"/>
    <w:rsid w:val="003E1950"/>
    <w:rsid w:val="003E325C"/>
    <w:rsid w:val="003E3905"/>
    <w:rsid w:val="003E3C96"/>
    <w:rsid w:val="003E5FA7"/>
    <w:rsid w:val="003F0143"/>
    <w:rsid w:val="003F0626"/>
    <w:rsid w:val="003F100F"/>
    <w:rsid w:val="003F1C61"/>
    <w:rsid w:val="003F203E"/>
    <w:rsid w:val="003F20B1"/>
    <w:rsid w:val="003F2873"/>
    <w:rsid w:val="003F2B47"/>
    <w:rsid w:val="003F3562"/>
    <w:rsid w:val="003F37BD"/>
    <w:rsid w:val="003F385F"/>
    <w:rsid w:val="003F3DCA"/>
    <w:rsid w:val="003F45AF"/>
    <w:rsid w:val="003F4D3B"/>
    <w:rsid w:val="003F7946"/>
    <w:rsid w:val="00402EF0"/>
    <w:rsid w:val="004046A0"/>
    <w:rsid w:val="00404703"/>
    <w:rsid w:val="00404A6C"/>
    <w:rsid w:val="0040515A"/>
    <w:rsid w:val="00405770"/>
    <w:rsid w:val="004064DB"/>
    <w:rsid w:val="00406558"/>
    <w:rsid w:val="00406607"/>
    <w:rsid w:val="00407A5C"/>
    <w:rsid w:val="00407AE5"/>
    <w:rsid w:val="00407FB2"/>
    <w:rsid w:val="00410EDF"/>
    <w:rsid w:val="004114A8"/>
    <w:rsid w:val="00413ACD"/>
    <w:rsid w:val="004140C3"/>
    <w:rsid w:val="004144FE"/>
    <w:rsid w:val="00414930"/>
    <w:rsid w:val="004156A1"/>
    <w:rsid w:val="0041676D"/>
    <w:rsid w:val="004211E8"/>
    <w:rsid w:val="00422D1D"/>
    <w:rsid w:val="00423C03"/>
    <w:rsid w:val="00424A18"/>
    <w:rsid w:val="00424B29"/>
    <w:rsid w:val="004251E0"/>
    <w:rsid w:val="004252CC"/>
    <w:rsid w:val="004259A2"/>
    <w:rsid w:val="00427189"/>
    <w:rsid w:val="004275F7"/>
    <w:rsid w:val="00430417"/>
    <w:rsid w:val="004311C5"/>
    <w:rsid w:val="0043352C"/>
    <w:rsid w:val="00433C34"/>
    <w:rsid w:val="0043557B"/>
    <w:rsid w:val="00435F0C"/>
    <w:rsid w:val="00435FE4"/>
    <w:rsid w:val="00436301"/>
    <w:rsid w:val="0043746D"/>
    <w:rsid w:val="00437582"/>
    <w:rsid w:val="004376EB"/>
    <w:rsid w:val="0044058F"/>
    <w:rsid w:val="00442ACA"/>
    <w:rsid w:val="00445082"/>
    <w:rsid w:val="00447F1E"/>
    <w:rsid w:val="004504CB"/>
    <w:rsid w:val="004505EF"/>
    <w:rsid w:val="004507E5"/>
    <w:rsid w:val="0045088D"/>
    <w:rsid w:val="004518E1"/>
    <w:rsid w:val="0045296F"/>
    <w:rsid w:val="0045402F"/>
    <w:rsid w:val="00455419"/>
    <w:rsid w:val="00456909"/>
    <w:rsid w:val="00456AE2"/>
    <w:rsid w:val="00456DE5"/>
    <w:rsid w:val="004619A4"/>
    <w:rsid w:val="0046318F"/>
    <w:rsid w:val="004666BC"/>
    <w:rsid w:val="00466EE1"/>
    <w:rsid w:val="00467053"/>
    <w:rsid w:val="0046799C"/>
    <w:rsid w:val="004705C9"/>
    <w:rsid w:val="00471503"/>
    <w:rsid w:val="00472151"/>
    <w:rsid w:val="004722CD"/>
    <w:rsid w:val="00473E00"/>
    <w:rsid w:val="00474368"/>
    <w:rsid w:val="004747DC"/>
    <w:rsid w:val="00477E35"/>
    <w:rsid w:val="00480779"/>
    <w:rsid w:val="00481A70"/>
    <w:rsid w:val="00481D65"/>
    <w:rsid w:val="004834A0"/>
    <w:rsid w:val="004843D7"/>
    <w:rsid w:val="00484662"/>
    <w:rsid w:val="00484A5B"/>
    <w:rsid w:val="004850EB"/>
    <w:rsid w:val="004867FC"/>
    <w:rsid w:val="00486961"/>
    <w:rsid w:val="00487BA2"/>
    <w:rsid w:val="00490653"/>
    <w:rsid w:val="004912DA"/>
    <w:rsid w:val="0049218E"/>
    <w:rsid w:val="00492340"/>
    <w:rsid w:val="00492CE5"/>
    <w:rsid w:val="00494EBD"/>
    <w:rsid w:val="00495096"/>
    <w:rsid w:val="00495978"/>
    <w:rsid w:val="004962F4"/>
    <w:rsid w:val="004973D2"/>
    <w:rsid w:val="0049762F"/>
    <w:rsid w:val="004A20F8"/>
    <w:rsid w:val="004A24BA"/>
    <w:rsid w:val="004A35E9"/>
    <w:rsid w:val="004A5130"/>
    <w:rsid w:val="004A5574"/>
    <w:rsid w:val="004A5DB9"/>
    <w:rsid w:val="004B23DF"/>
    <w:rsid w:val="004B25FE"/>
    <w:rsid w:val="004B2953"/>
    <w:rsid w:val="004B2E8C"/>
    <w:rsid w:val="004B31AD"/>
    <w:rsid w:val="004B4448"/>
    <w:rsid w:val="004B6DB9"/>
    <w:rsid w:val="004C35CC"/>
    <w:rsid w:val="004C3D01"/>
    <w:rsid w:val="004C76C0"/>
    <w:rsid w:val="004D15F6"/>
    <w:rsid w:val="004D18DE"/>
    <w:rsid w:val="004D26C6"/>
    <w:rsid w:val="004D3EB9"/>
    <w:rsid w:val="004D405D"/>
    <w:rsid w:val="004D4546"/>
    <w:rsid w:val="004D5F2B"/>
    <w:rsid w:val="004D616B"/>
    <w:rsid w:val="004D6B97"/>
    <w:rsid w:val="004D7951"/>
    <w:rsid w:val="004D7E1B"/>
    <w:rsid w:val="004E0124"/>
    <w:rsid w:val="004E0EF5"/>
    <w:rsid w:val="004E168F"/>
    <w:rsid w:val="004E2EBE"/>
    <w:rsid w:val="004E3540"/>
    <w:rsid w:val="004E3958"/>
    <w:rsid w:val="004E4C97"/>
    <w:rsid w:val="004E696B"/>
    <w:rsid w:val="004F00D5"/>
    <w:rsid w:val="004F2587"/>
    <w:rsid w:val="004F2B10"/>
    <w:rsid w:val="004F3245"/>
    <w:rsid w:val="004F331C"/>
    <w:rsid w:val="004F3780"/>
    <w:rsid w:val="004F51EF"/>
    <w:rsid w:val="004F5424"/>
    <w:rsid w:val="004F5CA4"/>
    <w:rsid w:val="004F621E"/>
    <w:rsid w:val="004F686C"/>
    <w:rsid w:val="004F7B27"/>
    <w:rsid w:val="004F7FFD"/>
    <w:rsid w:val="0050030F"/>
    <w:rsid w:val="00500763"/>
    <w:rsid w:val="00503E4B"/>
    <w:rsid w:val="00503F5E"/>
    <w:rsid w:val="005043CB"/>
    <w:rsid w:val="005043DD"/>
    <w:rsid w:val="00505103"/>
    <w:rsid w:val="00505A53"/>
    <w:rsid w:val="00506499"/>
    <w:rsid w:val="00507343"/>
    <w:rsid w:val="00507354"/>
    <w:rsid w:val="00507C58"/>
    <w:rsid w:val="00510491"/>
    <w:rsid w:val="005120FB"/>
    <w:rsid w:val="005135D8"/>
    <w:rsid w:val="00513F75"/>
    <w:rsid w:val="00513F76"/>
    <w:rsid w:val="00514809"/>
    <w:rsid w:val="00514C6A"/>
    <w:rsid w:val="00515C01"/>
    <w:rsid w:val="00515E2C"/>
    <w:rsid w:val="00516042"/>
    <w:rsid w:val="00517EF5"/>
    <w:rsid w:val="00520F79"/>
    <w:rsid w:val="005215C0"/>
    <w:rsid w:val="005216E2"/>
    <w:rsid w:val="0052256A"/>
    <w:rsid w:val="00523DD6"/>
    <w:rsid w:val="00524930"/>
    <w:rsid w:val="005262E6"/>
    <w:rsid w:val="0052634A"/>
    <w:rsid w:val="005273FD"/>
    <w:rsid w:val="00527532"/>
    <w:rsid w:val="005302C0"/>
    <w:rsid w:val="0053113F"/>
    <w:rsid w:val="005318DD"/>
    <w:rsid w:val="00531AE1"/>
    <w:rsid w:val="00531D10"/>
    <w:rsid w:val="005324C6"/>
    <w:rsid w:val="00535E42"/>
    <w:rsid w:val="00536526"/>
    <w:rsid w:val="00536F2B"/>
    <w:rsid w:val="00536F44"/>
    <w:rsid w:val="005401DB"/>
    <w:rsid w:val="00540E79"/>
    <w:rsid w:val="0054190F"/>
    <w:rsid w:val="00541FDF"/>
    <w:rsid w:val="005429B5"/>
    <w:rsid w:val="00543D0E"/>
    <w:rsid w:val="00544078"/>
    <w:rsid w:val="00544511"/>
    <w:rsid w:val="00544701"/>
    <w:rsid w:val="00546B38"/>
    <w:rsid w:val="00546BAA"/>
    <w:rsid w:val="00550037"/>
    <w:rsid w:val="00550D9F"/>
    <w:rsid w:val="00553728"/>
    <w:rsid w:val="00553752"/>
    <w:rsid w:val="0055386B"/>
    <w:rsid w:val="00553982"/>
    <w:rsid w:val="00553A4C"/>
    <w:rsid w:val="0055467F"/>
    <w:rsid w:val="005552AB"/>
    <w:rsid w:val="005563E4"/>
    <w:rsid w:val="00556C46"/>
    <w:rsid w:val="00556F62"/>
    <w:rsid w:val="005575B3"/>
    <w:rsid w:val="00557707"/>
    <w:rsid w:val="00557C3C"/>
    <w:rsid w:val="005611DD"/>
    <w:rsid w:val="00561CF1"/>
    <w:rsid w:val="00562774"/>
    <w:rsid w:val="00562B91"/>
    <w:rsid w:val="00564213"/>
    <w:rsid w:val="0056459E"/>
    <w:rsid w:val="005655D4"/>
    <w:rsid w:val="00566443"/>
    <w:rsid w:val="0056714A"/>
    <w:rsid w:val="00567568"/>
    <w:rsid w:val="00570ABF"/>
    <w:rsid w:val="005716AD"/>
    <w:rsid w:val="00573361"/>
    <w:rsid w:val="005748BA"/>
    <w:rsid w:val="0057590A"/>
    <w:rsid w:val="00581601"/>
    <w:rsid w:val="005833D0"/>
    <w:rsid w:val="0058458E"/>
    <w:rsid w:val="005848EA"/>
    <w:rsid w:val="00585D0E"/>
    <w:rsid w:val="00586CA5"/>
    <w:rsid w:val="00587D96"/>
    <w:rsid w:val="00590628"/>
    <w:rsid w:val="005908D4"/>
    <w:rsid w:val="00590970"/>
    <w:rsid w:val="00590BFB"/>
    <w:rsid w:val="00590CE7"/>
    <w:rsid w:val="00591322"/>
    <w:rsid w:val="00591BB1"/>
    <w:rsid w:val="005941E4"/>
    <w:rsid w:val="0059428B"/>
    <w:rsid w:val="00594290"/>
    <w:rsid w:val="005956A4"/>
    <w:rsid w:val="00595B41"/>
    <w:rsid w:val="00596DB0"/>
    <w:rsid w:val="005974A5"/>
    <w:rsid w:val="005A0BE4"/>
    <w:rsid w:val="005A2C80"/>
    <w:rsid w:val="005A2F16"/>
    <w:rsid w:val="005A33D2"/>
    <w:rsid w:val="005A3F8E"/>
    <w:rsid w:val="005A3FD2"/>
    <w:rsid w:val="005A40F1"/>
    <w:rsid w:val="005A455B"/>
    <w:rsid w:val="005A5B26"/>
    <w:rsid w:val="005A6E4E"/>
    <w:rsid w:val="005A6F81"/>
    <w:rsid w:val="005B0BF0"/>
    <w:rsid w:val="005B381D"/>
    <w:rsid w:val="005B4108"/>
    <w:rsid w:val="005B4122"/>
    <w:rsid w:val="005B5099"/>
    <w:rsid w:val="005B584C"/>
    <w:rsid w:val="005B5EE7"/>
    <w:rsid w:val="005B63CA"/>
    <w:rsid w:val="005B6946"/>
    <w:rsid w:val="005B6D3B"/>
    <w:rsid w:val="005C192D"/>
    <w:rsid w:val="005C1DBE"/>
    <w:rsid w:val="005C1F52"/>
    <w:rsid w:val="005C2CDF"/>
    <w:rsid w:val="005C36B9"/>
    <w:rsid w:val="005C37A3"/>
    <w:rsid w:val="005C3D57"/>
    <w:rsid w:val="005C7622"/>
    <w:rsid w:val="005D2405"/>
    <w:rsid w:val="005D4287"/>
    <w:rsid w:val="005D4532"/>
    <w:rsid w:val="005D4B10"/>
    <w:rsid w:val="005D4F54"/>
    <w:rsid w:val="005D61BF"/>
    <w:rsid w:val="005D6AD5"/>
    <w:rsid w:val="005D75AF"/>
    <w:rsid w:val="005E1D49"/>
    <w:rsid w:val="005E2186"/>
    <w:rsid w:val="005E21DB"/>
    <w:rsid w:val="005E23BE"/>
    <w:rsid w:val="005E24AE"/>
    <w:rsid w:val="005E2CA4"/>
    <w:rsid w:val="005E33E2"/>
    <w:rsid w:val="005E3BA0"/>
    <w:rsid w:val="005E3EE7"/>
    <w:rsid w:val="005E564E"/>
    <w:rsid w:val="005E59FA"/>
    <w:rsid w:val="005E5F5E"/>
    <w:rsid w:val="005E6836"/>
    <w:rsid w:val="005E77CB"/>
    <w:rsid w:val="005F08DE"/>
    <w:rsid w:val="005F198C"/>
    <w:rsid w:val="005F1A52"/>
    <w:rsid w:val="005F1BD0"/>
    <w:rsid w:val="005F1D05"/>
    <w:rsid w:val="005F1E97"/>
    <w:rsid w:val="005F2299"/>
    <w:rsid w:val="005F2750"/>
    <w:rsid w:val="005F2D38"/>
    <w:rsid w:val="005F2D44"/>
    <w:rsid w:val="005F2EF7"/>
    <w:rsid w:val="005F3308"/>
    <w:rsid w:val="005F3694"/>
    <w:rsid w:val="005F4658"/>
    <w:rsid w:val="005F569D"/>
    <w:rsid w:val="005F5EC5"/>
    <w:rsid w:val="005F6151"/>
    <w:rsid w:val="005F643F"/>
    <w:rsid w:val="005F6EEF"/>
    <w:rsid w:val="006000D4"/>
    <w:rsid w:val="006006DB"/>
    <w:rsid w:val="00601C0E"/>
    <w:rsid w:val="00602297"/>
    <w:rsid w:val="006030E8"/>
    <w:rsid w:val="006041A7"/>
    <w:rsid w:val="006056A7"/>
    <w:rsid w:val="00605C4B"/>
    <w:rsid w:val="0060684F"/>
    <w:rsid w:val="00606E84"/>
    <w:rsid w:val="006079A6"/>
    <w:rsid w:val="00610A89"/>
    <w:rsid w:val="00610E26"/>
    <w:rsid w:val="00611C0D"/>
    <w:rsid w:val="006123BA"/>
    <w:rsid w:val="00612F81"/>
    <w:rsid w:val="0061357E"/>
    <w:rsid w:val="0061358F"/>
    <w:rsid w:val="00614327"/>
    <w:rsid w:val="0061494D"/>
    <w:rsid w:val="00614EB6"/>
    <w:rsid w:val="00615862"/>
    <w:rsid w:val="00615D67"/>
    <w:rsid w:val="00617EB3"/>
    <w:rsid w:val="0062027D"/>
    <w:rsid w:val="006207AE"/>
    <w:rsid w:val="00621B40"/>
    <w:rsid w:val="00621C57"/>
    <w:rsid w:val="006227AA"/>
    <w:rsid w:val="0062361F"/>
    <w:rsid w:val="00626EB8"/>
    <w:rsid w:val="006275DD"/>
    <w:rsid w:val="0063005C"/>
    <w:rsid w:val="006312C0"/>
    <w:rsid w:val="00631CE1"/>
    <w:rsid w:val="00631DCC"/>
    <w:rsid w:val="0063305F"/>
    <w:rsid w:val="00633710"/>
    <w:rsid w:val="00634537"/>
    <w:rsid w:val="00635687"/>
    <w:rsid w:val="0063599B"/>
    <w:rsid w:val="006359DF"/>
    <w:rsid w:val="0063731E"/>
    <w:rsid w:val="00640135"/>
    <w:rsid w:val="00640499"/>
    <w:rsid w:val="0064049B"/>
    <w:rsid w:val="006406B8"/>
    <w:rsid w:val="006409A7"/>
    <w:rsid w:val="006418E8"/>
    <w:rsid w:val="00641FF4"/>
    <w:rsid w:val="00642F44"/>
    <w:rsid w:val="00643740"/>
    <w:rsid w:val="006441F6"/>
    <w:rsid w:val="0064430B"/>
    <w:rsid w:val="00644B42"/>
    <w:rsid w:val="00646D42"/>
    <w:rsid w:val="00646EC6"/>
    <w:rsid w:val="00646EF6"/>
    <w:rsid w:val="006504F3"/>
    <w:rsid w:val="00650DEC"/>
    <w:rsid w:val="00652010"/>
    <w:rsid w:val="006522D9"/>
    <w:rsid w:val="0065233F"/>
    <w:rsid w:val="00653069"/>
    <w:rsid w:val="006533EB"/>
    <w:rsid w:val="006541A0"/>
    <w:rsid w:val="00654E01"/>
    <w:rsid w:val="00654E43"/>
    <w:rsid w:val="00656FD9"/>
    <w:rsid w:val="00657F63"/>
    <w:rsid w:val="00660160"/>
    <w:rsid w:val="00660CE7"/>
    <w:rsid w:val="006622A1"/>
    <w:rsid w:val="006629D7"/>
    <w:rsid w:val="00662DD4"/>
    <w:rsid w:val="00662EAC"/>
    <w:rsid w:val="00663324"/>
    <w:rsid w:val="00665B85"/>
    <w:rsid w:val="00665BA1"/>
    <w:rsid w:val="00666A81"/>
    <w:rsid w:val="00666F83"/>
    <w:rsid w:val="0066799E"/>
    <w:rsid w:val="006679ED"/>
    <w:rsid w:val="006704B1"/>
    <w:rsid w:val="00670AB0"/>
    <w:rsid w:val="006722B9"/>
    <w:rsid w:val="00672CB5"/>
    <w:rsid w:val="006731FB"/>
    <w:rsid w:val="00673A9A"/>
    <w:rsid w:val="006742DD"/>
    <w:rsid w:val="006748AE"/>
    <w:rsid w:val="0067494D"/>
    <w:rsid w:val="00674B7D"/>
    <w:rsid w:val="00675767"/>
    <w:rsid w:val="00675F84"/>
    <w:rsid w:val="00680DEF"/>
    <w:rsid w:val="00683236"/>
    <w:rsid w:val="00683384"/>
    <w:rsid w:val="006846EE"/>
    <w:rsid w:val="00685E86"/>
    <w:rsid w:val="00685F06"/>
    <w:rsid w:val="00687EF9"/>
    <w:rsid w:val="006910F6"/>
    <w:rsid w:val="006920C5"/>
    <w:rsid w:val="00692979"/>
    <w:rsid w:val="00693A3D"/>
    <w:rsid w:val="006941B9"/>
    <w:rsid w:val="00694367"/>
    <w:rsid w:val="006965F2"/>
    <w:rsid w:val="00696C7C"/>
    <w:rsid w:val="00696ED4"/>
    <w:rsid w:val="0069775F"/>
    <w:rsid w:val="00697DF7"/>
    <w:rsid w:val="006A1B62"/>
    <w:rsid w:val="006A213F"/>
    <w:rsid w:val="006A221A"/>
    <w:rsid w:val="006A22A1"/>
    <w:rsid w:val="006A2393"/>
    <w:rsid w:val="006A27E5"/>
    <w:rsid w:val="006A447F"/>
    <w:rsid w:val="006A45D4"/>
    <w:rsid w:val="006A58F3"/>
    <w:rsid w:val="006A68E4"/>
    <w:rsid w:val="006A7522"/>
    <w:rsid w:val="006B0C48"/>
    <w:rsid w:val="006B199D"/>
    <w:rsid w:val="006B20B7"/>
    <w:rsid w:val="006B253C"/>
    <w:rsid w:val="006B436B"/>
    <w:rsid w:val="006B47A3"/>
    <w:rsid w:val="006B4F3D"/>
    <w:rsid w:val="006B630D"/>
    <w:rsid w:val="006B6731"/>
    <w:rsid w:val="006B7EA0"/>
    <w:rsid w:val="006C082C"/>
    <w:rsid w:val="006C0DFE"/>
    <w:rsid w:val="006C1F6F"/>
    <w:rsid w:val="006C2914"/>
    <w:rsid w:val="006C341C"/>
    <w:rsid w:val="006C3C91"/>
    <w:rsid w:val="006C3ED6"/>
    <w:rsid w:val="006C46A0"/>
    <w:rsid w:val="006C47B0"/>
    <w:rsid w:val="006C676F"/>
    <w:rsid w:val="006C68EA"/>
    <w:rsid w:val="006C7217"/>
    <w:rsid w:val="006C7B5E"/>
    <w:rsid w:val="006D017B"/>
    <w:rsid w:val="006D0736"/>
    <w:rsid w:val="006D0ECE"/>
    <w:rsid w:val="006D2CEF"/>
    <w:rsid w:val="006D2F5C"/>
    <w:rsid w:val="006D35EB"/>
    <w:rsid w:val="006D4E92"/>
    <w:rsid w:val="006D56C0"/>
    <w:rsid w:val="006D57F0"/>
    <w:rsid w:val="006D5C4A"/>
    <w:rsid w:val="006D65E4"/>
    <w:rsid w:val="006E23E7"/>
    <w:rsid w:val="006E2AD4"/>
    <w:rsid w:val="006E2F74"/>
    <w:rsid w:val="006E3EE4"/>
    <w:rsid w:val="006E5FAA"/>
    <w:rsid w:val="006E66F0"/>
    <w:rsid w:val="006E75F3"/>
    <w:rsid w:val="006E77DD"/>
    <w:rsid w:val="006F222A"/>
    <w:rsid w:val="006F3945"/>
    <w:rsid w:val="006F3A78"/>
    <w:rsid w:val="006F3EF3"/>
    <w:rsid w:val="006F5816"/>
    <w:rsid w:val="006F5CFF"/>
    <w:rsid w:val="007000EB"/>
    <w:rsid w:val="0070044D"/>
    <w:rsid w:val="007009E3"/>
    <w:rsid w:val="00700C26"/>
    <w:rsid w:val="00701269"/>
    <w:rsid w:val="007027F5"/>
    <w:rsid w:val="007032F9"/>
    <w:rsid w:val="00703900"/>
    <w:rsid w:val="00707FBF"/>
    <w:rsid w:val="0071016C"/>
    <w:rsid w:val="00710405"/>
    <w:rsid w:val="007107D2"/>
    <w:rsid w:val="007119BA"/>
    <w:rsid w:val="00711A16"/>
    <w:rsid w:val="00711B82"/>
    <w:rsid w:val="007135D5"/>
    <w:rsid w:val="007137D9"/>
    <w:rsid w:val="0071499D"/>
    <w:rsid w:val="00715183"/>
    <w:rsid w:val="007156E6"/>
    <w:rsid w:val="00720F8A"/>
    <w:rsid w:val="007213F8"/>
    <w:rsid w:val="0072357F"/>
    <w:rsid w:val="00724034"/>
    <w:rsid w:val="00724805"/>
    <w:rsid w:val="00724DD1"/>
    <w:rsid w:val="00726359"/>
    <w:rsid w:val="00727F71"/>
    <w:rsid w:val="00730104"/>
    <w:rsid w:val="00730B1F"/>
    <w:rsid w:val="007311FF"/>
    <w:rsid w:val="00732C49"/>
    <w:rsid w:val="00734D9E"/>
    <w:rsid w:val="00734E79"/>
    <w:rsid w:val="00735142"/>
    <w:rsid w:val="007351C3"/>
    <w:rsid w:val="00735403"/>
    <w:rsid w:val="007365CB"/>
    <w:rsid w:val="00736E93"/>
    <w:rsid w:val="00736EE0"/>
    <w:rsid w:val="00742F04"/>
    <w:rsid w:val="00744228"/>
    <w:rsid w:val="0074661D"/>
    <w:rsid w:val="00746FA6"/>
    <w:rsid w:val="0074704F"/>
    <w:rsid w:val="007474B1"/>
    <w:rsid w:val="00747706"/>
    <w:rsid w:val="007477E0"/>
    <w:rsid w:val="00747A80"/>
    <w:rsid w:val="0075074B"/>
    <w:rsid w:val="00750E3B"/>
    <w:rsid w:val="0075193F"/>
    <w:rsid w:val="00751C19"/>
    <w:rsid w:val="0075282A"/>
    <w:rsid w:val="007538E4"/>
    <w:rsid w:val="007560F1"/>
    <w:rsid w:val="007569CE"/>
    <w:rsid w:val="007575AC"/>
    <w:rsid w:val="00760D5C"/>
    <w:rsid w:val="00761035"/>
    <w:rsid w:val="007619F2"/>
    <w:rsid w:val="00761B89"/>
    <w:rsid w:val="00761C79"/>
    <w:rsid w:val="00762553"/>
    <w:rsid w:val="00762A76"/>
    <w:rsid w:val="00763205"/>
    <w:rsid w:val="00765AD1"/>
    <w:rsid w:val="00766658"/>
    <w:rsid w:val="00766CF8"/>
    <w:rsid w:val="00766E45"/>
    <w:rsid w:val="00767445"/>
    <w:rsid w:val="00767B63"/>
    <w:rsid w:val="00771979"/>
    <w:rsid w:val="00772098"/>
    <w:rsid w:val="00772761"/>
    <w:rsid w:val="007729AE"/>
    <w:rsid w:val="00773523"/>
    <w:rsid w:val="00774621"/>
    <w:rsid w:val="00775164"/>
    <w:rsid w:val="00775E33"/>
    <w:rsid w:val="00777143"/>
    <w:rsid w:val="007778AB"/>
    <w:rsid w:val="00777ADE"/>
    <w:rsid w:val="00781795"/>
    <w:rsid w:val="007839BD"/>
    <w:rsid w:val="007844BC"/>
    <w:rsid w:val="00785401"/>
    <w:rsid w:val="00786169"/>
    <w:rsid w:val="0078757A"/>
    <w:rsid w:val="007879C1"/>
    <w:rsid w:val="00791F01"/>
    <w:rsid w:val="007927FF"/>
    <w:rsid w:val="00793FD7"/>
    <w:rsid w:val="00794EC3"/>
    <w:rsid w:val="00795B4B"/>
    <w:rsid w:val="00796245"/>
    <w:rsid w:val="0079692F"/>
    <w:rsid w:val="007A0B00"/>
    <w:rsid w:val="007A1B66"/>
    <w:rsid w:val="007A2FDA"/>
    <w:rsid w:val="007A34EA"/>
    <w:rsid w:val="007A38F6"/>
    <w:rsid w:val="007A4DE6"/>
    <w:rsid w:val="007A7EBA"/>
    <w:rsid w:val="007B0C60"/>
    <w:rsid w:val="007B19C4"/>
    <w:rsid w:val="007B21F3"/>
    <w:rsid w:val="007B2266"/>
    <w:rsid w:val="007B2362"/>
    <w:rsid w:val="007B3A6D"/>
    <w:rsid w:val="007B3A78"/>
    <w:rsid w:val="007B3F4B"/>
    <w:rsid w:val="007B684F"/>
    <w:rsid w:val="007B7023"/>
    <w:rsid w:val="007B756C"/>
    <w:rsid w:val="007B7615"/>
    <w:rsid w:val="007B7DE3"/>
    <w:rsid w:val="007C199F"/>
    <w:rsid w:val="007C1C5C"/>
    <w:rsid w:val="007C211A"/>
    <w:rsid w:val="007C227D"/>
    <w:rsid w:val="007C3CB1"/>
    <w:rsid w:val="007C3E3B"/>
    <w:rsid w:val="007C5CEC"/>
    <w:rsid w:val="007C6090"/>
    <w:rsid w:val="007C77B4"/>
    <w:rsid w:val="007D16D5"/>
    <w:rsid w:val="007D2EDE"/>
    <w:rsid w:val="007D40E9"/>
    <w:rsid w:val="007D4BC3"/>
    <w:rsid w:val="007D4E1A"/>
    <w:rsid w:val="007D60C7"/>
    <w:rsid w:val="007D6B7A"/>
    <w:rsid w:val="007D701F"/>
    <w:rsid w:val="007D76C5"/>
    <w:rsid w:val="007E1679"/>
    <w:rsid w:val="007E1948"/>
    <w:rsid w:val="007E27FE"/>
    <w:rsid w:val="007E308C"/>
    <w:rsid w:val="007E4428"/>
    <w:rsid w:val="007E449A"/>
    <w:rsid w:val="007E4B35"/>
    <w:rsid w:val="007E4EFA"/>
    <w:rsid w:val="007E7179"/>
    <w:rsid w:val="007E733A"/>
    <w:rsid w:val="007F00D7"/>
    <w:rsid w:val="007F04E0"/>
    <w:rsid w:val="007F1B70"/>
    <w:rsid w:val="007F3DE7"/>
    <w:rsid w:val="007F45B1"/>
    <w:rsid w:val="007F49C7"/>
    <w:rsid w:val="007F5308"/>
    <w:rsid w:val="007F5D18"/>
    <w:rsid w:val="007F6EFD"/>
    <w:rsid w:val="007F6F4A"/>
    <w:rsid w:val="007F70FB"/>
    <w:rsid w:val="007F71F4"/>
    <w:rsid w:val="00800592"/>
    <w:rsid w:val="0080094E"/>
    <w:rsid w:val="00800C6D"/>
    <w:rsid w:val="00800F6C"/>
    <w:rsid w:val="008019B4"/>
    <w:rsid w:val="00801E3B"/>
    <w:rsid w:val="0080260E"/>
    <w:rsid w:val="00803EB9"/>
    <w:rsid w:val="008047A3"/>
    <w:rsid w:val="00804830"/>
    <w:rsid w:val="008050CB"/>
    <w:rsid w:val="00806680"/>
    <w:rsid w:val="008073C1"/>
    <w:rsid w:val="00807720"/>
    <w:rsid w:val="008100D0"/>
    <w:rsid w:val="00811194"/>
    <w:rsid w:val="00811A4B"/>
    <w:rsid w:val="00812E96"/>
    <w:rsid w:val="00813C2A"/>
    <w:rsid w:val="00814DDF"/>
    <w:rsid w:val="008152D6"/>
    <w:rsid w:val="00815CDE"/>
    <w:rsid w:val="00815F88"/>
    <w:rsid w:val="00817A81"/>
    <w:rsid w:val="00817F5B"/>
    <w:rsid w:val="00821994"/>
    <w:rsid w:val="00822976"/>
    <w:rsid w:val="00822D21"/>
    <w:rsid w:val="00824178"/>
    <w:rsid w:val="0082487F"/>
    <w:rsid w:val="00825A1D"/>
    <w:rsid w:val="00825D94"/>
    <w:rsid w:val="008263AC"/>
    <w:rsid w:val="008313DA"/>
    <w:rsid w:val="008325EA"/>
    <w:rsid w:val="008334DC"/>
    <w:rsid w:val="008335C4"/>
    <w:rsid w:val="00833683"/>
    <w:rsid w:val="008337F9"/>
    <w:rsid w:val="00834001"/>
    <w:rsid w:val="00834300"/>
    <w:rsid w:val="0083455E"/>
    <w:rsid w:val="008349A4"/>
    <w:rsid w:val="00834F13"/>
    <w:rsid w:val="00835760"/>
    <w:rsid w:val="008363B5"/>
    <w:rsid w:val="008372BC"/>
    <w:rsid w:val="00840645"/>
    <w:rsid w:val="00841A1C"/>
    <w:rsid w:val="008421B5"/>
    <w:rsid w:val="00842A82"/>
    <w:rsid w:val="00843233"/>
    <w:rsid w:val="008444EF"/>
    <w:rsid w:val="00845E78"/>
    <w:rsid w:val="00845F61"/>
    <w:rsid w:val="00846FC2"/>
    <w:rsid w:val="008503CC"/>
    <w:rsid w:val="00850D10"/>
    <w:rsid w:val="00850EF0"/>
    <w:rsid w:val="00851510"/>
    <w:rsid w:val="008529BC"/>
    <w:rsid w:val="008543B5"/>
    <w:rsid w:val="00855749"/>
    <w:rsid w:val="008566F3"/>
    <w:rsid w:val="00856B03"/>
    <w:rsid w:val="00857566"/>
    <w:rsid w:val="008578AF"/>
    <w:rsid w:val="00857CB6"/>
    <w:rsid w:val="008601DF"/>
    <w:rsid w:val="00861C74"/>
    <w:rsid w:val="00862646"/>
    <w:rsid w:val="00862711"/>
    <w:rsid w:val="00862E5C"/>
    <w:rsid w:val="00863347"/>
    <w:rsid w:val="0086547F"/>
    <w:rsid w:val="00865FC7"/>
    <w:rsid w:val="008661A7"/>
    <w:rsid w:val="00866343"/>
    <w:rsid w:val="00866F41"/>
    <w:rsid w:val="00867088"/>
    <w:rsid w:val="00871F06"/>
    <w:rsid w:val="008721F6"/>
    <w:rsid w:val="0087250F"/>
    <w:rsid w:val="00872CFE"/>
    <w:rsid w:val="00873AFB"/>
    <w:rsid w:val="00874ACE"/>
    <w:rsid w:val="008751CF"/>
    <w:rsid w:val="0087528D"/>
    <w:rsid w:val="00875823"/>
    <w:rsid w:val="0087660A"/>
    <w:rsid w:val="00877C4B"/>
    <w:rsid w:val="0088109C"/>
    <w:rsid w:val="00883740"/>
    <w:rsid w:val="00883E5A"/>
    <w:rsid w:val="0088441A"/>
    <w:rsid w:val="008854ED"/>
    <w:rsid w:val="00886EE9"/>
    <w:rsid w:val="00886F93"/>
    <w:rsid w:val="00887748"/>
    <w:rsid w:val="00887D49"/>
    <w:rsid w:val="00890C58"/>
    <w:rsid w:val="00891315"/>
    <w:rsid w:val="0089236D"/>
    <w:rsid w:val="00892EEC"/>
    <w:rsid w:val="00894620"/>
    <w:rsid w:val="00894700"/>
    <w:rsid w:val="00894771"/>
    <w:rsid w:val="0089538C"/>
    <w:rsid w:val="0089562B"/>
    <w:rsid w:val="00895790"/>
    <w:rsid w:val="00896EFC"/>
    <w:rsid w:val="00897AC4"/>
    <w:rsid w:val="00897C20"/>
    <w:rsid w:val="008A05A1"/>
    <w:rsid w:val="008A0F08"/>
    <w:rsid w:val="008A195C"/>
    <w:rsid w:val="008A1C1E"/>
    <w:rsid w:val="008A49E3"/>
    <w:rsid w:val="008A56DB"/>
    <w:rsid w:val="008A6D01"/>
    <w:rsid w:val="008A7AAB"/>
    <w:rsid w:val="008B124F"/>
    <w:rsid w:val="008B1B3C"/>
    <w:rsid w:val="008B2984"/>
    <w:rsid w:val="008B3B9B"/>
    <w:rsid w:val="008B47EB"/>
    <w:rsid w:val="008B551B"/>
    <w:rsid w:val="008B59B6"/>
    <w:rsid w:val="008B6E76"/>
    <w:rsid w:val="008B757F"/>
    <w:rsid w:val="008B7911"/>
    <w:rsid w:val="008B7E63"/>
    <w:rsid w:val="008C0FA0"/>
    <w:rsid w:val="008C1846"/>
    <w:rsid w:val="008C1FC9"/>
    <w:rsid w:val="008C280F"/>
    <w:rsid w:val="008C3448"/>
    <w:rsid w:val="008C48AD"/>
    <w:rsid w:val="008C4FC5"/>
    <w:rsid w:val="008C50EC"/>
    <w:rsid w:val="008C52B9"/>
    <w:rsid w:val="008C550B"/>
    <w:rsid w:val="008C5570"/>
    <w:rsid w:val="008C5F3C"/>
    <w:rsid w:val="008C7556"/>
    <w:rsid w:val="008C76CE"/>
    <w:rsid w:val="008C78AB"/>
    <w:rsid w:val="008C7EA6"/>
    <w:rsid w:val="008D09D6"/>
    <w:rsid w:val="008D17C4"/>
    <w:rsid w:val="008D1DC1"/>
    <w:rsid w:val="008D1F89"/>
    <w:rsid w:val="008D2495"/>
    <w:rsid w:val="008D29C0"/>
    <w:rsid w:val="008D2C23"/>
    <w:rsid w:val="008D32B5"/>
    <w:rsid w:val="008D3A8B"/>
    <w:rsid w:val="008D3D6D"/>
    <w:rsid w:val="008D4258"/>
    <w:rsid w:val="008D4628"/>
    <w:rsid w:val="008D4B07"/>
    <w:rsid w:val="008D4BC8"/>
    <w:rsid w:val="008D539E"/>
    <w:rsid w:val="008D5E75"/>
    <w:rsid w:val="008E0461"/>
    <w:rsid w:val="008E1145"/>
    <w:rsid w:val="008E180B"/>
    <w:rsid w:val="008E190D"/>
    <w:rsid w:val="008E1ACD"/>
    <w:rsid w:val="008E21CF"/>
    <w:rsid w:val="008E2694"/>
    <w:rsid w:val="008E2F9E"/>
    <w:rsid w:val="008E3959"/>
    <w:rsid w:val="008E55CE"/>
    <w:rsid w:val="008E5CAA"/>
    <w:rsid w:val="008E677E"/>
    <w:rsid w:val="008E6F65"/>
    <w:rsid w:val="008F0BC0"/>
    <w:rsid w:val="008F13E0"/>
    <w:rsid w:val="008F1C63"/>
    <w:rsid w:val="008F2355"/>
    <w:rsid w:val="008F2665"/>
    <w:rsid w:val="008F3C4B"/>
    <w:rsid w:val="008F4524"/>
    <w:rsid w:val="008F4C79"/>
    <w:rsid w:val="008F56AC"/>
    <w:rsid w:val="008F67E3"/>
    <w:rsid w:val="008F6A53"/>
    <w:rsid w:val="008F78E4"/>
    <w:rsid w:val="00900461"/>
    <w:rsid w:val="009006A6"/>
    <w:rsid w:val="009015FC"/>
    <w:rsid w:val="009019F8"/>
    <w:rsid w:val="00902268"/>
    <w:rsid w:val="0090283E"/>
    <w:rsid w:val="009048CC"/>
    <w:rsid w:val="0090500D"/>
    <w:rsid w:val="00905E6B"/>
    <w:rsid w:val="00906647"/>
    <w:rsid w:val="009077A2"/>
    <w:rsid w:val="0090785D"/>
    <w:rsid w:val="0091045C"/>
    <w:rsid w:val="00910EA6"/>
    <w:rsid w:val="0091146A"/>
    <w:rsid w:val="00911A5F"/>
    <w:rsid w:val="00911EBA"/>
    <w:rsid w:val="00911FFF"/>
    <w:rsid w:val="00912977"/>
    <w:rsid w:val="00912B65"/>
    <w:rsid w:val="0091305E"/>
    <w:rsid w:val="009132B3"/>
    <w:rsid w:val="009141FB"/>
    <w:rsid w:val="009144AC"/>
    <w:rsid w:val="009151C0"/>
    <w:rsid w:val="0091707D"/>
    <w:rsid w:val="009170E5"/>
    <w:rsid w:val="00917985"/>
    <w:rsid w:val="00920577"/>
    <w:rsid w:val="009207FF"/>
    <w:rsid w:val="00921225"/>
    <w:rsid w:val="009217F2"/>
    <w:rsid w:val="00922190"/>
    <w:rsid w:val="00922955"/>
    <w:rsid w:val="00923471"/>
    <w:rsid w:val="0092408B"/>
    <w:rsid w:val="009241B2"/>
    <w:rsid w:val="0092490A"/>
    <w:rsid w:val="00924B55"/>
    <w:rsid w:val="00924ED2"/>
    <w:rsid w:val="009266D1"/>
    <w:rsid w:val="00927580"/>
    <w:rsid w:val="0093070F"/>
    <w:rsid w:val="0093072C"/>
    <w:rsid w:val="00930CCA"/>
    <w:rsid w:val="00932718"/>
    <w:rsid w:val="00933C64"/>
    <w:rsid w:val="00935227"/>
    <w:rsid w:val="009359B2"/>
    <w:rsid w:val="00936720"/>
    <w:rsid w:val="00937B28"/>
    <w:rsid w:val="009410FF"/>
    <w:rsid w:val="00941709"/>
    <w:rsid w:val="009424AF"/>
    <w:rsid w:val="009426A8"/>
    <w:rsid w:val="009429CB"/>
    <w:rsid w:val="0094323D"/>
    <w:rsid w:val="00944AD5"/>
    <w:rsid w:val="0094500B"/>
    <w:rsid w:val="0094673A"/>
    <w:rsid w:val="00950034"/>
    <w:rsid w:val="00950076"/>
    <w:rsid w:val="00950CF4"/>
    <w:rsid w:val="00951585"/>
    <w:rsid w:val="00951987"/>
    <w:rsid w:val="009535FE"/>
    <w:rsid w:val="0095373C"/>
    <w:rsid w:val="00953821"/>
    <w:rsid w:val="0095518C"/>
    <w:rsid w:val="009557AF"/>
    <w:rsid w:val="0095696A"/>
    <w:rsid w:val="00957483"/>
    <w:rsid w:val="009609F3"/>
    <w:rsid w:val="00960B22"/>
    <w:rsid w:val="009633DF"/>
    <w:rsid w:val="009637D1"/>
    <w:rsid w:val="009641D9"/>
    <w:rsid w:val="009647BC"/>
    <w:rsid w:val="00964D8D"/>
    <w:rsid w:val="00966095"/>
    <w:rsid w:val="00966110"/>
    <w:rsid w:val="00971678"/>
    <w:rsid w:val="00971A30"/>
    <w:rsid w:val="009722EA"/>
    <w:rsid w:val="009724F3"/>
    <w:rsid w:val="009725ED"/>
    <w:rsid w:val="00974186"/>
    <w:rsid w:val="00974580"/>
    <w:rsid w:val="00974A66"/>
    <w:rsid w:val="00974BD5"/>
    <w:rsid w:val="0097557D"/>
    <w:rsid w:val="00975710"/>
    <w:rsid w:val="009763BA"/>
    <w:rsid w:val="00976CCE"/>
    <w:rsid w:val="00977A97"/>
    <w:rsid w:val="0098081B"/>
    <w:rsid w:val="00980BA3"/>
    <w:rsid w:val="0098202E"/>
    <w:rsid w:val="0098291F"/>
    <w:rsid w:val="009840BA"/>
    <w:rsid w:val="00984B0F"/>
    <w:rsid w:val="009853B0"/>
    <w:rsid w:val="0098630E"/>
    <w:rsid w:val="009867A0"/>
    <w:rsid w:val="00986CF0"/>
    <w:rsid w:val="00987412"/>
    <w:rsid w:val="00990C83"/>
    <w:rsid w:val="00990FCB"/>
    <w:rsid w:val="00991648"/>
    <w:rsid w:val="009916C3"/>
    <w:rsid w:val="00991EB1"/>
    <w:rsid w:val="009950F1"/>
    <w:rsid w:val="00995DBF"/>
    <w:rsid w:val="00996BB9"/>
    <w:rsid w:val="00997E3C"/>
    <w:rsid w:val="009A1404"/>
    <w:rsid w:val="009A1D3B"/>
    <w:rsid w:val="009A213D"/>
    <w:rsid w:val="009A2DA7"/>
    <w:rsid w:val="009A2EE5"/>
    <w:rsid w:val="009A3179"/>
    <w:rsid w:val="009A3A2E"/>
    <w:rsid w:val="009A404B"/>
    <w:rsid w:val="009A6C57"/>
    <w:rsid w:val="009A746C"/>
    <w:rsid w:val="009B125B"/>
    <w:rsid w:val="009B2706"/>
    <w:rsid w:val="009B27AA"/>
    <w:rsid w:val="009B4D00"/>
    <w:rsid w:val="009B5D43"/>
    <w:rsid w:val="009B714A"/>
    <w:rsid w:val="009B750A"/>
    <w:rsid w:val="009C0DDF"/>
    <w:rsid w:val="009C1419"/>
    <w:rsid w:val="009C16A0"/>
    <w:rsid w:val="009C2478"/>
    <w:rsid w:val="009C3F1F"/>
    <w:rsid w:val="009C46BB"/>
    <w:rsid w:val="009C4950"/>
    <w:rsid w:val="009C4A59"/>
    <w:rsid w:val="009C4F84"/>
    <w:rsid w:val="009C52AE"/>
    <w:rsid w:val="009C5AAA"/>
    <w:rsid w:val="009C680A"/>
    <w:rsid w:val="009D2E30"/>
    <w:rsid w:val="009D3353"/>
    <w:rsid w:val="009D3AB2"/>
    <w:rsid w:val="009D3F70"/>
    <w:rsid w:val="009D4278"/>
    <w:rsid w:val="009D474C"/>
    <w:rsid w:val="009D4D93"/>
    <w:rsid w:val="009D53E2"/>
    <w:rsid w:val="009D635E"/>
    <w:rsid w:val="009D6F43"/>
    <w:rsid w:val="009E04F3"/>
    <w:rsid w:val="009E2030"/>
    <w:rsid w:val="009E2780"/>
    <w:rsid w:val="009E5331"/>
    <w:rsid w:val="009E56DF"/>
    <w:rsid w:val="009E5CCC"/>
    <w:rsid w:val="009E6D4E"/>
    <w:rsid w:val="009E767E"/>
    <w:rsid w:val="009F0221"/>
    <w:rsid w:val="009F1932"/>
    <w:rsid w:val="009F1BA0"/>
    <w:rsid w:val="009F3C65"/>
    <w:rsid w:val="009F41BD"/>
    <w:rsid w:val="009F434B"/>
    <w:rsid w:val="009F46AE"/>
    <w:rsid w:val="009F63E1"/>
    <w:rsid w:val="009F77B8"/>
    <w:rsid w:val="00A004D0"/>
    <w:rsid w:val="00A00861"/>
    <w:rsid w:val="00A00BC6"/>
    <w:rsid w:val="00A01210"/>
    <w:rsid w:val="00A02129"/>
    <w:rsid w:val="00A02525"/>
    <w:rsid w:val="00A0284D"/>
    <w:rsid w:val="00A0386B"/>
    <w:rsid w:val="00A03A0E"/>
    <w:rsid w:val="00A045B5"/>
    <w:rsid w:val="00A060B6"/>
    <w:rsid w:val="00A0738F"/>
    <w:rsid w:val="00A07D2B"/>
    <w:rsid w:val="00A10CDA"/>
    <w:rsid w:val="00A11C19"/>
    <w:rsid w:val="00A11CA0"/>
    <w:rsid w:val="00A12B36"/>
    <w:rsid w:val="00A12E4E"/>
    <w:rsid w:val="00A13CCB"/>
    <w:rsid w:val="00A15ED3"/>
    <w:rsid w:val="00A16158"/>
    <w:rsid w:val="00A16B88"/>
    <w:rsid w:val="00A173EC"/>
    <w:rsid w:val="00A20360"/>
    <w:rsid w:val="00A21642"/>
    <w:rsid w:val="00A2181F"/>
    <w:rsid w:val="00A21BBE"/>
    <w:rsid w:val="00A22AB2"/>
    <w:rsid w:val="00A22CE5"/>
    <w:rsid w:val="00A2312C"/>
    <w:rsid w:val="00A23903"/>
    <w:rsid w:val="00A2394B"/>
    <w:rsid w:val="00A239ED"/>
    <w:rsid w:val="00A23B48"/>
    <w:rsid w:val="00A24D50"/>
    <w:rsid w:val="00A25B46"/>
    <w:rsid w:val="00A26FDB"/>
    <w:rsid w:val="00A2736D"/>
    <w:rsid w:val="00A30A1C"/>
    <w:rsid w:val="00A31307"/>
    <w:rsid w:val="00A32398"/>
    <w:rsid w:val="00A32A25"/>
    <w:rsid w:val="00A33016"/>
    <w:rsid w:val="00A33713"/>
    <w:rsid w:val="00A33889"/>
    <w:rsid w:val="00A339F4"/>
    <w:rsid w:val="00A353EC"/>
    <w:rsid w:val="00A353F2"/>
    <w:rsid w:val="00A35683"/>
    <w:rsid w:val="00A356A5"/>
    <w:rsid w:val="00A356B4"/>
    <w:rsid w:val="00A358C6"/>
    <w:rsid w:val="00A3677B"/>
    <w:rsid w:val="00A37712"/>
    <w:rsid w:val="00A40A91"/>
    <w:rsid w:val="00A419DA"/>
    <w:rsid w:val="00A42014"/>
    <w:rsid w:val="00A429D4"/>
    <w:rsid w:val="00A43B2E"/>
    <w:rsid w:val="00A43DAD"/>
    <w:rsid w:val="00A4446D"/>
    <w:rsid w:val="00A46548"/>
    <w:rsid w:val="00A47DBE"/>
    <w:rsid w:val="00A502D6"/>
    <w:rsid w:val="00A51975"/>
    <w:rsid w:val="00A51E99"/>
    <w:rsid w:val="00A527B5"/>
    <w:rsid w:val="00A52F9A"/>
    <w:rsid w:val="00A54B50"/>
    <w:rsid w:val="00A56400"/>
    <w:rsid w:val="00A5682B"/>
    <w:rsid w:val="00A578D8"/>
    <w:rsid w:val="00A57936"/>
    <w:rsid w:val="00A60761"/>
    <w:rsid w:val="00A621B4"/>
    <w:rsid w:val="00A63B0B"/>
    <w:rsid w:val="00A654F2"/>
    <w:rsid w:val="00A657C8"/>
    <w:rsid w:val="00A66066"/>
    <w:rsid w:val="00A663F3"/>
    <w:rsid w:val="00A66554"/>
    <w:rsid w:val="00A67029"/>
    <w:rsid w:val="00A67E25"/>
    <w:rsid w:val="00A700EB"/>
    <w:rsid w:val="00A70A6A"/>
    <w:rsid w:val="00A7155A"/>
    <w:rsid w:val="00A72E35"/>
    <w:rsid w:val="00A7419B"/>
    <w:rsid w:val="00A757F3"/>
    <w:rsid w:val="00A759AE"/>
    <w:rsid w:val="00A75DD8"/>
    <w:rsid w:val="00A77FF0"/>
    <w:rsid w:val="00A80761"/>
    <w:rsid w:val="00A83578"/>
    <w:rsid w:val="00A83E28"/>
    <w:rsid w:val="00A84610"/>
    <w:rsid w:val="00A8522F"/>
    <w:rsid w:val="00A85992"/>
    <w:rsid w:val="00A85CC8"/>
    <w:rsid w:val="00A8609A"/>
    <w:rsid w:val="00A86245"/>
    <w:rsid w:val="00A8647D"/>
    <w:rsid w:val="00A872EA"/>
    <w:rsid w:val="00A919B6"/>
    <w:rsid w:val="00A92C9A"/>
    <w:rsid w:val="00A92FEC"/>
    <w:rsid w:val="00A932AA"/>
    <w:rsid w:val="00A95707"/>
    <w:rsid w:val="00A968FE"/>
    <w:rsid w:val="00AA06B9"/>
    <w:rsid w:val="00AA1386"/>
    <w:rsid w:val="00AA1B5A"/>
    <w:rsid w:val="00AA3E57"/>
    <w:rsid w:val="00AA42E3"/>
    <w:rsid w:val="00AA46E3"/>
    <w:rsid w:val="00AA48C5"/>
    <w:rsid w:val="00AA5004"/>
    <w:rsid w:val="00AA51B4"/>
    <w:rsid w:val="00AA674E"/>
    <w:rsid w:val="00AA7A0D"/>
    <w:rsid w:val="00AB2B7C"/>
    <w:rsid w:val="00AB305D"/>
    <w:rsid w:val="00AB344C"/>
    <w:rsid w:val="00AB4CBF"/>
    <w:rsid w:val="00AB567D"/>
    <w:rsid w:val="00AB5B99"/>
    <w:rsid w:val="00AB62E0"/>
    <w:rsid w:val="00AC0AE3"/>
    <w:rsid w:val="00AC0FAC"/>
    <w:rsid w:val="00AC1D1D"/>
    <w:rsid w:val="00AC4189"/>
    <w:rsid w:val="00AC4335"/>
    <w:rsid w:val="00AC497F"/>
    <w:rsid w:val="00AC514A"/>
    <w:rsid w:val="00AC5590"/>
    <w:rsid w:val="00AC600B"/>
    <w:rsid w:val="00AC684B"/>
    <w:rsid w:val="00AC6CFF"/>
    <w:rsid w:val="00AC71EF"/>
    <w:rsid w:val="00AC7E58"/>
    <w:rsid w:val="00AC7FAF"/>
    <w:rsid w:val="00AD07BD"/>
    <w:rsid w:val="00AD0D32"/>
    <w:rsid w:val="00AD15A4"/>
    <w:rsid w:val="00AD1ED0"/>
    <w:rsid w:val="00AD20B7"/>
    <w:rsid w:val="00AD2E6C"/>
    <w:rsid w:val="00AD360E"/>
    <w:rsid w:val="00AD4536"/>
    <w:rsid w:val="00AD5546"/>
    <w:rsid w:val="00AD75CB"/>
    <w:rsid w:val="00AE034F"/>
    <w:rsid w:val="00AE09BE"/>
    <w:rsid w:val="00AE0C48"/>
    <w:rsid w:val="00AE5353"/>
    <w:rsid w:val="00AE5F17"/>
    <w:rsid w:val="00AE6298"/>
    <w:rsid w:val="00AE6417"/>
    <w:rsid w:val="00AE6A6D"/>
    <w:rsid w:val="00AE6C12"/>
    <w:rsid w:val="00AE70E7"/>
    <w:rsid w:val="00AE71A6"/>
    <w:rsid w:val="00AE71C6"/>
    <w:rsid w:val="00AF109E"/>
    <w:rsid w:val="00AF1275"/>
    <w:rsid w:val="00AF1764"/>
    <w:rsid w:val="00AF1CFC"/>
    <w:rsid w:val="00AF23C5"/>
    <w:rsid w:val="00AF297A"/>
    <w:rsid w:val="00AF2D4C"/>
    <w:rsid w:val="00AF36EE"/>
    <w:rsid w:val="00AF3F72"/>
    <w:rsid w:val="00AF5555"/>
    <w:rsid w:val="00AF564C"/>
    <w:rsid w:val="00AF57A6"/>
    <w:rsid w:val="00AF7396"/>
    <w:rsid w:val="00B009CC"/>
    <w:rsid w:val="00B00E48"/>
    <w:rsid w:val="00B01BD3"/>
    <w:rsid w:val="00B01D36"/>
    <w:rsid w:val="00B01F50"/>
    <w:rsid w:val="00B02F69"/>
    <w:rsid w:val="00B03AF7"/>
    <w:rsid w:val="00B07B27"/>
    <w:rsid w:val="00B10A59"/>
    <w:rsid w:val="00B10F1A"/>
    <w:rsid w:val="00B114E1"/>
    <w:rsid w:val="00B12350"/>
    <w:rsid w:val="00B12382"/>
    <w:rsid w:val="00B124E2"/>
    <w:rsid w:val="00B12FA6"/>
    <w:rsid w:val="00B13D53"/>
    <w:rsid w:val="00B16574"/>
    <w:rsid w:val="00B17FAA"/>
    <w:rsid w:val="00B20396"/>
    <w:rsid w:val="00B2327F"/>
    <w:rsid w:val="00B2377D"/>
    <w:rsid w:val="00B23C1A"/>
    <w:rsid w:val="00B23EB7"/>
    <w:rsid w:val="00B244F6"/>
    <w:rsid w:val="00B255EF"/>
    <w:rsid w:val="00B278C6"/>
    <w:rsid w:val="00B27A36"/>
    <w:rsid w:val="00B30E23"/>
    <w:rsid w:val="00B31231"/>
    <w:rsid w:val="00B3163D"/>
    <w:rsid w:val="00B32035"/>
    <w:rsid w:val="00B32909"/>
    <w:rsid w:val="00B33024"/>
    <w:rsid w:val="00B34D85"/>
    <w:rsid w:val="00B361CB"/>
    <w:rsid w:val="00B36425"/>
    <w:rsid w:val="00B3644C"/>
    <w:rsid w:val="00B366B3"/>
    <w:rsid w:val="00B36A01"/>
    <w:rsid w:val="00B37870"/>
    <w:rsid w:val="00B37BA2"/>
    <w:rsid w:val="00B42F2B"/>
    <w:rsid w:val="00B43772"/>
    <w:rsid w:val="00B4384E"/>
    <w:rsid w:val="00B4384F"/>
    <w:rsid w:val="00B43CA9"/>
    <w:rsid w:val="00B43E88"/>
    <w:rsid w:val="00B44426"/>
    <w:rsid w:val="00B445D8"/>
    <w:rsid w:val="00B4469C"/>
    <w:rsid w:val="00B451FD"/>
    <w:rsid w:val="00B46ED7"/>
    <w:rsid w:val="00B50D79"/>
    <w:rsid w:val="00B51880"/>
    <w:rsid w:val="00B52653"/>
    <w:rsid w:val="00B54347"/>
    <w:rsid w:val="00B54761"/>
    <w:rsid w:val="00B54E1F"/>
    <w:rsid w:val="00B55518"/>
    <w:rsid w:val="00B558FA"/>
    <w:rsid w:val="00B55924"/>
    <w:rsid w:val="00B5604A"/>
    <w:rsid w:val="00B5616F"/>
    <w:rsid w:val="00B574E8"/>
    <w:rsid w:val="00B575E1"/>
    <w:rsid w:val="00B57785"/>
    <w:rsid w:val="00B62B9A"/>
    <w:rsid w:val="00B62D48"/>
    <w:rsid w:val="00B62DD8"/>
    <w:rsid w:val="00B6349C"/>
    <w:rsid w:val="00B63DD9"/>
    <w:rsid w:val="00B64A9F"/>
    <w:rsid w:val="00B6505F"/>
    <w:rsid w:val="00B6696F"/>
    <w:rsid w:val="00B67170"/>
    <w:rsid w:val="00B672C6"/>
    <w:rsid w:val="00B675AB"/>
    <w:rsid w:val="00B70D5B"/>
    <w:rsid w:val="00B73526"/>
    <w:rsid w:val="00B73E6A"/>
    <w:rsid w:val="00B74874"/>
    <w:rsid w:val="00B74A4F"/>
    <w:rsid w:val="00B75AA4"/>
    <w:rsid w:val="00B76399"/>
    <w:rsid w:val="00B7648F"/>
    <w:rsid w:val="00B76FC7"/>
    <w:rsid w:val="00B81786"/>
    <w:rsid w:val="00B82348"/>
    <w:rsid w:val="00B824C8"/>
    <w:rsid w:val="00B82907"/>
    <w:rsid w:val="00B83913"/>
    <w:rsid w:val="00B83C25"/>
    <w:rsid w:val="00B8460D"/>
    <w:rsid w:val="00B84A04"/>
    <w:rsid w:val="00B85208"/>
    <w:rsid w:val="00B85A75"/>
    <w:rsid w:val="00B86182"/>
    <w:rsid w:val="00B86E58"/>
    <w:rsid w:val="00B86F73"/>
    <w:rsid w:val="00B871DE"/>
    <w:rsid w:val="00B87865"/>
    <w:rsid w:val="00B91556"/>
    <w:rsid w:val="00B9177B"/>
    <w:rsid w:val="00B926A3"/>
    <w:rsid w:val="00B929A1"/>
    <w:rsid w:val="00B934DB"/>
    <w:rsid w:val="00B93FB4"/>
    <w:rsid w:val="00B94993"/>
    <w:rsid w:val="00B964E8"/>
    <w:rsid w:val="00B9722E"/>
    <w:rsid w:val="00B978AF"/>
    <w:rsid w:val="00B97975"/>
    <w:rsid w:val="00B97AE4"/>
    <w:rsid w:val="00BA0027"/>
    <w:rsid w:val="00BA0A2B"/>
    <w:rsid w:val="00BA0B48"/>
    <w:rsid w:val="00BA1161"/>
    <w:rsid w:val="00BA1A3C"/>
    <w:rsid w:val="00BA1DED"/>
    <w:rsid w:val="00BA23B2"/>
    <w:rsid w:val="00BA485C"/>
    <w:rsid w:val="00BA4A33"/>
    <w:rsid w:val="00BA655B"/>
    <w:rsid w:val="00BA7573"/>
    <w:rsid w:val="00BA7C85"/>
    <w:rsid w:val="00BA7C8C"/>
    <w:rsid w:val="00BA7DAD"/>
    <w:rsid w:val="00BB0395"/>
    <w:rsid w:val="00BB132D"/>
    <w:rsid w:val="00BB15E5"/>
    <w:rsid w:val="00BB19FE"/>
    <w:rsid w:val="00BB2A4F"/>
    <w:rsid w:val="00BB3351"/>
    <w:rsid w:val="00BB3360"/>
    <w:rsid w:val="00BB3C16"/>
    <w:rsid w:val="00BB4218"/>
    <w:rsid w:val="00BB4613"/>
    <w:rsid w:val="00BB5FDD"/>
    <w:rsid w:val="00BB6027"/>
    <w:rsid w:val="00BB60EA"/>
    <w:rsid w:val="00BB6648"/>
    <w:rsid w:val="00BB6CCB"/>
    <w:rsid w:val="00BC06CE"/>
    <w:rsid w:val="00BC0E1C"/>
    <w:rsid w:val="00BC1723"/>
    <w:rsid w:val="00BC20C9"/>
    <w:rsid w:val="00BC20D2"/>
    <w:rsid w:val="00BC26EC"/>
    <w:rsid w:val="00BC29C4"/>
    <w:rsid w:val="00BC40B8"/>
    <w:rsid w:val="00BC500B"/>
    <w:rsid w:val="00BC673C"/>
    <w:rsid w:val="00BC6A11"/>
    <w:rsid w:val="00BD1000"/>
    <w:rsid w:val="00BD19B0"/>
    <w:rsid w:val="00BD3973"/>
    <w:rsid w:val="00BD3B2C"/>
    <w:rsid w:val="00BD3DCA"/>
    <w:rsid w:val="00BD4348"/>
    <w:rsid w:val="00BD4832"/>
    <w:rsid w:val="00BD56F9"/>
    <w:rsid w:val="00BD5C20"/>
    <w:rsid w:val="00BD5C25"/>
    <w:rsid w:val="00BD6068"/>
    <w:rsid w:val="00BD74A4"/>
    <w:rsid w:val="00BE15AD"/>
    <w:rsid w:val="00BE3ABC"/>
    <w:rsid w:val="00BE4644"/>
    <w:rsid w:val="00BE78F5"/>
    <w:rsid w:val="00BF054B"/>
    <w:rsid w:val="00BF1DBC"/>
    <w:rsid w:val="00BF263C"/>
    <w:rsid w:val="00BF30B2"/>
    <w:rsid w:val="00BF385B"/>
    <w:rsid w:val="00BF539C"/>
    <w:rsid w:val="00BF580F"/>
    <w:rsid w:val="00BF5A62"/>
    <w:rsid w:val="00C003A8"/>
    <w:rsid w:val="00C02226"/>
    <w:rsid w:val="00C02A4D"/>
    <w:rsid w:val="00C03451"/>
    <w:rsid w:val="00C06534"/>
    <w:rsid w:val="00C072BA"/>
    <w:rsid w:val="00C07915"/>
    <w:rsid w:val="00C125DA"/>
    <w:rsid w:val="00C1323B"/>
    <w:rsid w:val="00C1392A"/>
    <w:rsid w:val="00C1514E"/>
    <w:rsid w:val="00C156B0"/>
    <w:rsid w:val="00C160CE"/>
    <w:rsid w:val="00C16FE4"/>
    <w:rsid w:val="00C1712B"/>
    <w:rsid w:val="00C20E57"/>
    <w:rsid w:val="00C21283"/>
    <w:rsid w:val="00C22638"/>
    <w:rsid w:val="00C24172"/>
    <w:rsid w:val="00C244BC"/>
    <w:rsid w:val="00C24E3F"/>
    <w:rsid w:val="00C25193"/>
    <w:rsid w:val="00C25BB2"/>
    <w:rsid w:val="00C26FD1"/>
    <w:rsid w:val="00C27E1A"/>
    <w:rsid w:val="00C32C2C"/>
    <w:rsid w:val="00C32EBF"/>
    <w:rsid w:val="00C35396"/>
    <w:rsid w:val="00C3546F"/>
    <w:rsid w:val="00C36C5C"/>
    <w:rsid w:val="00C37377"/>
    <w:rsid w:val="00C3767B"/>
    <w:rsid w:val="00C37D03"/>
    <w:rsid w:val="00C37D2B"/>
    <w:rsid w:val="00C40203"/>
    <w:rsid w:val="00C4160A"/>
    <w:rsid w:val="00C4180D"/>
    <w:rsid w:val="00C426B5"/>
    <w:rsid w:val="00C42D7B"/>
    <w:rsid w:val="00C439DE"/>
    <w:rsid w:val="00C45F80"/>
    <w:rsid w:val="00C46CBF"/>
    <w:rsid w:val="00C47B7A"/>
    <w:rsid w:val="00C50105"/>
    <w:rsid w:val="00C518CB"/>
    <w:rsid w:val="00C519F7"/>
    <w:rsid w:val="00C51AD2"/>
    <w:rsid w:val="00C51B10"/>
    <w:rsid w:val="00C51D85"/>
    <w:rsid w:val="00C52BED"/>
    <w:rsid w:val="00C5334D"/>
    <w:rsid w:val="00C53387"/>
    <w:rsid w:val="00C54C7C"/>
    <w:rsid w:val="00C55F10"/>
    <w:rsid w:val="00C5618B"/>
    <w:rsid w:val="00C56750"/>
    <w:rsid w:val="00C56DC4"/>
    <w:rsid w:val="00C56F61"/>
    <w:rsid w:val="00C575D4"/>
    <w:rsid w:val="00C57646"/>
    <w:rsid w:val="00C5781A"/>
    <w:rsid w:val="00C60560"/>
    <w:rsid w:val="00C60C7E"/>
    <w:rsid w:val="00C61551"/>
    <w:rsid w:val="00C61B59"/>
    <w:rsid w:val="00C64FEB"/>
    <w:rsid w:val="00C66AB6"/>
    <w:rsid w:val="00C67FD6"/>
    <w:rsid w:val="00C700CE"/>
    <w:rsid w:val="00C7172C"/>
    <w:rsid w:val="00C72423"/>
    <w:rsid w:val="00C72726"/>
    <w:rsid w:val="00C73F10"/>
    <w:rsid w:val="00C74D2E"/>
    <w:rsid w:val="00C74DF7"/>
    <w:rsid w:val="00C7514B"/>
    <w:rsid w:val="00C77592"/>
    <w:rsid w:val="00C77F49"/>
    <w:rsid w:val="00C80840"/>
    <w:rsid w:val="00C80D6D"/>
    <w:rsid w:val="00C81AE8"/>
    <w:rsid w:val="00C81CC4"/>
    <w:rsid w:val="00C81DE4"/>
    <w:rsid w:val="00C829C7"/>
    <w:rsid w:val="00C82F80"/>
    <w:rsid w:val="00C83BFE"/>
    <w:rsid w:val="00C83F6B"/>
    <w:rsid w:val="00C8429D"/>
    <w:rsid w:val="00C84750"/>
    <w:rsid w:val="00C86476"/>
    <w:rsid w:val="00C86478"/>
    <w:rsid w:val="00C86B2B"/>
    <w:rsid w:val="00C86E68"/>
    <w:rsid w:val="00C87060"/>
    <w:rsid w:val="00C90BE3"/>
    <w:rsid w:val="00C90D3A"/>
    <w:rsid w:val="00C914DF"/>
    <w:rsid w:val="00C92CD5"/>
    <w:rsid w:val="00C935C7"/>
    <w:rsid w:val="00C93A37"/>
    <w:rsid w:val="00C93A7C"/>
    <w:rsid w:val="00C93F52"/>
    <w:rsid w:val="00C94AE7"/>
    <w:rsid w:val="00C9510D"/>
    <w:rsid w:val="00C958D8"/>
    <w:rsid w:val="00C976A7"/>
    <w:rsid w:val="00CA083B"/>
    <w:rsid w:val="00CA13F5"/>
    <w:rsid w:val="00CA3704"/>
    <w:rsid w:val="00CA4450"/>
    <w:rsid w:val="00CA7485"/>
    <w:rsid w:val="00CB1508"/>
    <w:rsid w:val="00CB47C5"/>
    <w:rsid w:val="00CB485D"/>
    <w:rsid w:val="00CB4C50"/>
    <w:rsid w:val="00CB535B"/>
    <w:rsid w:val="00CB54B6"/>
    <w:rsid w:val="00CB65F3"/>
    <w:rsid w:val="00CC0D57"/>
    <w:rsid w:val="00CC175E"/>
    <w:rsid w:val="00CC28A2"/>
    <w:rsid w:val="00CC2976"/>
    <w:rsid w:val="00CC3819"/>
    <w:rsid w:val="00CC398C"/>
    <w:rsid w:val="00CC4AEB"/>
    <w:rsid w:val="00CC50EE"/>
    <w:rsid w:val="00CC5A10"/>
    <w:rsid w:val="00CC6152"/>
    <w:rsid w:val="00CC6416"/>
    <w:rsid w:val="00CC78BB"/>
    <w:rsid w:val="00CD100C"/>
    <w:rsid w:val="00CD1865"/>
    <w:rsid w:val="00CD265D"/>
    <w:rsid w:val="00CD2CC5"/>
    <w:rsid w:val="00CD58E9"/>
    <w:rsid w:val="00CD5B46"/>
    <w:rsid w:val="00CD666E"/>
    <w:rsid w:val="00CE1684"/>
    <w:rsid w:val="00CE1872"/>
    <w:rsid w:val="00CE5A2A"/>
    <w:rsid w:val="00CE5D17"/>
    <w:rsid w:val="00CE5E66"/>
    <w:rsid w:val="00CE724A"/>
    <w:rsid w:val="00CE7AC2"/>
    <w:rsid w:val="00CF0729"/>
    <w:rsid w:val="00CF089A"/>
    <w:rsid w:val="00CF1462"/>
    <w:rsid w:val="00CF19C7"/>
    <w:rsid w:val="00CF1F4A"/>
    <w:rsid w:val="00CF2F05"/>
    <w:rsid w:val="00CF3CF2"/>
    <w:rsid w:val="00CF4569"/>
    <w:rsid w:val="00CF53E6"/>
    <w:rsid w:val="00CF6530"/>
    <w:rsid w:val="00CF6B8A"/>
    <w:rsid w:val="00CF7541"/>
    <w:rsid w:val="00CF76E7"/>
    <w:rsid w:val="00D017EE"/>
    <w:rsid w:val="00D01942"/>
    <w:rsid w:val="00D01BF0"/>
    <w:rsid w:val="00D02A1A"/>
    <w:rsid w:val="00D0594D"/>
    <w:rsid w:val="00D06736"/>
    <w:rsid w:val="00D06886"/>
    <w:rsid w:val="00D07DE6"/>
    <w:rsid w:val="00D1039B"/>
    <w:rsid w:val="00D12AC8"/>
    <w:rsid w:val="00D12E1A"/>
    <w:rsid w:val="00D12F9F"/>
    <w:rsid w:val="00D13063"/>
    <w:rsid w:val="00D13968"/>
    <w:rsid w:val="00D143D9"/>
    <w:rsid w:val="00D144E3"/>
    <w:rsid w:val="00D14A4C"/>
    <w:rsid w:val="00D153EE"/>
    <w:rsid w:val="00D15D2D"/>
    <w:rsid w:val="00D15E80"/>
    <w:rsid w:val="00D1650B"/>
    <w:rsid w:val="00D1650F"/>
    <w:rsid w:val="00D17D35"/>
    <w:rsid w:val="00D2035C"/>
    <w:rsid w:val="00D206AD"/>
    <w:rsid w:val="00D21B73"/>
    <w:rsid w:val="00D21C09"/>
    <w:rsid w:val="00D22E42"/>
    <w:rsid w:val="00D23592"/>
    <w:rsid w:val="00D23A39"/>
    <w:rsid w:val="00D249E1"/>
    <w:rsid w:val="00D24CFD"/>
    <w:rsid w:val="00D25353"/>
    <w:rsid w:val="00D25BE5"/>
    <w:rsid w:val="00D25DD5"/>
    <w:rsid w:val="00D26656"/>
    <w:rsid w:val="00D278C0"/>
    <w:rsid w:val="00D31504"/>
    <w:rsid w:val="00D32985"/>
    <w:rsid w:val="00D332FA"/>
    <w:rsid w:val="00D3430B"/>
    <w:rsid w:val="00D35162"/>
    <w:rsid w:val="00D35EEF"/>
    <w:rsid w:val="00D369B5"/>
    <w:rsid w:val="00D37661"/>
    <w:rsid w:val="00D378BE"/>
    <w:rsid w:val="00D409D9"/>
    <w:rsid w:val="00D40CA7"/>
    <w:rsid w:val="00D426E2"/>
    <w:rsid w:val="00D42A56"/>
    <w:rsid w:val="00D436A6"/>
    <w:rsid w:val="00D439E3"/>
    <w:rsid w:val="00D43AAF"/>
    <w:rsid w:val="00D44B51"/>
    <w:rsid w:val="00D45249"/>
    <w:rsid w:val="00D45B79"/>
    <w:rsid w:val="00D45FA1"/>
    <w:rsid w:val="00D466A6"/>
    <w:rsid w:val="00D47338"/>
    <w:rsid w:val="00D47450"/>
    <w:rsid w:val="00D5006C"/>
    <w:rsid w:val="00D5189E"/>
    <w:rsid w:val="00D526F9"/>
    <w:rsid w:val="00D52CA4"/>
    <w:rsid w:val="00D54092"/>
    <w:rsid w:val="00D55896"/>
    <w:rsid w:val="00D56A43"/>
    <w:rsid w:val="00D576D6"/>
    <w:rsid w:val="00D60305"/>
    <w:rsid w:val="00D6062E"/>
    <w:rsid w:val="00D62E01"/>
    <w:rsid w:val="00D64357"/>
    <w:rsid w:val="00D64EA9"/>
    <w:rsid w:val="00D65B40"/>
    <w:rsid w:val="00D67DA8"/>
    <w:rsid w:val="00D70259"/>
    <w:rsid w:val="00D70918"/>
    <w:rsid w:val="00D712BA"/>
    <w:rsid w:val="00D718EA"/>
    <w:rsid w:val="00D722C5"/>
    <w:rsid w:val="00D727AC"/>
    <w:rsid w:val="00D74242"/>
    <w:rsid w:val="00D7477E"/>
    <w:rsid w:val="00D7515F"/>
    <w:rsid w:val="00D75C9A"/>
    <w:rsid w:val="00D77535"/>
    <w:rsid w:val="00D80850"/>
    <w:rsid w:val="00D8099E"/>
    <w:rsid w:val="00D81C59"/>
    <w:rsid w:val="00D827C4"/>
    <w:rsid w:val="00D82974"/>
    <w:rsid w:val="00D833F6"/>
    <w:rsid w:val="00D85A1C"/>
    <w:rsid w:val="00D86379"/>
    <w:rsid w:val="00D872C3"/>
    <w:rsid w:val="00D87436"/>
    <w:rsid w:val="00D8774A"/>
    <w:rsid w:val="00D87E32"/>
    <w:rsid w:val="00D90571"/>
    <w:rsid w:val="00D90744"/>
    <w:rsid w:val="00D90827"/>
    <w:rsid w:val="00D90CAF"/>
    <w:rsid w:val="00D90E9E"/>
    <w:rsid w:val="00D9140E"/>
    <w:rsid w:val="00D91E51"/>
    <w:rsid w:val="00D922E8"/>
    <w:rsid w:val="00D926F0"/>
    <w:rsid w:val="00D93563"/>
    <w:rsid w:val="00D938FB"/>
    <w:rsid w:val="00D939E8"/>
    <w:rsid w:val="00D93DAA"/>
    <w:rsid w:val="00D93F1C"/>
    <w:rsid w:val="00D94B8A"/>
    <w:rsid w:val="00D9533F"/>
    <w:rsid w:val="00D95559"/>
    <w:rsid w:val="00D95A81"/>
    <w:rsid w:val="00D95B26"/>
    <w:rsid w:val="00D9626F"/>
    <w:rsid w:val="00D96A06"/>
    <w:rsid w:val="00D9724D"/>
    <w:rsid w:val="00DA18FF"/>
    <w:rsid w:val="00DA1964"/>
    <w:rsid w:val="00DA19FB"/>
    <w:rsid w:val="00DA20E4"/>
    <w:rsid w:val="00DA2555"/>
    <w:rsid w:val="00DA4798"/>
    <w:rsid w:val="00DA4BD8"/>
    <w:rsid w:val="00DA558E"/>
    <w:rsid w:val="00DA63C4"/>
    <w:rsid w:val="00DA6DFE"/>
    <w:rsid w:val="00DA781D"/>
    <w:rsid w:val="00DA7B06"/>
    <w:rsid w:val="00DA7F95"/>
    <w:rsid w:val="00DB00F4"/>
    <w:rsid w:val="00DB030C"/>
    <w:rsid w:val="00DB07F5"/>
    <w:rsid w:val="00DB1F2A"/>
    <w:rsid w:val="00DB3573"/>
    <w:rsid w:val="00DB420B"/>
    <w:rsid w:val="00DB4364"/>
    <w:rsid w:val="00DB4B67"/>
    <w:rsid w:val="00DB5A78"/>
    <w:rsid w:val="00DB5EBD"/>
    <w:rsid w:val="00DB7247"/>
    <w:rsid w:val="00DB7433"/>
    <w:rsid w:val="00DB76F8"/>
    <w:rsid w:val="00DB7DDD"/>
    <w:rsid w:val="00DC022D"/>
    <w:rsid w:val="00DC0A20"/>
    <w:rsid w:val="00DC2362"/>
    <w:rsid w:val="00DC253C"/>
    <w:rsid w:val="00DC3AAA"/>
    <w:rsid w:val="00DC429C"/>
    <w:rsid w:val="00DC5E6D"/>
    <w:rsid w:val="00DC703D"/>
    <w:rsid w:val="00DC7A1A"/>
    <w:rsid w:val="00DD1081"/>
    <w:rsid w:val="00DD1479"/>
    <w:rsid w:val="00DD2482"/>
    <w:rsid w:val="00DD29D6"/>
    <w:rsid w:val="00DD37BF"/>
    <w:rsid w:val="00DD4046"/>
    <w:rsid w:val="00DD449C"/>
    <w:rsid w:val="00DD549C"/>
    <w:rsid w:val="00DD5C06"/>
    <w:rsid w:val="00DD5E06"/>
    <w:rsid w:val="00DD5ED5"/>
    <w:rsid w:val="00DD7982"/>
    <w:rsid w:val="00DE0634"/>
    <w:rsid w:val="00DE18CC"/>
    <w:rsid w:val="00DE1C43"/>
    <w:rsid w:val="00DE1F33"/>
    <w:rsid w:val="00DE294E"/>
    <w:rsid w:val="00DE2990"/>
    <w:rsid w:val="00DE2C56"/>
    <w:rsid w:val="00DE46B6"/>
    <w:rsid w:val="00DE489D"/>
    <w:rsid w:val="00DE5024"/>
    <w:rsid w:val="00DE654F"/>
    <w:rsid w:val="00DE75B4"/>
    <w:rsid w:val="00DF1552"/>
    <w:rsid w:val="00DF24CA"/>
    <w:rsid w:val="00DF2E85"/>
    <w:rsid w:val="00DF30D3"/>
    <w:rsid w:val="00DF3FBE"/>
    <w:rsid w:val="00DF49E9"/>
    <w:rsid w:val="00DF4E81"/>
    <w:rsid w:val="00DF5E99"/>
    <w:rsid w:val="00DF7F67"/>
    <w:rsid w:val="00E0072C"/>
    <w:rsid w:val="00E01963"/>
    <w:rsid w:val="00E020A1"/>
    <w:rsid w:val="00E0289D"/>
    <w:rsid w:val="00E02945"/>
    <w:rsid w:val="00E031B5"/>
    <w:rsid w:val="00E03E2A"/>
    <w:rsid w:val="00E050CC"/>
    <w:rsid w:val="00E06C79"/>
    <w:rsid w:val="00E07E17"/>
    <w:rsid w:val="00E07FF4"/>
    <w:rsid w:val="00E10A57"/>
    <w:rsid w:val="00E10B4A"/>
    <w:rsid w:val="00E12285"/>
    <w:rsid w:val="00E12B9A"/>
    <w:rsid w:val="00E13DC9"/>
    <w:rsid w:val="00E145B1"/>
    <w:rsid w:val="00E154AC"/>
    <w:rsid w:val="00E15A83"/>
    <w:rsid w:val="00E165AC"/>
    <w:rsid w:val="00E16B33"/>
    <w:rsid w:val="00E17064"/>
    <w:rsid w:val="00E172B1"/>
    <w:rsid w:val="00E17790"/>
    <w:rsid w:val="00E17803"/>
    <w:rsid w:val="00E20C2B"/>
    <w:rsid w:val="00E20E25"/>
    <w:rsid w:val="00E20F2E"/>
    <w:rsid w:val="00E2109A"/>
    <w:rsid w:val="00E218E4"/>
    <w:rsid w:val="00E22FE7"/>
    <w:rsid w:val="00E234E5"/>
    <w:rsid w:val="00E24B1B"/>
    <w:rsid w:val="00E24BE6"/>
    <w:rsid w:val="00E25CFF"/>
    <w:rsid w:val="00E266FD"/>
    <w:rsid w:val="00E276D4"/>
    <w:rsid w:val="00E27E42"/>
    <w:rsid w:val="00E31B4D"/>
    <w:rsid w:val="00E31BC9"/>
    <w:rsid w:val="00E31E66"/>
    <w:rsid w:val="00E32B2D"/>
    <w:rsid w:val="00E32DAB"/>
    <w:rsid w:val="00E33626"/>
    <w:rsid w:val="00E36248"/>
    <w:rsid w:val="00E367F1"/>
    <w:rsid w:val="00E36D44"/>
    <w:rsid w:val="00E400C1"/>
    <w:rsid w:val="00E40BCE"/>
    <w:rsid w:val="00E4104A"/>
    <w:rsid w:val="00E41363"/>
    <w:rsid w:val="00E41A96"/>
    <w:rsid w:val="00E4215D"/>
    <w:rsid w:val="00E42E70"/>
    <w:rsid w:val="00E42F80"/>
    <w:rsid w:val="00E43FF3"/>
    <w:rsid w:val="00E4471C"/>
    <w:rsid w:val="00E44C3F"/>
    <w:rsid w:val="00E45743"/>
    <w:rsid w:val="00E46558"/>
    <w:rsid w:val="00E467B9"/>
    <w:rsid w:val="00E474AA"/>
    <w:rsid w:val="00E51241"/>
    <w:rsid w:val="00E51A64"/>
    <w:rsid w:val="00E521DF"/>
    <w:rsid w:val="00E536B2"/>
    <w:rsid w:val="00E53848"/>
    <w:rsid w:val="00E54A91"/>
    <w:rsid w:val="00E54C37"/>
    <w:rsid w:val="00E550CE"/>
    <w:rsid w:val="00E554D6"/>
    <w:rsid w:val="00E55950"/>
    <w:rsid w:val="00E56246"/>
    <w:rsid w:val="00E56B35"/>
    <w:rsid w:val="00E57B13"/>
    <w:rsid w:val="00E57BC2"/>
    <w:rsid w:val="00E613AB"/>
    <w:rsid w:val="00E618A5"/>
    <w:rsid w:val="00E62649"/>
    <w:rsid w:val="00E62976"/>
    <w:rsid w:val="00E64FFF"/>
    <w:rsid w:val="00E65982"/>
    <w:rsid w:val="00E668F6"/>
    <w:rsid w:val="00E66A3C"/>
    <w:rsid w:val="00E66C12"/>
    <w:rsid w:val="00E66E20"/>
    <w:rsid w:val="00E670A4"/>
    <w:rsid w:val="00E7030C"/>
    <w:rsid w:val="00E71325"/>
    <w:rsid w:val="00E71C28"/>
    <w:rsid w:val="00E71E1A"/>
    <w:rsid w:val="00E7303B"/>
    <w:rsid w:val="00E73C58"/>
    <w:rsid w:val="00E74DA9"/>
    <w:rsid w:val="00E74EDE"/>
    <w:rsid w:val="00E756C3"/>
    <w:rsid w:val="00E76C5E"/>
    <w:rsid w:val="00E779B4"/>
    <w:rsid w:val="00E77A92"/>
    <w:rsid w:val="00E77ADE"/>
    <w:rsid w:val="00E800B1"/>
    <w:rsid w:val="00E82322"/>
    <w:rsid w:val="00E82660"/>
    <w:rsid w:val="00E8450D"/>
    <w:rsid w:val="00E855C6"/>
    <w:rsid w:val="00E857FA"/>
    <w:rsid w:val="00E86254"/>
    <w:rsid w:val="00E8654C"/>
    <w:rsid w:val="00E86890"/>
    <w:rsid w:val="00E86E0B"/>
    <w:rsid w:val="00E87C10"/>
    <w:rsid w:val="00E90212"/>
    <w:rsid w:val="00E90425"/>
    <w:rsid w:val="00E9068C"/>
    <w:rsid w:val="00E90F12"/>
    <w:rsid w:val="00E91031"/>
    <w:rsid w:val="00E91E99"/>
    <w:rsid w:val="00E92C7F"/>
    <w:rsid w:val="00E92C99"/>
    <w:rsid w:val="00E93AAF"/>
    <w:rsid w:val="00E93D2D"/>
    <w:rsid w:val="00E955EE"/>
    <w:rsid w:val="00E95C05"/>
    <w:rsid w:val="00E95C31"/>
    <w:rsid w:val="00E96670"/>
    <w:rsid w:val="00E970DF"/>
    <w:rsid w:val="00E97858"/>
    <w:rsid w:val="00E97F32"/>
    <w:rsid w:val="00EA0EA7"/>
    <w:rsid w:val="00EA1107"/>
    <w:rsid w:val="00EA1849"/>
    <w:rsid w:val="00EA356A"/>
    <w:rsid w:val="00EA3AC1"/>
    <w:rsid w:val="00EA3D7E"/>
    <w:rsid w:val="00EA541D"/>
    <w:rsid w:val="00EA5627"/>
    <w:rsid w:val="00EA5C91"/>
    <w:rsid w:val="00EA65FC"/>
    <w:rsid w:val="00EA6621"/>
    <w:rsid w:val="00EA6DAE"/>
    <w:rsid w:val="00EA6EF0"/>
    <w:rsid w:val="00EA756E"/>
    <w:rsid w:val="00EA79DA"/>
    <w:rsid w:val="00EA7D67"/>
    <w:rsid w:val="00EB2A9C"/>
    <w:rsid w:val="00EB3166"/>
    <w:rsid w:val="00EB401D"/>
    <w:rsid w:val="00EB533B"/>
    <w:rsid w:val="00EB5AD4"/>
    <w:rsid w:val="00EB7012"/>
    <w:rsid w:val="00EB7025"/>
    <w:rsid w:val="00EB7D0F"/>
    <w:rsid w:val="00EC088B"/>
    <w:rsid w:val="00EC1619"/>
    <w:rsid w:val="00EC1B4D"/>
    <w:rsid w:val="00EC1EDA"/>
    <w:rsid w:val="00EC4343"/>
    <w:rsid w:val="00EC4F0F"/>
    <w:rsid w:val="00EC60FE"/>
    <w:rsid w:val="00EC65CF"/>
    <w:rsid w:val="00EC6AB9"/>
    <w:rsid w:val="00ED0896"/>
    <w:rsid w:val="00ED1AEC"/>
    <w:rsid w:val="00ED1B28"/>
    <w:rsid w:val="00ED2002"/>
    <w:rsid w:val="00ED2B6D"/>
    <w:rsid w:val="00ED30CF"/>
    <w:rsid w:val="00ED366E"/>
    <w:rsid w:val="00ED3722"/>
    <w:rsid w:val="00ED547A"/>
    <w:rsid w:val="00ED5906"/>
    <w:rsid w:val="00ED7688"/>
    <w:rsid w:val="00ED7C21"/>
    <w:rsid w:val="00EE0F4D"/>
    <w:rsid w:val="00EE1AEC"/>
    <w:rsid w:val="00EE1AFB"/>
    <w:rsid w:val="00EE2777"/>
    <w:rsid w:val="00EE3F2E"/>
    <w:rsid w:val="00EE418A"/>
    <w:rsid w:val="00EE56DB"/>
    <w:rsid w:val="00EE5856"/>
    <w:rsid w:val="00EE62D3"/>
    <w:rsid w:val="00EE6C9C"/>
    <w:rsid w:val="00EF1281"/>
    <w:rsid w:val="00EF1F05"/>
    <w:rsid w:val="00EF1F82"/>
    <w:rsid w:val="00EF340E"/>
    <w:rsid w:val="00EF3957"/>
    <w:rsid w:val="00EF50A8"/>
    <w:rsid w:val="00EF53C9"/>
    <w:rsid w:val="00EF58D2"/>
    <w:rsid w:val="00EF6C4C"/>
    <w:rsid w:val="00EF6D71"/>
    <w:rsid w:val="00EF6EF1"/>
    <w:rsid w:val="00F009A0"/>
    <w:rsid w:val="00F010D1"/>
    <w:rsid w:val="00F026E2"/>
    <w:rsid w:val="00F027C4"/>
    <w:rsid w:val="00F035DA"/>
    <w:rsid w:val="00F04ACE"/>
    <w:rsid w:val="00F04B7E"/>
    <w:rsid w:val="00F06170"/>
    <w:rsid w:val="00F06C46"/>
    <w:rsid w:val="00F07589"/>
    <w:rsid w:val="00F07B27"/>
    <w:rsid w:val="00F07EE0"/>
    <w:rsid w:val="00F10BFF"/>
    <w:rsid w:val="00F10C6F"/>
    <w:rsid w:val="00F121D9"/>
    <w:rsid w:val="00F1313F"/>
    <w:rsid w:val="00F1327B"/>
    <w:rsid w:val="00F137FA"/>
    <w:rsid w:val="00F146A9"/>
    <w:rsid w:val="00F154AA"/>
    <w:rsid w:val="00F176DC"/>
    <w:rsid w:val="00F17BD7"/>
    <w:rsid w:val="00F20C48"/>
    <w:rsid w:val="00F20FA6"/>
    <w:rsid w:val="00F211CC"/>
    <w:rsid w:val="00F21635"/>
    <w:rsid w:val="00F217A6"/>
    <w:rsid w:val="00F21C3B"/>
    <w:rsid w:val="00F23DED"/>
    <w:rsid w:val="00F23DEF"/>
    <w:rsid w:val="00F24940"/>
    <w:rsid w:val="00F249E9"/>
    <w:rsid w:val="00F25797"/>
    <w:rsid w:val="00F25A6E"/>
    <w:rsid w:val="00F302A7"/>
    <w:rsid w:val="00F30B13"/>
    <w:rsid w:val="00F323D4"/>
    <w:rsid w:val="00F32C96"/>
    <w:rsid w:val="00F3321D"/>
    <w:rsid w:val="00F3335F"/>
    <w:rsid w:val="00F33D93"/>
    <w:rsid w:val="00F35948"/>
    <w:rsid w:val="00F366D3"/>
    <w:rsid w:val="00F36E59"/>
    <w:rsid w:val="00F375A4"/>
    <w:rsid w:val="00F378CE"/>
    <w:rsid w:val="00F37A12"/>
    <w:rsid w:val="00F37F5E"/>
    <w:rsid w:val="00F401B5"/>
    <w:rsid w:val="00F406CD"/>
    <w:rsid w:val="00F41B17"/>
    <w:rsid w:val="00F423D6"/>
    <w:rsid w:val="00F42A0B"/>
    <w:rsid w:val="00F4384A"/>
    <w:rsid w:val="00F438D4"/>
    <w:rsid w:val="00F44252"/>
    <w:rsid w:val="00F46645"/>
    <w:rsid w:val="00F46784"/>
    <w:rsid w:val="00F47397"/>
    <w:rsid w:val="00F47965"/>
    <w:rsid w:val="00F51461"/>
    <w:rsid w:val="00F520ED"/>
    <w:rsid w:val="00F53C5C"/>
    <w:rsid w:val="00F53E30"/>
    <w:rsid w:val="00F5444C"/>
    <w:rsid w:val="00F54E96"/>
    <w:rsid w:val="00F576E4"/>
    <w:rsid w:val="00F62CEB"/>
    <w:rsid w:val="00F63E62"/>
    <w:rsid w:val="00F6479A"/>
    <w:rsid w:val="00F6586E"/>
    <w:rsid w:val="00F65CF0"/>
    <w:rsid w:val="00F66F07"/>
    <w:rsid w:val="00F67EF6"/>
    <w:rsid w:val="00F71622"/>
    <w:rsid w:val="00F71C01"/>
    <w:rsid w:val="00F7243D"/>
    <w:rsid w:val="00F73091"/>
    <w:rsid w:val="00F734D7"/>
    <w:rsid w:val="00F74A38"/>
    <w:rsid w:val="00F75BBA"/>
    <w:rsid w:val="00F7684B"/>
    <w:rsid w:val="00F7732B"/>
    <w:rsid w:val="00F77379"/>
    <w:rsid w:val="00F77DAC"/>
    <w:rsid w:val="00F80AE7"/>
    <w:rsid w:val="00F80DF4"/>
    <w:rsid w:val="00F81285"/>
    <w:rsid w:val="00F826B5"/>
    <w:rsid w:val="00F82913"/>
    <w:rsid w:val="00F82C19"/>
    <w:rsid w:val="00F831BD"/>
    <w:rsid w:val="00F8345A"/>
    <w:rsid w:val="00F87BC6"/>
    <w:rsid w:val="00F9017D"/>
    <w:rsid w:val="00F91D19"/>
    <w:rsid w:val="00F926FD"/>
    <w:rsid w:val="00F932DB"/>
    <w:rsid w:val="00F93CAE"/>
    <w:rsid w:val="00F94131"/>
    <w:rsid w:val="00F94333"/>
    <w:rsid w:val="00F944F4"/>
    <w:rsid w:val="00F948B1"/>
    <w:rsid w:val="00F949A5"/>
    <w:rsid w:val="00F96873"/>
    <w:rsid w:val="00F97962"/>
    <w:rsid w:val="00F97FC8"/>
    <w:rsid w:val="00FA0C47"/>
    <w:rsid w:val="00FA2856"/>
    <w:rsid w:val="00FA2929"/>
    <w:rsid w:val="00FA29A0"/>
    <w:rsid w:val="00FA4295"/>
    <w:rsid w:val="00FA44FD"/>
    <w:rsid w:val="00FA4E9C"/>
    <w:rsid w:val="00FA6BE5"/>
    <w:rsid w:val="00FA79F4"/>
    <w:rsid w:val="00FB0379"/>
    <w:rsid w:val="00FB311F"/>
    <w:rsid w:val="00FB325E"/>
    <w:rsid w:val="00FB3395"/>
    <w:rsid w:val="00FB42B1"/>
    <w:rsid w:val="00FB44B9"/>
    <w:rsid w:val="00FB44CA"/>
    <w:rsid w:val="00FB4816"/>
    <w:rsid w:val="00FB4862"/>
    <w:rsid w:val="00FB5F49"/>
    <w:rsid w:val="00FB6DBE"/>
    <w:rsid w:val="00FB727A"/>
    <w:rsid w:val="00FB7DFC"/>
    <w:rsid w:val="00FC1637"/>
    <w:rsid w:val="00FC3D86"/>
    <w:rsid w:val="00FC4443"/>
    <w:rsid w:val="00FC5449"/>
    <w:rsid w:val="00FC6EB8"/>
    <w:rsid w:val="00FC7BC5"/>
    <w:rsid w:val="00FC7D7F"/>
    <w:rsid w:val="00FD15E7"/>
    <w:rsid w:val="00FD463E"/>
    <w:rsid w:val="00FD4FFC"/>
    <w:rsid w:val="00FD57B3"/>
    <w:rsid w:val="00FD6404"/>
    <w:rsid w:val="00FD70C3"/>
    <w:rsid w:val="00FD7457"/>
    <w:rsid w:val="00FE13F3"/>
    <w:rsid w:val="00FE15DB"/>
    <w:rsid w:val="00FE1E08"/>
    <w:rsid w:val="00FE1E2B"/>
    <w:rsid w:val="00FE255C"/>
    <w:rsid w:val="00FE2BAE"/>
    <w:rsid w:val="00FE3905"/>
    <w:rsid w:val="00FE4703"/>
    <w:rsid w:val="00FE592D"/>
    <w:rsid w:val="00FE6040"/>
    <w:rsid w:val="00FE63F6"/>
    <w:rsid w:val="00FE6491"/>
    <w:rsid w:val="00FE6E87"/>
    <w:rsid w:val="00FE75CF"/>
    <w:rsid w:val="00FF07DF"/>
    <w:rsid w:val="00FF26C3"/>
    <w:rsid w:val="00FF27B9"/>
    <w:rsid w:val="00FF3B92"/>
    <w:rsid w:val="00FF3C04"/>
    <w:rsid w:val="00FF5223"/>
    <w:rsid w:val="00FF66AF"/>
    <w:rsid w:val="00FF6735"/>
    <w:rsid w:val="00FF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2"/>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34"/>
    <w:pPr>
      <w:overflowPunct w:val="0"/>
      <w:autoSpaceDE w:val="0"/>
      <w:autoSpaceDN w:val="0"/>
      <w:adjustRightInd w:val="0"/>
    </w:pPr>
    <w:rPr>
      <w:rFonts w:ascii="Times New Roman" w:eastAsia="Times New Roman" w:hAnsi="Times New Roman"/>
      <w:sz w:val="24"/>
    </w:rPr>
  </w:style>
  <w:style w:type="paragraph" w:styleId="Heading1">
    <w:name w:val="heading 1"/>
    <w:basedOn w:val="Normal"/>
    <w:next w:val="Normal"/>
    <w:link w:val="Heading1Char"/>
    <w:qFormat/>
    <w:rsid w:val="00395D5E"/>
    <w:pPr>
      <w:keepNext/>
      <w:tabs>
        <w:tab w:val="num" w:pos="900"/>
      </w:tabs>
      <w:spacing w:before="240" w:after="120" w:line="288" w:lineRule="auto"/>
      <w:ind w:left="900" w:hanging="900"/>
      <w:textAlignment w:val="baseline"/>
      <w:outlineLvl w:val="0"/>
    </w:pPr>
    <w:rPr>
      <w:rFonts w:ascii="Arial Bold" w:hAnsi="Arial Bold" w:cs="Arial"/>
      <w:b/>
      <w:bCs/>
      <w:smallCaps/>
      <w:kern w:val="32"/>
      <w:sz w:val="30"/>
      <w:szCs w:val="32"/>
    </w:rPr>
  </w:style>
  <w:style w:type="paragraph" w:styleId="Heading2">
    <w:name w:val="heading 2"/>
    <w:basedOn w:val="Normal"/>
    <w:next w:val="Normal"/>
    <w:link w:val="Heading2Char"/>
    <w:qFormat/>
    <w:rsid w:val="00395D5E"/>
    <w:pPr>
      <w:keepNext/>
      <w:tabs>
        <w:tab w:val="left" w:pos="907"/>
      </w:tabs>
      <w:spacing w:before="120" w:after="120" w:line="288" w:lineRule="auto"/>
      <w:ind w:left="907" w:hanging="907"/>
      <w:textAlignment w:val="baseline"/>
      <w:outlineLvl w:val="1"/>
    </w:pPr>
    <w:rPr>
      <w:rFonts w:ascii="Arial" w:hAnsi="Arial" w:cs="Arial"/>
      <w:b/>
      <w:bCs/>
      <w:iCs/>
      <w:szCs w:val="28"/>
    </w:rPr>
  </w:style>
  <w:style w:type="paragraph" w:styleId="Heading3">
    <w:name w:val="heading 3"/>
    <w:basedOn w:val="Normal"/>
    <w:next w:val="Normal"/>
    <w:link w:val="Heading3Char"/>
    <w:qFormat/>
    <w:rsid w:val="00FA4295"/>
    <w:pPr>
      <w:keepNext/>
      <w:spacing w:before="240" w:after="60"/>
      <w:outlineLvl w:val="2"/>
    </w:pPr>
    <w:rPr>
      <w:rFonts w:ascii="Arial" w:hAnsi="Arial" w:cs="Arial"/>
      <w:b/>
      <w:bCs/>
      <w:sz w:val="26"/>
      <w:szCs w:val="26"/>
    </w:rPr>
  </w:style>
  <w:style w:type="paragraph" w:styleId="Heading4">
    <w:name w:val="heading 4"/>
    <w:basedOn w:val="Normal"/>
    <w:next w:val="BodyTextIndent3"/>
    <w:link w:val="Heading4Char"/>
    <w:qFormat/>
    <w:rsid w:val="00395D5E"/>
    <w:pPr>
      <w:keepNext/>
      <w:tabs>
        <w:tab w:val="left" w:pos="1008"/>
      </w:tabs>
      <w:spacing w:before="120" w:after="60" w:line="288" w:lineRule="auto"/>
      <w:textAlignment w:val="baseline"/>
      <w:outlineLvl w:val="3"/>
    </w:pPr>
    <w:rPr>
      <w:rFonts w:ascii="Arial" w:hAnsi="Arial"/>
      <w:b/>
      <w:bCs/>
      <w:sz w:val="18"/>
      <w:szCs w:val="28"/>
    </w:rPr>
  </w:style>
  <w:style w:type="paragraph" w:styleId="Heading5">
    <w:name w:val="heading 5"/>
    <w:basedOn w:val="Normal"/>
    <w:next w:val="Normal"/>
    <w:link w:val="Heading5Char"/>
    <w:uiPriority w:val="99"/>
    <w:qFormat/>
    <w:rsid w:val="00395D5E"/>
    <w:pPr>
      <w:keepNext/>
      <w:numPr>
        <w:ilvl w:val="4"/>
        <w:numId w:val="5"/>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5"/>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5"/>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5"/>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5"/>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D5E"/>
    <w:rPr>
      <w:rFonts w:ascii="Arial Bold" w:eastAsia="Times New Roman" w:hAnsi="Arial Bold" w:cs="Arial"/>
      <w:b/>
      <w:bCs/>
      <w:smallCaps/>
      <w:kern w:val="32"/>
      <w:sz w:val="30"/>
      <w:szCs w:val="32"/>
    </w:rPr>
  </w:style>
  <w:style w:type="character" w:customStyle="1" w:styleId="Heading2Char">
    <w:name w:val="Heading 2 Char"/>
    <w:basedOn w:val="DefaultParagraphFont"/>
    <w:link w:val="Heading2"/>
    <w:rsid w:val="00395D5E"/>
    <w:rPr>
      <w:rFonts w:ascii="Arial" w:eastAsia="Times New Roman" w:hAnsi="Arial" w:cs="Arial"/>
      <w:b/>
      <w:bCs/>
      <w:iCs/>
      <w:sz w:val="24"/>
      <w:szCs w:val="28"/>
    </w:rPr>
  </w:style>
  <w:style w:type="character" w:customStyle="1" w:styleId="Heading3Char">
    <w:name w:val="Heading 3 Char"/>
    <w:basedOn w:val="DefaultParagraphFont"/>
    <w:link w:val="Heading3"/>
    <w:rsid w:val="00950034"/>
    <w:rPr>
      <w:rFonts w:ascii="Arial" w:eastAsia="Times New Roman" w:hAnsi="Arial" w:cs="Arial"/>
      <w:b/>
      <w:bCs/>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950034"/>
    <w:rPr>
      <w:rFonts w:ascii="Arial" w:eastAsia="Times New Roman" w:hAnsi="Arial"/>
      <w:b/>
      <w:bCs/>
      <w:sz w:val="18"/>
      <w:szCs w:val="28"/>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basedOn w:val="Normal"/>
    <w:link w:val="FootnoteTextChar"/>
    <w:uiPriority w:val="99"/>
    <w:unhideWhenUsed/>
    <w:rsid w:val="00FA4295"/>
    <w:rPr>
      <w:sz w:val="20"/>
    </w:rPr>
  </w:style>
  <w:style w:type="character" w:customStyle="1" w:styleId="FootnoteTextChar">
    <w:name w:val="Footnote Text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basedOn w:val="DefaultParagraphFont"/>
    <w:uiPriority w:val="99"/>
    <w:unhideWhenUsed/>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rsid w:val="00395D5E"/>
    <w:pPr>
      <w:spacing w:line="288" w:lineRule="auto"/>
      <w:ind w:left="360" w:hanging="360"/>
      <w:textAlignment w:val="baseline"/>
    </w:pPr>
    <w:rPr>
      <w:b/>
      <w:caps/>
      <w:sz w:val="20"/>
    </w:rPr>
  </w:style>
  <w:style w:type="paragraph" w:styleId="TOC2">
    <w:name w:val="toc 2"/>
    <w:basedOn w:val="Normal"/>
    <w:next w:val="Normal"/>
    <w:uiPriority w:val="39"/>
    <w:rsid w:val="00395D5E"/>
    <w:pPr>
      <w:tabs>
        <w:tab w:val="left" w:pos="900"/>
        <w:tab w:val="right" w:leader="dot" w:pos="8630"/>
      </w:tabs>
      <w:spacing w:line="288" w:lineRule="auto"/>
      <w:ind w:left="907" w:hanging="662"/>
      <w:textAlignment w:val="baseline"/>
    </w:pPr>
    <w:rPr>
      <w:rFonts w:ascii="Arial" w:hAnsi="Arial"/>
      <w:noProof/>
      <w:sz w:val="20"/>
    </w:rPr>
  </w:style>
  <w:style w:type="paragraph" w:styleId="TOC3">
    <w:name w:val="toc 3"/>
    <w:basedOn w:val="Normal"/>
    <w:next w:val="Normal"/>
    <w:uiPriority w:val="39"/>
    <w:rsid w:val="00395D5E"/>
    <w:pPr>
      <w:spacing w:line="288" w:lineRule="auto"/>
      <w:ind w:left="475"/>
      <w:textAlignment w:val="baseline"/>
    </w:pPr>
    <w:rPr>
      <w:rFonts w:ascii="Arial" w:hAnsi="Arial"/>
      <w:i/>
      <w:sz w:val="22"/>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aliases w:val="b1"/>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basedOn w:val="Normal"/>
    <w:next w:val="Normal"/>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uiPriority w:val="2"/>
    <w:qFormat/>
    <w:rsid w:val="00395D5E"/>
    <w:pPr>
      <w:numPr>
        <w:numId w:val="6"/>
      </w:numPr>
      <w:adjustRightInd/>
    </w:pPr>
    <w:rPr>
      <w:rFonts w:cs="Arial"/>
    </w:rPr>
  </w:style>
  <w:style w:type="paragraph" w:customStyle="1" w:styleId="source2">
    <w:name w:val="source 2"/>
    <w:basedOn w:val="ListParagraph"/>
    <w:uiPriority w:val="2"/>
    <w:qFormat/>
    <w:rsid w:val="00395D5E"/>
    <w:pPr>
      <w:numPr>
        <w:ilvl w:val="1"/>
        <w:numId w:val="6"/>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tblInd w:w="0" w:type="dxa"/>
      <w:tblCellMar>
        <w:top w:w="0" w:type="dxa"/>
        <w:left w:w="108" w:type="dxa"/>
        <w:bottom w:w="0" w:type="dxa"/>
        <w:right w:w="108" w:type="dxa"/>
      </w:tblCellMa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4"/>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semiHidden/>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 w:val="26"/>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tabs>
        <w:tab w:val="clear" w:pos="900"/>
      </w:tabs>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smallCaps w:val="0"/>
      <w:color w:val="365F91" w:themeColor="accent1" w:themeShade="BF"/>
      <w:kern w:val="0"/>
      <w:sz w:val="28"/>
      <w:szCs w:val="28"/>
      <w:lang w:eastAsia="ja-JP"/>
    </w:rPr>
  </w:style>
  <w:style w:type="character" w:customStyle="1" w:styleId="FootnoteTextChar1">
    <w:name w:val="Footnote Text Char1"/>
    <w:basedOn w:val="DefaultParagraphFont"/>
    <w:uiPriority w:val="99"/>
    <w:semiHidden/>
    <w:locked/>
    <w:rsid w:val="00A54B50"/>
    <w:rPr>
      <w:rFonts w:cs="Times New Roman"/>
      <w:lang w:val="en-US" w:eastAsia="en-US" w:bidi="ar-SA"/>
    </w:rPr>
  </w:style>
  <w:style w:type="character" w:customStyle="1" w:styleId="p3Char">
    <w:name w:val="p3 Char"/>
    <w:basedOn w:val="DefaultParagraphFont"/>
    <w:link w:val="p3"/>
    <w:uiPriority w:val="99"/>
    <w:locked/>
    <w:rsid w:val="00A54B50"/>
    <w:rPr>
      <w:rFonts w:ascii="Times New Roman" w:eastAsia="Times New Roman" w:hAnsi="Times New Roman"/>
      <w:sz w:val="24"/>
      <w:szCs w:val="24"/>
    </w:rPr>
  </w:style>
  <w:style w:type="character" w:customStyle="1" w:styleId="st1">
    <w:name w:val="st1"/>
    <w:rsid w:val="009E5CCC"/>
    <w:rPr>
      <w:rFonts w:ascii="Times New Roman" w:hAnsi="Times New Roman" w:cs="Times New Roman" w:hint="default"/>
    </w:rPr>
  </w:style>
  <w:style w:type="paragraph" w:styleId="DocumentMap">
    <w:name w:val="Document Map"/>
    <w:basedOn w:val="Normal"/>
    <w:link w:val="DocumentMapChar"/>
    <w:uiPriority w:val="99"/>
    <w:semiHidden/>
    <w:unhideWhenUsed/>
    <w:rsid w:val="00A353F2"/>
    <w:rPr>
      <w:rFonts w:ascii="Tahoma" w:hAnsi="Tahoma" w:cs="Tahoma"/>
      <w:sz w:val="16"/>
      <w:szCs w:val="16"/>
    </w:rPr>
  </w:style>
  <w:style w:type="character" w:customStyle="1" w:styleId="DocumentMapChar">
    <w:name w:val="Document Map Char"/>
    <w:basedOn w:val="DefaultParagraphFont"/>
    <w:link w:val="DocumentMap"/>
    <w:uiPriority w:val="99"/>
    <w:semiHidden/>
    <w:rsid w:val="00A353F2"/>
    <w:rPr>
      <w:rFonts w:ascii="Tahoma" w:eastAsia="Times New Roman" w:hAnsi="Tahoma" w:cs="Tahoma"/>
      <w:sz w:val="16"/>
      <w:szCs w:val="16"/>
    </w:rPr>
  </w:style>
  <w:style w:type="character" w:styleId="PlaceholderText">
    <w:name w:val="Placeholder Text"/>
    <w:basedOn w:val="DefaultParagraphFont"/>
    <w:uiPriority w:val="99"/>
    <w:semiHidden/>
    <w:rsid w:val="00A353F2"/>
    <w:rPr>
      <w:color w:val="808080"/>
    </w:rPr>
  </w:style>
  <w:style w:type="paragraph" w:customStyle="1" w:styleId="MediumGrid21">
    <w:name w:val="Medium Grid 21"/>
    <w:uiPriority w:val="99"/>
    <w:qFormat/>
    <w:rsid w:val="00011F6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2"/>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34"/>
    <w:pPr>
      <w:overflowPunct w:val="0"/>
      <w:autoSpaceDE w:val="0"/>
      <w:autoSpaceDN w:val="0"/>
      <w:adjustRightInd w:val="0"/>
    </w:pPr>
    <w:rPr>
      <w:rFonts w:ascii="Times New Roman" w:eastAsia="Times New Roman" w:hAnsi="Times New Roman"/>
      <w:sz w:val="24"/>
    </w:rPr>
  </w:style>
  <w:style w:type="paragraph" w:styleId="Heading1">
    <w:name w:val="heading 1"/>
    <w:basedOn w:val="Normal"/>
    <w:next w:val="Normal"/>
    <w:link w:val="Heading1Char"/>
    <w:qFormat/>
    <w:rsid w:val="00395D5E"/>
    <w:pPr>
      <w:keepNext/>
      <w:tabs>
        <w:tab w:val="num" w:pos="900"/>
      </w:tabs>
      <w:spacing w:before="240" w:after="120" w:line="288" w:lineRule="auto"/>
      <w:ind w:left="900" w:hanging="900"/>
      <w:textAlignment w:val="baseline"/>
      <w:outlineLvl w:val="0"/>
    </w:pPr>
    <w:rPr>
      <w:rFonts w:ascii="Arial Bold" w:hAnsi="Arial Bold" w:cs="Arial"/>
      <w:b/>
      <w:bCs/>
      <w:smallCaps/>
      <w:kern w:val="32"/>
      <w:sz w:val="30"/>
      <w:szCs w:val="32"/>
    </w:rPr>
  </w:style>
  <w:style w:type="paragraph" w:styleId="Heading2">
    <w:name w:val="heading 2"/>
    <w:basedOn w:val="Normal"/>
    <w:next w:val="Normal"/>
    <w:link w:val="Heading2Char"/>
    <w:qFormat/>
    <w:rsid w:val="00395D5E"/>
    <w:pPr>
      <w:keepNext/>
      <w:tabs>
        <w:tab w:val="left" w:pos="907"/>
      </w:tabs>
      <w:spacing w:before="120" w:after="120" w:line="288" w:lineRule="auto"/>
      <w:ind w:left="907" w:hanging="907"/>
      <w:textAlignment w:val="baseline"/>
      <w:outlineLvl w:val="1"/>
    </w:pPr>
    <w:rPr>
      <w:rFonts w:ascii="Arial" w:hAnsi="Arial" w:cs="Arial"/>
      <w:b/>
      <w:bCs/>
      <w:iCs/>
      <w:szCs w:val="28"/>
    </w:rPr>
  </w:style>
  <w:style w:type="paragraph" w:styleId="Heading3">
    <w:name w:val="heading 3"/>
    <w:basedOn w:val="Normal"/>
    <w:next w:val="Normal"/>
    <w:link w:val="Heading3Char"/>
    <w:qFormat/>
    <w:rsid w:val="00FA4295"/>
    <w:pPr>
      <w:keepNext/>
      <w:spacing w:before="240" w:after="60"/>
      <w:outlineLvl w:val="2"/>
    </w:pPr>
    <w:rPr>
      <w:rFonts w:ascii="Arial" w:hAnsi="Arial" w:cs="Arial"/>
      <w:b/>
      <w:bCs/>
      <w:sz w:val="26"/>
      <w:szCs w:val="26"/>
    </w:rPr>
  </w:style>
  <w:style w:type="paragraph" w:styleId="Heading4">
    <w:name w:val="heading 4"/>
    <w:basedOn w:val="Normal"/>
    <w:next w:val="BodyTextIndent3"/>
    <w:link w:val="Heading4Char"/>
    <w:qFormat/>
    <w:rsid w:val="00395D5E"/>
    <w:pPr>
      <w:keepNext/>
      <w:tabs>
        <w:tab w:val="left" w:pos="1008"/>
      </w:tabs>
      <w:spacing w:before="120" w:after="60" w:line="288" w:lineRule="auto"/>
      <w:textAlignment w:val="baseline"/>
      <w:outlineLvl w:val="3"/>
    </w:pPr>
    <w:rPr>
      <w:rFonts w:ascii="Arial" w:hAnsi="Arial"/>
      <w:b/>
      <w:bCs/>
      <w:sz w:val="18"/>
      <w:szCs w:val="28"/>
    </w:rPr>
  </w:style>
  <w:style w:type="paragraph" w:styleId="Heading5">
    <w:name w:val="heading 5"/>
    <w:basedOn w:val="Normal"/>
    <w:next w:val="Normal"/>
    <w:link w:val="Heading5Char"/>
    <w:uiPriority w:val="99"/>
    <w:qFormat/>
    <w:rsid w:val="00395D5E"/>
    <w:pPr>
      <w:keepNext/>
      <w:numPr>
        <w:ilvl w:val="4"/>
        <w:numId w:val="5"/>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5"/>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5"/>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5"/>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5"/>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D5E"/>
    <w:rPr>
      <w:rFonts w:ascii="Arial Bold" w:eastAsia="Times New Roman" w:hAnsi="Arial Bold" w:cs="Arial"/>
      <w:b/>
      <w:bCs/>
      <w:smallCaps/>
      <w:kern w:val="32"/>
      <w:sz w:val="30"/>
      <w:szCs w:val="32"/>
    </w:rPr>
  </w:style>
  <w:style w:type="character" w:customStyle="1" w:styleId="Heading2Char">
    <w:name w:val="Heading 2 Char"/>
    <w:basedOn w:val="DefaultParagraphFont"/>
    <w:link w:val="Heading2"/>
    <w:rsid w:val="00395D5E"/>
    <w:rPr>
      <w:rFonts w:ascii="Arial" w:eastAsia="Times New Roman" w:hAnsi="Arial" w:cs="Arial"/>
      <w:b/>
      <w:bCs/>
      <w:iCs/>
      <w:sz w:val="24"/>
      <w:szCs w:val="28"/>
    </w:rPr>
  </w:style>
  <w:style w:type="character" w:customStyle="1" w:styleId="Heading3Char">
    <w:name w:val="Heading 3 Char"/>
    <w:basedOn w:val="DefaultParagraphFont"/>
    <w:link w:val="Heading3"/>
    <w:rsid w:val="00950034"/>
    <w:rPr>
      <w:rFonts w:ascii="Arial" w:eastAsia="Times New Roman" w:hAnsi="Arial" w:cs="Arial"/>
      <w:b/>
      <w:bCs/>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950034"/>
    <w:rPr>
      <w:rFonts w:ascii="Arial" w:eastAsia="Times New Roman" w:hAnsi="Arial"/>
      <w:b/>
      <w:bCs/>
      <w:sz w:val="18"/>
      <w:szCs w:val="28"/>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basedOn w:val="Normal"/>
    <w:link w:val="FootnoteTextChar"/>
    <w:uiPriority w:val="99"/>
    <w:unhideWhenUsed/>
    <w:rsid w:val="00FA4295"/>
    <w:rPr>
      <w:sz w:val="20"/>
    </w:rPr>
  </w:style>
  <w:style w:type="character" w:customStyle="1" w:styleId="FootnoteTextChar">
    <w:name w:val="Footnote Text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basedOn w:val="DefaultParagraphFont"/>
    <w:uiPriority w:val="99"/>
    <w:unhideWhenUsed/>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rsid w:val="00395D5E"/>
    <w:pPr>
      <w:spacing w:line="288" w:lineRule="auto"/>
      <w:ind w:left="360" w:hanging="360"/>
      <w:textAlignment w:val="baseline"/>
    </w:pPr>
    <w:rPr>
      <w:b/>
      <w:caps/>
      <w:sz w:val="20"/>
    </w:rPr>
  </w:style>
  <w:style w:type="paragraph" w:styleId="TOC2">
    <w:name w:val="toc 2"/>
    <w:basedOn w:val="Normal"/>
    <w:next w:val="Normal"/>
    <w:uiPriority w:val="39"/>
    <w:rsid w:val="00395D5E"/>
    <w:pPr>
      <w:tabs>
        <w:tab w:val="left" w:pos="900"/>
        <w:tab w:val="right" w:leader="dot" w:pos="8630"/>
      </w:tabs>
      <w:spacing w:line="288" w:lineRule="auto"/>
      <w:ind w:left="907" w:hanging="662"/>
      <w:textAlignment w:val="baseline"/>
    </w:pPr>
    <w:rPr>
      <w:rFonts w:ascii="Arial" w:hAnsi="Arial"/>
      <w:noProof/>
      <w:sz w:val="20"/>
    </w:rPr>
  </w:style>
  <w:style w:type="paragraph" w:styleId="TOC3">
    <w:name w:val="toc 3"/>
    <w:basedOn w:val="Normal"/>
    <w:next w:val="Normal"/>
    <w:uiPriority w:val="39"/>
    <w:rsid w:val="00395D5E"/>
    <w:pPr>
      <w:spacing w:line="288" w:lineRule="auto"/>
      <w:ind w:left="475"/>
      <w:textAlignment w:val="baseline"/>
    </w:pPr>
    <w:rPr>
      <w:rFonts w:ascii="Arial" w:hAnsi="Arial"/>
      <w:i/>
      <w:sz w:val="22"/>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aliases w:val="b1"/>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basedOn w:val="Normal"/>
    <w:next w:val="Normal"/>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uiPriority w:val="2"/>
    <w:qFormat/>
    <w:rsid w:val="00395D5E"/>
    <w:pPr>
      <w:numPr>
        <w:numId w:val="6"/>
      </w:numPr>
      <w:adjustRightInd/>
    </w:pPr>
    <w:rPr>
      <w:rFonts w:cs="Arial"/>
    </w:rPr>
  </w:style>
  <w:style w:type="paragraph" w:customStyle="1" w:styleId="source2">
    <w:name w:val="source 2"/>
    <w:basedOn w:val="ListParagraph"/>
    <w:uiPriority w:val="2"/>
    <w:qFormat/>
    <w:rsid w:val="00395D5E"/>
    <w:pPr>
      <w:numPr>
        <w:ilvl w:val="1"/>
        <w:numId w:val="6"/>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tblInd w:w="0" w:type="dxa"/>
      <w:tblCellMar>
        <w:top w:w="0" w:type="dxa"/>
        <w:left w:w="108" w:type="dxa"/>
        <w:bottom w:w="0" w:type="dxa"/>
        <w:right w:w="108" w:type="dxa"/>
      </w:tblCellMa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4"/>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semiHidden/>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 w:val="26"/>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tabs>
        <w:tab w:val="clear" w:pos="900"/>
      </w:tabs>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smallCaps w:val="0"/>
      <w:color w:val="365F91" w:themeColor="accent1" w:themeShade="BF"/>
      <w:kern w:val="0"/>
      <w:sz w:val="28"/>
      <w:szCs w:val="28"/>
      <w:lang w:eastAsia="ja-JP"/>
    </w:rPr>
  </w:style>
  <w:style w:type="character" w:customStyle="1" w:styleId="FootnoteTextChar1">
    <w:name w:val="Footnote Text Char1"/>
    <w:basedOn w:val="DefaultParagraphFont"/>
    <w:uiPriority w:val="99"/>
    <w:semiHidden/>
    <w:locked/>
    <w:rsid w:val="00A54B50"/>
    <w:rPr>
      <w:rFonts w:cs="Times New Roman"/>
      <w:lang w:val="en-US" w:eastAsia="en-US" w:bidi="ar-SA"/>
    </w:rPr>
  </w:style>
  <w:style w:type="character" w:customStyle="1" w:styleId="p3Char">
    <w:name w:val="p3 Char"/>
    <w:basedOn w:val="DefaultParagraphFont"/>
    <w:link w:val="p3"/>
    <w:uiPriority w:val="99"/>
    <w:locked/>
    <w:rsid w:val="00A54B50"/>
    <w:rPr>
      <w:rFonts w:ascii="Times New Roman" w:eastAsia="Times New Roman" w:hAnsi="Times New Roman"/>
      <w:sz w:val="24"/>
      <w:szCs w:val="24"/>
    </w:rPr>
  </w:style>
  <w:style w:type="character" w:customStyle="1" w:styleId="st1">
    <w:name w:val="st1"/>
    <w:rsid w:val="009E5CCC"/>
    <w:rPr>
      <w:rFonts w:ascii="Times New Roman" w:hAnsi="Times New Roman" w:cs="Times New Roman" w:hint="default"/>
    </w:rPr>
  </w:style>
  <w:style w:type="paragraph" w:styleId="DocumentMap">
    <w:name w:val="Document Map"/>
    <w:basedOn w:val="Normal"/>
    <w:link w:val="DocumentMapChar"/>
    <w:uiPriority w:val="99"/>
    <w:semiHidden/>
    <w:unhideWhenUsed/>
    <w:rsid w:val="00A353F2"/>
    <w:rPr>
      <w:rFonts w:ascii="Tahoma" w:hAnsi="Tahoma" w:cs="Tahoma"/>
      <w:sz w:val="16"/>
      <w:szCs w:val="16"/>
    </w:rPr>
  </w:style>
  <w:style w:type="character" w:customStyle="1" w:styleId="DocumentMapChar">
    <w:name w:val="Document Map Char"/>
    <w:basedOn w:val="DefaultParagraphFont"/>
    <w:link w:val="DocumentMap"/>
    <w:uiPriority w:val="99"/>
    <w:semiHidden/>
    <w:rsid w:val="00A353F2"/>
    <w:rPr>
      <w:rFonts w:ascii="Tahoma" w:eastAsia="Times New Roman" w:hAnsi="Tahoma" w:cs="Tahoma"/>
      <w:sz w:val="16"/>
      <w:szCs w:val="16"/>
    </w:rPr>
  </w:style>
  <w:style w:type="character" w:styleId="PlaceholderText">
    <w:name w:val="Placeholder Text"/>
    <w:basedOn w:val="DefaultParagraphFont"/>
    <w:uiPriority w:val="99"/>
    <w:semiHidden/>
    <w:rsid w:val="00A353F2"/>
    <w:rPr>
      <w:color w:val="808080"/>
    </w:rPr>
  </w:style>
  <w:style w:type="paragraph" w:customStyle="1" w:styleId="MediumGrid21">
    <w:name w:val="Medium Grid 21"/>
    <w:uiPriority w:val="99"/>
    <w:qFormat/>
    <w:rsid w:val="00011F6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505232">
      <w:bodyDiv w:val="1"/>
      <w:marLeft w:val="0"/>
      <w:marRight w:val="0"/>
      <w:marTop w:val="0"/>
      <w:marBottom w:val="0"/>
      <w:divBdr>
        <w:top w:val="none" w:sz="0" w:space="0" w:color="auto"/>
        <w:left w:val="none" w:sz="0" w:space="0" w:color="auto"/>
        <w:bottom w:val="none" w:sz="0" w:space="0" w:color="auto"/>
        <w:right w:val="none" w:sz="0" w:space="0" w:color="auto"/>
      </w:divBdr>
    </w:div>
    <w:div w:id="513419316">
      <w:bodyDiv w:val="1"/>
      <w:marLeft w:val="0"/>
      <w:marRight w:val="0"/>
      <w:marTop w:val="0"/>
      <w:marBottom w:val="0"/>
      <w:divBdr>
        <w:top w:val="none" w:sz="0" w:space="0" w:color="auto"/>
        <w:left w:val="none" w:sz="0" w:space="0" w:color="auto"/>
        <w:bottom w:val="none" w:sz="0" w:space="0" w:color="auto"/>
        <w:right w:val="none" w:sz="0" w:space="0" w:color="auto"/>
      </w:divBdr>
    </w:div>
    <w:div w:id="545919465">
      <w:bodyDiv w:val="1"/>
      <w:marLeft w:val="0"/>
      <w:marRight w:val="0"/>
      <w:marTop w:val="0"/>
      <w:marBottom w:val="0"/>
      <w:divBdr>
        <w:top w:val="none" w:sz="0" w:space="0" w:color="auto"/>
        <w:left w:val="none" w:sz="0" w:space="0" w:color="auto"/>
        <w:bottom w:val="none" w:sz="0" w:space="0" w:color="auto"/>
        <w:right w:val="none" w:sz="0" w:space="0" w:color="auto"/>
      </w:divBdr>
    </w:div>
    <w:div w:id="911161860">
      <w:bodyDiv w:val="1"/>
      <w:marLeft w:val="0"/>
      <w:marRight w:val="0"/>
      <w:marTop w:val="0"/>
      <w:marBottom w:val="0"/>
      <w:divBdr>
        <w:top w:val="none" w:sz="0" w:space="0" w:color="auto"/>
        <w:left w:val="none" w:sz="0" w:space="0" w:color="auto"/>
        <w:bottom w:val="none" w:sz="0" w:space="0" w:color="auto"/>
        <w:right w:val="none" w:sz="0" w:space="0" w:color="auto"/>
      </w:divBdr>
    </w:div>
    <w:div w:id="1471241118">
      <w:bodyDiv w:val="1"/>
      <w:marLeft w:val="0"/>
      <w:marRight w:val="0"/>
      <w:marTop w:val="0"/>
      <w:marBottom w:val="0"/>
      <w:divBdr>
        <w:top w:val="none" w:sz="0" w:space="0" w:color="auto"/>
        <w:left w:val="none" w:sz="0" w:space="0" w:color="auto"/>
        <w:bottom w:val="none" w:sz="0" w:space="0" w:color="auto"/>
        <w:right w:val="none" w:sz="0" w:space="0" w:color="auto"/>
      </w:divBdr>
    </w:div>
    <w:div w:id="1786846957">
      <w:bodyDiv w:val="1"/>
      <w:marLeft w:val="0"/>
      <w:marRight w:val="0"/>
      <w:marTop w:val="0"/>
      <w:marBottom w:val="0"/>
      <w:divBdr>
        <w:top w:val="none" w:sz="0" w:space="0" w:color="auto"/>
        <w:left w:val="none" w:sz="0" w:space="0" w:color="auto"/>
        <w:bottom w:val="none" w:sz="0" w:space="0" w:color="auto"/>
        <w:right w:val="none" w:sz="0" w:space="0" w:color="auto"/>
      </w:divBdr>
    </w:div>
    <w:div w:id="1876037229">
      <w:bodyDiv w:val="1"/>
      <w:marLeft w:val="0"/>
      <w:marRight w:val="0"/>
      <w:marTop w:val="0"/>
      <w:marBottom w:val="0"/>
      <w:divBdr>
        <w:top w:val="none" w:sz="0" w:space="0" w:color="auto"/>
        <w:left w:val="none" w:sz="0" w:space="0" w:color="auto"/>
        <w:bottom w:val="none" w:sz="0" w:space="0" w:color="auto"/>
        <w:right w:val="none" w:sz="0" w:space="0" w:color="auto"/>
      </w:divBdr>
    </w:div>
    <w:div w:id="1876893458">
      <w:bodyDiv w:val="1"/>
      <w:marLeft w:val="0"/>
      <w:marRight w:val="0"/>
      <w:marTop w:val="0"/>
      <w:marBottom w:val="0"/>
      <w:divBdr>
        <w:top w:val="none" w:sz="0" w:space="0" w:color="auto"/>
        <w:left w:val="none" w:sz="0" w:space="0" w:color="auto"/>
        <w:bottom w:val="none" w:sz="0" w:space="0" w:color="auto"/>
        <w:right w:val="none" w:sz="0" w:space="0" w:color="auto"/>
      </w:divBdr>
    </w:div>
    <w:div w:id="1959217689">
      <w:bodyDiv w:val="1"/>
      <w:marLeft w:val="0"/>
      <w:marRight w:val="0"/>
      <w:marTop w:val="0"/>
      <w:marBottom w:val="0"/>
      <w:divBdr>
        <w:top w:val="none" w:sz="0" w:space="0" w:color="auto"/>
        <w:left w:val="none" w:sz="0" w:space="0" w:color="auto"/>
        <w:bottom w:val="none" w:sz="0" w:space="0" w:color="auto"/>
        <w:right w:val="none" w:sz="0" w:space="0" w:color="auto"/>
      </w:divBdr>
    </w:div>
    <w:div w:id="1993098803">
      <w:bodyDiv w:val="1"/>
      <w:marLeft w:val="0"/>
      <w:marRight w:val="0"/>
      <w:marTop w:val="0"/>
      <w:marBottom w:val="0"/>
      <w:divBdr>
        <w:top w:val="none" w:sz="0" w:space="0" w:color="auto"/>
        <w:left w:val="none" w:sz="0" w:space="0" w:color="auto"/>
        <w:bottom w:val="none" w:sz="0" w:space="0" w:color="auto"/>
        <w:right w:val="none" w:sz="0" w:space="0" w:color="auto"/>
      </w:divBdr>
    </w:div>
    <w:div w:id="2141874524">
      <w:bodyDiv w:val="1"/>
      <w:marLeft w:val="0"/>
      <w:marRight w:val="0"/>
      <w:marTop w:val="0"/>
      <w:marBottom w:val="0"/>
      <w:divBdr>
        <w:top w:val="none" w:sz="0" w:space="0" w:color="auto"/>
        <w:left w:val="none" w:sz="0" w:space="0" w:color="auto"/>
        <w:bottom w:val="none" w:sz="0" w:space="0" w:color="auto"/>
        <w:right w:val="none" w:sz="0" w:space="0" w:color="auto"/>
      </w:divBdr>
    </w:div>
    <w:div w:id="21440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1FB3B-03A2-4D53-812F-DA284AA3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17673</CharactersWithSpaces>
  <SharedDoc>false</SharedDoc>
  <HLinks>
    <vt:vector size="48" baseType="variant">
      <vt:variant>
        <vt:i4>2031730</vt:i4>
      </vt:variant>
      <vt:variant>
        <vt:i4>12</vt:i4>
      </vt:variant>
      <vt:variant>
        <vt:i4>0</vt:i4>
      </vt:variant>
      <vt:variant>
        <vt:i4>5</vt:i4>
      </vt:variant>
      <vt:variant>
        <vt:lpwstr>mailto:kribrown@state.pa.us</vt:lpwstr>
      </vt:variant>
      <vt:variant>
        <vt:lpwstr/>
      </vt:variant>
      <vt:variant>
        <vt:i4>327780</vt:i4>
      </vt:variant>
      <vt:variant>
        <vt:i4>9</vt:i4>
      </vt:variant>
      <vt:variant>
        <vt:i4>0</vt:i4>
      </vt:variant>
      <vt:variant>
        <vt:i4>5</vt:i4>
      </vt:variant>
      <vt:variant>
        <vt:lpwstr>mailto:gshawley@state.pa.us</vt:lpwstr>
      </vt:variant>
      <vt:variant>
        <vt:lpwstr/>
      </vt:variant>
      <vt:variant>
        <vt:i4>2031730</vt:i4>
      </vt:variant>
      <vt:variant>
        <vt:i4>6</vt:i4>
      </vt:variant>
      <vt:variant>
        <vt:i4>0</vt:i4>
      </vt:variant>
      <vt:variant>
        <vt:i4>5</vt:i4>
      </vt:variant>
      <vt:variant>
        <vt:lpwstr>mailto:kribrown@state.pa.us</vt:lpwstr>
      </vt:variant>
      <vt:variant>
        <vt:lpwstr/>
      </vt:variant>
      <vt:variant>
        <vt:i4>327780</vt:i4>
      </vt:variant>
      <vt:variant>
        <vt:i4>3</vt:i4>
      </vt:variant>
      <vt:variant>
        <vt:i4>0</vt:i4>
      </vt:variant>
      <vt:variant>
        <vt:i4>5</vt:i4>
      </vt:variant>
      <vt:variant>
        <vt:lpwstr>mailto:gshawley@state.pa.us</vt:lpwstr>
      </vt:variant>
      <vt:variant>
        <vt:lpwstr/>
      </vt:variant>
      <vt:variant>
        <vt:i4>3342375</vt:i4>
      </vt:variant>
      <vt:variant>
        <vt:i4>0</vt:i4>
      </vt:variant>
      <vt:variant>
        <vt:i4>0</vt:i4>
      </vt:variant>
      <vt:variant>
        <vt:i4>5</vt:i4>
      </vt:variant>
      <vt:variant>
        <vt:lpwstr>http://www.puc.state.pa.us/electric/Act129/TRM.aspx</vt:lpwstr>
      </vt:variant>
      <vt:variant>
        <vt:lpwstr/>
      </vt:variant>
      <vt:variant>
        <vt:i4>1114191</vt:i4>
      </vt:variant>
      <vt:variant>
        <vt:i4>6</vt:i4>
      </vt:variant>
      <vt:variant>
        <vt:i4>0</vt:i4>
      </vt:variant>
      <vt:variant>
        <vt:i4>5</vt:i4>
      </vt:variant>
      <vt:variant>
        <vt:lpwstr>http://www.puc.state.pa.us/electric/Act_129_info.aspx</vt:lpwstr>
      </vt:variant>
      <vt:variant>
        <vt:lpwstr/>
      </vt:variant>
      <vt:variant>
        <vt:i4>7864372</vt:i4>
      </vt:variant>
      <vt:variant>
        <vt:i4>3</vt:i4>
      </vt:variant>
      <vt:variant>
        <vt:i4>0</vt:i4>
      </vt:variant>
      <vt:variant>
        <vt:i4>5</vt:i4>
      </vt:variant>
      <vt:variant>
        <vt:lpwstr>http://www1.eere.energy.gov/femp/regulations/epact2005.html</vt:lpwstr>
      </vt:variant>
      <vt:variant>
        <vt:lpwstr/>
      </vt:variant>
      <vt:variant>
        <vt:i4>2621554</vt:i4>
      </vt:variant>
      <vt:variant>
        <vt:i4>0</vt:i4>
      </vt:variant>
      <vt:variant>
        <vt:i4>0</vt:i4>
      </vt:variant>
      <vt:variant>
        <vt:i4>5</vt:i4>
      </vt:variant>
      <vt:variant>
        <vt:lpwstr>http://www1.eere.energy.gov/femp/regulations/eisa.html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gshawley</dc:creator>
  <cp:lastModifiedBy>Miller, Sara</cp:lastModifiedBy>
  <cp:revision>5</cp:revision>
  <cp:lastPrinted>2013-05-23T12:44:00Z</cp:lastPrinted>
  <dcterms:created xsi:type="dcterms:W3CDTF">2013-05-23T12:30:00Z</dcterms:created>
  <dcterms:modified xsi:type="dcterms:W3CDTF">2013-05-23T12:44:00Z</dcterms:modified>
</cp:coreProperties>
</file>