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BD1415" w:rsidRDefault="000358FF" w:rsidP="000358FF">
      <w:pPr>
        <w:spacing w:line="240" w:lineRule="auto"/>
        <w:rPr>
          <w:b/>
        </w:rPr>
      </w:pPr>
      <w:r w:rsidRPr="00BD1415">
        <w:rPr>
          <w:b/>
        </w:rPr>
        <w:t>BEFORE THE</w:t>
      </w:r>
    </w:p>
    <w:p w:rsidR="000358FF" w:rsidRPr="00BD1415" w:rsidRDefault="000358FF" w:rsidP="000358FF">
      <w:pPr>
        <w:spacing w:line="240" w:lineRule="auto"/>
        <w:rPr>
          <w:b/>
        </w:rPr>
      </w:pPr>
      <w:r w:rsidRPr="00BD1415">
        <w:rPr>
          <w:b/>
        </w:rPr>
        <w:t>PENNSYLVANIA PUBLIC UTILITY COMMISSION</w:t>
      </w:r>
    </w:p>
    <w:p w:rsidR="000358FF" w:rsidRPr="00BD1415" w:rsidRDefault="000358FF" w:rsidP="000358FF">
      <w:pPr>
        <w:spacing w:line="240" w:lineRule="auto"/>
        <w:rPr>
          <w:b/>
        </w:rPr>
      </w:pPr>
    </w:p>
    <w:p w:rsidR="000358FF" w:rsidRPr="00BD1415" w:rsidRDefault="000358FF" w:rsidP="000358FF">
      <w:pPr>
        <w:spacing w:line="240" w:lineRule="auto"/>
        <w:rPr>
          <w:b/>
        </w:rPr>
      </w:pPr>
    </w:p>
    <w:p w:rsidR="000358FF" w:rsidRPr="00BD1415" w:rsidRDefault="000358FF" w:rsidP="000358FF">
      <w:pPr>
        <w:spacing w:line="240" w:lineRule="auto"/>
        <w:rPr>
          <w:b/>
        </w:rPr>
      </w:pPr>
    </w:p>
    <w:p w:rsidR="000358FF" w:rsidRPr="00BD1415" w:rsidRDefault="000358FF" w:rsidP="000358FF">
      <w:pPr>
        <w:spacing w:line="240" w:lineRule="auto"/>
        <w:jc w:val="left"/>
      </w:pPr>
      <w:r w:rsidRPr="00BD1415">
        <w:t>Pennsylvania Public Utility Commission</w:t>
      </w:r>
      <w:r w:rsidRPr="00BD1415">
        <w:tab/>
      </w:r>
      <w:r w:rsidRPr="00BD1415">
        <w:tab/>
        <w:t>:</w:t>
      </w:r>
    </w:p>
    <w:p w:rsidR="000358FF" w:rsidRPr="00BD1415" w:rsidRDefault="000358FF" w:rsidP="000358FF">
      <w:pPr>
        <w:spacing w:line="240" w:lineRule="auto"/>
        <w:jc w:val="left"/>
      </w:pPr>
      <w:r w:rsidRPr="00BD1415">
        <w:tab/>
      </w:r>
      <w:r w:rsidRPr="00BD1415">
        <w:tab/>
      </w:r>
      <w:r w:rsidRPr="00BD1415">
        <w:tab/>
      </w:r>
      <w:r w:rsidRPr="00BD1415">
        <w:tab/>
      </w:r>
      <w:r w:rsidRPr="00BD1415">
        <w:tab/>
      </w:r>
      <w:r w:rsidRPr="00BD1415">
        <w:tab/>
      </w:r>
      <w:r w:rsidRPr="00BD1415">
        <w:tab/>
        <w:t>:</w:t>
      </w:r>
    </w:p>
    <w:p w:rsidR="000358FF" w:rsidRPr="00BD1415" w:rsidRDefault="000358FF" w:rsidP="000358FF">
      <w:pPr>
        <w:spacing w:line="240" w:lineRule="auto"/>
        <w:jc w:val="left"/>
      </w:pPr>
      <w:r w:rsidRPr="00BD1415">
        <w:tab/>
        <w:t>v.</w:t>
      </w:r>
      <w:r w:rsidRPr="00BD1415">
        <w:tab/>
      </w:r>
      <w:r w:rsidRPr="00BD1415">
        <w:tab/>
      </w:r>
      <w:r w:rsidRPr="00BD1415">
        <w:tab/>
      </w:r>
      <w:r w:rsidRPr="00BD1415">
        <w:tab/>
      </w:r>
      <w:r w:rsidRPr="00BD1415">
        <w:tab/>
      </w:r>
      <w:r w:rsidRPr="00BD1415">
        <w:tab/>
        <w:t>:</w:t>
      </w:r>
      <w:r w:rsidRPr="00BD1415">
        <w:tab/>
      </w:r>
      <w:r w:rsidRPr="00BD1415">
        <w:tab/>
      </w:r>
      <w:r w:rsidRPr="00BD1415">
        <w:tab/>
        <w:t>R-2012-2336662</w:t>
      </w:r>
    </w:p>
    <w:p w:rsidR="000358FF" w:rsidRPr="00BD1415" w:rsidRDefault="000358FF" w:rsidP="000358FF">
      <w:pPr>
        <w:spacing w:line="240" w:lineRule="auto"/>
        <w:jc w:val="left"/>
      </w:pPr>
      <w:r w:rsidRPr="00BD1415">
        <w:tab/>
      </w:r>
      <w:r w:rsidRPr="00BD1415">
        <w:tab/>
      </w:r>
      <w:r w:rsidRPr="00BD1415">
        <w:tab/>
      </w:r>
      <w:r w:rsidRPr="00BD1415">
        <w:tab/>
      </w:r>
      <w:r w:rsidRPr="00BD1415">
        <w:tab/>
      </w:r>
      <w:r w:rsidRPr="00BD1415">
        <w:tab/>
      </w:r>
      <w:r w:rsidRPr="00BD1415">
        <w:tab/>
        <w:t>:</w:t>
      </w:r>
    </w:p>
    <w:p w:rsidR="000358FF" w:rsidRPr="00BD1415" w:rsidRDefault="000358FF" w:rsidP="000358FF">
      <w:pPr>
        <w:spacing w:line="240" w:lineRule="auto"/>
        <w:jc w:val="left"/>
      </w:pPr>
      <w:r w:rsidRPr="00BD1415">
        <w:t>Rock Spring Water Company</w:t>
      </w:r>
      <w:r w:rsidRPr="00BD1415">
        <w:tab/>
      </w:r>
      <w:r w:rsidRPr="00BD1415">
        <w:tab/>
      </w:r>
      <w:r w:rsidRPr="00BD1415">
        <w:tab/>
      </w:r>
      <w:r w:rsidRPr="00BD1415">
        <w:tab/>
        <w:t>:</w:t>
      </w:r>
    </w:p>
    <w:p w:rsidR="000358FF" w:rsidRDefault="000358FF" w:rsidP="000358FF">
      <w:pPr>
        <w:spacing w:line="240" w:lineRule="auto"/>
        <w:jc w:val="left"/>
      </w:pPr>
    </w:p>
    <w:p w:rsidR="00BD1415" w:rsidRPr="00BD1415" w:rsidRDefault="00BD1415" w:rsidP="000358FF">
      <w:pPr>
        <w:spacing w:line="240" w:lineRule="auto"/>
        <w:jc w:val="left"/>
      </w:pPr>
    </w:p>
    <w:p w:rsidR="000358FF" w:rsidRPr="00BD1415" w:rsidRDefault="000358FF" w:rsidP="000358FF">
      <w:pPr>
        <w:spacing w:line="240" w:lineRule="auto"/>
        <w:jc w:val="left"/>
      </w:pPr>
    </w:p>
    <w:p w:rsidR="000358FF" w:rsidRPr="00BD1415" w:rsidRDefault="000358FF" w:rsidP="000358FF">
      <w:pPr>
        <w:spacing w:line="240" w:lineRule="auto"/>
        <w:rPr>
          <w:b/>
          <w:u w:val="single"/>
        </w:rPr>
      </w:pPr>
      <w:r w:rsidRPr="00BD1415">
        <w:rPr>
          <w:b/>
          <w:u w:val="single"/>
        </w:rPr>
        <w:t>RECOMMENDED DECISION</w:t>
      </w:r>
    </w:p>
    <w:p w:rsidR="000358FF" w:rsidRPr="00BD1415" w:rsidRDefault="000358FF" w:rsidP="000358FF">
      <w:pPr>
        <w:spacing w:line="240" w:lineRule="auto"/>
        <w:rPr>
          <w:b/>
          <w:u w:val="single"/>
        </w:rPr>
      </w:pPr>
    </w:p>
    <w:p w:rsidR="00F7460B" w:rsidRPr="00BD1415" w:rsidRDefault="00F7460B" w:rsidP="000358FF">
      <w:pPr>
        <w:spacing w:line="240" w:lineRule="auto"/>
        <w:rPr>
          <w:b/>
          <w:u w:val="single"/>
        </w:rPr>
      </w:pPr>
    </w:p>
    <w:p w:rsidR="000358FF" w:rsidRPr="00BD1415" w:rsidRDefault="000358FF" w:rsidP="000358FF">
      <w:pPr>
        <w:spacing w:line="240" w:lineRule="auto"/>
      </w:pPr>
      <w:r w:rsidRPr="00BD1415">
        <w:t>Before</w:t>
      </w:r>
    </w:p>
    <w:p w:rsidR="000358FF" w:rsidRPr="00BD1415" w:rsidRDefault="000358FF" w:rsidP="000358FF">
      <w:pPr>
        <w:spacing w:line="240" w:lineRule="auto"/>
      </w:pPr>
      <w:r w:rsidRPr="00BD1415">
        <w:t>Susan D. Colwell</w:t>
      </w:r>
    </w:p>
    <w:p w:rsidR="000358FF" w:rsidRPr="00BD1415" w:rsidRDefault="000358FF" w:rsidP="000358FF">
      <w:pPr>
        <w:spacing w:line="240" w:lineRule="auto"/>
      </w:pPr>
      <w:r w:rsidRPr="00BD1415">
        <w:t>Administrative Law Judge</w:t>
      </w:r>
    </w:p>
    <w:p w:rsidR="000358FF" w:rsidRPr="00BD1415" w:rsidRDefault="000358FF" w:rsidP="000358FF">
      <w:pPr>
        <w:spacing w:line="240" w:lineRule="auto"/>
      </w:pPr>
    </w:p>
    <w:p w:rsidR="000358FF" w:rsidRPr="00BD1415" w:rsidRDefault="000358FF" w:rsidP="000358FF">
      <w:pPr>
        <w:spacing w:line="240" w:lineRule="auto"/>
      </w:pPr>
    </w:p>
    <w:p w:rsidR="000358FF" w:rsidRPr="00BD1415" w:rsidRDefault="000358FF" w:rsidP="000358FF">
      <w:pPr>
        <w:jc w:val="left"/>
      </w:pPr>
      <w:r w:rsidRPr="00BD1415">
        <w:tab/>
      </w:r>
      <w:r w:rsidRPr="00BD1415">
        <w:tab/>
        <w:t>The purpose of this Recommended Decision is to recommend approval of the Joint Petition for Settlement</w:t>
      </w:r>
      <w:r w:rsidR="0082417B" w:rsidRPr="00BD1415">
        <w:t xml:space="preserve"> (Joint Petition)</w:t>
      </w:r>
      <w:r w:rsidRPr="00BD1415">
        <w:t xml:space="preserve"> filed by the </w:t>
      </w:r>
      <w:r w:rsidR="009B012C" w:rsidRPr="00BD1415">
        <w:t>litigating parties without modification</w:t>
      </w:r>
      <w:r w:rsidRPr="00BD1415">
        <w:t>.</w:t>
      </w:r>
      <w:r w:rsidR="00510925" w:rsidRPr="00BD1415">
        <w:t xml:space="preserve"> </w:t>
      </w:r>
      <w:r w:rsidR="00DB0551">
        <w:t xml:space="preserve"> </w:t>
      </w:r>
      <w:r w:rsidR="00510925" w:rsidRPr="00BD1415">
        <w:t xml:space="preserve">The tariff as filed will take effect on September 1, 2013, absent action of the Commission prior to that date.  </w:t>
      </w:r>
      <w:r w:rsidR="00F7460B" w:rsidRPr="00BD1415">
        <w:t>The tariff as approved would take effect two weeks after the Commission's final order in this matter.</w:t>
      </w:r>
    </w:p>
    <w:p w:rsidR="000358FF" w:rsidRPr="00BD1415" w:rsidRDefault="000358FF" w:rsidP="000358FF">
      <w:pPr>
        <w:spacing w:line="240" w:lineRule="auto"/>
      </w:pPr>
    </w:p>
    <w:p w:rsidR="000358FF" w:rsidRPr="00BD1415" w:rsidRDefault="000358FF" w:rsidP="000358FF">
      <w:pPr>
        <w:spacing w:line="240" w:lineRule="auto"/>
      </w:pPr>
    </w:p>
    <w:p w:rsidR="000358FF" w:rsidRPr="00BD1415" w:rsidRDefault="000358FF" w:rsidP="000358FF">
      <w:pPr>
        <w:spacing w:line="240" w:lineRule="auto"/>
        <w:rPr>
          <w:u w:val="single"/>
        </w:rPr>
      </w:pPr>
      <w:r w:rsidRPr="00BD1415">
        <w:rPr>
          <w:u w:val="single"/>
        </w:rPr>
        <w:t>HISTORY OF THE PROCEEDING</w:t>
      </w:r>
    </w:p>
    <w:p w:rsidR="00F7460B" w:rsidRPr="00BD1415" w:rsidRDefault="00F7460B" w:rsidP="000358FF">
      <w:pPr>
        <w:spacing w:line="240" w:lineRule="auto"/>
        <w:rPr>
          <w:u w:val="single"/>
        </w:rPr>
      </w:pPr>
    </w:p>
    <w:p w:rsidR="000358FF" w:rsidRPr="00BD1415" w:rsidRDefault="000358FF" w:rsidP="000358FF">
      <w:pPr>
        <w:spacing w:line="240" w:lineRule="auto"/>
        <w:rPr>
          <w:u w:val="single"/>
        </w:rPr>
      </w:pPr>
    </w:p>
    <w:p w:rsidR="009B012C" w:rsidRPr="00BD1415" w:rsidRDefault="009B012C" w:rsidP="009B012C">
      <w:pPr>
        <w:jc w:val="left"/>
      </w:pPr>
      <w:r w:rsidRPr="00BD1415">
        <w:tab/>
      </w:r>
      <w:r w:rsidRPr="00BD1415">
        <w:tab/>
        <w:t>On November 27, 2012, the Rock Spring Water Company (Rock Spring),</w:t>
      </w:r>
      <w:r w:rsidR="00951BD7">
        <w:t xml:space="preserve"> filed its Supplement No</w:t>
      </w:r>
      <w:r w:rsidRPr="00BD1415">
        <w:t>. 8 to Tariff Water – Pa. P.U.C. No. 4, to become effective February 1, 2013, containing proposed changes in rates, rules and regulations calculated to produce $21,813 in additional revenues, based upon the experienced level of operations in the historic test year ending June 30, 2012.  On January 10, 2013, the Office of Consumer Advocate (OCA) filed a formal Complaint, docketed at C-2012-2342397.</w:t>
      </w:r>
    </w:p>
    <w:p w:rsidR="009B012C" w:rsidRPr="00BD1415" w:rsidRDefault="009B012C" w:rsidP="009B012C">
      <w:pPr>
        <w:jc w:val="left"/>
      </w:pPr>
    </w:p>
    <w:p w:rsidR="009B012C" w:rsidRPr="00BD1415" w:rsidRDefault="009B012C" w:rsidP="000358FF">
      <w:pPr>
        <w:jc w:val="left"/>
      </w:pPr>
      <w:r w:rsidRPr="00BD1415">
        <w:tab/>
      </w:r>
      <w:r w:rsidRPr="00BD1415">
        <w:tab/>
        <w:t>The Commission's Bureau of Investigation and Enforcement (I&amp;E) filed a Notice of Intervention and participated in this matter.</w:t>
      </w:r>
    </w:p>
    <w:p w:rsidR="000358FF" w:rsidRPr="00BD1415" w:rsidRDefault="009B012C" w:rsidP="000358FF">
      <w:pPr>
        <w:jc w:val="left"/>
      </w:pPr>
      <w:r w:rsidRPr="00BD1415">
        <w:lastRenderedPageBreak/>
        <w:tab/>
      </w:r>
      <w:r w:rsidRPr="00BD1415">
        <w:tab/>
        <w:t>By Order entered January 25, 2013, the Commission suspended the filing by operation of law until September 1, 2013, unless permitted by Commission Order to become effective at an earlier date.  The Order directed that the matter be assigned to the Office of Administrative Law Judge (OALJ) for alternative dispute resolution or the scheduling of such hearings as may be necessary culminating in the issuance of a Recommended Decision.</w:t>
      </w:r>
    </w:p>
    <w:p w:rsidR="009B012C" w:rsidRPr="00BD1415" w:rsidRDefault="009B012C" w:rsidP="000358FF">
      <w:pPr>
        <w:jc w:val="left"/>
      </w:pPr>
    </w:p>
    <w:p w:rsidR="009B012C" w:rsidRPr="00BD1415" w:rsidRDefault="009B012C" w:rsidP="000358FF">
      <w:pPr>
        <w:jc w:val="left"/>
      </w:pPr>
      <w:r w:rsidRPr="00BD1415">
        <w:tab/>
      </w:r>
      <w:r w:rsidRPr="00BD1415">
        <w:tab/>
        <w:t xml:space="preserve">By Prehearing Conference/Mediation Notice issued February 11, 2013, the </w:t>
      </w:r>
      <w:r w:rsidR="0082417B" w:rsidRPr="00BD1415">
        <w:t>case was assigned to me and to Mediator Cynthia Lehman, and the prehearing conference (PHC) was set for March 14, 2013.  The PHC was held as scheduled, and following the formal PHC, the parties engaged in a mediation session.</w:t>
      </w:r>
    </w:p>
    <w:p w:rsidR="00510925" w:rsidRPr="00BD1415" w:rsidRDefault="00510925" w:rsidP="000358FF">
      <w:pPr>
        <w:jc w:val="left"/>
      </w:pPr>
    </w:p>
    <w:p w:rsidR="00510925" w:rsidRPr="00BD1415" w:rsidRDefault="00510925" w:rsidP="000358FF">
      <w:pPr>
        <w:jc w:val="left"/>
      </w:pPr>
      <w:r w:rsidRPr="00BD1415">
        <w:tab/>
      </w:r>
      <w:r w:rsidRPr="00BD1415">
        <w:tab/>
        <w:t>On March 26, 2013, the Company filed Suppl</w:t>
      </w:r>
      <w:r w:rsidR="00D2432A">
        <w:t>ement No. 9 to Tariff—Water No. </w:t>
      </w:r>
      <w:r w:rsidRPr="00BD1415">
        <w:t>4, suspending the effective date of the filing until September 1, 2013.</w:t>
      </w:r>
    </w:p>
    <w:p w:rsidR="0082417B" w:rsidRPr="00BD1415" w:rsidRDefault="0082417B" w:rsidP="000358FF">
      <w:pPr>
        <w:jc w:val="left"/>
      </w:pPr>
    </w:p>
    <w:p w:rsidR="0082417B" w:rsidRPr="00BD1415" w:rsidRDefault="0082417B" w:rsidP="000358FF">
      <w:pPr>
        <w:jc w:val="left"/>
      </w:pPr>
      <w:r w:rsidRPr="00BD1415">
        <w:tab/>
      </w:r>
      <w:r w:rsidRPr="00BD1415">
        <w:tab/>
        <w:t>On May 8, 2013, the parties filed a Joint Petition for Settlement.  For the reasons set forth below, approval of the Joint Petition is recommended.</w:t>
      </w:r>
    </w:p>
    <w:p w:rsidR="00735DEC" w:rsidRPr="00BD1415" w:rsidRDefault="00735DEC" w:rsidP="006D7E17"/>
    <w:p w:rsidR="006D7E17" w:rsidRPr="00BD1415" w:rsidRDefault="006D7E17" w:rsidP="006D7E17">
      <w:pPr>
        <w:rPr>
          <w:u w:val="single"/>
        </w:rPr>
      </w:pPr>
      <w:r w:rsidRPr="00BD1415">
        <w:rPr>
          <w:u w:val="single"/>
        </w:rPr>
        <w:t>FINDINGS OF FACT</w:t>
      </w:r>
    </w:p>
    <w:p w:rsidR="006D7E17" w:rsidRPr="00BD1415" w:rsidRDefault="006D7E17" w:rsidP="006D7E17">
      <w:pPr>
        <w:rPr>
          <w:u w:val="single"/>
        </w:rPr>
      </w:pPr>
    </w:p>
    <w:p w:rsidR="006D7E17" w:rsidRPr="00BD1415" w:rsidRDefault="006D7E17" w:rsidP="006D7E17">
      <w:pPr>
        <w:jc w:val="left"/>
      </w:pPr>
      <w:r w:rsidRPr="00BD1415">
        <w:tab/>
      </w:r>
      <w:r w:rsidRPr="00BD1415">
        <w:tab/>
        <w:t>1.</w:t>
      </w:r>
      <w:r w:rsidRPr="00BD1415">
        <w:tab/>
        <w:t>Rock Spring Water Company is a Pennsylvania public utility providing water service to the public in Ferguson Township, Centre County, Pennsylvania.</w:t>
      </w:r>
    </w:p>
    <w:p w:rsidR="006D7E17" w:rsidRPr="00BD1415" w:rsidRDefault="006D7E17" w:rsidP="006D7E17">
      <w:pPr>
        <w:jc w:val="left"/>
      </w:pPr>
    </w:p>
    <w:p w:rsidR="006D7E17" w:rsidRPr="00BD1415" w:rsidRDefault="006D7E17" w:rsidP="006D7E17">
      <w:pPr>
        <w:jc w:val="left"/>
      </w:pPr>
      <w:r w:rsidRPr="00BD1415">
        <w:tab/>
      </w:r>
      <w:r w:rsidRPr="00BD1415">
        <w:tab/>
        <w:t>2.</w:t>
      </w:r>
      <w:r w:rsidRPr="00BD1415">
        <w:tab/>
        <w:t>The Company has 460 customers, including 16 farms and 444 homes.</w:t>
      </w:r>
    </w:p>
    <w:p w:rsidR="006D7E17" w:rsidRPr="00BD1415" w:rsidRDefault="006D7E17" w:rsidP="006D7E17">
      <w:pPr>
        <w:jc w:val="left"/>
      </w:pPr>
    </w:p>
    <w:p w:rsidR="006D7E17" w:rsidRPr="00BD1415" w:rsidRDefault="006D7E17" w:rsidP="006D7E17">
      <w:pPr>
        <w:jc w:val="left"/>
      </w:pPr>
      <w:r w:rsidRPr="00BD1415">
        <w:tab/>
      </w:r>
      <w:r w:rsidRPr="00BD1415">
        <w:tab/>
        <w:t>3.</w:t>
      </w:r>
      <w:r w:rsidRPr="00BD1415">
        <w:tab/>
        <w:t>The Commission's Bureau of Investigation &amp; Enforcement is an office within the Commission charged with representing the public interest in matters involving utility rates.</w:t>
      </w:r>
    </w:p>
    <w:p w:rsidR="00735DEC" w:rsidRPr="00BD1415" w:rsidRDefault="00735DEC" w:rsidP="000358FF">
      <w:pPr>
        <w:jc w:val="left"/>
      </w:pPr>
    </w:p>
    <w:p w:rsidR="006D7E17" w:rsidRPr="00BD1415" w:rsidRDefault="006D7E17"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t>4.</w:t>
      </w:r>
      <w:r w:rsidRPr="00BD1415">
        <w:rPr>
          <w:szCs w:val="24"/>
        </w:rPr>
        <w:tab/>
        <w:t xml:space="preserve">OCA is a statutorily created public advocate empowered to represent the interests of consumers before the Public Utility Commission pursuant to Act 161 of the General </w:t>
      </w:r>
      <w:r w:rsidR="00F91972">
        <w:rPr>
          <w:szCs w:val="24"/>
        </w:rPr>
        <w:t>Assembly, as amended, 71 P.S. §</w:t>
      </w:r>
      <w:r w:rsidRPr="00BD1415">
        <w:rPr>
          <w:szCs w:val="24"/>
        </w:rPr>
        <w:t xml:space="preserve"> 309-1 </w:t>
      </w:r>
      <w:r w:rsidRPr="00F91972">
        <w:rPr>
          <w:szCs w:val="24"/>
        </w:rPr>
        <w:t>et seq</w:t>
      </w:r>
      <w:r w:rsidRPr="00BD1415">
        <w:rPr>
          <w:i/>
          <w:szCs w:val="24"/>
        </w:rPr>
        <w:t>.</w:t>
      </w:r>
    </w:p>
    <w:p w:rsidR="000A734C" w:rsidRPr="00BD1415" w:rsidRDefault="000A734C" w:rsidP="000A734C">
      <w:pPr>
        <w:pStyle w:val="Pleading2L3"/>
        <w:numPr>
          <w:ilvl w:val="0"/>
          <w:numId w:val="0"/>
        </w:numPr>
        <w:tabs>
          <w:tab w:val="num" w:pos="0"/>
        </w:tabs>
        <w:spacing w:line="360" w:lineRule="auto"/>
        <w:contextualSpacing/>
        <w:jc w:val="center"/>
        <w:rPr>
          <w:szCs w:val="24"/>
        </w:rPr>
      </w:pPr>
      <w:r w:rsidRPr="00BD1415">
        <w:rPr>
          <w:b/>
          <w:szCs w:val="24"/>
        </w:rPr>
        <w:t>TERMS AND CONDITIONS</w:t>
      </w:r>
    </w:p>
    <w:p w:rsidR="006A5DC3" w:rsidRDefault="006A5DC3" w:rsidP="006A5DC3">
      <w:pPr>
        <w:pStyle w:val="Pleading2L3"/>
        <w:numPr>
          <w:ilvl w:val="0"/>
          <w:numId w:val="0"/>
        </w:numPr>
        <w:tabs>
          <w:tab w:val="num" w:pos="0"/>
        </w:tabs>
        <w:spacing w:line="360" w:lineRule="auto"/>
        <w:ind w:firstLine="1440"/>
        <w:contextualSpacing/>
        <w:rPr>
          <w:szCs w:val="24"/>
        </w:rPr>
      </w:pPr>
    </w:p>
    <w:p w:rsidR="00510925" w:rsidRPr="00BD1415" w:rsidRDefault="00510925" w:rsidP="006A5DC3">
      <w:pPr>
        <w:pStyle w:val="Pleading2L3"/>
        <w:numPr>
          <w:ilvl w:val="0"/>
          <w:numId w:val="0"/>
        </w:numPr>
        <w:tabs>
          <w:tab w:val="num" w:pos="0"/>
        </w:tabs>
        <w:spacing w:line="360" w:lineRule="auto"/>
        <w:contextualSpacing/>
        <w:rPr>
          <w:szCs w:val="24"/>
        </w:rPr>
      </w:pPr>
      <w:r w:rsidRPr="00BD1415">
        <w:rPr>
          <w:szCs w:val="24"/>
        </w:rPr>
        <w:t xml:space="preserve">The Terms and Conditions of the Joint Petition are repeated </w:t>
      </w:r>
      <w:r w:rsidR="009F6195" w:rsidRPr="00BD1415">
        <w:rPr>
          <w:szCs w:val="24"/>
        </w:rPr>
        <w:t>below</w:t>
      </w:r>
      <w:r w:rsidRPr="00BD1415">
        <w:rPr>
          <w:szCs w:val="24"/>
        </w:rPr>
        <w:t xml:space="preserve">.  They are </w:t>
      </w:r>
      <w:r w:rsidR="009F6195" w:rsidRPr="00BD1415">
        <w:rPr>
          <w:szCs w:val="24"/>
        </w:rPr>
        <w:t>taken from the J</w:t>
      </w:r>
      <w:r w:rsidRPr="00BD1415">
        <w:rPr>
          <w:szCs w:val="24"/>
        </w:rPr>
        <w:t>oint Petition</w:t>
      </w:r>
      <w:r w:rsidR="009F6195" w:rsidRPr="00BD1415">
        <w:rPr>
          <w:szCs w:val="24"/>
        </w:rPr>
        <w:t>, Paragraph 7</w:t>
      </w:r>
      <w:r w:rsidRPr="00BD1415">
        <w:rPr>
          <w:szCs w:val="24"/>
        </w:rPr>
        <w:t>, and the letter designation</w:t>
      </w:r>
      <w:r w:rsidR="009F6195" w:rsidRPr="00BD1415">
        <w:rPr>
          <w:szCs w:val="24"/>
        </w:rPr>
        <w:t xml:space="preserve"> under Paragraph 7</w:t>
      </w:r>
      <w:r w:rsidRPr="00BD1415">
        <w:rPr>
          <w:szCs w:val="24"/>
        </w:rPr>
        <w:t xml:space="preserve"> is included here</w:t>
      </w:r>
      <w:r w:rsidR="000A734C" w:rsidRPr="00BD1415">
        <w:rPr>
          <w:szCs w:val="24"/>
        </w:rPr>
        <w:t xml:space="preserve"> for ease of reference</w:t>
      </w:r>
      <w:r w:rsidRPr="00BD1415">
        <w:rPr>
          <w:szCs w:val="24"/>
        </w:rPr>
        <w:t>.</w:t>
      </w:r>
    </w:p>
    <w:p w:rsidR="00510925" w:rsidRPr="00BD1415" w:rsidRDefault="00510925" w:rsidP="006D7E17">
      <w:pPr>
        <w:pStyle w:val="Pleading2L3"/>
        <w:numPr>
          <w:ilvl w:val="0"/>
          <w:numId w:val="0"/>
        </w:numPr>
        <w:tabs>
          <w:tab w:val="num" w:pos="0"/>
        </w:tabs>
        <w:spacing w:line="360" w:lineRule="auto"/>
        <w:contextualSpacing/>
        <w:rPr>
          <w:szCs w:val="24"/>
        </w:rPr>
      </w:pPr>
    </w:p>
    <w:p w:rsidR="00510925" w:rsidRPr="00BD1415" w:rsidRDefault="00510925"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5(a).</w:t>
      </w:r>
      <w:proofErr w:type="gramEnd"/>
      <w:r w:rsidRPr="00BD1415">
        <w:rPr>
          <w:szCs w:val="24"/>
        </w:rPr>
        <w:tab/>
        <w:t>Upon the Commission's approval of this Settlement, Rock Spring will be permitted to charge the rates for water service set forth in the proposed Tariff attached thereto as Appendix A (Settlement Rates).  The Settlement Rates are designed to produce additional annual operatin</w:t>
      </w:r>
      <w:r w:rsidR="00C70AD8" w:rsidRPr="00BD1415">
        <w:rPr>
          <w:szCs w:val="24"/>
        </w:rPr>
        <w:t>g revenue of $16,800, or 14.55%</w:t>
      </w:r>
      <w:r w:rsidRPr="00BD1415">
        <w:rPr>
          <w:szCs w:val="24"/>
        </w:rPr>
        <w:t>, as shown on the Proof of Revenues attached thereto as Appendix B.  The tariff set forth in Appendix A complies with the terms of the Settlement.</w:t>
      </w:r>
    </w:p>
    <w:p w:rsidR="00510925" w:rsidRPr="00BD1415" w:rsidRDefault="00510925" w:rsidP="006D7E17">
      <w:pPr>
        <w:pStyle w:val="Pleading2L3"/>
        <w:numPr>
          <w:ilvl w:val="0"/>
          <w:numId w:val="0"/>
        </w:numPr>
        <w:tabs>
          <w:tab w:val="num" w:pos="0"/>
        </w:tabs>
        <w:spacing w:line="360" w:lineRule="auto"/>
        <w:contextualSpacing/>
        <w:rPr>
          <w:szCs w:val="24"/>
        </w:rPr>
      </w:pPr>
    </w:p>
    <w:p w:rsidR="00510925" w:rsidRPr="00BD1415" w:rsidRDefault="00510925"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6(b).</w:t>
      </w:r>
      <w:proofErr w:type="gramEnd"/>
      <w:r w:rsidRPr="00BD1415">
        <w:rPr>
          <w:szCs w:val="24"/>
        </w:rPr>
        <w:tab/>
        <w:t>The Joint Petitioners respectfully request ALJ Colwell and the Commission to act as expeditiously as possible to ensure implementation of the Settlement Rates.  Upon the entry of a Commission Order approving the Joint Petition, Rock Spring will be permitted to file a tariff in the form attached hereto as Appendix A to become effective upon one day's notice.</w:t>
      </w:r>
    </w:p>
    <w:p w:rsidR="00510925" w:rsidRPr="00BD1415" w:rsidRDefault="00510925" w:rsidP="006D7E17">
      <w:pPr>
        <w:pStyle w:val="Pleading2L3"/>
        <w:numPr>
          <w:ilvl w:val="0"/>
          <w:numId w:val="0"/>
        </w:numPr>
        <w:tabs>
          <w:tab w:val="num" w:pos="0"/>
        </w:tabs>
        <w:spacing w:line="360" w:lineRule="auto"/>
        <w:contextualSpacing/>
        <w:rPr>
          <w:szCs w:val="24"/>
        </w:rPr>
      </w:pPr>
    </w:p>
    <w:p w:rsidR="00510925" w:rsidRPr="00BD1415" w:rsidRDefault="00510925"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7(c).</w:t>
      </w:r>
      <w:proofErr w:type="gramEnd"/>
      <w:r w:rsidRPr="00BD1415">
        <w:rPr>
          <w:szCs w:val="24"/>
        </w:rPr>
        <w:tab/>
        <w:t xml:space="preserve">Rock </w:t>
      </w:r>
      <w:r w:rsidR="009F6195" w:rsidRPr="00BD1415">
        <w:rPr>
          <w:szCs w:val="24"/>
        </w:rPr>
        <w:t>S</w:t>
      </w:r>
      <w:r w:rsidRPr="00BD1415">
        <w:rPr>
          <w:szCs w:val="24"/>
        </w:rPr>
        <w:t>pring will not file for another general water rate increase under Section 1308(d) of the Public Utility Code prior to twelve (</w:t>
      </w:r>
      <w:r w:rsidR="00F91972">
        <w:rPr>
          <w:szCs w:val="24"/>
        </w:rPr>
        <w:t>12) months after the entry date</w:t>
      </w:r>
      <w:r w:rsidRPr="00BD1415">
        <w:rPr>
          <w:szCs w:val="24"/>
        </w:rPr>
        <w:t xml:space="preserve"> of the </w:t>
      </w:r>
      <w:r w:rsidR="00221B24" w:rsidRPr="00BD1415">
        <w:rPr>
          <w:szCs w:val="24"/>
        </w:rPr>
        <w:t>Commission Order approving the Joint Petition for Settlement.  This stay-out provision has no application to state tax adjustment surcharge filings or other filings required by the PUC.  This provision also shall not prohibit the Company from filing for extraordinary rate relief pursuant to Section 1308(e) of the Public Utility Code.</w:t>
      </w:r>
    </w:p>
    <w:p w:rsidR="00221B24" w:rsidRPr="00BD1415" w:rsidRDefault="00221B24" w:rsidP="006D7E17">
      <w:pPr>
        <w:pStyle w:val="Pleading2L3"/>
        <w:numPr>
          <w:ilvl w:val="0"/>
          <w:numId w:val="0"/>
        </w:numPr>
        <w:tabs>
          <w:tab w:val="num" w:pos="0"/>
        </w:tabs>
        <w:spacing w:line="360" w:lineRule="auto"/>
        <w:contextualSpacing/>
        <w:rPr>
          <w:szCs w:val="24"/>
        </w:rPr>
      </w:pPr>
    </w:p>
    <w:p w:rsidR="00221B24" w:rsidRPr="00BD1415" w:rsidRDefault="00221B24"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8(d).</w:t>
      </w:r>
      <w:proofErr w:type="gramEnd"/>
      <w:r w:rsidRPr="00BD1415">
        <w:rPr>
          <w:szCs w:val="24"/>
        </w:rPr>
        <w:tab/>
        <w:t>Rock Spring agrees to establish one credit card account that will be used only for utility expenses.</w:t>
      </w:r>
    </w:p>
    <w:p w:rsidR="00221B24" w:rsidRPr="00BD1415" w:rsidRDefault="00221B24" w:rsidP="006D7E17">
      <w:pPr>
        <w:pStyle w:val="Pleading2L3"/>
        <w:numPr>
          <w:ilvl w:val="0"/>
          <w:numId w:val="0"/>
        </w:numPr>
        <w:tabs>
          <w:tab w:val="num" w:pos="0"/>
        </w:tabs>
        <w:spacing w:line="360" w:lineRule="auto"/>
        <w:contextualSpacing/>
        <w:rPr>
          <w:szCs w:val="24"/>
        </w:rPr>
      </w:pPr>
    </w:p>
    <w:p w:rsidR="00221B24" w:rsidRPr="00BD1415" w:rsidRDefault="00221B24"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9(e).</w:t>
      </w:r>
      <w:proofErr w:type="gramEnd"/>
      <w:r w:rsidRPr="00BD1415">
        <w:rPr>
          <w:szCs w:val="24"/>
        </w:rPr>
        <w:tab/>
        <w:t>Rock Spring will continue to repair leaks as economically and expeditiously as possible in order to reduce lost and unaccounted-for water to reasonable limits.  Further, Rock Spring will continue to provide copies of its quarterly water loss reports required by the Pennsylvania Department of Environmental Protection to OCA and I&amp;E.</w:t>
      </w:r>
    </w:p>
    <w:p w:rsidR="00221B24" w:rsidRPr="00BD1415" w:rsidRDefault="00221B24" w:rsidP="006D7E17">
      <w:pPr>
        <w:pStyle w:val="Pleading2L3"/>
        <w:numPr>
          <w:ilvl w:val="0"/>
          <w:numId w:val="0"/>
        </w:numPr>
        <w:tabs>
          <w:tab w:val="num" w:pos="0"/>
        </w:tabs>
        <w:spacing w:line="360" w:lineRule="auto"/>
        <w:contextualSpacing/>
        <w:rPr>
          <w:szCs w:val="24"/>
        </w:rPr>
      </w:pPr>
    </w:p>
    <w:p w:rsidR="00221B24" w:rsidRPr="00BD1415" w:rsidRDefault="00221B24"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10(f).</w:t>
      </w:r>
      <w:proofErr w:type="gramEnd"/>
      <w:r w:rsidRPr="00BD1415">
        <w:rPr>
          <w:szCs w:val="24"/>
        </w:rPr>
        <w:tab/>
        <w:t>Rock Spring agrees to reduce its current</w:t>
      </w:r>
      <w:r w:rsidR="006A5DC3">
        <w:rPr>
          <w:szCs w:val="24"/>
        </w:rPr>
        <w:t xml:space="preserve"> level of unaccounted for water </w:t>
      </w:r>
      <w:r w:rsidRPr="00BD1415">
        <w:rPr>
          <w:szCs w:val="24"/>
        </w:rPr>
        <w:t>(73.2%, per the Jan. 31 report to D</w:t>
      </w:r>
      <w:r w:rsidR="00CA0CCE" w:rsidRPr="00BD1415">
        <w:rPr>
          <w:szCs w:val="24"/>
        </w:rPr>
        <w:t>E</w:t>
      </w:r>
      <w:r w:rsidRPr="00BD1415">
        <w:rPr>
          <w:szCs w:val="24"/>
        </w:rPr>
        <w:t>P) by 10% (to 63.2%) with</w:t>
      </w:r>
      <w:r w:rsidR="006A5DC3">
        <w:rPr>
          <w:szCs w:val="24"/>
        </w:rPr>
        <w:t>in 18 months from the effective </w:t>
      </w:r>
      <w:r w:rsidRPr="00BD1415">
        <w:rPr>
          <w:szCs w:val="24"/>
        </w:rPr>
        <w:t>date of the rates contained in this settlement.  Thereafter, and for a</w:t>
      </w:r>
      <w:r w:rsidR="009F6195" w:rsidRPr="00BD1415">
        <w:rPr>
          <w:szCs w:val="24"/>
        </w:rPr>
        <w:t xml:space="preserve"> </w:t>
      </w:r>
      <w:r w:rsidR="006A5DC3">
        <w:rPr>
          <w:szCs w:val="24"/>
        </w:rPr>
        <w:t>duration of 48 additional </w:t>
      </w:r>
      <w:r w:rsidRPr="00BD1415">
        <w:rPr>
          <w:szCs w:val="24"/>
        </w:rPr>
        <w:t>months, Rock Spring agrees that it will continue to make 1</w:t>
      </w:r>
      <w:r w:rsidR="00BF68A4">
        <w:rPr>
          <w:szCs w:val="24"/>
        </w:rPr>
        <w:t>0% reductions (to 53.2%, 43.2%, </w:t>
      </w:r>
      <w:r w:rsidRPr="00BD1415">
        <w:rPr>
          <w:szCs w:val="24"/>
        </w:rPr>
        <w:t xml:space="preserve">33.2%, 23.2%) in </w:t>
      </w:r>
      <w:proofErr w:type="gramStart"/>
      <w:r w:rsidRPr="00BD1415">
        <w:rPr>
          <w:szCs w:val="24"/>
        </w:rPr>
        <w:t>it</w:t>
      </w:r>
      <w:r w:rsidR="004E1DF8">
        <w:rPr>
          <w:szCs w:val="24"/>
        </w:rPr>
        <w:t>s</w:t>
      </w:r>
      <w:proofErr w:type="gramEnd"/>
      <w:r w:rsidRPr="00BD1415">
        <w:rPr>
          <w:szCs w:val="24"/>
        </w:rPr>
        <w:t xml:space="preserve"> unaccounted for water losses for each 12 month period.  I</w:t>
      </w:r>
      <w:r w:rsidR="009F6195" w:rsidRPr="00BD1415">
        <w:rPr>
          <w:szCs w:val="24"/>
        </w:rPr>
        <w:t>f</w:t>
      </w:r>
      <w:r w:rsidRPr="00BD1415">
        <w:rPr>
          <w:szCs w:val="24"/>
        </w:rPr>
        <w:t xml:space="preserve"> Rock Spring fails to achieve the agreed upon 10% reduction in any such period, it agrees that it will plan to install two additional isolation valves in its system, not to exceed a maximum installation of 10 new isolation valves during the entire 66 month period.  Rock Spring further agrees that it will provide I&amp;E, OCA and the Commission's Bureau of Technical Utility Services (TUS) with </w:t>
      </w:r>
      <w:proofErr w:type="gramStart"/>
      <w:r w:rsidRPr="00BD1415">
        <w:rPr>
          <w:szCs w:val="24"/>
        </w:rPr>
        <w:t>its</w:t>
      </w:r>
      <w:proofErr w:type="gramEnd"/>
      <w:r w:rsidRPr="00BD1415">
        <w:rPr>
          <w:szCs w:val="24"/>
        </w:rPr>
        <w:t xml:space="preserve"> unaccounted for water data at the end of each of the previously noted periods.  In its report, the Company also will describe what steps were taken to reduce major leaks during the previous period and will indicate where it intends to place the two additional isolation valves if the target reduction was not met and the reasons for that placement.  This provision is based on the Company's calculation of its unaccounted for water in accordance with PUC requirements and does not bind OCA or I&amp;E in any future proceeding regarding the appropriate calculation of unaccounted for water or any issues in any future proceeding regarding unaccounted for water.</w:t>
      </w:r>
    </w:p>
    <w:p w:rsidR="00C70AD8" w:rsidRPr="00BD1415" w:rsidRDefault="00C70AD8" w:rsidP="006D7E17">
      <w:pPr>
        <w:pStyle w:val="Pleading2L3"/>
        <w:numPr>
          <w:ilvl w:val="0"/>
          <w:numId w:val="0"/>
        </w:numPr>
        <w:tabs>
          <w:tab w:val="num" w:pos="0"/>
        </w:tabs>
        <w:spacing w:line="360" w:lineRule="auto"/>
        <w:contextualSpacing/>
        <w:rPr>
          <w:szCs w:val="24"/>
        </w:rPr>
      </w:pPr>
    </w:p>
    <w:p w:rsidR="00C70AD8" w:rsidRPr="00BD1415" w:rsidRDefault="00C70AD8"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11(g).</w:t>
      </w:r>
      <w:proofErr w:type="gramEnd"/>
      <w:r w:rsidRPr="00BD1415">
        <w:rPr>
          <w:szCs w:val="24"/>
        </w:rPr>
        <w:tab/>
        <w:t>Rock Spring will make efforts to sell the Company and agrees to provide to OCA and I&amp;E the status of any negotiations, discussions or offers related to the sale of the Company or the transfer of the assets.  These efforts could result in a proposed sale of the Company which will need to be reviewed by the Commission and other parties.  The parties have reserved all rights regarding any potential application which may be filed by Rock Spring.</w:t>
      </w:r>
    </w:p>
    <w:p w:rsidR="00C70AD8" w:rsidRPr="00BD1415" w:rsidRDefault="00C70AD8" w:rsidP="006D7E17">
      <w:pPr>
        <w:pStyle w:val="Pleading2L3"/>
        <w:numPr>
          <w:ilvl w:val="0"/>
          <w:numId w:val="0"/>
        </w:numPr>
        <w:tabs>
          <w:tab w:val="num" w:pos="0"/>
        </w:tabs>
        <w:spacing w:line="360" w:lineRule="auto"/>
        <w:contextualSpacing/>
        <w:rPr>
          <w:szCs w:val="24"/>
        </w:rPr>
      </w:pPr>
    </w:p>
    <w:p w:rsidR="00C70AD8" w:rsidRPr="00BD1415" w:rsidRDefault="00C70AD8"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12(h).</w:t>
      </w:r>
      <w:proofErr w:type="gramEnd"/>
      <w:r w:rsidRPr="00BD1415">
        <w:rPr>
          <w:szCs w:val="24"/>
        </w:rPr>
        <w:tab/>
        <w:t>Rock Spring agrees that it will henceforth reconcile its utility expenses in accordance with the NARUC Uniform System of Accounts.</w:t>
      </w:r>
    </w:p>
    <w:p w:rsidR="00C70AD8" w:rsidRPr="00BD1415" w:rsidRDefault="00C70AD8" w:rsidP="006D7E17">
      <w:pPr>
        <w:pStyle w:val="Pleading2L3"/>
        <w:numPr>
          <w:ilvl w:val="0"/>
          <w:numId w:val="0"/>
        </w:numPr>
        <w:tabs>
          <w:tab w:val="num" w:pos="0"/>
        </w:tabs>
        <w:spacing w:line="360" w:lineRule="auto"/>
        <w:contextualSpacing/>
        <w:rPr>
          <w:szCs w:val="24"/>
        </w:rPr>
      </w:pPr>
    </w:p>
    <w:p w:rsidR="00C70AD8" w:rsidRPr="00BD1415" w:rsidRDefault="00C70AD8" w:rsidP="006D7E17">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proofErr w:type="gramStart"/>
      <w:r w:rsidRPr="00BD1415">
        <w:rPr>
          <w:szCs w:val="24"/>
        </w:rPr>
        <w:t>13(i).</w:t>
      </w:r>
      <w:proofErr w:type="gramEnd"/>
      <w:r w:rsidRPr="00BD1415">
        <w:rPr>
          <w:szCs w:val="24"/>
        </w:rPr>
        <w:tab/>
        <w:t>The Settlement Rates set forth in Appendix A to the Joint Settlement reflect the Joint Petitioners' agreement with regard to rate structure, rate design and the distribution of the increase in revenues in this case as follows:</w:t>
      </w:r>
    </w:p>
    <w:p w:rsidR="009F6195" w:rsidRPr="00BD1415" w:rsidRDefault="009F6195" w:rsidP="006D7E17">
      <w:pPr>
        <w:pStyle w:val="Pleading2L3"/>
        <w:numPr>
          <w:ilvl w:val="0"/>
          <w:numId w:val="0"/>
        </w:numPr>
        <w:tabs>
          <w:tab w:val="num" w:pos="0"/>
        </w:tabs>
        <w:spacing w:line="360" w:lineRule="auto"/>
        <w:contextualSpacing/>
        <w:rPr>
          <w:szCs w:val="24"/>
        </w:rPr>
      </w:pPr>
    </w:p>
    <w:p w:rsidR="00C70AD8" w:rsidRPr="00BD1415" w:rsidRDefault="00C70AD8" w:rsidP="009F6195">
      <w:pPr>
        <w:pStyle w:val="Pleading2L3"/>
        <w:numPr>
          <w:ilvl w:val="0"/>
          <w:numId w:val="0"/>
        </w:numPr>
        <w:tabs>
          <w:tab w:val="num" w:pos="0"/>
        </w:tabs>
        <w:spacing w:line="240" w:lineRule="auto"/>
        <w:ind w:left="720" w:right="720"/>
        <w:contextualSpacing/>
        <w:rPr>
          <w:szCs w:val="24"/>
        </w:rPr>
      </w:pPr>
      <w:r w:rsidRPr="00BD1415">
        <w:rPr>
          <w:szCs w:val="24"/>
        </w:rPr>
        <w:t>The average quarterly cost of water service to residential customers is currently $53.15, based on an average usage of 10,900 gallons.  Under this Joint Petition, the quarterly cost to an average residential custo</w:t>
      </w:r>
      <w:r w:rsidR="00AB7413">
        <w:rPr>
          <w:szCs w:val="24"/>
        </w:rPr>
        <w:t>mer would increase by $7.95, or </w:t>
      </w:r>
      <w:r w:rsidRPr="00BD1415">
        <w:rPr>
          <w:szCs w:val="24"/>
        </w:rPr>
        <w:t>14.96% to $61.10.</w:t>
      </w:r>
    </w:p>
    <w:p w:rsidR="00735DEC" w:rsidRPr="00BD1415" w:rsidRDefault="00510925" w:rsidP="00C57504">
      <w:pPr>
        <w:pStyle w:val="Pleading2L3"/>
        <w:numPr>
          <w:ilvl w:val="0"/>
          <w:numId w:val="0"/>
        </w:numPr>
        <w:tabs>
          <w:tab w:val="num" w:pos="0"/>
        </w:tabs>
        <w:spacing w:line="360" w:lineRule="auto"/>
        <w:contextualSpacing/>
        <w:rPr>
          <w:szCs w:val="24"/>
        </w:rPr>
      </w:pPr>
      <w:r w:rsidRPr="00BD1415">
        <w:rPr>
          <w:szCs w:val="24"/>
        </w:rPr>
        <w:tab/>
      </w:r>
      <w:r w:rsidRPr="00BD1415">
        <w:rPr>
          <w:szCs w:val="24"/>
        </w:rPr>
        <w:tab/>
      </w:r>
      <w:r w:rsidR="00AB7413">
        <w:rPr>
          <w:szCs w:val="24"/>
        </w:rPr>
        <w:tab/>
      </w:r>
      <w:r w:rsidR="00AB7413">
        <w:rPr>
          <w:szCs w:val="24"/>
        </w:rPr>
        <w:tab/>
      </w:r>
    </w:p>
    <w:p w:rsidR="00735DEC" w:rsidRPr="00BD1415" w:rsidRDefault="00735DEC" w:rsidP="00735DEC">
      <w:pPr>
        <w:rPr>
          <w:u w:val="single"/>
        </w:rPr>
      </w:pPr>
      <w:r w:rsidRPr="00BD1415">
        <w:rPr>
          <w:u w:val="single"/>
        </w:rPr>
        <w:t>DISCUSSION</w:t>
      </w:r>
    </w:p>
    <w:p w:rsidR="00735DEC" w:rsidRPr="00BD1415" w:rsidRDefault="00735DEC" w:rsidP="00735DEC">
      <w:pPr>
        <w:rPr>
          <w:u w:val="single"/>
        </w:rPr>
      </w:pPr>
    </w:p>
    <w:p w:rsidR="00EB38CD" w:rsidRPr="00BD1415" w:rsidRDefault="00EB38CD" w:rsidP="00EB38CD">
      <w:pPr>
        <w:jc w:val="left"/>
      </w:pPr>
      <w:r w:rsidRPr="00BD1415">
        <w:tab/>
      </w:r>
      <w:r w:rsidRPr="00BD1415">
        <w:tab/>
        <w:t xml:space="preserve">The standard for reviewing settlements is to determine whether the settlement is in the public interest.  </w:t>
      </w:r>
      <w:r w:rsidRPr="00BD1415">
        <w:rPr>
          <w:i/>
        </w:rPr>
        <w:t xml:space="preserve">See Pennsylvania Public Utility Commission v. C.S. Water and Sewer Associates, </w:t>
      </w:r>
      <w:r w:rsidRPr="00BD1415">
        <w:t xml:space="preserve">74 Pa. P.U.C. 767 (1991); </w:t>
      </w:r>
      <w:r w:rsidRPr="00BD1415">
        <w:rPr>
          <w:i/>
        </w:rPr>
        <w:t xml:space="preserve">Pennsylvania Public Utility Commission v. Philadelphia Electric Company, </w:t>
      </w:r>
      <w:r w:rsidRPr="00BD1415">
        <w:t>60 Pa. P.U.C. 1 (1985).</w:t>
      </w:r>
    </w:p>
    <w:p w:rsidR="00EB38CD" w:rsidRPr="00BD1415" w:rsidRDefault="00EB38CD" w:rsidP="00EB38CD">
      <w:pPr>
        <w:jc w:val="left"/>
      </w:pPr>
    </w:p>
    <w:p w:rsidR="00735DEC" w:rsidRPr="00BD1415" w:rsidRDefault="00735DEC" w:rsidP="00735DEC">
      <w:pPr>
        <w:jc w:val="left"/>
      </w:pPr>
      <w:r w:rsidRPr="00BD1415">
        <w:tab/>
      </w:r>
      <w:r w:rsidRPr="00BD1415">
        <w:tab/>
        <w:t>The parties aver that the Joint Settlement is in the public interest for a number of reasons</w:t>
      </w:r>
      <w:r w:rsidR="00EB38CD" w:rsidRPr="00BD1415">
        <w:t>.  First, i</w:t>
      </w:r>
      <w:r w:rsidRPr="00BD1415">
        <w:t>t reflects extensive scrutiny of the Company's financial and operating records</w:t>
      </w:r>
      <w:r w:rsidR="00780B9D" w:rsidRPr="00BD1415">
        <w:t xml:space="preserve"> and resolution of issues raised pursuant to arm's length neg</w:t>
      </w:r>
      <w:r w:rsidR="00951BD7">
        <w:t>oti</w:t>
      </w:r>
      <w:r w:rsidR="00780B9D" w:rsidRPr="00BD1415">
        <w:t xml:space="preserve">ation.  </w:t>
      </w:r>
      <w:proofErr w:type="gramStart"/>
      <w:r w:rsidR="00780B9D" w:rsidRPr="00BD1415">
        <w:t xml:space="preserve">Company Stmt. in Support at </w:t>
      </w:r>
      <w:r w:rsidR="006A5DC3">
        <w:t>p. </w:t>
      </w:r>
      <w:r w:rsidR="00780B9D" w:rsidRPr="00BD1415">
        <w:t>3</w:t>
      </w:r>
      <w:r w:rsidR="00E2065D" w:rsidRPr="00BD1415">
        <w:t xml:space="preserve"> at 1.</w:t>
      </w:r>
      <w:proofErr w:type="gramEnd"/>
      <w:r w:rsidR="00E2065D" w:rsidRPr="00BD1415">
        <w:t xml:space="preserve">  The public advocates conducted discovery and utilized experts to scrutinize the Company's books in order to ensure that the re</w:t>
      </w:r>
      <w:r w:rsidR="00EB38CD" w:rsidRPr="00BD1415">
        <w:t>sult is accurate and</w:t>
      </w:r>
      <w:r w:rsidR="00E2065D" w:rsidRPr="00BD1415">
        <w:t xml:space="preserve"> the terms adequate.  I&amp;E Stmt. in Support at 3-4.</w:t>
      </w:r>
    </w:p>
    <w:p w:rsidR="00780B9D" w:rsidRPr="00BD1415" w:rsidRDefault="00780B9D" w:rsidP="00735DEC">
      <w:pPr>
        <w:jc w:val="left"/>
      </w:pPr>
    </w:p>
    <w:p w:rsidR="00780B9D" w:rsidRPr="00BD1415" w:rsidRDefault="00EB38CD" w:rsidP="00735DEC">
      <w:pPr>
        <w:jc w:val="left"/>
      </w:pPr>
      <w:r w:rsidRPr="00BD1415">
        <w:tab/>
      </w:r>
      <w:r w:rsidRPr="00BD1415">
        <w:tab/>
      </w:r>
      <w:r w:rsidR="00780B9D" w:rsidRPr="00BD1415">
        <w:t xml:space="preserve">The agreed-upon amount is adequate to allow the operation </w:t>
      </w:r>
      <w:r w:rsidR="00951BD7">
        <w:t>and</w:t>
      </w:r>
      <w:r w:rsidR="00780B9D" w:rsidRPr="00BD1415">
        <w:t xml:space="preserve"> maintenance of the facilities at a level which meets the obligations to the Pennsylvania Department of Environmental Protection (DEP) under its permit.  </w:t>
      </w:r>
      <w:proofErr w:type="gramStart"/>
      <w:r w:rsidR="00780B9D" w:rsidRPr="00BD1415">
        <w:t>Company Stmt. in Support</w:t>
      </w:r>
      <w:r w:rsidR="00E2065D" w:rsidRPr="00BD1415">
        <w:t xml:space="preserve"> p.</w:t>
      </w:r>
      <w:r w:rsidR="00780B9D" w:rsidRPr="00BD1415">
        <w:t>3</w:t>
      </w:r>
      <w:r w:rsidR="00E2065D" w:rsidRPr="00BD1415">
        <w:t xml:space="preserve"> at 2</w:t>
      </w:r>
      <w:r w:rsidR="00780B9D" w:rsidRPr="00BD1415">
        <w:t>.</w:t>
      </w:r>
      <w:proofErr w:type="gramEnd"/>
      <w:r w:rsidR="006D7E17" w:rsidRPr="00BD1415">
        <w:t xml:space="preserve">  In addition, it is in the range of likely outcomes if the case were fully litigated.  </w:t>
      </w:r>
      <w:proofErr w:type="gramStart"/>
      <w:r w:rsidR="006D7E17" w:rsidRPr="00BD1415">
        <w:t>OCA Stmt. in Support p. 2.</w:t>
      </w:r>
      <w:proofErr w:type="gramEnd"/>
    </w:p>
    <w:p w:rsidR="00780B9D" w:rsidRPr="00BD1415" w:rsidRDefault="00780B9D" w:rsidP="00735DEC">
      <w:pPr>
        <w:jc w:val="left"/>
      </w:pPr>
    </w:p>
    <w:p w:rsidR="00780B9D" w:rsidRPr="00BD1415" w:rsidRDefault="00EB38CD" w:rsidP="00735DEC">
      <w:pPr>
        <w:jc w:val="left"/>
      </w:pPr>
      <w:r w:rsidRPr="00BD1415">
        <w:tab/>
      </w:r>
      <w:r w:rsidRPr="00BD1415">
        <w:tab/>
      </w:r>
      <w:r w:rsidR="00780B9D" w:rsidRPr="00BD1415">
        <w:t xml:space="preserve">The Company has historically been operated frugally and rate increases occur approximately every five years.  This increase in revenues is for $16,835 or 14.6%.  </w:t>
      </w:r>
      <w:proofErr w:type="gramStart"/>
      <w:r w:rsidR="00780B9D" w:rsidRPr="00BD1415">
        <w:t xml:space="preserve">Company Stmt. in Support </w:t>
      </w:r>
      <w:r w:rsidR="00E2065D" w:rsidRPr="00BD1415">
        <w:t xml:space="preserve">p. 3 </w:t>
      </w:r>
      <w:r w:rsidR="00780B9D" w:rsidRPr="00BD1415">
        <w:t>at 3.</w:t>
      </w:r>
      <w:proofErr w:type="gramEnd"/>
      <w:r w:rsidR="006A3D2F" w:rsidRPr="00BD1415">
        <w:t xml:space="preserve">  Th</w:t>
      </w:r>
      <w:r w:rsidRPr="00BD1415">
        <w:t>e parties agree that th</w:t>
      </w:r>
      <w:r w:rsidR="006A3D2F" w:rsidRPr="00BD1415">
        <w:t>is amount is reasonable as shown on the Proof of Revenues, attached to the Joint Petition for Settlement as Appendix B.  I&amp;E Stmt. in Support p. 4 at (a)</w:t>
      </w:r>
      <w:r w:rsidRPr="00BD1415">
        <w:t>.</w:t>
      </w:r>
    </w:p>
    <w:p w:rsidR="00780B9D" w:rsidRPr="00BD1415" w:rsidRDefault="00780B9D" w:rsidP="00735DEC">
      <w:pPr>
        <w:jc w:val="left"/>
      </w:pPr>
    </w:p>
    <w:p w:rsidR="00780B9D" w:rsidRPr="00BD1415" w:rsidRDefault="00EB38CD" w:rsidP="00735DEC">
      <w:pPr>
        <w:jc w:val="left"/>
      </w:pPr>
      <w:r w:rsidRPr="00BD1415">
        <w:tab/>
      </w:r>
      <w:r w:rsidRPr="00BD1415">
        <w:tab/>
      </w:r>
      <w:r w:rsidR="00780B9D" w:rsidRPr="00BD1415">
        <w:t xml:space="preserve">The Company </w:t>
      </w:r>
      <w:r w:rsidRPr="00BD1415">
        <w:t>agree</w:t>
      </w:r>
      <w:r w:rsidR="00CB14E6" w:rsidRPr="00BD1415">
        <w:t>s</w:t>
      </w:r>
      <w:r w:rsidRPr="00BD1415">
        <w:t xml:space="preserve"> to</w:t>
      </w:r>
      <w:r w:rsidR="00780B9D" w:rsidRPr="00BD1415">
        <w:t xml:space="preserve"> work to significantly reduce </w:t>
      </w:r>
      <w:proofErr w:type="gramStart"/>
      <w:r w:rsidR="00780B9D" w:rsidRPr="00BD1415">
        <w:t>its</w:t>
      </w:r>
      <w:proofErr w:type="gramEnd"/>
      <w:r w:rsidR="00780B9D" w:rsidRPr="00BD1415">
        <w:t xml:space="preserve"> unaccounted for water losses on an established schedule.  Company Stmt. in Support </w:t>
      </w:r>
      <w:r w:rsidR="00E2065D" w:rsidRPr="00BD1415">
        <w:t xml:space="preserve">p. 4  </w:t>
      </w:r>
      <w:r w:rsidR="00780B9D" w:rsidRPr="00BD1415">
        <w:t>at 4</w:t>
      </w:r>
      <w:r w:rsidR="00551805">
        <w:t>; I&amp;E Stmt. in Support p. </w:t>
      </w:r>
      <w:r w:rsidR="006A3D2F" w:rsidRPr="00BD1415">
        <w:t>5 at (f);</w:t>
      </w:r>
      <w:r w:rsidR="006D7E17" w:rsidRPr="00BD1415">
        <w:t xml:space="preserve"> OCA Stmt. in Support p. 3 at IV.</w:t>
      </w:r>
    </w:p>
    <w:p w:rsidR="00780B9D" w:rsidRPr="00BD1415" w:rsidRDefault="00780B9D" w:rsidP="00735DEC">
      <w:pPr>
        <w:jc w:val="left"/>
      </w:pPr>
    </w:p>
    <w:p w:rsidR="00780B9D" w:rsidRPr="00BD1415" w:rsidRDefault="00CB14E6" w:rsidP="00735DEC">
      <w:pPr>
        <w:jc w:val="left"/>
      </w:pPr>
      <w:r w:rsidRPr="00BD1415">
        <w:tab/>
      </w:r>
      <w:r w:rsidRPr="00BD1415">
        <w:tab/>
      </w:r>
      <w:r w:rsidR="00780B9D" w:rsidRPr="00BD1415">
        <w:t xml:space="preserve">The agreed-upon rate increase is evenly distributed between the residential customers and </w:t>
      </w:r>
      <w:r w:rsidR="00E2065D" w:rsidRPr="00BD1415">
        <w:t xml:space="preserve">the large-volume farm customers.  </w:t>
      </w:r>
      <w:proofErr w:type="gramStart"/>
      <w:r w:rsidR="00E2065D" w:rsidRPr="00BD1415">
        <w:t>Company Stmt. in Support p. 4 at 4</w:t>
      </w:r>
      <w:r w:rsidRPr="00BD1415">
        <w:t>.</w:t>
      </w:r>
      <w:proofErr w:type="gramEnd"/>
    </w:p>
    <w:p w:rsidR="00E2065D" w:rsidRPr="00BD1415" w:rsidRDefault="00E2065D" w:rsidP="00735DEC">
      <w:pPr>
        <w:jc w:val="left"/>
      </w:pPr>
    </w:p>
    <w:p w:rsidR="00E2065D" w:rsidRPr="00BD1415" w:rsidRDefault="00CB14E6" w:rsidP="00735DEC">
      <w:pPr>
        <w:jc w:val="left"/>
      </w:pPr>
      <w:r w:rsidRPr="00BD1415">
        <w:tab/>
      </w:r>
      <w:r w:rsidRPr="00BD1415">
        <w:tab/>
      </w:r>
      <w:r w:rsidR="00E2065D" w:rsidRPr="00BD1415">
        <w:t xml:space="preserve">The owners of the Company agree to seek a buyer in order to have a more financially sound utility.  </w:t>
      </w:r>
      <w:proofErr w:type="gramStart"/>
      <w:r w:rsidR="00E2065D" w:rsidRPr="00BD1415">
        <w:t>Company Stmt. in Support p.4 at 5</w:t>
      </w:r>
      <w:r w:rsidR="006D7E17" w:rsidRPr="00BD1415">
        <w:t>; OCA Stmt. in Support p. 4.</w:t>
      </w:r>
      <w:proofErr w:type="gramEnd"/>
    </w:p>
    <w:p w:rsidR="00E2065D" w:rsidRPr="00BD1415" w:rsidRDefault="00E2065D" w:rsidP="00735DEC">
      <w:pPr>
        <w:jc w:val="left"/>
      </w:pPr>
    </w:p>
    <w:p w:rsidR="00E2065D" w:rsidRPr="00BD1415" w:rsidRDefault="00CB14E6" w:rsidP="00735DEC">
      <w:pPr>
        <w:jc w:val="left"/>
      </w:pPr>
      <w:r w:rsidRPr="00BD1415">
        <w:tab/>
      </w:r>
      <w:r w:rsidRPr="00BD1415">
        <w:tab/>
      </w:r>
      <w:r w:rsidR="00E2065D" w:rsidRPr="00BD1415">
        <w:t>The Company will improve its bookkeeping and accounting and establish a single dedicated credit card account to facilitate competent financial management.  Company Stmt. in Su</w:t>
      </w:r>
      <w:r w:rsidR="00150C49">
        <w:t xml:space="preserve">pport p. </w:t>
      </w:r>
      <w:r w:rsidR="00E2065D" w:rsidRPr="00BD1415">
        <w:t>4 at 6</w:t>
      </w:r>
      <w:r w:rsidR="006A3D2F" w:rsidRPr="00BD1415">
        <w:t>; I&amp;E Stmt. in Support p. 5 at (e)</w:t>
      </w:r>
      <w:r w:rsidR="006D7E17" w:rsidRPr="00BD1415">
        <w:t>, (g) and (h)</w:t>
      </w:r>
      <w:r w:rsidR="006A3D2F" w:rsidRPr="00BD1415">
        <w:t xml:space="preserve">; </w:t>
      </w:r>
      <w:r w:rsidR="006D7E17" w:rsidRPr="00BD1415">
        <w:t>OCA Stmt. in Support p. 4.</w:t>
      </w:r>
    </w:p>
    <w:p w:rsidR="00E2065D" w:rsidRPr="00BD1415" w:rsidRDefault="00E2065D" w:rsidP="00735DEC">
      <w:pPr>
        <w:jc w:val="left"/>
      </w:pPr>
    </w:p>
    <w:p w:rsidR="00E2065D" w:rsidRPr="00BD1415" w:rsidRDefault="00CB14E6" w:rsidP="00735DEC">
      <w:pPr>
        <w:jc w:val="left"/>
      </w:pPr>
      <w:r w:rsidRPr="00BD1415">
        <w:tab/>
      </w:r>
      <w:r w:rsidRPr="00BD1415">
        <w:tab/>
      </w:r>
      <w:r w:rsidR="00E2065D" w:rsidRPr="00BD1415">
        <w:t>Settlement without further litigation reduces overall rate costs.  Company Stmt. in Support p. 4 at 7</w:t>
      </w:r>
      <w:r w:rsidR="006A3D2F" w:rsidRPr="00BD1415">
        <w:t>; I</w:t>
      </w:r>
      <w:r w:rsidR="00C57504" w:rsidRPr="00BD1415">
        <w:t>&amp;E Stmt. in Support p. 4 at (b).</w:t>
      </w:r>
    </w:p>
    <w:p w:rsidR="006A3D2F" w:rsidRPr="00BD1415" w:rsidRDefault="006A3D2F" w:rsidP="00C57504">
      <w:pPr>
        <w:tabs>
          <w:tab w:val="left" w:pos="-720"/>
        </w:tabs>
        <w:suppressAutoHyphens/>
        <w:jc w:val="left"/>
      </w:pPr>
    </w:p>
    <w:p w:rsidR="006A3D2F" w:rsidRPr="00BD1415" w:rsidRDefault="00CB14E6" w:rsidP="00735DEC">
      <w:pPr>
        <w:jc w:val="left"/>
      </w:pPr>
      <w:r w:rsidRPr="00BD1415">
        <w:tab/>
      </w:r>
      <w:r w:rsidRPr="00BD1415">
        <w:tab/>
      </w:r>
      <w:r w:rsidR="006A3D2F" w:rsidRPr="00BD1415">
        <w:t xml:space="preserve">Included </w:t>
      </w:r>
      <w:r w:rsidRPr="00BD1415">
        <w:t xml:space="preserve">in the Joint Petition </w:t>
      </w:r>
      <w:r w:rsidR="006A3D2F" w:rsidRPr="00BD1415">
        <w:t>is a "stay-out" provision where the Company agrees to refrain from filing another base rate case for twelve months following the issuance of the final Commission Order approving the Joint Petition; I&amp;E Stmt. in Support p. 5 at (d)</w:t>
      </w:r>
      <w:r w:rsidR="006D7E17" w:rsidRPr="00BD1415">
        <w:t>; OCA Stmt. in Support p. 3 at III.</w:t>
      </w:r>
    </w:p>
    <w:p w:rsidR="00E2065D" w:rsidRPr="00BD1415" w:rsidRDefault="00E2065D" w:rsidP="00735DEC">
      <w:pPr>
        <w:jc w:val="left"/>
      </w:pPr>
    </w:p>
    <w:p w:rsidR="00C57504" w:rsidRPr="00BD1415" w:rsidRDefault="00C57504" w:rsidP="00C57504">
      <w:pPr>
        <w:tabs>
          <w:tab w:val="left" w:pos="-720"/>
        </w:tabs>
        <w:suppressAutoHyphens/>
        <w:jc w:val="left"/>
      </w:pPr>
      <w:r w:rsidRPr="00BD1415">
        <w:tab/>
      </w:r>
      <w:r w:rsidRPr="00BD1415">
        <w:tab/>
        <w:t xml:space="preserve">Section 523 of the Public Utility </w:t>
      </w:r>
      <w:r w:rsidR="00186F37">
        <w:t xml:space="preserve">Code, </w:t>
      </w:r>
      <w:proofErr w:type="gramStart"/>
      <w:r w:rsidR="00186F37">
        <w:t>66 Pa.C.S</w:t>
      </w:r>
      <w:proofErr w:type="gramEnd"/>
      <w:r w:rsidR="00186F37">
        <w:t xml:space="preserve">. § </w:t>
      </w:r>
      <w:r w:rsidRPr="00BD1415">
        <w:t xml:space="preserve">523, requires the Commission to consider the efficiency, effectiveness and adequacy of service of each utility when determining just and reasonable rates.  In exchange for customers paying rates for service, which includes the cost of utility plant in service and a rate of return, a public utility is obligated to provide safe, adequate and reasonable service.  In exchange for the utility’s provision of safe, adequate and reasonable service, the ratepayers are obligated to pay rates which cover the cost of service which includes reasonable operation and maintenance expenses, depreciation, taxes and a fair rate of return for the utility’s investors. </w:t>
      </w:r>
      <w:r w:rsidR="00E00CA8">
        <w:t xml:space="preserve"> </w:t>
      </w:r>
      <w:r w:rsidRPr="00BD1415">
        <w:t xml:space="preserve">In return for providing safe and adequate service, the utility is entitled to recover, through rates, these enumerated costs.  </w:t>
      </w:r>
      <w:proofErr w:type="gramStart"/>
      <w:r w:rsidRPr="00BD1415">
        <w:rPr>
          <w:i/>
          <w:spacing w:val="-3"/>
        </w:rPr>
        <w:t>Pennsylvania Pub.</w:t>
      </w:r>
      <w:proofErr w:type="gramEnd"/>
      <w:r w:rsidRPr="00BD1415">
        <w:rPr>
          <w:i/>
          <w:spacing w:val="-3"/>
        </w:rPr>
        <w:t xml:space="preserve"> Util. </w:t>
      </w:r>
      <w:proofErr w:type="gramStart"/>
      <w:r w:rsidRPr="00BD1415">
        <w:rPr>
          <w:i/>
          <w:spacing w:val="-3"/>
        </w:rPr>
        <w:t xml:space="preserve">Comm’n </w:t>
      </w:r>
      <w:r w:rsidRPr="00BD1415">
        <w:rPr>
          <w:i/>
        </w:rPr>
        <w:t xml:space="preserve"> v</w:t>
      </w:r>
      <w:proofErr w:type="gramEnd"/>
      <w:r w:rsidRPr="00BD1415">
        <w:rPr>
          <w:i/>
        </w:rPr>
        <w:t xml:space="preserve">. Pennsylvania Gas &amp; Water Co., </w:t>
      </w:r>
      <w:r w:rsidRPr="00BD1415">
        <w:t>61 Pa. PUC 409, 415-16 (1986); 66 Pa.C.S. § 1501.</w:t>
      </w:r>
    </w:p>
    <w:p w:rsidR="00C57504" w:rsidRPr="00BD1415" w:rsidRDefault="00C57504" w:rsidP="00C57504">
      <w:pPr>
        <w:tabs>
          <w:tab w:val="left" w:pos="-720"/>
        </w:tabs>
        <w:suppressAutoHyphens/>
        <w:jc w:val="left"/>
      </w:pPr>
    </w:p>
    <w:p w:rsidR="00C57504" w:rsidRPr="00BD1415" w:rsidRDefault="00C57504" w:rsidP="00C57504">
      <w:pPr>
        <w:tabs>
          <w:tab w:val="left" w:pos="-720"/>
        </w:tabs>
        <w:suppressAutoHyphens/>
        <w:jc w:val="left"/>
      </w:pPr>
      <w:r w:rsidRPr="00BD1415">
        <w:tab/>
      </w:r>
      <w:r w:rsidRPr="00BD1415">
        <w:tab/>
        <w:t xml:space="preserve">Should the Commission find that the Company is deficient in its provision of </w:t>
      </w:r>
      <w:proofErr w:type="gramStart"/>
      <w:r w:rsidRPr="00BD1415">
        <w:t>service,</w:t>
      </w:r>
      <w:proofErr w:type="gramEnd"/>
      <w:r w:rsidRPr="00BD1415">
        <w:t xml:space="preserve"> the General Assembly has given the Commission discretionary authority to deny a proposed rate increase, in whole or in part, if the Commission finds “that the service rendered by the public utility is in</w:t>
      </w:r>
      <w:r w:rsidR="006D4EA6">
        <w:t xml:space="preserve">adequate.”  </w:t>
      </w:r>
      <w:proofErr w:type="gramStart"/>
      <w:r w:rsidR="006D4EA6">
        <w:t>66 Pa.C.S.</w:t>
      </w:r>
      <w:proofErr w:type="gramEnd"/>
      <w:r w:rsidR="006D4EA6">
        <w:t xml:space="preserve"> § </w:t>
      </w:r>
      <w:r w:rsidRPr="00BD1415">
        <w:t>526(a).  The service issues are addressed by the Joint Petition for Settlement.</w:t>
      </w:r>
    </w:p>
    <w:p w:rsidR="00C57504" w:rsidRPr="00BD1415" w:rsidRDefault="00C57504" w:rsidP="00C57504">
      <w:pPr>
        <w:tabs>
          <w:tab w:val="left" w:pos="-720"/>
        </w:tabs>
        <w:suppressAutoHyphens/>
        <w:jc w:val="left"/>
      </w:pPr>
    </w:p>
    <w:p w:rsidR="00CB14E6" w:rsidRPr="00BD1415" w:rsidRDefault="00C57504" w:rsidP="00C57504">
      <w:pPr>
        <w:tabs>
          <w:tab w:val="left" w:pos="-720"/>
        </w:tabs>
        <w:suppressAutoHyphens/>
        <w:jc w:val="left"/>
      </w:pPr>
      <w:r w:rsidRPr="00BD1415">
        <w:tab/>
      </w:r>
      <w:r w:rsidRPr="00BD1415">
        <w:tab/>
      </w:r>
      <w:r w:rsidR="00EB38CD" w:rsidRPr="00BD1415">
        <w:t>The Settlement dis</w:t>
      </w:r>
      <w:r w:rsidR="00CB14E6" w:rsidRPr="00BD1415">
        <w:t>poses of all outstanding issues</w:t>
      </w:r>
      <w:r w:rsidR="00EB38CD" w:rsidRPr="00BD1415">
        <w:t xml:space="preserve">.  </w:t>
      </w:r>
      <w:r w:rsidR="00CB14E6" w:rsidRPr="00BD1415">
        <w:t>In addition to the Company, two public advocates are</w:t>
      </w:r>
      <w:r w:rsidR="00EB38CD" w:rsidRPr="00BD1415">
        <w:t xml:space="preserve"> signator</w:t>
      </w:r>
      <w:r w:rsidR="00CB14E6" w:rsidRPr="00BD1415">
        <w:t>ies</w:t>
      </w:r>
      <w:r w:rsidR="00EB38CD" w:rsidRPr="00BD1415">
        <w:t xml:space="preserve"> to the Settlement.  The parties have worked together to address the matters important to</w:t>
      </w:r>
      <w:r w:rsidR="00CB14E6" w:rsidRPr="00BD1415">
        <w:t xml:space="preserve"> each</w:t>
      </w:r>
      <w:r w:rsidR="00EB38CD" w:rsidRPr="00BD1415">
        <w:t xml:space="preserve"> of them, and in doing </w:t>
      </w:r>
      <w:proofErr w:type="gramStart"/>
      <w:r w:rsidR="00EB38CD" w:rsidRPr="00BD1415">
        <w:t>so,</w:t>
      </w:r>
      <w:proofErr w:type="gramEnd"/>
      <w:r w:rsidR="00EB38CD" w:rsidRPr="00BD1415">
        <w:t xml:space="preserve"> have addressed</w:t>
      </w:r>
      <w:r w:rsidR="00CB14E6" w:rsidRPr="00BD1415">
        <w:t xml:space="preserve"> all of</w:t>
      </w:r>
      <w:r w:rsidR="00EB38CD" w:rsidRPr="00BD1415">
        <w:t xml:space="preserve"> the issues which are important in this case.  The public interest is served by the disposition of the case represented by the Settlement</w:t>
      </w:r>
      <w:r w:rsidR="00CB14E6" w:rsidRPr="00BD1415">
        <w:t xml:space="preserve"> for the reasons set forth above</w:t>
      </w:r>
      <w:r w:rsidR="00EB38CD" w:rsidRPr="00BD1415">
        <w:t xml:space="preserve">, and </w:t>
      </w:r>
      <w:r w:rsidR="00CB14E6" w:rsidRPr="00BD1415">
        <w:t xml:space="preserve">the Joint Petition </w:t>
      </w:r>
      <w:r w:rsidRPr="00BD1415">
        <w:t>is recommended for</w:t>
      </w:r>
      <w:r w:rsidR="00EB38CD" w:rsidRPr="00BD1415">
        <w:t xml:space="preserve"> approv</w:t>
      </w:r>
      <w:r w:rsidRPr="00BD1415">
        <w:t>al</w:t>
      </w:r>
      <w:r w:rsidR="00EB38CD" w:rsidRPr="00BD1415">
        <w:t xml:space="preserve"> without modification.</w:t>
      </w:r>
    </w:p>
    <w:p w:rsidR="00CB14E6" w:rsidRPr="00BD1415" w:rsidRDefault="00CB14E6" w:rsidP="00EB38CD">
      <w:pPr>
        <w:jc w:val="left"/>
      </w:pPr>
    </w:p>
    <w:p w:rsidR="00EB38CD" w:rsidRPr="00BD1415" w:rsidRDefault="00CB14E6" w:rsidP="00CB14E6">
      <w:pPr>
        <w:rPr>
          <w:u w:val="single"/>
        </w:rPr>
      </w:pPr>
      <w:r w:rsidRPr="00BD1415">
        <w:rPr>
          <w:u w:val="single"/>
        </w:rPr>
        <w:t>CONCLUSIONS OF LAW</w:t>
      </w:r>
    </w:p>
    <w:p w:rsidR="00CB14E6" w:rsidRPr="00BD1415" w:rsidRDefault="00CB14E6" w:rsidP="00CB14E6">
      <w:pPr>
        <w:rPr>
          <w:u w:val="single"/>
        </w:rPr>
      </w:pPr>
    </w:p>
    <w:p w:rsidR="00CB14E6" w:rsidRPr="00BD1415" w:rsidRDefault="00CB14E6" w:rsidP="00CB14E6">
      <w:pPr>
        <w:tabs>
          <w:tab w:val="left" w:pos="-720"/>
        </w:tabs>
        <w:suppressAutoHyphens/>
        <w:ind w:firstLine="1440"/>
        <w:jc w:val="left"/>
      </w:pPr>
      <w:r w:rsidRPr="00BD1415">
        <w:t>1.</w:t>
      </w:r>
      <w:r w:rsidRPr="00BD1415">
        <w:tab/>
        <w:t xml:space="preserve">Every rate made, demanded, or received by any public utility, or by any two or more public utilities jointly, shall be just and reasonable, and in conformity with regulations or orders of the commission.  </w:t>
      </w:r>
      <w:proofErr w:type="gramStart"/>
      <w:r w:rsidR="001127B7">
        <w:t>66 Pa.C.S.</w:t>
      </w:r>
      <w:proofErr w:type="gramEnd"/>
      <w:r w:rsidR="001127B7">
        <w:t xml:space="preserve"> § </w:t>
      </w:r>
      <w:r w:rsidRPr="00BD1415">
        <w:t>1301.</w:t>
      </w:r>
    </w:p>
    <w:p w:rsidR="00CB14E6" w:rsidRPr="00BD1415" w:rsidRDefault="00CB14E6" w:rsidP="00CB14E6">
      <w:pPr>
        <w:tabs>
          <w:tab w:val="left" w:pos="-720"/>
        </w:tabs>
        <w:suppressAutoHyphens/>
        <w:ind w:firstLine="1440"/>
        <w:jc w:val="left"/>
        <w:rPr>
          <w:spacing w:val="-3"/>
        </w:rPr>
      </w:pPr>
    </w:p>
    <w:p w:rsidR="00CB14E6" w:rsidRPr="00BD1415" w:rsidRDefault="00CB14E6" w:rsidP="00CB14E6">
      <w:pPr>
        <w:tabs>
          <w:tab w:val="left" w:pos="-720"/>
        </w:tabs>
        <w:suppressAutoHyphens/>
        <w:ind w:firstLine="1440"/>
        <w:jc w:val="left"/>
        <w:rPr>
          <w:spacing w:val="-3"/>
        </w:rPr>
      </w:pPr>
      <w:r w:rsidRPr="00BD1415">
        <w:rPr>
          <w:spacing w:val="-3"/>
        </w:rPr>
        <w:t>2.</w:t>
      </w:r>
      <w:r w:rsidRPr="00BD1415">
        <w:rPr>
          <w:spacing w:val="-3"/>
        </w:rPr>
        <w:tab/>
        <w:t xml:space="preserve">In deciding any general rate increase case brought under Section 1308(d) of the Code, 66 Pa.C.S. </w:t>
      </w:r>
      <w:proofErr w:type="gramStart"/>
      <w:r w:rsidRPr="00BD1415">
        <w:rPr>
          <w:spacing w:val="-3"/>
        </w:rPr>
        <w:t xml:space="preserve">§ 101 </w:t>
      </w:r>
      <w:r w:rsidRPr="00F91972">
        <w:rPr>
          <w:spacing w:val="-3"/>
        </w:rPr>
        <w:t>et seq</w:t>
      </w:r>
      <w:r w:rsidRPr="00BD1415">
        <w:rPr>
          <w:i/>
          <w:spacing w:val="-3"/>
        </w:rPr>
        <w:t>.</w:t>
      </w:r>
      <w:r w:rsidRPr="00BD1415">
        <w:rPr>
          <w:spacing w:val="-3"/>
        </w:rPr>
        <w:t>,</w:t>
      </w:r>
      <w:proofErr w:type="gramEnd"/>
      <w:r w:rsidRPr="00BD1415">
        <w:rPr>
          <w:spacing w:val="-3"/>
        </w:rPr>
        <w:t xml:space="preserve"> certain general legal standards always apply.</w:t>
      </w:r>
    </w:p>
    <w:p w:rsidR="00CB14E6" w:rsidRPr="00BD1415" w:rsidRDefault="00CB14E6" w:rsidP="00CB14E6">
      <w:pPr>
        <w:widowControl w:val="0"/>
        <w:ind w:firstLine="1440"/>
        <w:jc w:val="left"/>
      </w:pPr>
    </w:p>
    <w:p w:rsidR="00CB14E6" w:rsidRPr="00BD1415" w:rsidRDefault="00CB14E6" w:rsidP="00CB14E6">
      <w:pPr>
        <w:widowControl w:val="0"/>
        <w:ind w:firstLine="1440"/>
        <w:jc w:val="left"/>
      </w:pPr>
      <w:r w:rsidRPr="00BD1415">
        <w:t>3.</w:t>
      </w:r>
      <w:r w:rsidRPr="00BD1415">
        <w:tab/>
        <w:t>The burden of proof to establish the justness and reasonableness of every element of the utility’s rate increase rests solely upon th</w:t>
      </w:r>
      <w:r w:rsidR="002655AB">
        <w:t xml:space="preserve">e public utility.  </w:t>
      </w:r>
      <w:proofErr w:type="gramStart"/>
      <w:r w:rsidR="002655AB">
        <w:t>66 Pa.C.S.</w:t>
      </w:r>
      <w:proofErr w:type="gramEnd"/>
      <w:r w:rsidR="002655AB">
        <w:t xml:space="preserve"> § </w:t>
      </w:r>
      <w:r w:rsidRPr="00BD1415">
        <w:t>315(a).</w:t>
      </w:r>
    </w:p>
    <w:p w:rsidR="00CB14E6" w:rsidRPr="00BD1415" w:rsidRDefault="00CB14E6" w:rsidP="00CB14E6">
      <w:pPr>
        <w:widowControl w:val="0"/>
        <w:ind w:firstLine="1440"/>
        <w:jc w:val="left"/>
      </w:pPr>
    </w:p>
    <w:p w:rsidR="00CB14E6" w:rsidRPr="00BD1415" w:rsidRDefault="00CB14E6" w:rsidP="00CB14E6">
      <w:pPr>
        <w:widowControl w:val="0"/>
        <w:ind w:firstLine="1440"/>
        <w:jc w:val="left"/>
      </w:pPr>
      <w:r w:rsidRPr="00BD1415">
        <w:t>4.</w:t>
      </w:r>
      <w:r w:rsidRPr="00BD1415">
        <w:tab/>
        <w:t xml:space="preserve">Evidence adduced by a utility to meet this burden must be substantial.  </w:t>
      </w:r>
      <w:r w:rsidRPr="00BD1415">
        <w:rPr>
          <w:i/>
        </w:rPr>
        <w:t xml:space="preserve">Lower Frederick Twp. v. Pennsylvania Pub. </w:t>
      </w:r>
      <w:proofErr w:type="gramStart"/>
      <w:r w:rsidRPr="00BD1415">
        <w:rPr>
          <w:i/>
        </w:rPr>
        <w:t>Util. Comm’n</w:t>
      </w:r>
      <w:r w:rsidR="006A5DC3">
        <w:t xml:space="preserve">, 409 A.2d 505, 507 (Pa. Cmwlth. </w:t>
      </w:r>
      <w:r w:rsidRPr="00BD1415">
        <w:t>1980).</w:t>
      </w:r>
      <w:proofErr w:type="gramEnd"/>
    </w:p>
    <w:p w:rsidR="00CB14E6" w:rsidRPr="00BD1415" w:rsidRDefault="00CB14E6" w:rsidP="00CB14E6">
      <w:pPr>
        <w:widowControl w:val="0"/>
        <w:ind w:firstLine="1440"/>
        <w:jc w:val="left"/>
      </w:pPr>
    </w:p>
    <w:p w:rsidR="00CB14E6" w:rsidRPr="00BD1415" w:rsidRDefault="00CB14E6" w:rsidP="00CB14E6">
      <w:pPr>
        <w:widowControl w:val="0"/>
        <w:jc w:val="left"/>
        <w:rPr>
          <w:spacing w:val="-3"/>
        </w:rPr>
      </w:pPr>
      <w:r w:rsidRPr="00BD1415">
        <w:tab/>
      </w:r>
      <w:r w:rsidRPr="00BD1415">
        <w:tab/>
        <w:t>5</w:t>
      </w:r>
      <w:r w:rsidRPr="00BD1415">
        <w:tab/>
      </w:r>
      <w:r w:rsidRPr="00BD1415">
        <w:rPr>
          <w:spacing w:val="-3"/>
        </w:rPr>
        <w:t xml:space="preserve">The Commission's policy is to promote settlements.  </w:t>
      </w:r>
      <w:proofErr w:type="gramStart"/>
      <w:r w:rsidRPr="00BD1415">
        <w:rPr>
          <w:spacing w:val="-3"/>
        </w:rPr>
        <w:t>52 Pa. Code § 69.401</w:t>
      </w:r>
      <w:r w:rsidR="00D97DE9" w:rsidRPr="00BD1415">
        <w:rPr>
          <w:spacing w:val="-3"/>
        </w:rPr>
        <w:t>.</w:t>
      </w:r>
      <w:proofErr w:type="gramEnd"/>
    </w:p>
    <w:p w:rsidR="00CB14E6" w:rsidRPr="00BD1415" w:rsidRDefault="00CB14E6" w:rsidP="00CB14E6">
      <w:pPr>
        <w:jc w:val="left"/>
        <w:rPr>
          <w:spacing w:val="-3"/>
        </w:rPr>
      </w:pPr>
    </w:p>
    <w:p w:rsidR="00CB14E6" w:rsidRPr="00BD1415" w:rsidRDefault="00CB14E6" w:rsidP="00CB14E6">
      <w:pPr>
        <w:tabs>
          <w:tab w:val="left" w:pos="-720"/>
        </w:tabs>
        <w:suppressAutoHyphens/>
        <w:jc w:val="left"/>
      </w:pPr>
      <w:r w:rsidRPr="00BD1415">
        <w:rPr>
          <w:spacing w:val="-3"/>
        </w:rPr>
        <w:tab/>
      </w:r>
      <w:r w:rsidR="00D97DE9" w:rsidRPr="00BD1415">
        <w:rPr>
          <w:spacing w:val="-3"/>
        </w:rPr>
        <w:tab/>
        <w:t>6.</w:t>
      </w:r>
      <w:r w:rsidR="00D97DE9" w:rsidRPr="00BD1415">
        <w:rPr>
          <w:spacing w:val="-3"/>
        </w:rPr>
        <w:tab/>
      </w:r>
      <w:r w:rsidRPr="00BD1415">
        <w:t xml:space="preserve">Section 523 of the Public Utility </w:t>
      </w:r>
      <w:r w:rsidR="007E3260">
        <w:t xml:space="preserve">Code, </w:t>
      </w:r>
      <w:proofErr w:type="gramStart"/>
      <w:r w:rsidR="007E3260">
        <w:t>66 Pa.C.S</w:t>
      </w:r>
      <w:proofErr w:type="gramEnd"/>
      <w:r w:rsidR="007E3260">
        <w:t xml:space="preserve">. § </w:t>
      </w:r>
      <w:r w:rsidRPr="00BD1415">
        <w:t>523, requires the Commission to consider the efficiency, effectiveness and adequacy of service of each utility when determining just and reasonable rates.  In exchange for customers paying rates for service, which include the cost of utility plant in service and a rate of return, a public utility is obligated to provide safe, adequate and reasonable service.</w:t>
      </w:r>
    </w:p>
    <w:p w:rsidR="00CB14E6" w:rsidRPr="00BD1415" w:rsidRDefault="00CB14E6" w:rsidP="00CB14E6">
      <w:pPr>
        <w:tabs>
          <w:tab w:val="left" w:pos="-720"/>
        </w:tabs>
        <w:suppressAutoHyphens/>
        <w:jc w:val="left"/>
      </w:pPr>
    </w:p>
    <w:p w:rsidR="00CB14E6" w:rsidRPr="00BD1415" w:rsidRDefault="00CB14E6" w:rsidP="00CB14E6">
      <w:pPr>
        <w:tabs>
          <w:tab w:val="left" w:pos="-720"/>
        </w:tabs>
        <w:suppressAutoHyphens/>
        <w:jc w:val="left"/>
      </w:pPr>
      <w:r w:rsidRPr="00BD1415">
        <w:tab/>
      </w:r>
      <w:r w:rsidRPr="00BD1415">
        <w:tab/>
      </w:r>
      <w:r w:rsidR="00D97DE9" w:rsidRPr="00BD1415">
        <w:t>7</w:t>
      </w:r>
      <w:r w:rsidRPr="00BD1415">
        <w:t>.</w:t>
      </w:r>
      <w:r w:rsidRPr="00BD1415">
        <w:tab/>
        <w:t xml:space="preserve"> In exchange for the utility’s provision of safe, adequate and reasonable service, the ratepayers are obligated to pay rates which cover the cost of service which includes reasonable operation and maintenance expenses, depreciation, taxes and a fair rate of return for the utility’s investors. </w:t>
      </w:r>
      <w:r w:rsidR="004F1F61">
        <w:t xml:space="preserve"> </w:t>
      </w:r>
      <w:r w:rsidRPr="00BD1415">
        <w:t xml:space="preserve">In return for providing safe and adequate service, the utility is entitled to recover, through rates, these enumerated costs.  </w:t>
      </w:r>
      <w:proofErr w:type="gramStart"/>
      <w:r w:rsidRPr="00BD1415">
        <w:rPr>
          <w:i/>
          <w:spacing w:val="-3"/>
        </w:rPr>
        <w:t>Pennsylvania Pub.</w:t>
      </w:r>
      <w:proofErr w:type="gramEnd"/>
      <w:r w:rsidRPr="00BD1415">
        <w:rPr>
          <w:i/>
          <w:spacing w:val="-3"/>
        </w:rPr>
        <w:t xml:space="preserve"> Util. </w:t>
      </w:r>
      <w:proofErr w:type="gramStart"/>
      <w:r w:rsidRPr="00BD1415">
        <w:rPr>
          <w:i/>
          <w:spacing w:val="-3"/>
        </w:rPr>
        <w:t xml:space="preserve">Comm’n </w:t>
      </w:r>
      <w:r w:rsidRPr="00BD1415">
        <w:rPr>
          <w:i/>
        </w:rPr>
        <w:t xml:space="preserve"> v</w:t>
      </w:r>
      <w:proofErr w:type="gramEnd"/>
      <w:r w:rsidRPr="00BD1415">
        <w:rPr>
          <w:i/>
        </w:rPr>
        <w:t xml:space="preserve">. Pennsylvania Gas &amp; Water Co., </w:t>
      </w:r>
      <w:r w:rsidRPr="00BD1415">
        <w:t>61 Pa. PUC 409, 415-16 (1986); 66 Pa.C.S. § 1501.</w:t>
      </w:r>
    </w:p>
    <w:p w:rsidR="00CB14E6" w:rsidRPr="00BD1415" w:rsidRDefault="00CB14E6" w:rsidP="00CB14E6">
      <w:pPr>
        <w:tabs>
          <w:tab w:val="left" w:pos="-720"/>
        </w:tabs>
        <w:suppressAutoHyphens/>
        <w:jc w:val="left"/>
      </w:pPr>
    </w:p>
    <w:p w:rsidR="00CB14E6" w:rsidRPr="00BD1415" w:rsidRDefault="00CB14E6" w:rsidP="00CB14E6">
      <w:pPr>
        <w:tabs>
          <w:tab w:val="left" w:pos="-720"/>
        </w:tabs>
        <w:suppressAutoHyphens/>
        <w:jc w:val="left"/>
      </w:pPr>
      <w:r w:rsidRPr="00BD1415">
        <w:tab/>
      </w:r>
      <w:r w:rsidRPr="00BD1415">
        <w:tab/>
      </w:r>
      <w:r w:rsidR="00D97DE9" w:rsidRPr="00BD1415">
        <w:t>8</w:t>
      </w:r>
      <w:r w:rsidRPr="00BD1415">
        <w:t>.</w:t>
      </w:r>
      <w:r w:rsidRPr="00BD1415">
        <w:tab/>
        <w:t>The General Assembly has given the Commission discretionary authority to deny a proposed rate increase, in whole or in part, if the Commission finds “that the service rendered by the public utilit</w:t>
      </w:r>
      <w:r w:rsidR="001937F0">
        <w:t xml:space="preserve">y is inadequate.”  </w:t>
      </w:r>
      <w:proofErr w:type="gramStart"/>
      <w:r w:rsidR="001937F0">
        <w:t>66 Pa.C.S.</w:t>
      </w:r>
      <w:proofErr w:type="gramEnd"/>
      <w:r w:rsidR="001937F0">
        <w:t xml:space="preserve"> § </w:t>
      </w:r>
      <w:r w:rsidRPr="00BD1415">
        <w:t>526(a).</w:t>
      </w:r>
    </w:p>
    <w:p w:rsidR="00D97DE9" w:rsidRPr="00BD1415" w:rsidRDefault="00D97DE9" w:rsidP="00CB14E6">
      <w:pPr>
        <w:tabs>
          <w:tab w:val="left" w:pos="-720"/>
        </w:tabs>
        <w:suppressAutoHyphens/>
        <w:jc w:val="left"/>
      </w:pPr>
    </w:p>
    <w:p w:rsidR="00CB14E6" w:rsidRPr="00BD1415" w:rsidRDefault="00D97DE9" w:rsidP="00D97DE9">
      <w:pPr>
        <w:tabs>
          <w:tab w:val="left" w:pos="-720"/>
        </w:tabs>
        <w:suppressAutoHyphens/>
        <w:jc w:val="left"/>
      </w:pPr>
      <w:r w:rsidRPr="00BD1415">
        <w:tab/>
      </w:r>
      <w:r w:rsidRPr="00BD1415">
        <w:tab/>
        <w:t>9.</w:t>
      </w:r>
      <w:r w:rsidRPr="00BD1415">
        <w:tab/>
        <w:t>The Joint Petition for Settlement is in the public interest.</w:t>
      </w:r>
    </w:p>
    <w:p w:rsidR="00CB14E6" w:rsidRPr="00BD1415" w:rsidRDefault="00CB14E6" w:rsidP="00CB14E6">
      <w:pPr>
        <w:jc w:val="left"/>
      </w:pPr>
    </w:p>
    <w:p w:rsidR="000A1646" w:rsidRDefault="000A1646" w:rsidP="00CB14E6">
      <w:pPr>
        <w:pStyle w:val="FootnoteText"/>
        <w:spacing w:line="360" w:lineRule="auto"/>
        <w:jc w:val="center"/>
        <w:rPr>
          <w:sz w:val="24"/>
          <w:szCs w:val="24"/>
          <w:u w:val="single"/>
        </w:rPr>
      </w:pPr>
      <w:r>
        <w:rPr>
          <w:sz w:val="24"/>
          <w:szCs w:val="24"/>
          <w:u w:val="single"/>
        </w:rPr>
        <w:br w:type="page"/>
      </w:r>
    </w:p>
    <w:p w:rsidR="00CB14E6" w:rsidRPr="000A1646" w:rsidRDefault="00CB14E6" w:rsidP="00CB14E6">
      <w:pPr>
        <w:pStyle w:val="FootnoteText"/>
        <w:spacing w:line="360" w:lineRule="auto"/>
        <w:jc w:val="center"/>
        <w:rPr>
          <w:sz w:val="24"/>
          <w:szCs w:val="24"/>
          <w:u w:val="single"/>
        </w:rPr>
      </w:pPr>
      <w:r w:rsidRPr="000A1646">
        <w:rPr>
          <w:sz w:val="24"/>
          <w:szCs w:val="24"/>
          <w:u w:val="single"/>
        </w:rPr>
        <w:t>ORDER</w:t>
      </w:r>
      <w:bookmarkStart w:id="0" w:name="_GoBack"/>
      <w:bookmarkEnd w:id="0"/>
    </w:p>
    <w:p w:rsidR="00CB14E6" w:rsidRDefault="00CB14E6" w:rsidP="00CB14E6">
      <w:pPr>
        <w:pStyle w:val="FootnoteText"/>
        <w:spacing w:line="360" w:lineRule="auto"/>
        <w:jc w:val="center"/>
        <w:rPr>
          <w:sz w:val="24"/>
          <w:szCs w:val="24"/>
        </w:rPr>
      </w:pPr>
    </w:p>
    <w:p w:rsidR="000A1646" w:rsidRPr="00BD1415" w:rsidRDefault="000A1646" w:rsidP="00CB14E6">
      <w:pPr>
        <w:pStyle w:val="FootnoteText"/>
        <w:spacing w:line="360" w:lineRule="auto"/>
        <w:jc w:val="center"/>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THEREFORE,</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 xml:space="preserve">IT IS </w:t>
      </w:r>
      <w:r w:rsidR="00D97DE9" w:rsidRPr="00BD1415">
        <w:rPr>
          <w:sz w:val="24"/>
          <w:szCs w:val="24"/>
        </w:rPr>
        <w:t>RECOMMENDED</w:t>
      </w:r>
      <w:r w:rsidRPr="00BD1415">
        <w:rPr>
          <w:sz w:val="24"/>
          <w:szCs w:val="24"/>
        </w:rPr>
        <w:t>:</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1.</w:t>
      </w:r>
      <w:r w:rsidRPr="00BD1415">
        <w:rPr>
          <w:sz w:val="24"/>
          <w:szCs w:val="24"/>
        </w:rPr>
        <w:tab/>
        <w:t xml:space="preserve">That </w:t>
      </w:r>
      <w:r w:rsidR="00D97DE9" w:rsidRPr="00BD1415">
        <w:rPr>
          <w:sz w:val="24"/>
          <w:szCs w:val="24"/>
        </w:rPr>
        <w:t>Rock Springs Water Company</w:t>
      </w:r>
      <w:r w:rsidRPr="00BD1415">
        <w:rPr>
          <w:sz w:val="24"/>
          <w:szCs w:val="24"/>
        </w:rPr>
        <w:t xml:space="preserve"> shall not place into effect the rules, rates and regulations contained in Supplement </w:t>
      </w:r>
      <w:r w:rsidR="00D97DE9" w:rsidRPr="00BD1415">
        <w:rPr>
          <w:sz w:val="24"/>
          <w:szCs w:val="24"/>
        </w:rPr>
        <w:t xml:space="preserve">No, 8 to </w:t>
      </w:r>
      <w:r w:rsidRPr="00BD1415">
        <w:rPr>
          <w:sz w:val="24"/>
          <w:szCs w:val="24"/>
        </w:rPr>
        <w:t>its T</w:t>
      </w:r>
      <w:r w:rsidR="00F91972">
        <w:rPr>
          <w:sz w:val="24"/>
          <w:szCs w:val="24"/>
        </w:rPr>
        <w:t xml:space="preserve">ariff </w:t>
      </w:r>
      <w:r w:rsidR="00D97DE9" w:rsidRPr="00BD1415">
        <w:rPr>
          <w:sz w:val="24"/>
          <w:szCs w:val="24"/>
        </w:rPr>
        <w:t>Water</w:t>
      </w:r>
      <w:r w:rsidR="00F91972">
        <w:rPr>
          <w:sz w:val="24"/>
          <w:szCs w:val="24"/>
        </w:rPr>
        <w:t xml:space="preserve"> -</w:t>
      </w:r>
      <w:r w:rsidRPr="00BD1415">
        <w:rPr>
          <w:sz w:val="24"/>
          <w:szCs w:val="24"/>
        </w:rPr>
        <w:t xml:space="preserve"> Pa. P.U.C. No. </w:t>
      </w:r>
      <w:r w:rsidR="00D97DE9" w:rsidRPr="00BD1415">
        <w:rPr>
          <w:sz w:val="24"/>
          <w:szCs w:val="24"/>
        </w:rPr>
        <w:t>4</w:t>
      </w:r>
      <w:r w:rsidRPr="00BD1415">
        <w:rPr>
          <w:sz w:val="24"/>
          <w:szCs w:val="24"/>
        </w:rPr>
        <w:t>, as filed.</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2.</w:t>
      </w:r>
      <w:r w:rsidRPr="00BD1415">
        <w:rPr>
          <w:sz w:val="24"/>
          <w:szCs w:val="24"/>
        </w:rPr>
        <w:tab/>
        <w:t xml:space="preserve">That the Joint Petition for </w:t>
      </w:r>
      <w:r w:rsidR="00D97DE9" w:rsidRPr="00BD1415">
        <w:rPr>
          <w:sz w:val="24"/>
          <w:szCs w:val="24"/>
        </w:rPr>
        <w:t>Set</w:t>
      </w:r>
      <w:r w:rsidRPr="00BD1415">
        <w:rPr>
          <w:sz w:val="24"/>
          <w:szCs w:val="24"/>
        </w:rPr>
        <w:t xml:space="preserve">tlement, signed by </w:t>
      </w:r>
      <w:r w:rsidR="00D97DE9" w:rsidRPr="00BD1415">
        <w:rPr>
          <w:sz w:val="24"/>
          <w:szCs w:val="24"/>
        </w:rPr>
        <w:t>Rock Springs Water Company</w:t>
      </w:r>
      <w:r w:rsidRPr="00BD1415">
        <w:rPr>
          <w:sz w:val="24"/>
          <w:szCs w:val="24"/>
        </w:rPr>
        <w:t>,</w:t>
      </w:r>
      <w:r w:rsidR="00D97DE9" w:rsidRPr="00BD1415">
        <w:rPr>
          <w:sz w:val="24"/>
          <w:szCs w:val="24"/>
        </w:rPr>
        <w:t xml:space="preserve"> the Commission's Bureau of Investigation and Enforcement,</w:t>
      </w:r>
      <w:r w:rsidRPr="00BD1415">
        <w:rPr>
          <w:sz w:val="24"/>
          <w:szCs w:val="24"/>
        </w:rPr>
        <w:t xml:space="preserve"> </w:t>
      </w:r>
      <w:r w:rsidR="00D97DE9" w:rsidRPr="00BD1415">
        <w:rPr>
          <w:sz w:val="24"/>
          <w:szCs w:val="24"/>
        </w:rPr>
        <w:t xml:space="preserve">and the </w:t>
      </w:r>
      <w:r w:rsidRPr="00BD1415">
        <w:rPr>
          <w:sz w:val="24"/>
          <w:szCs w:val="24"/>
        </w:rPr>
        <w:t>Office of Consumer Advocate,  is approved without modification.</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3.</w:t>
      </w:r>
      <w:r w:rsidRPr="00BD1415">
        <w:rPr>
          <w:sz w:val="24"/>
          <w:szCs w:val="24"/>
        </w:rPr>
        <w:tab/>
        <w:t xml:space="preserve">That </w:t>
      </w:r>
      <w:r w:rsidR="00D97DE9" w:rsidRPr="00BD1415">
        <w:rPr>
          <w:sz w:val="24"/>
          <w:szCs w:val="24"/>
        </w:rPr>
        <w:t>Rock Springs Water Company</w:t>
      </w:r>
      <w:r w:rsidRPr="00BD1415">
        <w:rPr>
          <w:sz w:val="24"/>
          <w:szCs w:val="24"/>
        </w:rPr>
        <w:t xml:space="preserve"> is authorized to file a revised supplement to </w:t>
      </w:r>
      <w:r w:rsidR="00D97DE9" w:rsidRPr="00BD1415">
        <w:rPr>
          <w:sz w:val="24"/>
          <w:szCs w:val="24"/>
        </w:rPr>
        <w:t>Supplement No, 8 to its Tariff-Water Pa. P.U.C. No. 4</w:t>
      </w:r>
      <w:r w:rsidR="00F7460B" w:rsidRPr="00BD1415">
        <w:rPr>
          <w:sz w:val="24"/>
          <w:szCs w:val="24"/>
        </w:rPr>
        <w:t>, consistent with the proposed tariff attached to the Joint Petition for Settlement as Appendix A,</w:t>
      </w:r>
      <w:r w:rsidRPr="00BD1415">
        <w:rPr>
          <w:sz w:val="24"/>
          <w:szCs w:val="24"/>
        </w:rPr>
        <w:t xml:space="preserve"> to become effective for service rendered</w:t>
      </w:r>
      <w:r w:rsidR="00D97DE9" w:rsidRPr="00BD1415">
        <w:rPr>
          <w:sz w:val="24"/>
          <w:szCs w:val="24"/>
        </w:rPr>
        <w:t xml:space="preserve"> on and after fourteen days from the date of the Commission's final Order in this proceeding.</w:t>
      </w:r>
    </w:p>
    <w:p w:rsidR="00CB14E6" w:rsidRPr="00BD1415" w:rsidRDefault="00CB14E6" w:rsidP="00CB14E6">
      <w:pPr>
        <w:pStyle w:val="FootnoteText"/>
        <w:spacing w:line="360" w:lineRule="auto"/>
        <w:rPr>
          <w:sz w:val="24"/>
          <w:szCs w:val="24"/>
        </w:rPr>
      </w:pPr>
    </w:p>
    <w:p w:rsidR="00CB14E6" w:rsidRPr="00BD1415" w:rsidRDefault="00CB14E6" w:rsidP="00CB14E6">
      <w:pPr>
        <w:pStyle w:val="FootnoteText"/>
        <w:spacing w:line="360" w:lineRule="auto"/>
        <w:rPr>
          <w:sz w:val="24"/>
          <w:szCs w:val="24"/>
        </w:rPr>
      </w:pPr>
      <w:r w:rsidRPr="00BD1415">
        <w:rPr>
          <w:sz w:val="24"/>
          <w:szCs w:val="24"/>
        </w:rPr>
        <w:tab/>
      </w:r>
      <w:r w:rsidRPr="00BD1415">
        <w:rPr>
          <w:sz w:val="24"/>
          <w:szCs w:val="24"/>
        </w:rPr>
        <w:tab/>
        <w:t>4.</w:t>
      </w:r>
      <w:r w:rsidRPr="00BD1415">
        <w:rPr>
          <w:sz w:val="24"/>
          <w:szCs w:val="24"/>
        </w:rPr>
        <w:tab/>
        <w:t>The investigation at Docket Number R-201</w:t>
      </w:r>
      <w:r w:rsidR="00D97DE9" w:rsidRPr="00BD1415">
        <w:rPr>
          <w:sz w:val="24"/>
          <w:szCs w:val="24"/>
        </w:rPr>
        <w:t>2</w:t>
      </w:r>
      <w:r w:rsidR="00CA0CCE" w:rsidRPr="00BD1415">
        <w:rPr>
          <w:sz w:val="24"/>
          <w:szCs w:val="24"/>
        </w:rPr>
        <w:t>-</w:t>
      </w:r>
      <w:r w:rsidR="00D97DE9" w:rsidRPr="00BD1415">
        <w:rPr>
          <w:sz w:val="24"/>
          <w:szCs w:val="24"/>
        </w:rPr>
        <w:t>2336662</w:t>
      </w:r>
      <w:r w:rsidRPr="00BD1415">
        <w:rPr>
          <w:sz w:val="24"/>
          <w:szCs w:val="24"/>
        </w:rPr>
        <w:t xml:space="preserve"> is hereby terminated and shall be marked closed.</w:t>
      </w:r>
    </w:p>
    <w:p w:rsidR="00CB14E6" w:rsidRPr="00BD1415" w:rsidRDefault="00CB14E6" w:rsidP="00CB14E6">
      <w:pPr>
        <w:pStyle w:val="FootnoteText"/>
        <w:spacing w:line="360" w:lineRule="auto"/>
        <w:rPr>
          <w:sz w:val="24"/>
          <w:szCs w:val="24"/>
        </w:rPr>
      </w:pPr>
    </w:p>
    <w:p w:rsidR="00CB14E6" w:rsidRPr="00BD1415" w:rsidRDefault="00CB14E6" w:rsidP="00CB14E6">
      <w:pPr>
        <w:jc w:val="left"/>
      </w:pPr>
      <w:r w:rsidRPr="00BD1415">
        <w:tab/>
      </w:r>
      <w:r w:rsidRPr="00BD1415">
        <w:tab/>
      </w:r>
      <w:r w:rsidR="00D97DE9" w:rsidRPr="00BD1415">
        <w:t>5</w:t>
      </w:r>
      <w:r w:rsidRPr="00BD1415">
        <w:t>.</w:t>
      </w:r>
      <w:r w:rsidRPr="00BD1415">
        <w:tab/>
        <w:t>That the complaint filed by the Office of Consumer Advocate</w:t>
      </w:r>
      <w:r w:rsidR="00D97DE9" w:rsidRPr="00BD1415">
        <w:t xml:space="preserve"> is</w:t>
      </w:r>
      <w:r w:rsidRPr="00BD1415">
        <w:t xml:space="preserve"> satisfied in part and dismissed </w:t>
      </w:r>
      <w:r w:rsidR="00D97DE9" w:rsidRPr="00BD1415">
        <w:t xml:space="preserve">in </w:t>
      </w:r>
      <w:r w:rsidRPr="00BD1415">
        <w:t>part consistent with this Order.</w:t>
      </w:r>
    </w:p>
    <w:p w:rsidR="00CB14E6" w:rsidRPr="00BD1415" w:rsidRDefault="00CB14E6" w:rsidP="00CB14E6">
      <w:pPr>
        <w:jc w:val="left"/>
      </w:pPr>
    </w:p>
    <w:p w:rsidR="00CB14E6" w:rsidRPr="00BD1415" w:rsidRDefault="00D97DE9" w:rsidP="00CB14E6">
      <w:pPr>
        <w:jc w:val="left"/>
      </w:pPr>
      <w:r w:rsidRPr="00BD1415">
        <w:tab/>
      </w:r>
    </w:p>
    <w:p w:rsidR="00CB14E6" w:rsidRPr="006A5DC3" w:rsidRDefault="00CB14E6" w:rsidP="006A5DC3">
      <w:pPr>
        <w:tabs>
          <w:tab w:val="left" w:pos="900"/>
          <w:tab w:val="left" w:pos="1440"/>
          <w:tab w:val="left" w:pos="5040"/>
          <w:tab w:val="left" w:pos="5760"/>
          <w:tab w:val="left" w:pos="9360"/>
        </w:tabs>
        <w:spacing w:line="240" w:lineRule="auto"/>
        <w:contextualSpacing/>
        <w:jc w:val="left"/>
        <w:rPr>
          <w:u w:val="single"/>
        </w:rPr>
      </w:pPr>
      <w:r w:rsidRPr="00BD1415">
        <w:t xml:space="preserve">Dated: </w:t>
      </w:r>
      <w:r w:rsidR="006A5DC3">
        <w:tab/>
      </w:r>
      <w:r w:rsidR="00F7460B" w:rsidRPr="00BD1415">
        <w:rPr>
          <w:u w:val="single"/>
        </w:rPr>
        <w:t>May 21, 2013</w:t>
      </w:r>
      <w:r w:rsidR="006A5DC3">
        <w:tab/>
      </w:r>
      <w:r w:rsidR="006A5DC3">
        <w:rPr>
          <w:u w:val="single"/>
        </w:rPr>
        <w:tab/>
        <w:t>/s/</w:t>
      </w:r>
      <w:r w:rsidR="006A5DC3">
        <w:rPr>
          <w:u w:val="single"/>
        </w:rPr>
        <w:tab/>
      </w:r>
    </w:p>
    <w:p w:rsidR="00CB14E6" w:rsidRPr="00BD1415" w:rsidRDefault="00CB14E6" w:rsidP="00CB14E6">
      <w:pPr>
        <w:spacing w:line="240" w:lineRule="auto"/>
        <w:contextualSpacing/>
        <w:jc w:val="left"/>
      </w:pPr>
      <w:r w:rsidRPr="00BD1415">
        <w:tab/>
      </w:r>
      <w:r w:rsidRPr="00BD1415">
        <w:tab/>
      </w:r>
      <w:r w:rsidRPr="00BD1415">
        <w:tab/>
      </w:r>
      <w:r w:rsidRPr="00BD1415">
        <w:tab/>
      </w:r>
      <w:r w:rsidRPr="00BD1415">
        <w:tab/>
      </w:r>
      <w:r w:rsidRPr="00BD1415">
        <w:tab/>
      </w:r>
      <w:r w:rsidRPr="00BD1415">
        <w:tab/>
        <w:t>Susan D. Colwell</w:t>
      </w:r>
    </w:p>
    <w:p w:rsidR="00CB14E6" w:rsidRPr="00BD1415" w:rsidRDefault="00CB14E6" w:rsidP="00806037">
      <w:pPr>
        <w:spacing w:line="240" w:lineRule="auto"/>
        <w:contextualSpacing/>
        <w:jc w:val="left"/>
      </w:pPr>
      <w:r w:rsidRPr="00BD1415">
        <w:tab/>
      </w:r>
      <w:r w:rsidRPr="00BD1415">
        <w:tab/>
      </w:r>
      <w:r w:rsidRPr="00BD1415">
        <w:tab/>
      </w:r>
      <w:r w:rsidRPr="00BD1415">
        <w:tab/>
      </w:r>
      <w:r w:rsidRPr="00BD1415">
        <w:tab/>
      </w:r>
      <w:r w:rsidRPr="00BD1415">
        <w:tab/>
      </w:r>
      <w:r w:rsidRPr="00BD1415">
        <w:tab/>
        <w:t>Administrative Law Judge</w:t>
      </w:r>
      <w:r w:rsidR="00806037">
        <w:tab/>
      </w:r>
    </w:p>
    <w:p w:rsidR="00E2065D" w:rsidRPr="00BD1415" w:rsidRDefault="00E2065D" w:rsidP="00EB38CD">
      <w:pPr>
        <w:jc w:val="left"/>
      </w:pPr>
    </w:p>
    <w:sectPr w:rsidR="00E2065D" w:rsidRPr="00BD1415" w:rsidSect="00735DE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F5" w:rsidRDefault="003460F5" w:rsidP="00735DEC">
      <w:pPr>
        <w:spacing w:line="240" w:lineRule="auto"/>
      </w:pPr>
      <w:r>
        <w:separator/>
      </w:r>
    </w:p>
  </w:endnote>
  <w:endnote w:type="continuationSeparator" w:id="0">
    <w:p w:rsidR="003460F5" w:rsidRDefault="003460F5" w:rsidP="00735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15644"/>
      <w:docPartObj>
        <w:docPartGallery w:val="Page Numbers (Bottom of Page)"/>
        <w:docPartUnique/>
      </w:docPartObj>
    </w:sdtPr>
    <w:sdtEndPr>
      <w:rPr>
        <w:noProof/>
        <w:sz w:val="20"/>
        <w:szCs w:val="20"/>
      </w:rPr>
    </w:sdtEndPr>
    <w:sdtContent>
      <w:p w:rsidR="00735DEC" w:rsidRPr="007D710C" w:rsidRDefault="00735DEC" w:rsidP="007D710C">
        <w:pPr>
          <w:pStyle w:val="Footer"/>
          <w:rPr>
            <w:sz w:val="20"/>
            <w:szCs w:val="20"/>
          </w:rPr>
        </w:pPr>
        <w:r w:rsidRPr="007D710C">
          <w:rPr>
            <w:sz w:val="20"/>
            <w:szCs w:val="20"/>
          </w:rPr>
          <w:fldChar w:fldCharType="begin"/>
        </w:r>
        <w:r w:rsidRPr="007D710C">
          <w:rPr>
            <w:sz w:val="20"/>
            <w:szCs w:val="20"/>
          </w:rPr>
          <w:instrText xml:space="preserve"> PAGE   \* MERGEFORMAT </w:instrText>
        </w:r>
        <w:r w:rsidRPr="007D710C">
          <w:rPr>
            <w:sz w:val="20"/>
            <w:szCs w:val="20"/>
          </w:rPr>
          <w:fldChar w:fldCharType="separate"/>
        </w:r>
        <w:r w:rsidR="00F96499">
          <w:rPr>
            <w:noProof/>
            <w:sz w:val="20"/>
            <w:szCs w:val="20"/>
          </w:rPr>
          <w:t>8</w:t>
        </w:r>
        <w:r w:rsidRPr="007D710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F5" w:rsidRDefault="003460F5" w:rsidP="00735DEC">
      <w:pPr>
        <w:spacing w:line="240" w:lineRule="auto"/>
      </w:pPr>
      <w:r>
        <w:separator/>
      </w:r>
    </w:p>
  </w:footnote>
  <w:footnote w:type="continuationSeparator" w:id="0">
    <w:p w:rsidR="003460F5" w:rsidRDefault="003460F5" w:rsidP="00735D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FF"/>
    <w:rsid w:val="00001E3A"/>
    <w:rsid w:val="00001EF6"/>
    <w:rsid w:val="000028EA"/>
    <w:rsid w:val="00003D11"/>
    <w:rsid w:val="00004AA3"/>
    <w:rsid w:val="00005558"/>
    <w:rsid w:val="000079FE"/>
    <w:rsid w:val="0001037A"/>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FF"/>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1646"/>
    <w:rsid w:val="000A2192"/>
    <w:rsid w:val="000A4102"/>
    <w:rsid w:val="000A4551"/>
    <w:rsid w:val="000A4E7A"/>
    <w:rsid w:val="000A5DEA"/>
    <w:rsid w:val="000A652E"/>
    <w:rsid w:val="000A734C"/>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0DC"/>
    <w:rsid w:val="000F51F1"/>
    <w:rsid w:val="000F678B"/>
    <w:rsid w:val="000F680A"/>
    <w:rsid w:val="000F78BE"/>
    <w:rsid w:val="0010080E"/>
    <w:rsid w:val="001021FB"/>
    <w:rsid w:val="001023B9"/>
    <w:rsid w:val="00102A77"/>
    <w:rsid w:val="0010420D"/>
    <w:rsid w:val="00104518"/>
    <w:rsid w:val="00106EE8"/>
    <w:rsid w:val="001077F1"/>
    <w:rsid w:val="001127B7"/>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0C49"/>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6F37"/>
    <w:rsid w:val="00190B2C"/>
    <w:rsid w:val="00191522"/>
    <w:rsid w:val="00192EB5"/>
    <w:rsid w:val="001937F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9B8"/>
    <w:rsid w:val="001B3572"/>
    <w:rsid w:val="001B3736"/>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1B24"/>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49E4"/>
    <w:rsid w:val="002655AB"/>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59ED"/>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4D44"/>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0F5"/>
    <w:rsid w:val="00346679"/>
    <w:rsid w:val="003470E8"/>
    <w:rsid w:val="0035100D"/>
    <w:rsid w:val="00353241"/>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144B"/>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879"/>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1BB6"/>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DF8"/>
    <w:rsid w:val="004E1FD5"/>
    <w:rsid w:val="004E23ED"/>
    <w:rsid w:val="004E429F"/>
    <w:rsid w:val="004E60E4"/>
    <w:rsid w:val="004F160A"/>
    <w:rsid w:val="004F1F61"/>
    <w:rsid w:val="004F2F62"/>
    <w:rsid w:val="004F37CB"/>
    <w:rsid w:val="004F45CA"/>
    <w:rsid w:val="004F5216"/>
    <w:rsid w:val="004F616B"/>
    <w:rsid w:val="004F64E4"/>
    <w:rsid w:val="00500A53"/>
    <w:rsid w:val="00503634"/>
    <w:rsid w:val="00504F92"/>
    <w:rsid w:val="00505551"/>
    <w:rsid w:val="005078B3"/>
    <w:rsid w:val="00510925"/>
    <w:rsid w:val="00510A28"/>
    <w:rsid w:val="00511C54"/>
    <w:rsid w:val="0051292E"/>
    <w:rsid w:val="00516207"/>
    <w:rsid w:val="00520C27"/>
    <w:rsid w:val="00521B57"/>
    <w:rsid w:val="00522DE9"/>
    <w:rsid w:val="00522EF8"/>
    <w:rsid w:val="0052399F"/>
    <w:rsid w:val="00523F60"/>
    <w:rsid w:val="00523FBA"/>
    <w:rsid w:val="00524079"/>
    <w:rsid w:val="00524C8D"/>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12E"/>
    <w:rsid w:val="0055122B"/>
    <w:rsid w:val="00551805"/>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2488"/>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3D2F"/>
    <w:rsid w:val="006A4533"/>
    <w:rsid w:val="006A5968"/>
    <w:rsid w:val="006A5DC3"/>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4EA6"/>
    <w:rsid w:val="006D7692"/>
    <w:rsid w:val="006D7E17"/>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5DEC"/>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0B9D"/>
    <w:rsid w:val="00781AFB"/>
    <w:rsid w:val="00782461"/>
    <w:rsid w:val="0078261F"/>
    <w:rsid w:val="007833DA"/>
    <w:rsid w:val="00783492"/>
    <w:rsid w:val="00783918"/>
    <w:rsid w:val="00784522"/>
    <w:rsid w:val="0078470A"/>
    <w:rsid w:val="00784C15"/>
    <w:rsid w:val="0078583D"/>
    <w:rsid w:val="00785939"/>
    <w:rsid w:val="00785D73"/>
    <w:rsid w:val="00786FA8"/>
    <w:rsid w:val="00787AF1"/>
    <w:rsid w:val="0079132B"/>
    <w:rsid w:val="0079360E"/>
    <w:rsid w:val="00795245"/>
    <w:rsid w:val="00795472"/>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4B75"/>
    <w:rsid w:val="007C51EB"/>
    <w:rsid w:val="007C60E2"/>
    <w:rsid w:val="007C7435"/>
    <w:rsid w:val="007D158A"/>
    <w:rsid w:val="007D5B1C"/>
    <w:rsid w:val="007D6D87"/>
    <w:rsid w:val="007D6FD6"/>
    <w:rsid w:val="007D710C"/>
    <w:rsid w:val="007E0ADA"/>
    <w:rsid w:val="007E15CF"/>
    <w:rsid w:val="007E1DB4"/>
    <w:rsid w:val="007E3260"/>
    <w:rsid w:val="007E5866"/>
    <w:rsid w:val="007F07AF"/>
    <w:rsid w:val="007F2A44"/>
    <w:rsid w:val="007F6E2B"/>
    <w:rsid w:val="007F7699"/>
    <w:rsid w:val="007F773D"/>
    <w:rsid w:val="008003C8"/>
    <w:rsid w:val="00802118"/>
    <w:rsid w:val="00804065"/>
    <w:rsid w:val="008047DD"/>
    <w:rsid w:val="00806037"/>
    <w:rsid w:val="0080611B"/>
    <w:rsid w:val="00806213"/>
    <w:rsid w:val="008121D7"/>
    <w:rsid w:val="00812B80"/>
    <w:rsid w:val="008168A2"/>
    <w:rsid w:val="00820421"/>
    <w:rsid w:val="008213E7"/>
    <w:rsid w:val="00821687"/>
    <w:rsid w:val="0082217D"/>
    <w:rsid w:val="00822A40"/>
    <w:rsid w:val="008236C7"/>
    <w:rsid w:val="00823E67"/>
    <w:rsid w:val="0082417B"/>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1BD7"/>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2C"/>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195"/>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B7413"/>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635"/>
    <w:rsid w:val="00AE4BA3"/>
    <w:rsid w:val="00AE5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415"/>
    <w:rsid w:val="00BD1886"/>
    <w:rsid w:val="00BD23E3"/>
    <w:rsid w:val="00BD40BC"/>
    <w:rsid w:val="00BD6234"/>
    <w:rsid w:val="00BE0437"/>
    <w:rsid w:val="00BE04F6"/>
    <w:rsid w:val="00BE107D"/>
    <w:rsid w:val="00BE2D6C"/>
    <w:rsid w:val="00BE4C2B"/>
    <w:rsid w:val="00BE52CA"/>
    <w:rsid w:val="00BE5D1C"/>
    <w:rsid w:val="00BE6D49"/>
    <w:rsid w:val="00BE701E"/>
    <w:rsid w:val="00BE7640"/>
    <w:rsid w:val="00BF0242"/>
    <w:rsid w:val="00BF0AE5"/>
    <w:rsid w:val="00BF144D"/>
    <w:rsid w:val="00BF214A"/>
    <w:rsid w:val="00BF377B"/>
    <w:rsid w:val="00BF3E1B"/>
    <w:rsid w:val="00BF635B"/>
    <w:rsid w:val="00BF68A4"/>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079E"/>
    <w:rsid w:val="00C41646"/>
    <w:rsid w:val="00C4383B"/>
    <w:rsid w:val="00C4601A"/>
    <w:rsid w:val="00C478FE"/>
    <w:rsid w:val="00C502DD"/>
    <w:rsid w:val="00C57504"/>
    <w:rsid w:val="00C613E2"/>
    <w:rsid w:val="00C621E3"/>
    <w:rsid w:val="00C6430C"/>
    <w:rsid w:val="00C64E24"/>
    <w:rsid w:val="00C65047"/>
    <w:rsid w:val="00C653CC"/>
    <w:rsid w:val="00C665D4"/>
    <w:rsid w:val="00C67E56"/>
    <w:rsid w:val="00C70AD8"/>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0CCE"/>
    <w:rsid w:val="00CA27F9"/>
    <w:rsid w:val="00CA28AD"/>
    <w:rsid w:val="00CA4F28"/>
    <w:rsid w:val="00CA7388"/>
    <w:rsid w:val="00CA78AC"/>
    <w:rsid w:val="00CB067C"/>
    <w:rsid w:val="00CB14E6"/>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432A"/>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97DE9"/>
    <w:rsid w:val="00DA0625"/>
    <w:rsid w:val="00DA1300"/>
    <w:rsid w:val="00DA3748"/>
    <w:rsid w:val="00DA4C82"/>
    <w:rsid w:val="00DA671A"/>
    <w:rsid w:val="00DA756A"/>
    <w:rsid w:val="00DA7819"/>
    <w:rsid w:val="00DA78D9"/>
    <w:rsid w:val="00DA7E64"/>
    <w:rsid w:val="00DA7E6E"/>
    <w:rsid w:val="00DB0551"/>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CA8"/>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065D"/>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8CD"/>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3846"/>
    <w:rsid w:val="00F545DD"/>
    <w:rsid w:val="00F55E69"/>
    <w:rsid w:val="00F579BE"/>
    <w:rsid w:val="00F606F4"/>
    <w:rsid w:val="00F60DF6"/>
    <w:rsid w:val="00F61E12"/>
    <w:rsid w:val="00F626E7"/>
    <w:rsid w:val="00F62D04"/>
    <w:rsid w:val="00F6434A"/>
    <w:rsid w:val="00F70887"/>
    <w:rsid w:val="00F70A7D"/>
    <w:rsid w:val="00F7460B"/>
    <w:rsid w:val="00F748DD"/>
    <w:rsid w:val="00F76633"/>
    <w:rsid w:val="00F77EEC"/>
    <w:rsid w:val="00F81710"/>
    <w:rsid w:val="00F81FF7"/>
    <w:rsid w:val="00F83E64"/>
    <w:rsid w:val="00F86EF9"/>
    <w:rsid w:val="00F86FB1"/>
    <w:rsid w:val="00F87E61"/>
    <w:rsid w:val="00F9058E"/>
    <w:rsid w:val="00F908E0"/>
    <w:rsid w:val="00F90B86"/>
    <w:rsid w:val="00F91972"/>
    <w:rsid w:val="00F9335A"/>
    <w:rsid w:val="00F93755"/>
    <w:rsid w:val="00F93A32"/>
    <w:rsid w:val="00F94769"/>
    <w:rsid w:val="00F95CF5"/>
    <w:rsid w:val="00F96499"/>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56"/>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DEC"/>
    <w:pPr>
      <w:tabs>
        <w:tab w:val="center" w:pos="4680"/>
        <w:tab w:val="right" w:pos="9360"/>
      </w:tabs>
      <w:spacing w:line="240" w:lineRule="auto"/>
    </w:pPr>
  </w:style>
  <w:style w:type="character" w:customStyle="1" w:styleId="HeaderChar">
    <w:name w:val="Header Char"/>
    <w:basedOn w:val="DefaultParagraphFont"/>
    <w:link w:val="Header"/>
    <w:uiPriority w:val="99"/>
    <w:rsid w:val="00735DEC"/>
  </w:style>
  <w:style w:type="paragraph" w:styleId="Footer">
    <w:name w:val="footer"/>
    <w:basedOn w:val="Normal"/>
    <w:link w:val="FooterChar"/>
    <w:uiPriority w:val="99"/>
    <w:unhideWhenUsed/>
    <w:rsid w:val="00735DEC"/>
    <w:pPr>
      <w:tabs>
        <w:tab w:val="center" w:pos="4680"/>
        <w:tab w:val="right" w:pos="9360"/>
      </w:tabs>
      <w:spacing w:line="240" w:lineRule="auto"/>
    </w:pPr>
  </w:style>
  <w:style w:type="character" w:customStyle="1" w:styleId="FooterChar">
    <w:name w:val="Footer Char"/>
    <w:basedOn w:val="DefaultParagraphFont"/>
    <w:link w:val="Footer"/>
    <w:uiPriority w:val="99"/>
    <w:rsid w:val="00735DEC"/>
  </w:style>
  <w:style w:type="paragraph" w:customStyle="1" w:styleId="Pleading2L1">
    <w:name w:val="Pleading2_L1"/>
    <w:basedOn w:val="Normal"/>
    <w:next w:val="BodyText"/>
    <w:rsid w:val="006D7E17"/>
    <w:pPr>
      <w:numPr>
        <w:numId w:val="1"/>
      </w:numPr>
      <w:spacing w:after="240"/>
      <w:outlineLvl w:val="0"/>
    </w:pPr>
    <w:rPr>
      <w:rFonts w:eastAsia="Times New Roman"/>
      <w:b/>
      <w:caps/>
      <w:szCs w:val="20"/>
      <w:u w:val="single"/>
    </w:rPr>
  </w:style>
  <w:style w:type="paragraph" w:customStyle="1" w:styleId="Pleading2L2">
    <w:name w:val="Pleading2_L2"/>
    <w:basedOn w:val="Pleading2L1"/>
    <w:rsid w:val="006D7E17"/>
    <w:pPr>
      <w:numPr>
        <w:ilvl w:val="1"/>
      </w:numPr>
      <w:spacing w:after="0" w:line="480" w:lineRule="auto"/>
      <w:jc w:val="left"/>
      <w:outlineLvl w:val="1"/>
    </w:pPr>
    <w:rPr>
      <w:b w:val="0"/>
      <w:caps w:val="0"/>
      <w:u w:val="none"/>
    </w:rPr>
  </w:style>
  <w:style w:type="paragraph" w:customStyle="1" w:styleId="Pleading2L3">
    <w:name w:val="Pleading2_L3"/>
    <w:basedOn w:val="Pleading2L2"/>
    <w:rsid w:val="006D7E17"/>
    <w:pPr>
      <w:numPr>
        <w:ilvl w:val="2"/>
      </w:numPr>
      <w:outlineLvl w:val="2"/>
    </w:pPr>
  </w:style>
  <w:style w:type="paragraph" w:customStyle="1" w:styleId="Pleading2L4">
    <w:name w:val="Pleading2_L4"/>
    <w:basedOn w:val="Pleading2L3"/>
    <w:rsid w:val="006D7E17"/>
    <w:pPr>
      <w:numPr>
        <w:ilvl w:val="3"/>
      </w:numPr>
      <w:outlineLvl w:val="3"/>
    </w:pPr>
  </w:style>
  <w:style w:type="paragraph" w:customStyle="1" w:styleId="Pleading2L5">
    <w:name w:val="Pleading2_L5"/>
    <w:basedOn w:val="Pleading2L4"/>
    <w:rsid w:val="006D7E17"/>
    <w:pPr>
      <w:keepNext/>
      <w:keepLines/>
      <w:widowControl w:val="0"/>
      <w:numPr>
        <w:ilvl w:val="4"/>
      </w:numPr>
      <w:spacing w:after="240" w:line="240" w:lineRule="auto"/>
      <w:outlineLvl w:val="4"/>
    </w:pPr>
  </w:style>
  <w:style w:type="paragraph" w:customStyle="1" w:styleId="Pleading2L6">
    <w:name w:val="Pleading2_L6"/>
    <w:basedOn w:val="Pleading2L5"/>
    <w:rsid w:val="006D7E17"/>
    <w:pPr>
      <w:numPr>
        <w:ilvl w:val="5"/>
      </w:numPr>
      <w:outlineLvl w:val="5"/>
    </w:pPr>
  </w:style>
  <w:style w:type="paragraph" w:customStyle="1" w:styleId="Pleading2L7">
    <w:name w:val="Pleading2_L7"/>
    <w:basedOn w:val="Pleading2L6"/>
    <w:rsid w:val="006D7E17"/>
    <w:pPr>
      <w:numPr>
        <w:ilvl w:val="6"/>
      </w:numPr>
      <w:outlineLvl w:val="6"/>
    </w:pPr>
  </w:style>
  <w:style w:type="paragraph" w:customStyle="1" w:styleId="Pleading2L8">
    <w:name w:val="Pleading2_L8"/>
    <w:basedOn w:val="Pleading2L7"/>
    <w:rsid w:val="006D7E17"/>
    <w:pPr>
      <w:numPr>
        <w:ilvl w:val="7"/>
      </w:numPr>
      <w:outlineLvl w:val="7"/>
    </w:pPr>
  </w:style>
  <w:style w:type="paragraph" w:customStyle="1" w:styleId="Pleading2L9">
    <w:name w:val="Pleading2_L9"/>
    <w:basedOn w:val="Pleading2L8"/>
    <w:rsid w:val="006D7E17"/>
    <w:pPr>
      <w:numPr>
        <w:ilvl w:val="8"/>
      </w:numPr>
      <w:outlineLvl w:val="8"/>
    </w:pPr>
  </w:style>
  <w:style w:type="paragraph" w:styleId="BodyText">
    <w:name w:val="Body Text"/>
    <w:basedOn w:val="Normal"/>
    <w:link w:val="BodyTextChar"/>
    <w:uiPriority w:val="99"/>
    <w:semiHidden/>
    <w:unhideWhenUsed/>
    <w:rsid w:val="006D7E17"/>
    <w:pPr>
      <w:spacing w:after="120"/>
    </w:pPr>
  </w:style>
  <w:style w:type="character" w:customStyle="1" w:styleId="BodyTextChar">
    <w:name w:val="Body Text Char"/>
    <w:basedOn w:val="DefaultParagraphFont"/>
    <w:link w:val="BodyText"/>
    <w:uiPriority w:val="99"/>
    <w:semiHidden/>
    <w:rsid w:val="006D7E17"/>
  </w:style>
  <w:style w:type="paragraph" w:styleId="FootnoteText">
    <w:name w:val="footnote text"/>
    <w:basedOn w:val="Normal"/>
    <w:link w:val="FootnoteTextChar"/>
    <w:semiHidden/>
    <w:rsid w:val="00CB14E6"/>
    <w:pPr>
      <w:widowControl w:val="0"/>
      <w:spacing w:line="240" w:lineRule="auto"/>
      <w:jc w:val="left"/>
    </w:pPr>
    <w:rPr>
      <w:rFonts w:eastAsia="Times New Roman"/>
      <w:snapToGrid w:val="0"/>
      <w:sz w:val="20"/>
      <w:szCs w:val="20"/>
    </w:rPr>
  </w:style>
  <w:style w:type="character" w:customStyle="1" w:styleId="FootnoteTextChar">
    <w:name w:val="Footnote Text Char"/>
    <w:basedOn w:val="DefaultParagraphFont"/>
    <w:link w:val="FootnoteText"/>
    <w:semiHidden/>
    <w:rsid w:val="00CB14E6"/>
    <w:rPr>
      <w:rFonts w:eastAsia="Times New Roman"/>
      <w:snapToGrid w:val="0"/>
      <w:sz w:val="20"/>
      <w:szCs w:val="20"/>
    </w:rPr>
  </w:style>
  <w:style w:type="paragraph" w:styleId="BodyText2">
    <w:name w:val="Body Text 2"/>
    <w:basedOn w:val="Normal"/>
    <w:link w:val="BodyText2Char"/>
    <w:uiPriority w:val="99"/>
    <w:unhideWhenUsed/>
    <w:rsid w:val="00CB14E6"/>
    <w:pPr>
      <w:spacing w:after="120" w:line="480" w:lineRule="auto"/>
    </w:pPr>
    <w:rPr>
      <w:rFonts w:eastAsia="Calibri"/>
    </w:rPr>
  </w:style>
  <w:style w:type="character" w:customStyle="1" w:styleId="BodyText2Char">
    <w:name w:val="Body Text 2 Char"/>
    <w:basedOn w:val="DefaultParagraphFont"/>
    <w:link w:val="BodyText2"/>
    <w:uiPriority w:val="99"/>
    <w:rsid w:val="00CB14E6"/>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DEC"/>
    <w:pPr>
      <w:tabs>
        <w:tab w:val="center" w:pos="4680"/>
        <w:tab w:val="right" w:pos="9360"/>
      </w:tabs>
      <w:spacing w:line="240" w:lineRule="auto"/>
    </w:pPr>
  </w:style>
  <w:style w:type="character" w:customStyle="1" w:styleId="HeaderChar">
    <w:name w:val="Header Char"/>
    <w:basedOn w:val="DefaultParagraphFont"/>
    <w:link w:val="Header"/>
    <w:uiPriority w:val="99"/>
    <w:rsid w:val="00735DEC"/>
  </w:style>
  <w:style w:type="paragraph" w:styleId="Footer">
    <w:name w:val="footer"/>
    <w:basedOn w:val="Normal"/>
    <w:link w:val="FooterChar"/>
    <w:uiPriority w:val="99"/>
    <w:unhideWhenUsed/>
    <w:rsid w:val="00735DEC"/>
    <w:pPr>
      <w:tabs>
        <w:tab w:val="center" w:pos="4680"/>
        <w:tab w:val="right" w:pos="9360"/>
      </w:tabs>
      <w:spacing w:line="240" w:lineRule="auto"/>
    </w:pPr>
  </w:style>
  <w:style w:type="character" w:customStyle="1" w:styleId="FooterChar">
    <w:name w:val="Footer Char"/>
    <w:basedOn w:val="DefaultParagraphFont"/>
    <w:link w:val="Footer"/>
    <w:uiPriority w:val="99"/>
    <w:rsid w:val="00735DEC"/>
  </w:style>
  <w:style w:type="paragraph" w:customStyle="1" w:styleId="Pleading2L1">
    <w:name w:val="Pleading2_L1"/>
    <w:basedOn w:val="Normal"/>
    <w:next w:val="BodyText"/>
    <w:rsid w:val="006D7E17"/>
    <w:pPr>
      <w:numPr>
        <w:numId w:val="1"/>
      </w:numPr>
      <w:spacing w:after="240"/>
      <w:outlineLvl w:val="0"/>
    </w:pPr>
    <w:rPr>
      <w:rFonts w:eastAsia="Times New Roman"/>
      <w:b/>
      <w:caps/>
      <w:szCs w:val="20"/>
      <w:u w:val="single"/>
    </w:rPr>
  </w:style>
  <w:style w:type="paragraph" w:customStyle="1" w:styleId="Pleading2L2">
    <w:name w:val="Pleading2_L2"/>
    <w:basedOn w:val="Pleading2L1"/>
    <w:rsid w:val="006D7E17"/>
    <w:pPr>
      <w:numPr>
        <w:ilvl w:val="1"/>
      </w:numPr>
      <w:spacing w:after="0" w:line="480" w:lineRule="auto"/>
      <w:jc w:val="left"/>
      <w:outlineLvl w:val="1"/>
    </w:pPr>
    <w:rPr>
      <w:b w:val="0"/>
      <w:caps w:val="0"/>
      <w:u w:val="none"/>
    </w:rPr>
  </w:style>
  <w:style w:type="paragraph" w:customStyle="1" w:styleId="Pleading2L3">
    <w:name w:val="Pleading2_L3"/>
    <w:basedOn w:val="Pleading2L2"/>
    <w:rsid w:val="006D7E17"/>
    <w:pPr>
      <w:numPr>
        <w:ilvl w:val="2"/>
      </w:numPr>
      <w:outlineLvl w:val="2"/>
    </w:pPr>
  </w:style>
  <w:style w:type="paragraph" w:customStyle="1" w:styleId="Pleading2L4">
    <w:name w:val="Pleading2_L4"/>
    <w:basedOn w:val="Pleading2L3"/>
    <w:rsid w:val="006D7E17"/>
    <w:pPr>
      <w:numPr>
        <w:ilvl w:val="3"/>
      </w:numPr>
      <w:outlineLvl w:val="3"/>
    </w:pPr>
  </w:style>
  <w:style w:type="paragraph" w:customStyle="1" w:styleId="Pleading2L5">
    <w:name w:val="Pleading2_L5"/>
    <w:basedOn w:val="Pleading2L4"/>
    <w:rsid w:val="006D7E17"/>
    <w:pPr>
      <w:keepNext/>
      <w:keepLines/>
      <w:widowControl w:val="0"/>
      <w:numPr>
        <w:ilvl w:val="4"/>
      </w:numPr>
      <w:spacing w:after="240" w:line="240" w:lineRule="auto"/>
      <w:outlineLvl w:val="4"/>
    </w:pPr>
  </w:style>
  <w:style w:type="paragraph" w:customStyle="1" w:styleId="Pleading2L6">
    <w:name w:val="Pleading2_L6"/>
    <w:basedOn w:val="Pleading2L5"/>
    <w:rsid w:val="006D7E17"/>
    <w:pPr>
      <w:numPr>
        <w:ilvl w:val="5"/>
      </w:numPr>
      <w:outlineLvl w:val="5"/>
    </w:pPr>
  </w:style>
  <w:style w:type="paragraph" w:customStyle="1" w:styleId="Pleading2L7">
    <w:name w:val="Pleading2_L7"/>
    <w:basedOn w:val="Pleading2L6"/>
    <w:rsid w:val="006D7E17"/>
    <w:pPr>
      <w:numPr>
        <w:ilvl w:val="6"/>
      </w:numPr>
      <w:outlineLvl w:val="6"/>
    </w:pPr>
  </w:style>
  <w:style w:type="paragraph" w:customStyle="1" w:styleId="Pleading2L8">
    <w:name w:val="Pleading2_L8"/>
    <w:basedOn w:val="Pleading2L7"/>
    <w:rsid w:val="006D7E17"/>
    <w:pPr>
      <w:numPr>
        <w:ilvl w:val="7"/>
      </w:numPr>
      <w:outlineLvl w:val="7"/>
    </w:pPr>
  </w:style>
  <w:style w:type="paragraph" w:customStyle="1" w:styleId="Pleading2L9">
    <w:name w:val="Pleading2_L9"/>
    <w:basedOn w:val="Pleading2L8"/>
    <w:rsid w:val="006D7E17"/>
    <w:pPr>
      <w:numPr>
        <w:ilvl w:val="8"/>
      </w:numPr>
      <w:outlineLvl w:val="8"/>
    </w:pPr>
  </w:style>
  <w:style w:type="paragraph" w:styleId="BodyText">
    <w:name w:val="Body Text"/>
    <w:basedOn w:val="Normal"/>
    <w:link w:val="BodyTextChar"/>
    <w:uiPriority w:val="99"/>
    <w:semiHidden/>
    <w:unhideWhenUsed/>
    <w:rsid w:val="006D7E17"/>
    <w:pPr>
      <w:spacing w:after="120"/>
    </w:pPr>
  </w:style>
  <w:style w:type="character" w:customStyle="1" w:styleId="BodyTextChar">
    <w:name w:val="Body Text Char"/>
    <w:basedOn w:val="DefaultParagraphFont"/>
    <w:link w:val="BodyText"/>
    <w:uiPriority w:val="99"/>
    <w:semiHidden/>
    <w:rsid w:val="006D7E17"/>
  </w:style>
  <w:style w:type="paragraph" w:styleId="FootnoteText">
    <w:name w:val="footnote text"/>
    <w:basedOn w:val="Normal"/>
    <w:link w:val="FootnoteTextChar"/>
    <w:semiHidden/>
    <w:rsid w:val="00CB14E6"/>
    <w:pPr>
      <w:widowControl w:val="0"/>
      <w:spacing w:line="240" w:lineRule="auto"/>
      <w:jc w:val="left"/>
    </w:pPr>
    <w:rPr>
      <w:rFonts w:eastAsia="Times New Roman"/>
      <w:snapToGrid w:val="0"/>
      <w:sz w:val="20"/>
      <w:szCs w:val="20"/>
    </w:rPr>
  </w:style>
  <w:style w:type="character" w:customStyle="1" w:styleId="FootnoteTextChar">
    <w:name w:val="Footnote Text Char"/>
    <w:basedOn w:val="DefaultParagraphFont"/>
    <w:link w:val="FootnoteText"/>
    <w:semiHidden/>
    <w:rsid w:val="00CB14E6"/>
    <w:rPr>
      <w:rFonts w:eastAsia="Times New Roman"/>
      <w:snapToGrid w:val="0"/>
      <w:sz w:val="20"/>
      <w:szCs w:val="20"/>
    </w:rPr>
  </w:style>
  <w:style w:type="paragraph" w:styleId="BodyText2">
    <w:name w:val="Body Text 2"/>
    <w:basedOn w:val="Normal"/>
    <w:link w:val="BodyText2Char"/>
    <w:uiPriority w:val="99"/>
    <w:unhideWhenUsed/>
    <w:rsid w:val="00CB14E6"/>
    <w:pPr>
      <w:spacing w:after="120" w:line="480" w:lineRule="auto"/>
    </w:pPr>
    <w:rPr>
      <w:rFonts w:eastAsia="Calibri"/>
    </w:rPr>
  </w:style>
  <w:style w:type="character" w:customStyle="1" w:styleId="BodyText2Char">
    <w:name w:val="Body Text 2 Char"/>
    <w:basedOn w:val="DefaultParagraphFont"/>
    <w:link w:val="BodyText2"/>
    <w:uiPriority w:val="99"/>
    <w:rsid w:val="00CB14E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2013-05-23T16:54:00Z</cp:lastPrinted>
  <dcterms:created xsi:type="dcterms:W3CDTF">2013-05-29T13:22:00Z</dcterms:created>
  <dcterms:modified xsi:type="dcterms:W3CDTF">2013-05-29T13:22:00Z</dcterms:modified>
</cp:coreProperties>
</file>