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7817"/>
        <w:gridCol w:w="1710"/>
      </w:tblGrid>
      <w:tr w:rsidR="002537DB" w:rsidRPr="00061A0A" w:rsidTr="0097735B">
        <w:trPr>
          <w:trHeight w:val="1260"/>
        </w:trPr>
        <w:tc>
          <w:tcPr>
            <w:tcW w:w="1363" w:type="dxa"/>
          </w:tcPr>
          <w:p w:rsidR="002537DB" w:rsidRDefault="002537DB" w:rsidP="00C25F9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A6C33DB" wp14:editId="440E1F24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7" w:type="dxa"/>
          </w:tcPr>
          <w:p w:rsidR="002537DB" w:rsidRDefault="002537DB" w:rsidP="002537DB">
            <w:pPr>
              <w:suppressAutoHyphens/>
              <w:spacing w:after="0" w:line="240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537DB" w:rsidRPr="00811EB8" w:rsidRDefault="002537DB" w:rsidP="002537DB">
            <w:pPr>
              <w:suppressAutoHyphens/>
              <w:spacing w:after="0" w:line="240" w:lineRule="auto"/>
              <w:jc w:val="center"/>
              <w:rPr>
                <w:rFonts w:ascii="Arial" w:hAnsi="Arial"/>
                <w:color w:val="000080"/>
                <w:spacing w:val="-3"/>
              </w:rPr>
            </w:pPr>
            <w:r w:rsidRPr="00811EB8">
              <w:rPr>
                <w:rFonts w:ascii="Arial" w:hAnsi="Arial"/>
                <w:color w:val="000080"/>
                <w:spacing w:val="-3"/>
              </w:rPr>
              <w:t>COMMONWEALTH OF PENNSYLVANIA</w:t>
            </w:r>
          </w:p>
          <w:p w:rsidR="002537DB" w:rsidRPr="00811EB8" w:rsidRDefault="002537DB" w:rsidP="002537DB">
            <w:pPr>
              <w:suppressAutoHyphens/>
              <w:spacing w:after="0" w:line="240" w:lineRule="auto"/>
              <w:jc w:val="center"/>
              <w:rPr>
                <w:rFonts w:ascii="Arial" w:hAnsi="Arial"/>
                <w:color w:val="000080"/>
                <w:spacing w:val="-3"/>
              </w:rPr>
            </w:pPr>
            <w:r w:rsidRPr="00811EB8">
              <w:rPr>
                <w:rFonts w:ascii="Arial" w:hAnsi="Arial"/>
                <w:color w:val="000080"/>
                <w:spacing w:val="-3"/>
              </w:rPr>
              <w:t>PENNSYLVANIA PUBLIC UTILITY COMMISSION</w:t>
            </w:r>
          </w:p>
          <w:p w:rsidR="002537DB" w:rsidRDefault="002537DB" w:rsidP="002537DB">
            <w:pPr>
              <w:spacing w:after="0" w:line="240" w:lineRule="auto"/>
              <w:jc w:val="center"/>
              <w:rPr>
                <w:rFonts w:ascii="Arial" w:hAnsi="Arial"/>
                <w:sz w:val="12"/>
              </w:rPr>
            </w:pPr>
            <w:r w:rsidRPr="00811EB8">
              <w:rPr>
                <w:rFonts w:ascii="Arial" w:hAnsi="Arial"/>
                <w:color w:val="000080"/>
                <w:spacing w:val="-3"/>
              </w:rPr>
              <w:t>P.O. BOX 3265, HARRISBURG, PA 17105-3265</w:t>
            </w:r>
          </w:p>
        </w:tc>
        <w:tc>
          <w:tcPr>
            <w:tcW w:w="1710" w:type="dxa"/>
          </w:tcPr>
          <w:p w:rsidR="002537DB" w:rsidRDefault="002537DB" w:rsidP="00C25F9E">
            <w:pPr>
              <w:rPr>
                <w:rFonts w:ascii="Arial" w:hAnsi="Arial"/>
                <w:sz w:val="12"/>
              </w:rPr>
            </w:pPr>
          </w:p>
          <w:p w:rsidR="00811EB8" w:rsidRDefault="00811EB8" w:rsidP="0097735B">
            <w:pPr>
              <w:spacing w:after="0" w:line="240" w:lineRule="auto"/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811EB8" w:rsidRDefault="00811EB8" w:rsidP="0097735B">
            <w:pPr>
              <w:spacing w:after="0" w:line="240" w:lineRule="auto"/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811EB8" w:rsidRDefault="00811EB8" w:rsidP="0097735B">
            <w:pPr>
              <w:spacing w:after="0" w:line="240" w:lineRule="auto"/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97735B" w:rsidRDefault="002537DB" w:rsidP="0097735B">
            <w:pPr>
              <w:spacing w:after="0" w:line="240" w:lineRule="auto"/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</w:t>
            </w:r>
          </w:p>
          <w:p w:rsidR="002537DB" w:rsidRDefault="002537DB" w:rsidP="0097735B">
            <w:pPr>
              <w:spacing w:after="0" w:line="240" w:lineRule="auto"/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REFER TO OUR FILE</w:t>
            </w:r>
          </w:p>
          <w:p w:rsidR="0097735B" w:rsidRDefault="0097735B" w:rsidP="0097735B">
            <w:pPr>
              <w:spacing w:after="0" w:line="240" w:lineRule="auto"/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97735B" w:rsidRPr="00811EB8" w:rsidRDefault="0097735B" w:rsidP="0097735B">
            <w:pPr>
              <w:spacing w:after="0" w:line="240" w:lineRule="auto"/>
              <w:jc w:val="right"/>
              <w:rPr>
                <w:rFonts w:ascii="Arial" w:hAnsi="Arial"/>
                <w:spacing w:val="-1"/>
                <w:sz w:val="16"/>
                <w:szCs w:val="16"/>
              </w:rPr>
            </w:pPr>
            <w:r w:rsidRPr="00811EB8">
              <w:rPr>
                <w:rFonts w:ascii="Arial" w:hAnsi="Arial"/>
                <w:spacing w:val="-1"/>
                <w:sz w:val="16"/>
                <w:szCs w:val="16"/>
              </w:rPr>
              <w:t>P-2012-2337737</w:t>
            </w:r>
          </w:p>
          <w:p w:rsidR="0097735B" w:rsidRPr="00061A0A" w:rsidRDefault="0097735B" w:rsidP="0097735B">
            <w:pPr>
              <w:spacing w:after="0" w:line="240" w:lineRule="auto"/>
              <w:jc w:val="right"/>
              <w:rPr>
                <w:rFonts w:ascii="Arial" w:hAnsi="Arial"/>
                <w:b/>
                <w:spacing w:val="-1"/>
                <w:sz w:val="12"/>
              </w:rPr>
            </w:pPr>
            <w:r w:rsidRPr="00811EB8">
              <w:rPr>
                <w:rFonts w:ascii="Arial" w:hAnsi="Arial"/>
                <w:spacing w:val="-1"/>
                <w:sz w:val="16"/>
                <w:szCs w:val="16"/>
              </w:rPr>
              <w:t>C-2013-2346939</w:t>
            </w:r>
          </w:p>
        </w:tc>
      </w:tr>
    </w:tbl>
    <w:p w:rsidR="00E91FBB" w:rsidRPr="00181DC7" w:rsidRDefault="00166CE8" w:rsidP="00166CE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June 4, 2013</w:t>
      </w:r>
    </w:p>
    <w:p w:rsidR="002537DB" w:rsidRDefault="00811EB8" w:rsidP="002537DB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P-2012-2337737</w:t>
      </w:r>
    </w:p>
    <w:p w:rsidR="00811EB8" w:rsidRPr="002537DB" w:rsidRDefault="00811EB8" w:rsidP="002537DB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C-2013-2346939</w:t>
      </w:r>
    </w:p>
    <w:p w:rsidR="00E91FBB" w:rsidRPr="002537DB" w:rsidRDefault="00E91FBB">
      <w:pPr>
        <w:rPr>
          <w:rFonts w:ascii="Times New Roman" w:hAnsi="Times New Roman" w:cs="Times New Roman"/>
          <w:sz w:val="26"/>
          <w:szCs w:val="26"/>
        </w:rPr>
      </w:pPr>
    </w:p>
    <w:p w:rsidR="00E91FBB" w:rsidRPr="00181DC7" w:rsidRDefault="002537DB" w:rsidP="00E91FBB">
      <w:pPr>
        <w:pStyle w:val="p4"/>
        <w:widowControl/>
        <w:tabs>
          <w:tab w:val="clear" w:pos="204"/>
          <w:tab w:val="left" w:pos="0"/>
        </w:tabs>
        <w:outlineLvl w:val="0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ab/>
      </w:r>
      <w:r w:rsidR="00E91FBB" w:rsidRPr="00181DC7">
        <w:rPr>
          <w:color w:val="0D0D0D" w:themeColor="text1" w:themeTint="F2"/>
          <w:sz w:val="26"/>
          <w:szCs w:val="26"/>
        </w:rPr>
        <w:t>Re:</w:t>
      </w:r>
      <w:r w:rsidR="00E91FBB" w:rsidRPr="00181DC7">
        <w:rPr>
          <w:color w:val="0D0D0D" w:themeColor="text1" w:themeTint="F2"/>
          <w:sz w:val="26"/>
          <w:szCs w:val="26"/>
        </w:rPr>
        <w:tab/>
      </w:r>
      <w:r w:rsidR="00E91FBB" w:rsidRPr="00181DC7">
        <w:rPr>
          <w:i/>
          <w:color w:val="0D0D0D" w:themeColor="text1" w:themeTint="F2"/>
          <w:sz w:val="26"/>
          <w:szCs w:val="26"/>
        </w:rPr>
        <w:t>Petition of PGW for Approval of a DSIC</w:t>
      </w:r>
      <w:r w:rsidR="00E91FBB" w:rsidRPr="00181DC7">
        <w:rPr>
          <w:color w:val="0D0D0D" w:themeColor="text1" w:themeTint="F2"/>
          <w:sz w:val="26"/>
          <w:szCs w:val="26"/>
        </w:rPr>
        <w:t xml:space="preserve"> – P-2012-2337737</w:t>
      </w:r>
    </w:p>
    <w:p w:rsidR="00E91FBB" w:rsidRPr="00181DC7" w:rsidRDefault="00E91FBB" w:rsidP="002537DB">
      <w:pPr>
        <w:ind w:left="720" w:firstLine="720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81DC7">
        <w:rPr>
          <w:rFonts w:ascii="Times New Roman" w:hAnsi="Times New Roman" w:cs="Times New Roman"/>
          <w:i/>
          <w:color w:val="0D0D0D" w:themeColor="text1" w:themeTint="F2"/>
          <w:sz w:val="26"/>
          <w:szCs w:val="26"/>
        </w:rPr>
        <w:t>OCA v. PGW</w:t>
      </w:r>
      <w:r w:rsidRPr="00181DC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– C-2013-2346939 </w:t>
      </w:r>
    </w:p>
    <w:p w:rsidR="00E91FBB" w:rsidRPr="00181DC7" w:rsidRDefault="00E91FBB" w:rsidP="00E91FBB">
      <w:pPr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E91FBB" w:rsidRDefault="00E91FBB" w:rsidP="002537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81DC7">
        <w:rPr>
          <w:rFonts w:ascii="Times New Roman" w:hAnsi="Times New Roman" w:cs="Times New Roman"/>
          <w:sz w:val="26"/>
          <w:szCs w:val="26"/>
        </w:rPr>
        <w:t>To:  Parties of Record</w:t>
      </w:r>
      <w:r w:rsidR="002537DB">
        <w:rPr>
          <w:rFonts w:ascii="Times New Roman" w:hAnsi="Times New Roman" w:cs="Times New Roman"/>
          <w:sz w:val="26"/>
          <w:szCs w:val="26"/>
        </w:rPr>
        <w:t>:</w:t>
      </w:r>
    </w:p>
    <w:p w:rsidR="002537DB" w:rsidRPr="00181DC7" w:rsidRDefault="002537DB" w:rsidP="002537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A5663" w:rsidRPr="000A5663" w:rsidRDefault="00E91FBB" w:rsidP="002537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81DC7">
        <w:rPr>
          <w:rFonts w:ascii="Times New Roman" w:hAnsi="Times New Roman" w:cs="Times New Roman"/>
          <w:sz w:val="26"/>
          <w:szCs w:val="26"/>
        </w:rPr>
        <w:tab/>
        <w:t>This Secretarial Letter confirms that P</w:t>
      </w:r>
      <w:r w:rsidR="00E60A70" w:rsidRPr="00181DC7">
        <w:rPr>
          <w:rFonts w:ascii="Times New Roman" w:hAnsi="Times New Roman" w:cs="Times New Roman"/>
          <w:sz w:val="26"/>
          <w:szCs w:val="26"/>
        </w:rPr>
        <w:t xml:space="preserve">hiladelphia Gas Works (PGW) </w:t>
      </w:r>
      <w:r w:rsidRPr="00181DC7">
        <w:rPr>
          <w:rFonts w:ascii="Times New Roman" w:hAnsi="Times New Roman" w:cs="Times New Roman"/>
          <w:sz w:val="26"/>
          <w:szCs w:val="26"/>
        </w:rPr>
        <w:t xml:space="preserve">has complied with the requirements of the Commission’s </w:t>
      </w:r>
      <w:r w:rsidR="00282EB4" w:rsidRPr="00181DC7">
        <w:rPr>
          <w:rFonts w:ascii="Times New Roman" w:hAnsi="Times New Roman" w:cs="Times New Roman"/>
          <w:sz w:val="26"/>
          <w:szCs w:val="26"/>
        </w:rPr>
        <w:t xml:space="preserve">Order entered </w:t>
      </w:r>
      <w:r w:rsidRPr="00181DC7">
        <w:rPr>
          <w:rFonts w:ascii="Times New Roman" w:hAnsi="Times New Roman" w:cs="Times New Roman"/>
          <w:sz w:val="26"/>
          <w:szCs w:val="26"/>
        </w:rPr>
        <w:t xml:space="preserve">May 9, 2013, in </w:t>
      </w:r>
      <w:r w:rsidR="001724C8">
        <w:rPr>
          <w:rFonts w:ascii="Times New Roman" w:hAnsi="Times New Roman" w:cs="Times New Roman"/>
          <w:sz w:val="26"/>
          <w:szCs w:val="26"/>
        </w:rPr>
        <w:t xml:space="preserve">PGW’s initial </w:t>
      </w:r>
      <w:r w:rsidR="00107002">
        <w:rPr>
          <w:rFonts w:ascii="Times New Roman" w:hAnsi="Times New Roman" w:cs="Times New Roman"/>
          <w:sz w:val="26"/>
          <w:szCs w:val="26"/>
        </w:rPr>
        <w:t>distribution system improvement charge (DSIC)</w:t>
      </w:r>
      <w:r w:rsidR="00A5023B">
        <w:rPr>
          <w:rStyle w:val="FootnoteReference"/>
          <w:rFonts w:ascii="Times New Roman" w:hAnsi="Times New Roman" w:cs="Times New Roman"/>
          <w:sz w:val="26"/>
          <w:szCs w:val="26"/>
        </w:rPr>
        <w:footnoteReference w:id="1"/>
      </w:r>
      <w:r w:rsidR="00107002">
        <w:rPr>
          <w:rFonts w:ascii="Times New Roman" w:hAnsi="Times New Roman" w:cs="Times New Roman"/>
          <w:sz w:val="26"/>
          <w:szCs w:val="26"/>
        </w:rPr>
        <w:t xml:space="preserve"> </w:t>
      </w:r>
      <w:r w:rsidRPr="00107002">
        <w:rPr>
          <w:rFonts w:ascii="Times New Roman" w:hAnsi="Times New Roman" w:cs="Times New Roman"/>
          <w:sz w:val="26"/>
          <w:szCs w:val="26"/>
        </w:rPr>
        <w:t>proceeding.</w:t>
      </w:r>
      <w:r w:rsidR="00107002">
        <w:rPr>
          <w:rFonts w:ascii="Times New Roman" w:hAnsi="Times New Roman" w:cs="Times New Roman"/>
          <w:sz w:val="26"/>
          <w:szCs w:val="26"/>
        </w:rPr>
        <w:t xml:space="preserve">  </w:t>
      </w:r>
      <w:r w:rsidR="00796A14">
        <w:rPr>
          <w:rFonts w:ascii="Times New Roman" w:hAnsi="Times New Roman" w:cs="Times New Roman"/>
          <w:sz w:val="26"/>
          <w:szCs w:val="26"/>
        </w:rPr>
        <w:t xml:space="preserve">PGW’s </w:t>
      </w:r>
      <w:r w:rsidR="001724C8" w:rsidRPr="000A5663">
        <w:rPr>
          <w:rFonts w:ascii="Times New Roman" w:hAnsi="Times New Roman" w:cs="Times New Roman"/>
          <w:sz w:val="26"/>
          <w:szCs w:val="26"/>
        </w:rPr>
        <w:t xml:space="preserve">DSIC </w:t>
      </w:r>
      <w:r w:rsidR="001724C8">
        <w:rPr>
          <w:rFonts w:ascii="Times New Roman" w:hAnsi="Times New Roman" w:cs="Times New Roman"/>
          <w:sz w:val="26"/>
          <w:szCs w:val="26"/>
        </w:rPr>
        <w:t xml:space="preserve">compliance </w:t>
      </w:r>
      <w:r w:rsidR="001724C8" w:rsidRPr="000A5663">
        <w:rPr>
          <w:rFonts w:ascii="Times New Roman" w:hAnsi="Times New Roman" w:cs="Times New Roman"/>
          <w:sz w:val="26"/>
          <w:szCs w:val="26"/>
        </w:rPr>
        <w:t xml:space="preserve">tariff, Supplement No. 62 to Gas Service Tariff – Pa P.U.C. No. 2, </w:t>
      </w:r>
      <w:r w:rsidR="00776A9E">
        <w:rPr>
          <w:rFonts w:ascii="Times New Roman" w:hAnsi="Times New Roman" w:cs="Times New Roman"/>
          <w:sz w:val="26"/>
          <w:szCs w:val="26"/>
        </w:rPr>
        <w:t xml:space="preserve">went </w:t>
      </w:r>
      <w:r w:rsidR="00796A14">
        <w:rPr>
          <w:rFonts w:ascii="Times New Roman" w:hAnsi="Times New Roman" w:cs="Times New Roman"/>
          <w:sz w:val="26"/>
          <w:szCs w:val="26"/>
        </w:rPr>
        <w:t xml:space="preserve">into </w:t>
      </w:r>
      <w:r w:rsidR="001724C8" w:rsidRPr="000A5663">
        <w:rPr>
          <w:rFonts w:ascii="Times New Roman" w:hAnsi="Times New Roman" w:cs="Times New Roman"/>
          <w:sz w:val="26"/>
          <w:szCs w:val="26"/>
        </w:rPr>
        <w:t xml:space="preserve">effect </w:t>
      </w:r>
      <w:r w:rsidR="00796A14">
        <w:rPr>
          <w:rFonts w:ascii="Times New Roman" w:hAnsi="Times New Roman" w:cs="Times New Roman"/>
          <w:sz w:val="26"/>
          <w:szCs w:val="26"/>
        </w:rPr>
        <w:t>June</w:t>
      </w:r>
      <w:r w:rsidR="00776A9E">
        <w:rPr>
          <w:rFonts w:ascii="Times New Roman" w:hAnsi="Times New Roman" w:cs="Times New Roman"/>
          <w:sz w:val="26"/>
          <w:szCs w:val="26"/>
        </w:rPr>
        <w:t> </w:t>
      </w:r>
      <w:r w:rsidR="00796A14">
        <w:rPr>
          <w:rFonts w:ascii="Times New Roman" w:hAnsi="Times New Roman" w:cs="Times New Roman"/>
          <w:sz w:val="26"/>
          <w:szCs w:val="26"/>
        </w:rPr>
        <w:t xml:space="preserve">1, 2013, </w:t>
      </w:r>
      <w:r w:rsidR="001724C8" w:rsidRPr="000A5663">
        <w:rPr>
          <w:rFonts w:ascii="Times New Roman" w:hAnsi="Times New Roman" w:cs="Times New Roman"/>
          <w:sz w:val="26"/>
          <w:szCs w:val="26"/>
        </w:rPr>
        <w:t>subject to Section 1307(e)</w:t>
      </w:r>
      <w:r w:rsidR="00796A14">
        <w:rPr>
          <w:rFonts w:ascii="Times New Roman" w:hAnsi="Times New Roman" w:cs="Times New Roman"/>
          <w:sz w:val="26"/>
          <w:szCs w:val="26"/>
        </w:rPr>
        <w:t xml:space="preserve"> of the Public Utility Code.  </w:t>
      </w:r>
    </w:p>
    <w:p w:rsidR="000A5663" w:rsidRPr="000A5663" w:rsidRDefault="000A5663" w:rsidP="002537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1FBB" w:rsidRDefault="00E91FBB" w:rsidP="002537D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0A5663">
        <w:rPr>
          <w:rFonts w:ascii="Times New Roman" w:hAnsi="Times New Roman" w:cs="Times New Roman"/>
          <w:sz w:val="26"/>
          <w:szCs w:val="26"/>
        </w:rPr>
        <w:t xml:space="preserve">PGW’s DSIC Petition </w:t>
      </w:r>
      <w:r w:rsidR="00E60A70" w:rsidRPr="000A5663">
        <w:rPr>
          <w:rFonts w:ascii="Times New Roman" w:hAnsi="Times New Roman" w:cs="Times New Roman"/>
          <w:sz w:val="26"/>
          <w:szCs w:val="26"/>
        </w:rPr>
        <w:t xml:space="preserve">and </w:t>
      </w:r>
      <w:r w:rsidRPr="000A5663">
        <w:rPr>
          <w:rFonts w:ascii="Times New Roman" w:hAnsi="Times New Roman" w:cs="Times New Roman"/>
          <w:sz w:val="26"/>
          <w:szCs w:val="26"/>
        </w:rPr>
        <w:t>proposed tariff w</w:t>
      </w:r>
      <w:r w:rsidR="00E60A70" w:rsidRPr="000A5663">
        <w:rPr>
          <w:rFonts w:ascii="Times New Roman" w:hAnsi="Times New Roman" w:cs="Times New Roman"/>
          <w:sz w:val="26"/>
          <w:szCs w:val="26"/>
        </w:rPr>
        <w:t>ere</w:t>
      </w:r>
      <w:r w:rsidRPr="000A5663">
        <w:rPr>
          <w:rFonts w:ascii="Times New Roman" w:hAnsi="Times New Roman" w:cs="Times New Roman"/>
          <w:sz w:val="26"/>
          <w:szCs w:val="26"/>
        </w:rPr>
        <w:t xml:space="preserve"> filed January 18, 2013.  Comments, answers, </w:t>
      </w:r>
      <w:r w:rsidR="00DD016A" w:rsidRPr="000A5663">
        <w:rPr>
          <w:rFonts w:ascii="Times New Roman" w:hAnsi="Times New Roman" w:cs="Times New Roman"/>
          <w:sz w:val="26"/>
          <w:szCs w:val="26"/>
        </w:rPr>
        <w:t xml:space="preserve">a </w:t>
      </w:r>
      <w:r w:rsidRPr="000A5663">
        <w:rPr>
          <w:rFonts w:ascii="Times New Roman" w:hAnsi="Times New Roman" w:cs="Times New Roman"/>
          <w:sz w:val="26"/>
          <w:szCs w:val="26"/>
        </w:rPr>
        <w:t>petition for intervention</w:t>
      </w:r>
      <w:r w:rsidR="00DD016A" w:rsidRPr="000A5663">
        <w:rPr>
          <w:rFonts w:ascii="Times New Roman" w:hAnsi="Times New Roman" w:cs="Times New Roman"/>
          <w:sz w:val="26"/>
          <w:szCs w:val="26"/>
        </w:rPr>
        <w:t>, and a complaint</w:t>
      </w:r>
      <w:r w:rsidRPr="000A5663">
        <w:rPr>
          <w:rFonts w:ascii="Times New Roman" w:hAnsi="Times New Roman" w:cs="Times New Roman"/>
          <w:sz w:val="26"/>
          <w:szCs w:val="26"/>
        </w:rPr>
        <w:t xml:space="preserve"> were filed.  A tentative order was entered April 4, 2013, to which PGW responded with a revised proposed tariff.  </w:t>
      </w:r>
      <w:r w:rsidR="00DD016A" w:rsidRPr="000A5663">
        <w:rPr>
          <w:rFonts w:ascii="Times New Roman" w:hAnsi="Times New Roman" w:cs="Times New Roman"/>
          <w:sz w:val="26"/>
          <w:szCs w:val="26"/>
        </w:rPr>
        <w:t>The o</w:t>
      </w:r>
      <w:r w:rsidRPr="000A5663">
        <w:rPr>
          <w:rFonts w:ascii="Times New Roman" w:hAnsi="Times New Roman" w:cs="Times New Roman"/>
          <w:sz w:val="26"/>
          <w:szCs w:val="26"/>
        </w:rPr>
        <w:t xml:space="preserve">ther parties filed further comments.  </w:t>
      </w:r>
    </w:p>
    <w:p w:rsidR="00107002" w:rsidRPr="000A5663" w:rsidRDefault="00107002" w:rsidP="002537D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C5495C" w:rsidRDefault="00E91FBB" w:rsidP="002537DB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0A5663">
        <w:rPr>
          <w:rFonts w:ascii="Times New Roman" w:hAnsi="Times New Roman" w:cs="Times New Roman"/>
          <w:sz w:val="26"/>
          <w:szCs w:val="26"/>
        </w:rPr>
        <w:t xml:space="preserve">In its May 9, 2013 Order, the Commission concluded that PGW, in its revised proposed tariff </w:t>
      </w:r>
      <w:r w:rsidR="00EC4E1F">
        <w:rPr>
          <w:rFonts w:ascii="Times New Roman" w:hAnsi="Times New Roman" w:cs="Times New Roman"/>
          <w:sz w:val="26"/>
          <w:szCs w:val="26"/>
        </w:rPr>
        <w:t xml:space="preserve">filing, </w:t>
      </w:r>
      <w:r w:rsidRPr="000A5663">
        <w:rPr>
          <w:rFonts w:ascii="Times New Roman" w:hAnsi="Times New Roman" w:cs="Times New Roman"/>
          <w:sz w:val="26"/>
          <w:szCs w:val="26"/>
        </w:rPr>
        <w:t>ha</w:t>
      </w:r>
      <w:r w:rsidR="00F431DF" w:rsidRPr="000A5663">
        <w:rPr>
          <w:rFonts w:ascii="Times New Roman" w:hAnsi="Times New Roman" w:cs="Times New Roman"/>
          <w:sz w:val="26"/>
          <w:szCs w:val="26"/>
        </w:rPr>
        <w:t>d</w:t>
      </w:r>
      <w:r w:rsidRPr="000A5663">
        <w:rPr>
          <w:rFonts w:ascii="Times New Roman" w:hAnsi="Times New Roman" w:cs="Times New Roman"/>
          <w:sz w:val="26"/>
          <w:szCs w:val="26"/>
        </w:rPr>
        <w:t xml:space="preserve"> addressed the issues identified in </w:t>
      </w:r>
      <w:r w:rsidR="007A0EED" w:rsidRPr="000A5663">
        <w:rPr>
          <w:rFonts w:ascii="Times New Roman" w:hAnsi="Times New Roman" w:cs="Times New Roman"/>
          <w:sz w:val="26"/>
          <w:szCs w:val="26"/>
        </w:rPr>
        <w:t xml:space="preserve">the </w:t>
      </w:r>
      <w:r w:rsidR="00E60A70" w:rsidRPr="000A5663">
        <w:rPr>
          <w:rFonts w:ascii="Times New Roman" w:hAnsi="Times New Roman" w:cs="Times New Roman"/>
          <w:sz w:val="26"/>
          <w:szCs w:val="26"/>
        </w:rPr>
        <w:t>tentative o</w:t>
      </w:r>
      <w:r w:rsidRPr="000A5663">
        <w:rPr>
          <w:rFonts w:ascii="Times New Roman" w:hAnsi="Times New Roman" w:cs="Times New Roman"/>
          <w:sz w:val="26"/>
          <w:szCs w:val="26"/>
        </w:rPr>
        <w:t xml:space="preserve">rder </w:t>
      </w:r>
      <w:r w:rsidR="00C5495C">
        <w:rPr>
          <w:rFonts w:ascii="Times New Roman" w:hAnsi="Times New Roman" w:cs="Times New Roman"/>
          <w:sz w:val="26"/>
          <w:szCs w:val="26"/>
        </w:rPr>
        <w:t xml:space="preserve">but </w:t>
      </w:r>
      <w:r w:rsidR="00776A9E">
        <w:rPr>
          <w:rFonts w:ascii="Times New Roman" w:hAnsi="Times New Roman" w:cs="Times New Roman"/>
          <w:sz w:val="26"/>
          <w:szCs w:val="26"/>
        </w:rPr>
        <w:t>require</w:t>
      </w:r>
      <w:r w:rsidR="00C5495C">
        <w:rPr>
          <w:rFonts w:ascii="Times New Roman" w:hAnsi="Times New Roman" w:cs="Times New Roman"/>
          <w:sz w:val="26"/>
          <w:szCs w:val="26"/>
        </w:rPr>
        <w:t>d</w:t>
      </w:r>
      <w:r w:rsidR="00776A9E">
        <w:rPr>
          <w:rFonts w:ascii="Times New Roman" w:hAnsi="Times New Roman" w:cs="Times New Roman"/>
          <w:sz w:val="26"/>
          <w:szCs w:val="26"/>
        </w:rPr>
        <w:t xml:space="preserve"> PGW </w:t>
      </w:r>
      <w:r w:rsidR="00C5495C">
        <w:rPr>
          <w:rFonts w:ascii="Times New Roman" w:hAnsi="Times New Roman" w:cs="Times New Roman"/>
          <w:sz w:val="26"/>
          <w:szCs w:val="26"/>
        </w:rPr>
        <w:t xml:space="preserve">to </w:t>
      </w:r>
      <w:r w:rsidRPr="000A5663">
        <w:rPr>
          <w:rFonts w:ascii="Times New Roman" w:hAnsi="Times New Roman" w:cs="Times New Roman"/>
          <w:sz w:val="26"/>
          <w:szCs w:val="26"/>
        </w:rPr>
        <w:t xml:space="preserve">provide the amount actually spent on eligible property, the resulting DSIC rate, and the calculations with supporting documentation.  PGW </w:t>
      </w:r>
      <w:r w:rsidR="00F431DF" w:rsidRPr="000A5663">
        <w:rPr>
          <w:rFonts w:ascii="Times New Roman" w:hAnsi="Times New Roman" w:cs="Times New Roman"/>
          <w:sz w:val="26"/>
          <w:szCs w:val="26"/>
        </w:rPr>
        <w:t xml:space="preserve">was directed to file and serve a </w:t>
      </w:r>
      <w:r w:rsidRPr="000A5663">
        <w:rPr>
          <w:rFonts w:ascii="Times New Roman" w:hAnsi="Times New Roman" w:cs="Times New Roman"/>
          <w:sz w:val="26"/>
          <w:szCs w:val="26"/>
        </w:rPr>
        <w:t xml:space="preserve">DSIC </w:t>
      </w:r>
      <w:r w:rsidR="0097735B">
        <w:rPr>
          <w:rFonts w:ascii="Times New Roman" w:hAnsi="Times New Roman" w:cs="Times New Roman"/>
          <w:sz w:val="26"/>
          <w:szCs w:val="26"/>
        </w:rPr>
        <w:t>c</w:t>
      </w:r>
      <w:r w:rsidRPr="000A5663">
        <w:rPr>
          <w:rFonts w:ascii="Times New Roman" w:hAnsi="Times New Roman" w:cs="Times New Roman"/>
          <w:sz w:val="26"/>
          <w:szCs w:val="26"/>
        </w:rPr>
        <w:t xml:space="preserve">ompliance </w:t>
      </w:r>
      <w:r w:rsidR="0097735B">
        <w:rPr>
          <w:rFonts w:ascii="Times New Roman" w:hAnsi="Times New Roman" w:cs="Times New Roman"/>
          <w:sz w:val="26"/>
          <w:szCs w:val="26"/>
        </w:rPr>
        <w:t>t</w:t>
      </w:r>
      <w:r w:rsidRPr="000A5663">
        <w:rPr>
          <w:rFonts w:ascii="Times New Roman" w:hAnsi="Times New Roman" w:cs="Times New Roman"/>
          <w:sz w:val="26"/>
          <w:szCs w:val="26"/>
        </w:rPr>
        <w:t xml:space="preserve">ariff </w:t>
      </w:r>
      <w:r w:rsidR="00796A14">
        <w:rPr>
          <w:rFonts w:ascii="Times New Roman" w:hAnsi="Times New Roman" w:cs="Times New Roman"/>
          <w:sz w:val="26"/>
          <w:szCs w:val="26"/>
        </w:rPr>
        <w:t xml:space="preserve">and the requisite information </w:t>
      </w:r>
      <w:r w:rsidR="00F431DF" w:rsidRPr="000A5663">
        <w:rPr>
          <w:rFonts w:ascii="Times New Roman" w:hAnsi="Times New Roman" w:cs="Times New Roman"/>
          <w:sz w:val="26"/>
          <w:szCs w:val="26"/>
        </w:rPr>
        <w:t xml:space="preserve">by May </w:t>
      </w:r>
      <w:r w:rsidR="007A0EED" w:rsidRPr="000A5663">
        <w:rPr>
          <w:rFonts w:ascii="Times New Roman" w:hAnsi="Times New Roman" w:cs="Times New Roman"/>
          <w:sz w:val="26"/>
          <w:szCs w:val="26"/>
        </w:rPr>
        <w:t>20</w:t>
      </w:r>
      <w:r w:rsidR="00F431DF" w:rsidRPr="000A5663">
        <w:rPr>
          <w:rFonts w:ascii="Times New Roman" w:hAnsi="Times New Roman" w:cs="Times New Roman"/>
          <w:sz w:val="26"/>
          <w:szCs w:val="26"/>
        </w:rPr>
        <w:t>, 2013</w:t>
      </w:r>
      <w:r w:rsidRPr="000A5663">
        <w:rPr>
          <w:rFonts w:ascii="Times New Roman" w:hAnsi="Times New Roman" w:cs="Times New Roman"/>
          <w:sz w:val="26"/>
          <w:szCs w:val="26"/>
        </w:rPr>
        <w:t xml:space="preserve">.  </w:t>
      </w:r>
      <w:r w:rsidR="00C5495C">
        <w:rPr>
          <w:rFonts w:ascii="Times New Roman" w:hAnsi="Times New Roman" w:cs="Times New Roman"/>
          <w:sz w:val="26"/>
          <w:szCs w:val="26"/>
        </w:rPr>
        <w:t>The order provided that</w:t>
      </w:r>
      <w:r w:rsidR="00C5495C" w:rsidRPr="00A141E6">
        <w:rPr>
          <w:rFonts w:ascii="Times New Roman" w:hAnsi="Times New Roman" w:cs="Times New Roman"/>
          <w:sz w:val="26"/>
          <w:szCs w:val="26"/>
        </w:rPr>
        <w:t xml:space="preserve">, if appropriate, the </w:t>
      </w:r>
      <w:r w:rsidR="00C5495C">
        <w:rPr>
          <w:rFonts w:ascii="Times New Roman" w:hAnsi="Times New Roman" w:cs="Times New Roman"/>
          <w:sz w:val="26"/>
          <w:szCs w:val="26"/>
        </w:rPr>
        <w:t xml:space="preserve">DSIC compliance </w:t>
      </w:r>
      <w:r w:rsidR="00C5495C" w:rsidRPr="00A141E6">
        <w:rPr>
          <w:rFonts w:ascii="Times New Roman" w:hAnsi="Times New Roman" w:cs="Times New Roman"/>
          <w:sz w:val="26"/>
          <w:szCs w:val="26"/>
        </w:rPr>
        <w:t xml:space="preserve">tariff </w:t>
      </w:r>
      <w:r w:rsidR="00C5495C">
        <w:rPr>
          <w:rFonts w:ascii="Times New Roman" w:hAnsi="Times New Roman" w:cs="Times New Roman"/>
          <w:sz w:val="26"/>
          <w:szCs w:val="26"/>
        </w:rPr>
        <w:t xml:space="preserve">would </w:t>
      </w:r>
      <w:r w:rsidR="00C5495C" w:rsidRPr="00A141E6">
        <w:rPr>
          <w:rFonts w:ascii="Times New Roman" w:hAnsi="Times New Roman" w:cs="Times New Roman"/>
          <w:sz w:val="26"/>
          <w:szCs w:val="26"/>
        </w:rPr>
        <w:t>become effective subject to investigation, refund, and recoupment</w:t>
      </w:r>
      <w:r w:rsidR="00C5495C">
        <w:rPr>
          <w:rFonts w:ascii="Times New Roman" w:hAnsi="Times New Roman" w:cs="Times New Roman"/>
          <w:sz w:val="26"/>
          <w:szCs w:val="26"/>
        </w:rPr>
        <w:t>,  T</w:t>
      </w:r>
      <w:r w:rsidR="00C5495C" w:rsidRPr="000A5663">
        <w:rPr>
          <w:rFonts w:ascii="Times New Roman" w:hAnsi="Times New Roman" w:cs="Times New Roman"/>
          <w:sz w:val="26"/>
          <w:szCs w:val="26"/>
        </w:rPr>
        <w:t xml:space="preserve">he </w:t>
      </w:r>
      <w:r w:rsidR="00C5495C">
        <w:rPr>
          <w:rFonts w:ascii="Times New Roman" w:hAnsi="Times New Roman" w:cs="Times New Roman"/>
          <w:sz w:val="26"/>
          <w:szCs w:val="26"/>
        </w:rPr>
        <w:t xml:space="preserve">order also directed the </w:t>
      </w:r>
      <w:r w:rsidR="00C5495C" w:rsidRPr="000A5663">
        <w:rPr>
          <w:rFonts w:ascii="Times New Roman" w:hAnsi="Times New Roman" w:cs="Times New Roman"/>
          <w:sz w:val="26"/>
          <w:szCs w:val="26"/>
        </w:rPr>
        <w:t xml:space="preserve">parties to notify </w:t>
      </w:r>
      <w:r w:rsidR="00C5495C">
        <w:rPr>
          <w:rFonts w:ascii="Times New Roman" w:hAnsi="Times New Roman" w:cs="Times New Roman"/>
          <w:sz w:val="26"/>
          <w:szCs w:val="26"/>
        </w:rPr>
        <w:t xml:space="preserve">the </w:t>
      </w:r>
      <w:r w:rsidR="00C5495C" w:rsidRPr="000A5663">
        <w:rPr>
          <w:rFonts w:ascii="Times New Roman" w:hAnsi="Times New Roman" w:cs="Times New Roman"/>
          <w:sz w:val="26"/>
          <w:szCs w:val="26"/>
        </w:rPr>
        <w:t xml:space="preserve">Office of Administrative Law Judge (OALJ) of any remaining contested or unresolved issues.  </w:t>
      </w:r>
    </w:p>
    <w:p w:rsidR="00C5495C" w:rsidRDefault="00C5495C" w:rsidP="002537DB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811EB8" w:rsidRDefault="007A0EED" w:rsidP="002537DB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  <w:sectPr w:rsidR="00811EB8" w:rsidSect="00811EB8">
          <w:footerReference w:type="default" r:id="rId8"/>
          <w:footerReference w:type="first" r:id="rId9"/>
          <w:pgSz w:w="12240" w:h="15840"/>
          <w:pgMar w:top="504" w:right="1440" w:bottom="1440" w:left="1440" w:header="720" w:footer="720" w:gutter="0"/>
          <w:cols w:space="720"/>
          <w:titlePg/>
          <w:docGrid w:linePitch="360"/>
        </w:sectPr>
      </w:pPr>
      <w:r w:rsidRPr="000A5663">
        <w:rPr>
          <w:rFonts w:ascii="Times New Roman" w:hAnsi="Times New Roman" w:cs="Times New Roman"/>
          <w:sz w:val="26"/>
          <w:szCs w:val="26"/>
        </w:rPr>
        <w:t xml:space="preserve">PGW timely filed and served the requisite information </w:t>
      </w:r>
      <w:r w:rsidR="009944B7">
        <w:rPr>
          <w:rFonts w:ascii="Times New Roman" w:hAnsi="Times New Roman" w:cs="Times New Roman"/>
          <w:sz w:val="26"/>
          <w:szCs w:val="26"/>
        </w:rPr>
        <w:t xml:space="preserve">and </w:t>
      </w:r>
      <w:r w:rsidR="0097735B">
        <w:rPr>
          <w:rFonts w:ascii="Times New Roman" w:hAnsi="Times New Roman" w:cs="Times New Roman"/>
          <w:sz w:val="26"/>
          <w:szCs w:val="26"/>
        </w:rPr>
        <w:t>it</w:t>
      </w:r>
      <w:r w:rsidR="009944B7">
        <w:rPr>
          <w:rFonts w:ascii="Times New Roman" w:hAnsi="Times New Roman" w:cs="Times New Roman"/>
          <w:sz w:val="26"/>
          <w:szCs w:val="26"/>
        </w:rPr>
        <w:t>s</w:t>
      </w:r>
      <w:r w:rsidR="0097735B">
        <w:rPr>
          <w:rFonts w:ascii="Times New Roman" w:hAnsi="Times New Roman" w:cs="Times New Roman"/>
          <w:sz w:val="26"/>
          <w:szCs w:val="26"/>
        </w:rPr>
        <w:t xml:space="preserve"> compliance tariff </w:t>
      </w:r>
      <w:r w:rsidR="00A5023B">
        <w:rPr>
          <w:rFonts w:ascii="Times New Roman" w:hAnsi="Times New Roman" w:cs="Times New Roman"/>
          <w:sz w:val="26"/>
          <w:szCs w:val="26"/>
        </w:rPr>
        <w:t xml:space="preserve">to be effective June 1, 2013, with an initial DSIC of 0.0%.  </w:t>
      </w:r>
      <w:r w:rsidR="00EB50A9">
        <w:rPr>
          <w:rFonts w:ascii="Times New Roman" w:hAnsi="Times New Roman" w:cs="Times New Roman"/>
          <w:sz w:val="26"/>
          <w:szCs w:val="26"/>
        </w:rPr>
        <w:t xml:space="preserve">Upon staff review, the tariff is in </w:t>
      </w:r>
    </w:p>
    <w:p w:rsidR="00A5023B" w:rsidRDefault="00EB50A9" w:rsidP="00811E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lastRenderedPageBreak/>
        <w:t>compliance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with the May 9, 2013 order and has been permitted to become effective as of June 1, 2013. </w:t>
      </w:r>
      <w:r w:rsidR="00811EB8">
        <w:rPr>
          <w:rFonts w:ascii="Times New Roman" w:hAnsi="Times New Roman" w:cs="Times New Roman"/>
          <w:sz w:val="26"/>
          <w:szCs w:val="26"/>
        </w:rPr>
        <w:t xml:space="preserve"> </w:t>
      </w:r>
      <w:r w:rsidR="00796A14" w:rsidRPr="000A5663">
        <w:rPr>
          <w:rFonts w:ascii="Times New Roman" w:hAnsi="Times New Roman" w:cs="Times New Roman"/>
          <w:sz w:val="26"/>
          <w:szCs w:val="26"/>
        </w:rPr>
        <w:t xml:space="preserve">Accordingly, </w:t>
      </w:r>
      <w:r w:rsidR="00796A14">
        <w:rPr>
          <w:rFonts w:ascii="Times New Roman" w:hAnsi="Times New Roman" w:cs="Times New Roman"/>
          <w:sz w:val="26"/>
          <w:szCs w:val="26"/>
        </w:rPr>
        <w:t>D</w:t>
      </w:r>
      <w:r w:rsidR="00796A14" w:rsidRPr="000A5663">
        <w:rPr>
          <w:rFonts w:ascii="Times New Roman" w:hAnsi="Times New Roman" w:cs="Times New Roman"/>
          <w:sz w:val="26"/>
          <w:szCs w:val="26"/>
        </w:rPr>
        <w:t xml:space="preserve">ocket </w:t>
      </w:r>
      <w:r w:rsidR="00796A14">
        <w:rPr>
          <w:rFonts w:ascii="Times New Roman" w:hAnsi="Times New Roman" w:cs="Times New Roman"/>
          <w:sz w:val="26"/>
          <w:szCs w:val="26"/>
        </w:rPr>
        <w:t xml:space="preserve">No. P-2012-2337737 </w:t>
      </w:r>
      <w:r w:rsidR="00796A14" w:rsidRPr="000A5663">
        <w:rPr>
          <w:rFonts w:ascii="Times New Roman" w:hAnsi="Times New Roman" w:cs="Times New Roman"/>
          <w:sz w:val="26"/>
          <w:szCs w:val="26"/>
        </w:rPr>
        <w:t xml:space="preserve">may be closed.  </w:t>
      </w:r>
    </w:p>
    <w:p w:rsidR="00796A14" w:rsidRDefault="00796A14" w:rsidP="002537DB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796A14" w:rsidRDefault="00796A14" w:rsidP="00796A14">
      <w:pPr>
        <w:keepLines/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0A5663">
        <w:rPr>
          <w:rFonts w:ascii="Times New Roman" w:hAnsi="Times New Roman" w:cs="Times New Roman"/>
          <w:sz w:val="26"/>
          <w:szCs w:val="26"/>
        </w:rPr>
        <w:t xml:space="preserve">On May 29, 2013, the Office of Consumer Advocate (OCA) and PGW </w:t>
      </w:r>
      <w:r w:rsidR="00A141E6">
        <w:rPr>
          <w:rFonts w:ascii="Times New Roman" w:hAnsi="Times New Roman" w:cs="Times New Roman"/>
          <w:sz w:val="26"/>
          <w:szCs w:val="26"/>
        </w:rPr>
        <w:t xml:space="preserve">timely </w:t>
      </w:r>
      <w:r w:rsidRPr="000A5663">
        <w:rPr>
          <w:rFonts w:ascii="Times New Roman" w:hAnsi="Times New Roman" w:cs="Times New Roman"/>
          <w:sz w:val="26"/>
          <w:szCs w:val="26"/>
        </w:rPr>
        <w:t xml:space="preserve">advised </w:t>
      </w:r>
      <w:r w:rsidR="00CD7564">
        <w:rPr>
          <w:rFonts w:ascii="Times New Roman" w:hAnsi="Times New Roman" w:cs="Times New Roman"/>
          <w:sz w:val="26"/>
          <w:szCs w:val="26"/>
        </w:rPr>
        <w:t xml:space="preserve">OALJ </w:t>
      </w:r>
      <w:r w:rsidRPr="000A5663">
        <w:rPr>
          <w:rFonts w:ascii="Times New Roman" w:hAnsi="Times New Roman" w:cs="Times New Roman"/>
          <w:sz w:val="26"/>
          <w:szCs w:val="26"/>
        </w:rPr>
        <w:t xml:space="preserve">that there are no remaining contested or unresolved issues.  </w:t>
      </w:r>
      <w:proofErr w:type="gramStart"/>
      <w:r w:rsidRPr="000A5663">
        <w:rPr>
          <w:rFonts w:ascii="Times New Roman" w:hAnsi="Times New Roman" w:cs="Times New Roman"/>
          <w:sz w:val="26"/>
          <w:szCs w:val="26"/>
        </w:rPr>
        <w:t>Accordingly, the complaint at Docket No.</w:t>
      </w:r>
      <w:proofErr w:type="gramEnd"/>
      <w:r w:rsidRPr="000A5663">
        <w:rPr>
          <w:rFonts w:ascii="Times New Roman" w:hAnsi="Times New Roman" w:cs="Times New Roman"/>
          <w:sz w:val="26"/>
          <w:szCs w:val="26"/>
        </w:rPr>
        <w:t xml:space="preserve"> C-2013-2346939 is dismissed, and that docket </w:t>
      </w:r>
      <w:r>
        <w:rPr>
          <w:rFonts w:ascii="Times New Roman" w:hAnsi="Times New Roman" w:cs="Times New Roman"/>
          <w:sz w:val="26"/>
          <w:szCs w:val="26"/>
        </w:rPr>
        <w:t xml:space="preserve">may be </w:t>
      </w:r>
      <w:r w:rsidRPr="000A5663">
        <w:rPr>
          <w:rFonts w:ascii="Times New Roman" w:hAnsi="Times New Roman" w:cs="Times New Roman"/>
          <w:sz w:val="26"/>
          <w:szCs w:val="26"/>
        </w:rPr>
        <w:t>closed.</w:t>
      </w:r>
    </w:p>
    <w:p w:rsidR="00796A14" w:rsidRDefault="00796A14" w:rsidP="002537DB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F431DF" w:rsidRDefault="00A5023B" w:rsidP="002537DB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PGW anticipates that it will update its</w:t>
      </w:r>
      <w:r w:rsidRPr="00A5023B">
        <w:rPr>
          <w:rFonts w:ascii="Times New Roman" w:hAnsi="Times New Roman" w:cs="Times New Roman"/>
          <w:sz w:val="26"/>
          <w:szCs w:val="26"/>
        </w:rPr>
        <w:t xml:space="preserve"> DSIC </w:t>
      </w:r>
      <w:r>
        <w:rPr>
          <w:rFonts w:ascii="Times New Roman" w:hAnsi="Times New Roman" w:cs="Times New Roman"/>
          <w:sz w:val="26"/>
          <w:szCs w:val="26"/>
        </w:rPr>
        <w:t xml:space="preserve">effective </w:t>
      </w:r>
      <w:r w:rsidRPr="00A5023B">
        <w:rPr>
          <w:rFonts w:ascii="Times New Roman" w:hAnsi="Times New Roman" w:cs="Times New Roman"/>
          <w:sz w:val="26"/>
          <w:szCs w:val="26"/>
        </w:rPr>
        <w:t>July 1, 2013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5023B">
        <w:rPr>
          <w:rFonts w:ascii="Times New Roman" w:hAnsi="Times New Roman" w:cs="Times New Roman"/>
          <w:sz w:val="26"/>
          <w:szCs w:val="26"/>
        </w:rPr>
        <w:t xml:space="preserve"> and on a quarterly basis thereafter.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FB0C5C">
        <w:rPr>
          <w:rFonts w:ascii="Times New Roman" w:hAnsi="Times New Roman" w:cs="Times New Roman"/>
          <w:sz w:val="26"/>
          <w:szCs w:val="26"/>
        </w:rPr>
        <w:t xml:space="preserve">PGW will need to </w:t>
      </w:r>
      <w:r w:rsidR="0097735B" w:rsidRPr="000A5663">
        <w:rPr>
          <w:rFonts w:ascii="Times New Roman" w:hAnsi="Times New Roman" w:cs="Times New Roman"/>
          <w:sz w:val="26"/>
          <w:szCs w:val="26"/>
        </w:rPr>
        <w:t>provide the amount actually spent on eligible property, the resulting DSIC rate, and the calculations with supporting documentation</w:t>
      </w:r>
      <w:r w:rsidR="0097735B">
        <w:rPr>
          <w:rFonts w:ascii="Times New Roman" w:hAnsi="Times New Roman" w:cs="Times New Roman"/>
          <w:sz w:val="26"/>
          <w:szCs w:val="26"/>
        </w:rPr>
        <w:t xml:space="preserve"> </w:t>
      </w:r>
      <w:r w:rsidR="00FB2571">
        <w:rPr>
          <w:rFonts w:ascii="Times New Roman" w:hAnsi="Times New Roman" w:cs="Times New Roman"/>
          <w:sz w:val="26"/>
          <w:szCs w:val="26"/>
        </w:rPr>
        <w:t xml:space="preserve">with </w:t>
      </w:r>
      <w:r>
        <w:rPr>
          <w:rFonts w:ascii="Times New Roman" w:hAnsi="Times New Roman" w:cs="Times New Roman"/>
          <w:sz w:val="26"/>
          <w:szCs w:val="26"/>
        </w:rPr>
        <w:t xml:space="preserve">revised tariff pages </w:t>
      </w:r>
      <w:r w:rsidR="00FB2571">
        <w:rPr>
          <w:rFonts w:ascii="Times New Roman" w:hAnsi="Times New Roman" w:cs="Times New Roman"/>
          <w:sz w:val="26"/>
          <w:szCs w:val="26"/>
        </w:rPr>
        <w:t xml:space="preserve">by </w:t>
      </w:r>
      <w:r w:rsidR="0097735B">
        <w:rPr>
          <w:rFonts w:ascii="Times New Roman" w:hAnsi="Times New Roman" w:cs="Times New Roman"/>
          <w:sz w:val="26"/>
          <w:szCs w:val="26"/>
        </w:rPr>
        <w:t xml:space="preserve">June 20, 2013, </w:t>
      </w:r>
      <w:r w:rsidR="00FB2571">
        <w:rPr>
          <w:rFonts w:ascii="Times New Roman" w:hAnsi="Times New Roman" w:cs="Times New Roman"/>
          <w:sz w:val="26"/>
          <w:szCs w:val="26"/>
        </w:rPr>
        <w:t xml:space="preserve">for the DSIC change proposed for July 1, 2013, </w:t>
      </w:r>
      <w:r w:rsidR="0097735B">
        <w:rPr>
          <w:rFonts w:ascii="Times New Roman" w:hAnsi="Times New Roman" w:cs="Times New Roman"/>
          <w:sz w:val="26"/>
          <w:szCs w:val="26"/>
        </w:rPr>
        <w:t xml:space="preserve">and </w:t>
      </w:r>
      <w:r>
        <w:rPr>
          <w:rFonts w:ascii="Times New Roman" w:hAnsi="Times New Roman" w:cs="Times New Roman"/>
          <w:sz w:val="26"/>
          <w:szCs w:val="26"/>
        </w:rPr>
        <w:t xml:space="preserve">at least 10 days prior to </w:t>
      </w:r>
      <w:r w:rsidR="0097735B">
        <w:rPr>
          <w:rFonts w:ascii="Times New Roman" w:hAnsi="Times New Roman" w:cs="Times New Roman"/>
          <w:sz w:val="26"/>
          <w:szCs w:val="26"/>
        </w:rPr>
        <w:t xml:space="preserve">future </w:t>
      </w:r>
      <w:r>
        <w:rPr>
          <w:rFonts w:ascii="Times New Roman" w:hAnsi="Times New Roman" w:cs="Times New Roman"/>
          <w:sz w:val="26"/>
          <w:szCs w:val="26"/>
        </w:rPr>
        <w:t>proposed update</w:t>
      </w:r>
      <w:r w:rsidR="00F431DF" w:rsidRPr="000A566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effective dates.</w:t>
      </w:r>
      <w:r w:rsidR="00CD7564">
        <w:rPr>
          <w:rFonts w:ascii="Times New Roman" w:hAnsi="Times New Roman" w:cs="Times New Roman"/>
          <w:sz w:val="26"/>
          <w:szCs w:val="26"/>
        </w:rPr>
        <w:t xml:space="preserve">  DSIC revenues are subject to Section 1307e) reconciliations.</w:t>
      </w:r>
    </w:p>
    <w:p w:rsidR="002537DB" w:rsidRDefault="002537DB" w:rsidP="002537DB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811EB8" w:rsidRPr="000A5663" w:rsidRDefault="00811EB8" w:rsidP="002537DB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497D5D" w:rsidRDefault="00166CE8" w:rsidP="00282EB4">
      <w:pPr>
        <w:ind w:firstLine="720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018D8756" wp14:editId="2D8D91E9">
            <wp:simplePos x="0" y="0"/>
            <wp:positionH relativeFrom="column">
              <wp:posOffset>2298700</wp:posOffset>
            </wp:positionH>
            <wp:positionV relativeFrom="paragraph">
              <wp:posOffset>-2540</wp:posOffset>
            </wp:positionV>
            <wp:extent cx="2200275" cy="838200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97D5D">
        <w:rPr>
          <w:rFonts w:ascii="Times New Roman" w:hAnsi="Times New Roman" w:cs="Times New Roman"/>
          <w:sz w:val="26"/>
          <w:szCs w:val="26"/>
        </w:rPr>
        <w:tab/>
      </w:r>
      <w:r w:rsidR="00497D5D">
        <w:rPr>
          <w:rFonts w:ascii="Times New Roman" w:hAnsi="Times New Roman" w:cs="Times New Roman"/>
          <w:sz w:val="26"/>
          <w:szCs w:val="26"/>
        </w:rPr>
        <w:tab/>
      </w:r>
      <w:r w:rsidR="00497D5D">
        <w:rPr>
          <w:rFonts w:ascii="Times New Roman" w:hAnsi="Times New Roman" w:cs="Times New Roman"/>
          <w:sz w:val="26"/>
          <w:szCs w:val="26"/>
        </w:rPr>
        <w:tab/>
      </w:r>
      <w:r w:rsidR="00497D5D">
        <w:rPr>
          <w:rFonts w:ascii="Times New Roman" w:hAnsi="Times New Roman" w:cs="Times New Roman"/>
          <w:sz w:val="26"/>
          <w:szCs w:val="26"/>
        </w:rPr>
        <w:tab/>
      </w:r>
      <w:r w:rsidR="00497D5D">
        <w:rPr>
          <w:rFonts w:ascii="Times New Roman" w:hAnsi="Times New Roman" w:cs="Times New Roman"/>
          <w:sz w:val="26"/>
          <w:szCs w:val="26"/>
        </w:rPr>
        <w:tab/>
        <w:t>Sincerely,</w:t>
      </w:r>
    </w:p>
    <w:p w:rsidR="00497D5D" w:rsidRDefault="00497D5D" w:rsidP="00811EB8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166CE8" w:rsidRDefault="00166CE8" w:rsidP="00811EB8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166CE8" w:rsidRDefault="00166CE8" w:rsidP="00811EB8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497D5D" w:rsidRDefault="00497D5D" w:rsidP="00811EB8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Rosemary Chiavetta </w:t>
      </w:r>
    </w:p>
    <w:p w:rsidR="00811EB8" w:rsidRDefault="00811EB8" w:rsidP="00811EB8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Secretary</w:t>
      </w:r>
    </w:p>
    <w:p w:rsidR="00497D5D" w:rsidRDefault="00497D5D" w:rsidP="00497D5D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811EB8" w:rsidRDefault="00811EB8" w:rsidP="002537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1EB8" w:rsidRDefault="00811EB8" w:rsidP="002537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97D5D" w:rsidRDefault="00497D5D" w:rsidP="002537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cc:</w:t>
      </w:r>
      <w:r>
        <w:rPr>
          <w:rFonts w:ascii="Times New Roman" w:hAnsi="Times New Roman" w:cs="Times New Roman"/>
          <w:sz w:val="26"/>
          <w:szCs w:val="26"/>
        </w:rPr>
        <w:tab/>
        <w:t>Paul Diskin</w:t>
      </w:r>
      <w:r w:rsidR="002537DB">
        <w:rPr>
          <w:rFonts w:ascii="Times New Roman" w:hAnsi="Times New Roman" w:cs="Times New Roman"/>
          <w:sz w:val="26"/>
          <w:szCs w:val="26"/>
        </w:rPr>
        <w:t>, TUS</w:t>
      </w:r>
    </w:p>
    <w:p w:rsidR="00497D5D" w:rsidRDefault="00497D5D" w:rsidP="002537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Erin Laudenslager</w:t>
      </w:r>
      <w:r w:rsidR="002537DB">
        <w:rPr>
          <w:rFonts w:ascii="Times New Roman" w:hAnsi="Times New Roman" w:cs="Times New Roman"/>
          <w:sz w:val="26"/>
          <w:szCs w:val="26"/>
        </w:rPr>
        <w:t>, TUS</w:t>
      </w:r>
    </w:p>
    <w:p w:rsidR="00497D5D" w:rsidRDefault="00497D5D" w:rsidP="002537DB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Dave Huff</w:t>
      </w:r>
      <w:r w:rsidR="002537DB">
        <w:rPr>
          <w:rFonts w:ascii="Times New Roman" w:hAnsi="Times New Roman" w:cs="Times New Roman"/>
          <w:sz w:val="26"/>
          <w:szCs w:val="26"/>
        </w:rPr>
        <w:t>, TUS</w:t>
      </w:r>
    </w:p>
    <w:p w:rsidR="00497D5D" w:rsidRDefault="00497D5D" w:rsidP="002537DB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Marissa Boyle</w:t>
      </w:r>
      <w:r w:rsidR="002537DB">
        <w:rPr>
          <w:rFonts w:ascii="Times New Roman" w:hAnsi="Times New Roman" w:cs="Times New Roman"/>
          <w:sz w:val="26"/>
          <w:szCs w:val="26"/>
        </w:rPr>
        <w:t>, TUS</w:t>
      </w:r>
    </w:p>
    <w:p w:rsidR="00497D5D" w:rsidRDefault="00497D5D" w:rsidP="002537DB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Carl Lesney</w:t>
      </w:r>
      <w:r w:rsidR="002537DB">
        <w:rPr>
          <w:rFonts w:ascii="Times New Roman" w:hAnsi="Times New Roman" w:cs="Times New Roman"/>
          <w:sz w:val="26"/>
          <w:szCs w:val="26"/>
        </w:rPr>
        <w:t>, AUD</w:t>
      </w:r>
    </w:p>
    <w:p w:rsidR="00497D5D" w:rsidRDefault="00497D5D" w:rsidP="002537DB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Lori </w:t>
      </w:r>
      <w:r w:rsidR="002537DB">
        <w:rPr>
          <w:rFonts w:ascii="Times New Roman" w:hAnsi="Times New Roman" w:cs="Times New Roman"/>
          <w:sz w:val="26"/>
          <w:szCs w:val="26"/>
        </w:rPr>
        <w:t>Bu</w:t>
      </w:r>
      <w:r>
        <w:rPr>
          <w:rFonts w:ascii="Times New Roman" w:hAnsi="Times New Roman" w:cs="Times New Roman"/>
          <w:sz w:val="26"/>
          <w:szCs w:val="26"/>
        </w:rPr>
        <w:t>rger</w:t>
      </w:r>
      <w:r w:rsidR="002537DB">
        <w:rPr>
          <w:rFonts w:ascii="Times New Roman" w:hAnsi="Times New Roman" w:cs="Times New Roman"/>
          <w:sz w:val="26"/>
          <w:szCs w:val="26"/>
        </w:rPr>
        <w:t>, AUD</w:t>
      </w:r>
    </w:p>
    <w:p w:rsidR="00497D5D" w:rsidRDefault="00497D5D" w:rsidP="002537DB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Bohdan R. Pankiw</w:t>
      </w:r>
      <w:r w:rsidR="002537DB">
        <w:rPr>
          <w:rFonts w:ascii="Times New Roman" w:hAnsi="Times New Roman" w:cs="Times New Roman"/>
          <w:sz w:val="26"/>
          <w:szCs w:val="26"/>
        </w:rPr>
        <w:t>, LAW</w:t>
      </w:r>
    </w:p>
    <w:p w:rsidR="00497D5D" w:rsidRDefault="00497D5D" w:rsidP="002537DB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Robert Young</w:t>
      </w:r>
      <w:r w:rsidR="002537DB">
        <w:rPr>
          <w:rFonts w:ascii="Times New Roman" w:hAnsi="Times New Roman" w:cs="Times New Roman"/>
          <w:sz w:val="26"/>
          <w:szCs w:val="26"/>
        </w:rPr>
        <w:t>, LAW</w:t>
      </w:r>
    </w:p>
    <w:p w:rsidR="00497D5D" w:rsidRDefault="00497D5D" w:rsidP="002537DB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Louise Fink Smith</w:t>
      </w:r>
      <w:r w:rsidR="002537DB">
        <w:rPr>
          <w:rFonts w:ascii="Times New Roman" w:hAnsi="Times New Roman" w:cs="Times New Roman"/>
          <w:sz w:val="26"/>
          <w:szCs w:val="26"/>
        </w:rPr>
        <w:t>, LAW</w:t>
      </w:r>
    </w:p>
    <w:p w:rsidR="00A141E6" w:rsidRPr="000A5663" w:rsidRDefault="00A141E6" w:rsidP="002537DB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Charles Rainey, OALJ</w:t>
      </w:r>
    </w:p>
    <w:sectPr w:rsidR="00A141E6" w:rsidRPr="000A5663" w:rsidSect="00811EB8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5D9" w:rsidRDefault="00B445D9" w:rsidP="00107002">
      <w:pPr>
        <w:spacing w:after="0" w:line="240" w:lineRule="auto"/>
      </w:pPr>
      <w:r>
        <w:separator/>
      </w:r>
    </w:p>
  </w:endnote>
  <w:endnote w:type="continuationSeparator" w:id="0">
    <w:p w:rsidR="00B445D9" w:rsidRDefault="00B445D9" w:rsidP="00107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7DB" w:rsidRPr="002537DB" w:rsidRDefault="002537DB" w:rsidP="002537DB">
    <w:pPr>
      <w:pStyle w:val="Footer"/>
      <w:jc w:val="center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7DB" w:rsidRPr="002537DB" w:rsidRDefault="002537DB" w:rsidP="002537DB">
    <w:pPr>
      <w:pStyle w:val="Footer"/>
      <w:jc w:val="center"/>
      <w:rPr>
        <w:rFonts w:ascii="Times New Roman" w:hAnsi="Times New Roman" w:cs="Times New Roman"/>
      </w:rPr>
    </w:pPr>
    <w:r w:rsidRPr="002537DB">
      <w:rPr>
        <w:rFonts w:ascii="Times New Roman" w:hAnsi="Times New Roman" w:cs="Times New Roman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5D9" w:rsidRDefault="00B445D9" w:rsidP="00107002">
      <w:pPr>
        <w:spacing w:after="0" w:line="240" w:lineRule="auto"/>
      </w:pPr>
      <w:r>
        <w:separator/>
      </w:r>
    </w:p>
  </w:footnote>
  <w:footnote w:type="continuationSeparator" w:id="0">
    <w:p w:rsidR="00B445D9" w:rsidRDefault="00B445D9" w:rsidP="00107002">
      <w:pPr>
        <w:spacing w:after="0" w:line="240" w:lineRule="auto"/>
      </w:pPr>
      <w:r>
        <w:continuationSeparator/>
      </w:r>
    </w:p>
  </w:footnote>
  <w:footnote w:id="1">
    <w:p w:rsidR="00A5023B" w:rsidRPr="00107002" w:rsidRDefault="00A5023B" w:rsidP="00A5023B">
      <w:pPr>
        <w:pStyle w:val="FootnoteText"/>
        <w:rPr>
          <w:sz w:val="22"/>
          <w:szCs w:val="22"/>
        </w:rPr>
      </w:pPr>
      <w:r w:rsidRPr="00107002">
        <w:rPr>
          <w:rStyle w:val="FootnoteReference"/>
          <w:sz w:val="22"/>
          <w:szCs w:val="22"/>
        </w:rPr>
        <w:footnoteRef/>
      </w:r>
      <w:r w:rsidRPr="00107002">
        <w:rPr>
          <w:sz w:val="22"/>
          <w:szCs w:val="22"/>
        </w:rPr>
        <w:t xml:space="preserve">  </w:t>
      </w:r>
      <w:r w:rsidRPr="00107002">
        <w:rPr>
          <w:rFonts w:ascii="Times New Roman" w:hAnsi="Times New Roman" w:cs="Times New Roman"/>
          <w:sz w:val="22"/>
          <w:szCs w:val="22"/>
        </w:rPr>
        <w:t xml:space="preserve">A DSIC facilitates accelerated replacement of aging infrastructure by utilities such as PGW.  DSIC revenues are reconcilable pursuant to Section 1307(e) of the Public Utility Code, 66 Pa. C.S. </w:t>
      </w:r>
      <w:r w:rsidRPr="00107002">
        <w:rPr>
          <w:rFonts w:ascii="Times New Roman" w:hAnsi="Times New Roman" w:cs="Times New Roman"/>
          <w:iCs/>
          <w:sz w:val="22"/>
          <w:szCs w:val="22"/>
        </w:rPr>
        <w:t>§ </w:t>
      </w:r>
      <w:r w:rsidRPr="00107002">
        <w:rPr>
          <w:rFonts w:ascii="Times New Roman" w:hAnsi="Times New Roman" w:cs="Times New Roman"/>
          <w:sz w:val="22"/>
          <w:szCs w:val="22"/>
        </w:rPr>
        <w:t>1307(e).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BB"/>
    <w:rsid w:val="00015BAB"/>
    <w:rsid w:val="000347AE"/>
    <w:rsid w:val="000359B2"/>
    <w:rsid w:val="000412B6"/>
    <w:rsid w:val="000413E8"/>
    <w:rsid w:val="00052B42"/>
    <w:rsid w:val="00060B5D"/>
    <w:rsid w:val="0008663F"/>
    <w:rsid w:val="00093555"/>
    <w:rsid w:val="000968A0"/>
    <w:rsid w:val="000A5663"/>
    <w:rsid w:val="000A7332"/>
    <w:rsid w:val="000B17EE"/>
    <w:rsid w:val="000B17F6"/>
    <w:rsid w:val="000B4D73"/>
    <w:rsid w:val="000C1922"/>
    <w:rsid w:val="000C4EEA"/>
    <w:rsid w:val="000D67C0"/>
    <w:rsid w:val="000E3810"/>
    <w:rsid w:val="000E4D94"/>
    <w:rsid w:val="000F54FA"/>
    <w:rsid w:val="000F5E30"/>
    <w:rsid w:val="000F6FF7"/>
    <w:rsid w:val="001035C8"/>
    <w:rsid w:val="00105E07"/>
    <w:rsid w:val="00107002"/>
    <w:rsid w:val="0012006A"/>
    <w:rsid w:val="00121FBF"/>
    <w:rsid w:val="00124E49"/>
    <w:rsid w:val="0012607B"/>
    <w:rsid w:val="0012788E"/>
    <w:rsid w:val="00131B17"/>
    <w:rsid w:val="00135FEB"/>
    <w:rsid w:val="00150DD0"/>
    <w:rsid w:val="00156839"/>
    <w:rsid w:val="001610D7"/>
    <w:rsid w:val="00161483"/>
    <w:rsid w:val="00166CE8"/>
    <w:rsid w:val="001724C8"/>
    <w:rsid w:val="0017268F"/>
    <w:rsid w:val="001741C6"/>
    <w:rsid w:val="0017647C"/>
    <w:rsid w:val="0017685D"/>
    <w:rsid w:val="00176C8F"/>
    <w:rsid w:val="00181335"/>
    <w:rsid w:val="00181DC7"/>
    <w:rsid w:val="00186234"/>
    <w:rsid w:val="00186EEC"/>
    <w:rsid w:val="00192CA3"/>
    <w:rsid w:val="0019542E"/>
    <w:rsid w:val="001A3CFB"/>
    <w:rsid w:val="001A4DBA"/>
    <w:rsid w:val="001A5474"/>
    <w:rsid w:val="001A7C0C"/>
    <w:rsid w:val="001B1FB3"/>
    <w:rsid w:val="001B52FC"/>
    <w:rsid w:val="001B789C"/>
    <w:rsid w:val="001C75BE"/>
    <w:rsid w:val="001D1EBE"/>
    <w:rsid w:val="001D262B"/>
    <w:rsid w:val="001E50CB"/>
    <w:rsid w:val="001E5330"/>
    <w:rsid w:val="001F3450"/>
    <w:rsid w:val="001F3698"/>
    <w:rsid w:val="001F4259"/>
    <w:rsid w:val="00203802"/>
    <w:rsid w:val="00203A31"/>
    <w:rsid w:val="00203AAB"/>
    <w:rsid w:val="00204D6F"/>
    <w:rsid w:val="00212623"/>
    <w:rsid w:val="00221D43"/>
    <w:rsid w:val="002303A3"/>
    <w:rsid w:val="00232782"/>
    <w:rsid w:val="002369B0"/>
    <w:rsid w:val="0025016F"/>
    <w:rsid w:val="002537DB"/>
    <w:rsid w:val="00280815"/>
    <w:rsid w:val="00282EB4"/>
    <w:rsid w:val="00287C2B"/>
    <w:rsid w:val="0029565E"/>
    <w:rsid w:val="002964E6"/>
    <w:rsid w:val="002B09C4"/>
    <w:rsid w:val="002B583E"/>
    <w:rsid w:val="002C7FCF"/>
    <w:rsid w:val="002D1E54"/>
    <w:rsid w:val="002D5A91"/>
    <w:rsid w:val="002F357B"/>
    <w:rsid w:val="002F3D1A"/>
    <w:rsid w:val="00304A3F"/>
    <w:rsid w:val="00316DDC"/>
    <w:rsid w:val="00323B81"/>
    <w:rsid w:val="0033284A"/>
    <w:rsid w:val="00335ACE"/>
    <w:rsid w:val="00335DD5"/>
    <w:rsid w:val="003412B5"/>
    <w:rsid w:val="003472F0"/>
    <w:rsid w:val="0036658F"/>
    <w:rsid w:val="00367395"/>
    <w:rsid w:val="00372B66"/>
    <w:rsid w:val="003749C0"/>
    <w:rsid w:val="003773B5"/>
    <w:rsid w:val="00396902"/>
    <w:rsid w:val="00397269"/>
    <w:rsid w:val="003976E5"/>
    <w:rsid w:val="003A55AC"/>
    <w:rsid w:val="003B2318"/>
    <w:rsid w:val="003C457C"/>
    <w:rsid w:val="003C755F"/>
    <w:rsid w:val="003D67F0"/>
    <w:rsid w:val="003E282D"/>
    <w:rsid w:val="003E2F3F"/>
    <w:rsid w:val="003E54CF"/>
    <w:rsid w:val="003E5A73"/>
    <w:rsid w:val="003E6974"/>
    <w:rsid w:val="003E7347"/>
    <w:rsid w:val="003F2AB0"/>
    <w:rsid w:val="00403260"/>
    <w:rsid w:val="00425604"/>
    <w:rsid w:val="00432A85"/>
    <w:rsid w:val="00435042"/>
    <w:rsid w:val="004458FF"/>
    <w:rsid w:val="00450598"/>
    <w:rsid w:val="0045273C"/>
    <w:rsid w:val="00454007"/>
    <w:rsid w:val="00461357"/>
    <w:rsid w:val="00461E08"/>
    <w:rsid w:val="00471265"/>
    <w:rsid w:val="00474518"/>
    <w:rsid w:val="00474C8B"/>
    <w:rsid w:val="00476877"/>
    <w:rsid w:val="00477A85"/>
    <w:rsid w:val="0048731E"/>
    <w:rsid w:val="00494C21"/>
    <w:rsid w:val="0049570D"/>
    <w:rsid w:val="00495BE2"/>
    <w:rsid w:val="00497D5D"/>
    <w:rsid w:val="004A061F"/>
    <w:rsid w:val="004A574C"/>
    <w:rsid w:val="004C58DD"/>
    <w:rsid w:val="004C685B"/>
    <w:rsid w:val="004D0799"/>
    <w:rsid w:val="004D146A"/>
    <w:rsid w:val="004E6604"/>
    <w:rsid w:val="004F0505"/>
    <w:rsid w:val="004F093C"/>
    <w:rsid w:val="004F4D32"/>
    <w:rsid w:val="00503777"/>
    <w:rsid w:val="005067D7"/>
    <w:rsid w:val="0050736C"/>
    <w:rsid w:val="00511495"/>
    <w:rsid w:val="00520250"/>
    <w:rsid w:val="00520E1A"/>
    <w:rsid w:val="005275F5"/>
    <w:rsid w:val="00527844"/>
    <w:rsid w:val="00536140"/>
    <w:rsid w:val="005362D8"/>
    <w:rsid w:val="00545B09"/>
    <w:rsid w:val="00563453"/>
    <w:rsid w:val="005704E3"/>
    <w:rsid w:val="00571B75"/>
    <w:rsid w:val="00582404"/>
    <w:rsid w:val="005867EF"/>
    <w:rsid w:val="005A17E7"/>
    <w:rsid w:val="005A6C7A"/>
    <w:rsid w:val="005B24F2"/>
    <w:rsid w:val="005B7D8D"/>
    <w:rsid w:val="005C3FC8"/>
    <w:rsid w:val="005C4B56"/>
    <w:rsid w:val="005C7304"/>
    <w:rsid w:val="005F4208"/>
    <w:rsid w:val="00611560"/>
    <w:rsid w:val="00617E5A"/>
    <w:rsid w:val="00630223"/>
    <w:rsid w:val="006451C1"/>
    <w:rsid w:val="00651401"/>
    <w:rsid w:val="006522FD"/>
    <w:rsid w:val="00662A6C"/>
    <w:rsid w:val="00664D60"/>
    <w:rsid w:val="00667E93"/>
    <w:rsid w:val="00680B92"/>
    <w:rsid w:val="00680CB5"/>
    <w:rsid w:val="00681A7F"/>
    <w:rsid w:val="00687981"/>
    <w:rsid w:val="00690589"/>
    <w:rsid w:val="006A1C55"/>
    <w:rsid w:val="006B5747"/>
    <w:rsid w:val="006D137D"/>
    <w:rsid w:val="006D1438"/>
    <w:rsid w:val="006F6288"/>
    <w:rsid w:val="007140A1"/>
    <w:rsid w:val="00714B70"/>
    <w:rsid w:val="007213BE"/>
    <w:rsid w:val="007277AD"/>
    <w:rsid w:val="007329B0"/>
    <w:rsid w:val="00737D49"/>
    <w:rsid w:val="00745512"/>
    <w:rsid w:val="0074756D"/>
    <w:rsid w:val="00747F39"/>
    <w:rsid w:val="00757F7A"/>
    <w:rsid w:val="0076598B"/>
    <w:rsid w:val="00773742"/>
    <w:rsid w:val="00775CEE"/>
    <w:rsid w:val="00776A9E"/>
    <w:rsid w:val="007778BA"/>
    <w:rsid w:val="00787A2F"/>
    <w:rsid w:val="00796A14"/>
    <w:rsid w:val="00796D19"/>
    <w:rsid w:val="007A0EED"/>
    <w:rsid w:val="007A55C8"/>
    <w:rsid w:val="007B0F4D"/>
    <w:rsid w:val="007C021C"/>
    <w:rsid w:val="007D0046"/>
    <w:rsid w:val="007E5045"/>
    <w:rsid w:val="007E5224"/>
    <w:rsid w:val="007F274C"/>
    <w:rsid w:val="008007A4"/>
    <w:rsid w:val="00803843"/>
    <w:rsid w:val="00805341"/>
    <w:rsid w:val="00811EB8"/>
    <w:rsid w:val="008130FC"/>
    <w:rsid w:val="00817564"/>
    <w:rsid w:val="0082039B"/>
    <w:rsid w:val="00821A26"/>
    <w:rsid w:val="00824D2E"/>
    <w:rsid w:val="008255BB"/>
    <w:rsid w:val="008256A7"/>
    <w:rsid w:val="008430DB"/>
    <w:rsid w:val="00844033"/>
    <w:rsid w:val="008463A2"/>
    <w:rsid w:val="00851B6E"/>
    <w:rsid w:val="00862527"/>
    <w:rsid w:val="00870CEA"/>
    <w:rsid w:val="00876F09"/>
    <w:rsid w:val="00882077"/>
    <w:rsid w:val="00890350"/>
    <w:rsid w:val="00891E2C"/>
    <w:rsid w:val="0089782F"/>
    <w:rsid w:val="008B7AA3"/>
    <w:rsid w:val="008C591B"/>
    <w:rsid w:val="008D15E0"/>
    <w:rsid w:val="008D6838"/>
    <w:rsid w:val="008E4929"/>
    <w:rsid w:val="008E5891"/>
    <w:rsid w:val="00912705"/>
    <w:rsid w:val="00915259"/>
    <w:rsid w:val="0091533E"/>
    <w:rsid w:val="00916B2A"/>
    <w:rsid w:val="009249CA"/>
    <w:rsid w:val="00924B6F"/>
    <w:rsid w:val="00930604"/>
    <w:rsid w:val="00937751"/>
    <w:rsid w:val="00950344"/>
    <w:rsid w:val="0095072E"/>
    <w:rsid w:val="00950DF5"/>
    <w:rsid w:val="00957345"/>
    <w:rsid w:val="0097735B"/>
    <w:rsid w:val="00991338"/>
    <w:rsid w:val="00991A63"/>
    <w:rsid w:val="00993F4B"/>
    <w:rsid w:val="009944B7"/>
    <w:rsid w:val="00995076"/>
    <w:rsid w:val="009955C5"/>
    <w:rsid w:val="0099686F"/>
    <w:rsid w:val="009A0E07"/>
    <w:rsid w:val="009A44C3"/>
    <w:rsid w:val="009C375F"/>
    <w:rsid w:val="009E749E"/>
    <w:rsid w:val="009F5616"/>
    <w:rsid w:val="00A01190"/>
    <w:rsid w:val="00A031EE"/>
    <w:rsid w:val="00A141E6"/>
    <w:rsid w:val="00A233CF"/>
    <w:rsid w:val="00A2628D"/>
    <w:rsid w:val="00A266BB"/>
    <w:rsid w:val="00A3185A"/>
    <w:rsid w:val="00A33DF5"/>
    <w:rsid w:val="00A424A1"/>
    <w:rsid w:val="00A476A9"/>
    <w:rsid w:val="00A5023B"/>
    <w:rsid w:val="00A549E6"/>
    <w:rsid w:val="00A60E2D"/>
    <w:rsid w:val="00A71184"/>
    <w:rsid w:val="00A71539"/>
    <w:rsid w:val="00A82FD7"/>
    <w:rsid w:val="00A85E42"/>
    <w:rsid w:val="00A9153B"/>
    <w:rsid w:val="00A96EEE"/>
    <w:rsid w:val="00AA1DE7"/>
    <w:rsid w:val="00AC64DC"/>
    <w:rsid w:val="00AE5B53"/>
    <w:rsid w:val="00AF3358"/>
    <w:rsid w:val="00B00242"/>
    <w:rsid w:val="00B04FC1"/>
    <w:rsid w:val="00B055EC"/>
    <w:rsid w:val="00B140CE"/>
    <w:rsid w:val="00B241CB"/>
    <w:rsid w:val="00B2749D"/>
    <w:rsid w:val="00B35A7A"/>
    <w:rsid w:val="00B445D9"/>
    <w:rsid w:val="00B50CF0"/>
    <w:rsid w:val="00B51BC1"/>
    <w:rsid w:val="00B55FA2"/>
    <w:rsid w:val="00B62EF4"/>
    <w:rsid w:val="00B6553E"/>
    <w:rsid w:val="00B73FC8"/>
    <w:rsid w:val="00B85D6E"/>
    <w:rsid w:val="00B9087B"/>
    <w:rsid w:val="00B931AE"/>
    <w:rsid w:val="00BA2EE5"/>
    <w:rsid w:val="00BB1949"/>
    <w:rsid w:val="00BC75A8"/>
    <w:rsid w:val="00BD5830"/>
    <w:rsid w:val="00BD629B"/>
    <w:rsid w:val="00BF4E1C"/>
    <w:rsid w:val="00C0514C"/>
    <w:rsid w:val="00C05A97"/>
    <w:rsid w:val="00C069F7"/>
    <w:rsid w:val="00C110E8"/>
    <w:rsid w:val="00C11E40"/>
    <w:rsid w:val="00C2728B"/>
    <w:rsid w:val="00C30F44"/>
    <w:rsid w:val="00C31F84"/>
    <w:rsid w:val="00C32F38"/>
    <w:rsid w:val="00C457D1"/>
    <w:rsid w:val="00C5297B"/>
    <w:rsid w:val="00C5412D"/>
    <w:rsid w:val="00C5495C"/>
    <w:rsid w:val="00C55B27"/>
    <w:rsid w:val="00C7625B"/>
    <w:rsid w:val="00C82239"/>
    <w:rsid w:val="00C8423C"/>
    <w:rsid w:val="00C908CF"/>
    <w:rsid w:val="00C97F07"/>
    <w:rsid w:val="00CB2210"/>
    <w:rsid w:val="00CB4D64"/>
    <w:rsid w:val="00CB5966"/>
    <w:rsid w:val="00CD7564"/>
    <w:rsid w:val="00CE416A"/>
    <w:rsid w:val="00CE45DD"/>
    <w:rsid w:val="00CF10EB"/>
    <w:rsid w:val="00CF14D8"/>
    <w:rsid w:val="00CF32BB"/>
    <w:rsid w:val="00CF6B07"/>
    <w:rsid w:val="00D00205"/>
    <w:rsid w:val="00D0336B"/>
    <w:rsid w:val="00D16BB5"/>
    <w:rsid w:val="00D22E4C"/>
    <w:rsid w:val="00D37AC2"/>
    <w:rsid w:val="00D43120"/>
    <w:rsid w:val="00D43890"/>
    <w:rsid w:val="00D50658"/>
    <w:rsid w:val="00D51AF6"/>
    <w:rsid w:val="00D523C8"/>
    <w:rsid w:val="00D52600"/>
    <w:rsid w:val="00D543CD"/>
    <w:rsid w:val="00D659B3"/>
    <w:rsid w:val="00D65FA0"/>
    <w:rsid w:val="00D736F3"/>
    <w:rsid w:val="00D737BD"/>
    <w:rsid w:val="00D77903"/>
    <w:rsid w:val="00D918AC"/>
    <w:rsid w:val="00D94397"/>
    <w:rsid w:val="00DA0A0E"/>
    <w:rsid w:val="00DA55B0"/>
    <w:rsid w:val="00DA66C9"/>
    <w:rsid w:val="00DA6EF1"/>
    <w:rsid w:val="00DB03D4"/>
    <w:rsid w:val="00DB2018"/>
    <w:rsid w:val="00DB4D1A"/>
    <w:rsid w:val="00DC4499"/>
    <w:rsid w:val="00DC5A1E"/>
    <w:rsid w:val="00DD016A"/>
    <w:rsid w:val="00DD77E6"/>
    <w:rsid w:val="00DE0637"/>
    <w:rsid w:val="00DE4DBE"/>
    <w:rsid w:val="00DE6BBD"/>
    <w:rsid w:val="00DF4457"/>
    <w:rsid w:val="00E005F9"/>
    <w:rsid w:val="00E016C7"/>
    <w:rsid w:val="00E079B5"/>
    <w:rsid w:val="00E13602"/>
    <w:rsid w:val="00E168E5"/>
    <w:rsid w:val="00E2088E"/>
    <w:rsid w:val="00E229B7"/>
    <w:rsid w:val="00E255EA"/>
    <w:rsid w:val="00E3142C"/>
    <w:rsid w:val="00E53CEE"/>
    <w:rsid w:val="00E55CE8"/>
    <w:rsid w:val="00E60A70"/>
    <w:rsid w:val="00E616DB"/>
    <w:rsid w:val="00E6362D"/>
    <w:rsid w:val="00E6608D"/>
    <w:rsid w:val="00E7298F"/>
    <w:rsid w:val="00E73ADC"/>
    <w:rsid w:val="00E73C5C"/>
    <w:rsid w:val="00E74895"/>
    <w:rsid w:val="00E833FD"/>
    <w:rsid w:val="00E91FBB"/>
    <w:rsid w:val="00E94504"/>
    <w:rsid w:val="00E94AE8"/>
    <w:rsid w:val="00EA0EE4"/>
    <w:rsid w:val="00EA3D82"/>
    <w:rsid w:val="00EB08C3"/>
    <w:rsid w:val="00EB50A9"/>
    <w:rsid w:val="00EB6E71"/>
    <w:rsid w:val="00EB7126"/>
    <w:rsid w:val="00EC4E1F"/>
    <w:rsid w:val="00EC557C"/>
    <w:rsid w:val="00EC60AE"/>
    <w:rsid w:val="00EE0BF5"/>
    <w:rsid w:val="00EE324C"/>
    <w:rsid w:val="00EF4F70"/>
    <w:rsid w:val="00EF72CF"/>
    <w:rsid w:val="00F12C35"/>
    <w:rsid w:val="00F1770B"/>
    <w:rsid w:val="00F365B2"/>
    <w:rsid w:val="00F4022B"/>
    <w:rsid w:val="00F41689"/>
    <w:rsid w:val="00F42050"/>
    <w:rsid w:val="00F431DF"/>
    <w:rsid w:val="00F577F3"/>
    <w:rsid w:val="00F650DD"/>
    <w:rsid w:val="00F70859"/>
    <w:rsid w:val="00F728C0"/>
    <w:rsid w:val="00F75948"/>
    <w:rsid w:val="00F75F18"/>
    <w:rsid w:val="00F76608"/>
    <w:rsid w:val="00F77D29"/>
    <w:rsid w:val="00F838AA"/>
    <w:rsid w:val="00F96ECC"/>
    <w:rsid w:val="00FB0C5C"/>
    <w:rsid w:val="00FB2489"/>
    <w:rsid w:val="00FB2571"/>
    <w:rsid w:val="00FC364B"/>
    <w:rsid w:val="00FC42C3"/>
    <w:rsid w:val="00FD19CD"/>
    <w:rsid w:val="00FD71E4"/>
    <w:rsid w:val="00FD7E9A"/>
    <w:rsid w:val="00FE3ECA"/>
    <w:rsid w:val="00FE7AF5"/>
    <w:rsid w:val="00FF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4">
    <w:name w:val="p4"/>
    <w:basedOn w:val="Normal"/>
    <w:rsid w:val="00E91FBB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EB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70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700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700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53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7DB"/>
  </w:style>
  <w:style w:type="paragraph" w:styleId="Footer">
    <w:name w:val="footer"/>
    <w:basedOn w:val="Normal"/>
    <w:link w:val="FooterChar"/>
    <w:uiPriority w:val="99"/>
    <w:unhideWhenUsed/>
    <w:rsid w:val="00253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7DB"/>
  </w:style>
  <w:style w:type="paragraph" w:styleId="Revision">
    <w:name w:val="Revision"/>
    <w:hidden/>
    <w:uiPriority w:val="99"/>
    <w:semiHidden/>
    <w:rsid w:val="001724C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4">
    <w:name w:val="p4"/>
    <w:basedOn w:val="Normal"/>
    <w:rsid w:val="00E91FBB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EB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70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700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700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53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7DB"/>
  </w:style>
  <w:style w:type="paragraph" w:styleId="Footer">
    <w:name w:val="footer"/>
    <w:basedOn w:val="Normal"/>
    <w:link w:val="FooterChar"/>
    <w:uiPriority w:val="99"/>
    <w:unhideWhenUsed/>
    <w:rsid w:val="00253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7DB"/>
  </w:style>
  <w:style w:type="paragraph" w:styleId="Revision">
    <w:name w:val="Revision"/>
    <w:hidden/>
    <w:uiPriority w:val="99"/>
    <w:semiHidden/>
    <w:rsid w:val="001724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Hinds, Margaret</cp:lastModifiedBy>
  <cp:revision>3</cp:revision>
  <cp:lastPrinted>2013-06-04T17:33:00Z</cp:lastPrinted>
  <dcterms:created xsi:type="dcterms:W3CDTF">2013-06-04T14:07:00Z</dcterms:created>
  <dcterms:modified xsi:type="dcterms:W3CDTF">2013-06-04T17:33:00Z</dcterms:modified>
</cp:coreProperties>
</file>