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252A6B" w:rsidRDefault="00463F4E" w:rsidP="00463F4E">
      <w:pPr>
        <w:spacing w:line="240" w:lineRule="auto"/>
        <w:rPr>
          <w:b/>
        </w:rPr>
      </w:pPr>
      <w:bookmarkStart w:id="0" w:name="_GoBack"/>
      <w:bookmarkEnd w:id="0"/>
      <w:r w:rsidRPr="00252A6B">
        <w:rPr>
          <w:b/>
        </w:rPr>
        <w:t xml:space="preserve">BEFORE THE </w:t>
      </w:r>
    </w:p>
    <w:p w:rsidR="00463F4E" w:rsidRPr="00252A6B" w:rsidRDefault="00463F4E" w:rsidP="00463F4E">
      <w:pPr>
        <w:spacing w:line="240" w:lineRule="auto"/>
        <w:rPr>
          <w:b/>
        </w:rPr>
      </w:pPr>
      <w:r w:rsidRPr="00252A6B">
        <w:rPr>
          <w:b/>
        </w:rPr>
        <w:t>PENNSYLVANIA PUBLIC UTILITY COMMISSION</w:t>
      </w:r>
    </w:p>
    <w:p w:rsidR="00463F4E" w:rsidRDefault="00463F4E" w:rsidP="00463F4E">
      <w:pPr>
        <w:spacing w:line="240" w:lineRule="auto"/>
        <w:rPr>
          <w:b/>
        </w:rPr>
      </w:pPr>
    </w:p>
    <w:p w:rsidR="00252A6B" w:rsidRPr="00252A6B" w:rsidRDefault="00252A6B" w:rsidP="00463F4E">
      <w:pPr>
        <w:spacing w:line="240" w:lineRule="auto"/>
        <w:rPr>
          <w:b/>
        </w:rPr>
      </w:pPr>
    </w:p>
    <w:p w:rsidR="00463F4E" w:rsidRPr="00252A6B" w:rsidRDefault="00463F4E" w:rsidP="00463F4E">
      <w:pPr>
        <w:spacing w:line="240" w:lineRule="auto"/>
        <w:rPr>
          <w:b/>
        </w:rPr>
      </w:pPr>
    </w:p>
    <w:p w:rsidR="00463F4E" w:rsidRPr="00252A6B" w:rsidRDefault="00463F4E" w:rsidP="00463F4E">
      <w:pPr>
        <w:spacing w:line="240" w:lineRule="auto"/>
        <w:jc w:val="left"/>
      </w:pPr>
      <w:r w:rsidRPr="00252A6B">
        <w:t>Pennsylvania Public Utility Commission</w:t>
      </w:r>
      <w:r w:rsidRPr="00252A6B">
        <w:tab/>
      </w:r>
      <w:r w:rsidRPr="00252A6B">
        <w:tab/>
        <w:t>:</w:t>
      </w:r>
    </w:p>
    <w:p w:rsidR="00463F4E" w:rsidRPr="00252A6B" w:rsidRDefault="00463F4E" w:rsidP="00463F4E">
      <w:pPr>
        <w:spacing w:line="240" w:lineRule="auto"/>
        <w:jc w:val="left"/>
      </w:pPr>
      <w:r w:rsidRPr="00252A6B">
        <w:t>Bureau of Investigation and Enforcement</w:t>
      </w:r>
      <w:r w:rsidRPr="00252A6B">
        <w:tab/>
      </w:r>
      <w:r w:rsidRPr="00252A6B">
        <w:tab/>
        <w:t>:</w:t>
      </w:r>
    </w:p>
    <w:p w:rsidR="00463F4E" w:rsidRPr="00252A6B" w:rsidRDefault="00463F4E" w:rsidP="00463F4E">
      <w:pPr>
        <w:spacing w:line="240" w:lineRule="auto"/>
        <w:jc w:val="left"/>
      </w:pPr>
      <w:r w:rsidRPr="00252A6B">
        <w:tab/>
      </w:r>
      <w:r w:rsidRPr="00252A6B">
        <w:tab/>
      </w:r>
      <w:r w:rsidRPr="00252A6B">
        <w:tab/>
      </w:r>
      <w:r w:rsidRPr="00252A6B">
        <w:tab/>
      </w:r>
      <w:r w:rsidRPr="00252A6B">
        <w:tab/>
      </w:r>
      <w:r w:rsidRPr="00252A6B">
        <w:tab/>
      </w:r>
      <w:r w:rsidRPr="00252A6B">
        <w:tab/>
        <w:t>:</w:t>
      </w:r>
    </w:p>
    <w:p w:rsidR="00463F4E" w:rsidRPr="00252A6B" w:rsidRDefault="00463F4E" w:rsidP="00463F4E">
      <w:pPr>
        <w:spacing w:line="240" w:lineRule="auto"/>
        <w:jc w:val="left"/>
      </w:pPr>
      <w:r w:rsidRPr="00252A6B">
        <w:tab/>
        <w:t>v.</w:t>
      </w:r>
      <w:r w:rsidRPr="00252A6B">
        <w:tab/>
      </w:r>
      <w:r w:rsidRPr="00252A6B">
        <w:tab/>
      </w:r>
      <w:r w:rsidRPr="00252A6B">
        <w:tab/>
      </w:r>
      <w:r w:rsidRPr="00252A6B">
        <w:tab/>
      </w:r>
      <w:r w:rsidRPr="00252A6B">
        <w:tab/>
      </w:r>
      <w:r w:rsidRPr="00252A6B">
        <w:tab/>
      </w:r>
      <w:r w:rsidR="00252A6B">
        <w:t>:</w:t>
      </w:r>
      <w:r w:rsidR="00252A6B">
        <w:tab/>
      </w:r>
      <w:r w:rsidR="00252A6B">
        <w:tab/>
      </w:r>
      <w:r w:rsidRPr="00252A6B">
        <w:t>C-2012-2334904</w:t>
      </w:r>
    </w:p>
    <w:p w:rsidR="00463F4E" w:rsidRPr="00252A6B" w:rsidRDefault="00463F4E" w:rsidP="00463F4E">
      <w:pPr>
        <w:spacing w:line="240" w:lineRule="auto"/>
        <w:jc w:val="left"/>
      </w:pPr>
      <w:r w:rsidRPr="00252A6B">
        <w:tab/>
      </w:r>
      <w:r w:rsidRPr="00252A6B">
        <w:tab/>
      </w:r>
      <w:r w:rsidRPr="00252A6B">
        <w:tab/>
      </w:r>
      <w:r w:rsidRPr="00252A6B">
        <w:tab/>
      </w:r>
      <w:r w:rsidRPr="00252A6B">
        <w:tab/>
      </w:r>
      <w:r w:rsidRPr="00252A6B">
        <w:tab/>
      </w:r>
      <w:r w:rsidRPr="00252A6B">
        <w:tab/>
        <w:t>:</w:t>
      </w:r>
    </w:p>
    <w:p w:rsidR="00463F4E" w:rsidRPr="00252A6B" w:rsidRDefault="00463F4E" w:rsidP="00463F4E">
      <w:pPr>
        <w:spacing w:line="240" w:lineRule="auto"/>
        <w:jc w:val="left"/>
      </w:pPr>
      <w:r w:rsidRPr="00252A6B">
        <w:t xml:space="preserve">Scott A. Dechert t/a Distinctive Limousine </w:t>
      </w:r>
      <w:r w:rsidRPr="00252A6B">
        <w:tab/>
      </w:r>
      <w:r w:rsidRPr="00252A6B">
        <w:tab/>
        <w:t>:</w:t>
      </w:r>
    </w:p>
    <w:p w:rsidR="00463F4E" w:rsidRPr="00252A6B" w:rsidRDefault="00463F4E" w:rsidP="00463F4E">
      <w:pPr>
        <w:spacing w:line="240" w:lineRule="auto"/>
        <w:jc w:val="left"/>
      </w:pPr>
      <w:r w:rsidRPr="00252A6B">
        <w:t>Service</w:t>
      </w:r>
      <w:r w:rsidRPr="00252A6B">
        <w:tab/>
      </w:r>
      <w:r w:rsidRPr="00252A6B">
        <w:tab/>
      </w:r>
      <w:r w:rsidRPr="00252A6B">
        <w:tab/>
      </w:r>
      <w:r w:rsidRPr="00252A6B">
        <w:tab/>
      </w:r>
      <w:r w:rsidRPr="00252A6B">
        <w:tab/>
      </w:r>
      <w:r w:rsidRPr="00252A6B">
        <w:tab/>
      </w:r>
      <w:r w:rsidRPr="00252A6B">
        <w:tab/>
        <w:t>:</w:t>
      </w:r>
    </w:p>
    <w:p w:rsidR="00463F4E" w:rsidRDefault="00463F4E" w:rsidP="00463F4E">
      <w:pPr>
        <w:spacing w:line="240" w:lineRule="auto"/>
        <w:jc w:val="left"/>
      </w:pPr>
    </w:p>
    <w:p w:rsidR="00252A6B" w:rsidRPr="00252A6B" w:rsidRDefault="00252A6B" w:rsidP="00463F4E">
      <w:pPr>
        <w:spacing w:line="240" w:lineRule="auto"/>
        <w:jc w:val="left"/>
      </w:pPr>
    </w:p>
    <w:p w:rsidR="00187FCD" w:rsidRPr="00252A6B" w:rsidRDefault="00187FCD" w:rsidP="00463F4E">
      <w:pPr>
        <w:spacing w:line="240" w:lineRule="auto"/>
        <w:jc w:val="left"/>
      </w:pPr>
    </w:p>
    <w:p w:rsidR="00463F4E" w:rsidRPr="00252A6B" w:rsidRDefault="00463F4E" w:rsidP="00463F4E">
      <w:pPr>
        <w:spacing w:line="240" w:lineRule="auto"/>
        <w:rPr>
          <w:b/>
          <w:u w:val="single"/>
        </w:rPr>
      </w:pPr>
      <w:r w:rsidRPr="00252A6B">
        <w:rPr>
          <w:b/>
          <w:u w:val="single"/>
        </w:rPr>
        <w:t>INITIAL DECISION</w:t>
      </w:r>
    </w:p>
    <w:p w:rsidR="00463F4E" w:rsidRDefault="00463F4E" w:rsidP="00463F4E">
      <w:pPr>
        <w:spacing w:line="240" w:lineRule="auto"/>
        <w:rPr>
          <w:b/>
        </w:rPr>
      </w:pPr>
    </w:p>
    <w:p w:rsidR="00252A6B" w:rsidRPr="00252A6B" w:rsidRDefault="00252A6B" w:rsidP="00463F4E">
      <w:pPr>
        <w:spacing w:line="240" w:lineRule="auto"/>
        <w:rPr>
          <w:b/>
        </w:rPr>
      </w:pPr>
    </w:p>
    <w:p w:rsidR="00463F4E" w:rsidRPr="00252A6B" w:rsidRDefault="00463F4E" w:rsidP="00463F4E">
      <w:pPr>
        <w:spacing w:line="240" w:lineRule="auto"/>
      </w:pPr>
      <w:r w:rsidRPr="00252A6B">
        <w:t>Before</w:t>
      </w:r>
    </w:p>
    <w:p w:rsidR="00463F4E" w:rsidRPr="00252A6B" w:rsidRDefault="00463F4E" w:rsidP="00463F4E">
      <w:pPr>
        <w:spacing w:line="240" w:lineRule="auto"/>
      </w:pPr>
      <w:r w:rsidRPr="00252A6B">
        <w:t>Susan D. Colwell</w:t>
      </w:r>
    </w:p>
    <w:p w:rsidR="00463F4E" w:rsidRPr="00252A6B" w:rsidRDefault="00463F4E" w:rsidP="00463F4E">
      <w:pPr>
        <w:spacing w:line="240" w:lineRule="auto"/>
      </w:pPr>
      <w:r w:rsidRPr="00252A6B">
        <w:t>Administrative Law Judge</w:t>
      </w:r>
    </w:p>
    <w:p w:rsidR="00463F4E" w:rsidRPr="00252A6B" w:rsidRDefault="00463F4E" w:rsidP="00463F4E">
      <w:pPr>
        <w:spacing w:line="240" w:lineRule="auto"/>
      </w:pPr>
    </w:p>
    <w:p w:rsidR="00463F4E" w:rsidRPr="00252A6B" w:rsidRDefault="00463F4E" w:rsidP="00463F4E">
      <w:pPr>
        <w:spacing w:line="240" w:lineRule="auto"/>
      </w:pPr>
    </w:p>
    <w:p w:rsidR="00463F4E" w:rsidRPr="00252A6B" w:rsidRDefault="00463F4E" w:rsidP="00463F4E">
      <w:pPr>
        <w:spacing w:line="240" w:lineRule="auto"/>
        <w:rPr>
          <w:u w:val="single"/>
        </w:rPr>
      </w:pPr>
      <w:r w:rsidRPr="00252A6B">
        <w:rPr>
          <w:u w:val="single"/>
        </w:rPr>
        <w:t>HISTORY OF THE PROCEEDING</w:t>
      </w:r>
    </w:p>
    <w:p w:rsidR="00463F4E" w:rsidRPr="00252A6B" w:rsidRDefault="00463F4E" w:rsidP="00463F4E">
      <w:pPr>
        <w:spacing w:line="240" w:lineRule="auto"/>
        <w:rPr>
          <w:u w:val="single"/>
        </w:rPr>
      </w:pPr>
    </w:p>
    <w:p w:rsidR="00463F4E" w:rsidRPr="00252A6B" w:rsidRDefault="00463F4E" w:rsidP="00252A6B">
      <w:pPr>
        <w:spacing w:line="240" w:lineRule="auto"/>
        <w:jc w:val="left"/>
      </w:pPr>
    </w:p>
    <w:p w:rsidR="00463F4E" w:rsidRPr="00252A6B" w:rsidRDefault="00463F4E" w:rsidP="00463F4E">
      <w:pPr>
        <w:jc w:val="left"/>
      </w:pPr>
      <w:r w:rsidRPr="00252A6B">
        <w:tab/>
      </w:r>
      <w:r w:rsidRPr="00252A6B">
        <w:tab/>
        <w:t>On November 19, 2012, the Commission's Bureau of Investigation and Enforcement (I&amp;E) filed a formal Complaint against Scott A. Dechert t/a Distinctive Limousine Service (Respondent) alleging that Respondent had failed to pay his assessment of $293 for the fiscal year 2010-2011, as well as the $28</w:t>
      </w:r>
      <w:r w:rsidR="00BB524E">
        <w:t>8</w:t>
      </w:r>
      <w:r w:rsidRPr="00252A6B">
        <w:t xml:space="preserve"> assessment for the fiscal year 2011-2012.  I&amp;E seeks an order directing Respondent to pay the sum of the assessments</w:t>
      </w:r>
      <w:r w:rsidR="0050680A">
        <w:t>, $581, plus a civil penalty of </w:t>
      </w:r>
      <w:r w:rsidRPr="00252A6B">
        <w:t>15% of the overdue amounts, $85, for a total of $666.</w:t>
      </w:r>
    </w:p>
    <w:p w:rsidR="00463F4E" w:rsidRPr="00252A6B" w:rsidRDefault="00463F4E" w:rsidP="00463F4E">
      <w:pPr>
        <w:jc w:val="left"/>
      </w:pPr>
    </w:p>
    <w:p w:rsidR="007F41B6" w:rsidRPr="00252A6B" w:rsidRDefault="00463F4E" w:rsidP="00463F4E">
      <w:pPr>
        <w:jc w:val="left"/>
      </w:pPr>
      <w:r w:rsidRPr="00252A6B">
        <w:tab/>
      </w:r>
      <w:r w:rsidRPr="00252A6B">
        <w:tab/>
      </w:r>
      <w:r w:rsidR="00761C8F" w:rsidRPr="00252A6B">
        <w:t>The Complaint was sent certified mail to Respondent on November 20, 2012, properly accompanied by a notice to plead.  It was returned as unclaimed on December 12, 2012.</w:t>
      </w:r>
    </w:p>
    <w:p w:rsidR="007F41B6" w:rsidRPr="00252A6B" w:rsidRDefault="007F41B6" w:rsidP="00463F4E">
      <w:pPr>
        <w:jc w:val="left"/>
      </w:pPr>
    </w:p>
    <w:p w:rsidR="007F41B6" w:rsidRPr="00252A6B" w:rsidRDefault="007F41B6" w:rsidP="00463F4E">
      <w:pPr>
        <w:jc w:val="left"/>
      </w:pPr>
      <w:r w:rsidRPr="00252A6B">
        <w:tab/>
      </w:r>
      <w:r w:rsidRPr="00252A6B">
        <w:tab/>
        <w:t xml:space="preserve">On January 8, 2013, a letter from Kendra Dechert, Operations Manager for Respondent, was received, which indicates that Commission employees knew, and had been informed on more than one occasion, that all items sent certified mail were not delivered, but </w:t>
      </w:r>
      <w:r w:rsidRPr="00252A6B">
        <w:lastRenderedPageBreak/>
        <w:t>those sent first-class or overnight were received.  Therefore, the assessment invoices were not received.</w:t>
      </w:r>
    </w:p>
    <w:p w:rsidR="007F41B6" w:rsidRPr="00252A6B" w:rsidRDefault="007F41B6" w:rsidP="00463F4E">
      <w:pPr>
        <w:jc w:val="left"/>
      </w:pPr>
    </w:p>
    <w:p w:rsidR="00761C8F" w:rsidRPr="00252A6B" w:rsidRDefault="007F41B6" w:rsidP="00463F4E">
      <w:pPr>
        <w:jc w:val="left"/>
      </w:pPr>
      <w:r w:rsidRPr="00252A6B">
        <w:tab/>
      </w:r>
      <w:r w:rsidRPr="00252A6B">
        <w:tab/>
      </w:r>
      <w:r w:rsidR="00761C8F" w:rsidRPr="00252A6B">
        <w:t>The Complaint was re-served on January 10, 2013.</w:t>
      </w:r>
    </w:p>
    <w:p w:rsidR="00761C8F" w:rsidRPr="00252A6B" w:rsidRDefault="00761C8F" w:rsidP="00463F4E">
      <w:pPr>
        <w:jc w:val="left"/>
      </w:pPr>
    </w:p>
    <w:p w:rsidR="00761C8F" w:rsidRPr="00252A6B" w:rsidRDefault="00761C8F" w:rsidP="00463F4E">
      <w:pPr>
        <w:jc w:val="left"/>
      </w:pPr>
      <w:r w:rsidRPr="00252A6B">
        <w:tab/>
      </w:r>
      <w:r w:rsidRPr="00252A6B">
        <w:tab/>
        <w:t>By Hearing Notice issued February 28, 2013, a hearing was scheduled for Tuesday, April 30, 2013 and assigned to me.  On March 1, 2013, I issued a prehearing order which set forth some of the requirements for a formal proceeding before the Commission, including the warning that a party who fails to attend the hearing may lose the case.  Neither the hearing notice nor the prehearing order</w:t>
      </w:r>
      <w:r w:rsidR="00085B1B" w:rsidRPr="00252A6B">
        <w:t>, both of which were sent by first-class mail,</w:t>
      </w:r>
      <w:r w:rsidRPr="00252A6B">
        <w:t xml:space="preserve"> was returned as undeliverable.</w:t>
      </w:r>
    </w:p>
    <w:p w:rsidR="00761C8F" w:rsidRPr="00252A6B" w:rsidRDefault="00761C8F" w:rsidP="00463F4E">
      <w:pPr>
        <w:jc w:val="left"/>
      </w:pPr>
    </w:p>
    <w:p w:rsidR="00C16FB6" w:rsidRPr="00252A6B" w:rsidRDefault="00761C8F" w:rsidP="00463F4E">
      <w:pPr>
        <w:jc w:val="left"/>
      </w:pPr>
      <w:r w:rsidRPr="00252A6B">
        <w:tab/>
      </w:r>
      <w:r w:rsidRPr="00252A6B">
        <w:tab/>
        <w:t>The hearing was held as scheduled, with I&amp;E represented by Stephanie M. Wimer, Esq., who presented one witness and submitted six exhibits.  T</w:t>
      </w:r>
      <w:r w:rsidR="00C16FB6" w:rsidRPr="00252A6B">
        <w:t>he Respondent did not attend.</w:t>
      </w:r>
    </w:p>
    <w:p w:rsidR="00C16FB6" w:rsidRPr="00252A6B" w:rsidRDefault="00C16FB6" w:rsidP="00463F4E">
      <w:pPr>
        <w:jc w:val="left"/>
      </w:pPr>
    </w:p>
    <w:p w:rsidR="00C16FB6" w:rsidRPr="00252A6B" w:rsidRDefault="00C16FB6" w:rsidP="00463F4E">
      <w:pPr>
        <w:jc w:val="left"/>
      </w:pPr>
      <w:r w:rsidRPr="00252A6B">
        <w:tab/>
      </w:r>
      <w:r w:rsidRPr="00252A6B">
        <w:tab/>
        <w:t>A transcript of 24 pages was generated.  The record was left open for the submission of a late-filed exhibit.  Instead of submitting a factual document for inclusion in the record, I&amp;E filed a letter to the Secretary containing legal argument.  This will be considered to be in lieu of a brief, and as such, is not admitted to the evidentiary record.  The record closed upon preparation of this Initial Decision.  The matter is ripe for disposition.</w:t>
      </w:r>
    </w:p>
    <w:p w:rsidR="00C16FB6" w:rsidRPr="00252A6B" w:rsidRDefault="00C16FB6" w:rsidP="00463F4E">
      <w:pPr>
        <w:jc w:val="left"/>
      </w:pPr>
    </w:p>
    <w:p w:rsidR="00463F4E" w:rsidRPr="00252A6B" w:rsidRDefault="00C16FB6" w:rsidP="00C16FB6">
      <w:pPr>
        <w:rPr>
          <w:u w:val="single"/>
        </w:rPr>
      </w:pPr>
      <w:r w:rsidRPr="00252A6B">
        <w:rPr>
          <w:u w:val="single"/>
        </w:rPr>
        <w:t>FINDINGS OF FACT</w:t>
      </w:r>
    </w:p>
    <w:p w:rsidR="00C16FB6" w:rsidRPr="00252A6B" w:rsidRDefault="00C16FB6" w:rsidP="00C16FB6">
      <w:pPr>
        <w:rPr>
          <w:u w:val="single"/>
        </w:rPr>
      </w:pPr>
    </w:p>
    <w:p w:rsidR="00C16FB6" w:rsidRPr="00252A6B" w:rsidRDefault="00C16FB6" w:rsidP="00C16FB6">
      <w:pPr>
        <w:jc w:val="left"/>
      </w:pPr>
      <w:r w:rsidRPr="00252A6B">
        <w:tab/>
      </w:r>
      <w:r w:rsidRPr="00252A6B">
        <w:tab/>
        <w:t>1.</w:t>
      </w:r>
      <w:r w:rsidRPr="00252A6B">
        <w:tab/>
        <w:t>Complainant is the Commission's Bureau of Investigation and Enforcement, an office created pursuant to the Public Utility Code, 66 Pa. C.S. § 308.2(a)(1), for the purpose of prosecuting complaints against jurisdictional public utilities.</w:t>
      </w:r>
    </w:p>
    <w:p w:rsidR="00C16FB6" w:rsidRPr="00252A6B" w:rsidRDefault="00C16FB6" w:rsidP="00C16FB6">
      <w:pPr>
        <w:jc w:val="left"/>
      </w:pPr>
    </w:p>
    <w:p w:rsidR="007F41B6" w:rsidRPr="00252A6B" w:rsidRDefault="00C16FB6" w:rsidP="00C16FB6">
      <w:pPr>
        <w:jc w:val="left"/>
      </w:pPr>
      <w:r w:rsidRPr="00252A6B">
        <w:tab/>
      </w:r>
      <w:r w:rsidRPr="00252A6B">
        <w:tab/>
        <w:t>2.</w:t>
      </w:r>
      <w:r w:rsidRPr="00252A6B">
        <w:tab/>
        <w:t xml:space="preserve">Respondent is </w:t>
      </w:r>
      <w:r w:rsidR="007F41B6" w:rsidRPr="00252A6B">
        <w:t>Scott A. Dechert t/a Distinctive Limousine Service, a jurisdictional public utility maintaining his business at 1224 Oak Street, Lebanon, PA 17042.  Cplt. ¶ 4.</w:t>
      </w:r>
    </w:p>
    <w:p w:rsidR="007F41B6" w:rsidRPr="00252A6B" w:rsidRDefault="007F41B6" w:rsidP="00C16FB6">
      <w:pPr>
        <w:jc w:val="left"/>
      </w:pPr>
    </w:p>
    <w:p w:rsidR="00BC4DEA" w:rsidRPr="00252A6B" w:rsidRDefault="007F41B6" w:rsidP="00C16FB6">
      <w:pPr>
        <w:jc w:val="left"/>
      </w:pPr>
      <w:r w:rsidRPr="00252A6B">
        <w:tab/>
      </w:r>
      <w:r w:rsidRPr="00252A6B">
        <w:tab/>
        <w:t>3.</w:t>
      </w:r>
      <w:r w:rsidRPr="00252A6B">
        <w:tab/>
      </w:r>
      <w:r w:rsidR="00BC4DEA" w:rsidRPr="00252A6B">
        <w:t>Susan Daub, currently a fixed utility financial analyst trainee in the Bureau of Investigation and Enforcement, worked in the Commission</w:t>
      </w:r>
      <w:r w:rsidR="007D1321">
        <w:t>'s Assessments Office from June </w:t>
      </w:r>
      <w:r w:rsidR="00BC4DEA" w:rsidRPr="00252A6B">
        <w:t>2008 until September 2012.  Tr. 5.</w:t>
      </w:r>
    </w:p>
    <w:p w:rsidR="00BC4DEA" w:rsidRPr="00252A6B" w:rsidRDefault="00BC4DEA" w:rsidP="00C16FB6">
      <w:pPr>
        <w:jc w:val="left"/>
      </w:pPr>
    </w:p>
    <w:p w:rsidR="00BC4DEA" w:rsidRPr="00252A6B" w:rsidRDefault="00BC4DEA" w:rsidP="00C16FB6">
      <w:pPr>
        <w:jc w:val="left"/>
      </w:pPr>
      <w:r w:rsidRPr="00252A6B">
        <w:tab/>
      </w:r>
      <w:r w:rsidRPr="00252A6B">
        <w:tab/>
        <w:t>4.</w:t>
      </w:r>
      <w:r w:rsidRPr="00252A6B">
        <w:tab/>
        <w:t>Ms. Daub received and reviewed assessment reports, contacted utilities concerning questions about their reports, scanned the reports into a computer, and aided in the preparation and mailing of the assessment invoices, as well as processed assessment objections.  Tr. 6.</w:t>
      </w:r>
    </w:p>
    <w:p w:rsidR="00BC4DEA" w:rsidRPr="00252A6B" w:rsidRDefault="00BC4DEA" w:rsidP="00C16FB6">
      <w:pPr>
        <w:jc w:val="left"/>
      </w:pPr>
    </w:p>
    <w:p w:rsidR="00BC4DEA" w:rsidRPr="00252A6B" w:rsidRDefault="00BC4DEA" w:rsidP="00C16FB6">
      <w:pPr>
        <w:jc w:val="left"/>
      </w:pPr>
      <w:r w:rsidRPr="00252A6B">
        <w:tab/>
      </w:r>
      <w:r w:rsidRPr="00252A6B">
        <w:tab/>
        <w:t>5.</w:t>
      </w:r>
      <w:r w:rsidRPr="00252A6B">
        <w:tab/>
        <w:t>I&amp;E Exhibit 1 is a copy of Distinctive Limousine's 2009 calendar year assessment report.  Tr. 7.</w:t>
      </w:r>
    </w:p>
    <w:p w:rsidR="00BC4DEA" w:rsidRPr="00252A6B" w:rsidRDefault="00BC4DEA" w:rsidP="00C16FB6">
      <w:pPr>
        <w:jc w:val="left"/>
      </w:pPr>
    </w:p>
    <w:p w:rsidR="00BC4DEA" w:rsidRPr="00252A6B" w:rsidRDefault="00BC4DEA" w:rsidP="00C16FB6">
      <w:pPr>
        <w:jc w:val="left"/>
      </w:pPr>
      <w:r w:rsidRPr="00252A6B">
        <w:tab/>
      </w:r>
      <w:r w:rsidRPr="00252A6B">
        <w:tab/>
        <w:t>6.</w:t>
      </w:r>
      <w:r w:rsidRPr="00252A6B">
        <w:tab/>
        <w:t>An assessment report is mailed to the utility, which fills out the report with the utility's jurisdictional revenue and returns it to the Commission.  Tr. 8.</w:t>
      </w:r>
    </w:p>
    <w:p w:rsidR="00BC4DEA" w:rsidRPr="00252A6B" w:rsidRDefault="00BC4DEA" w:rsidP="00C16FB6">
      <w:pPr>
        <w:jc w:val="left"/>
      </w:pPr>
    </w:p>
    <w:p w:rsidR="00790D7C" w:rsidRPr="00252A6B" w:rsidRDefault="00BC4DEA" w:rsidP="00C16FB6">
      <w:pPr>
        <w:jc w:val="left"/>
      </w:pPr>
      <w:r w:rsidRPr="00252A6B">
        <w:tab/>
      </w:r>
      <w:r w:rsidRPr="00252A6B">
        <w:tab/>
        <w:t>7.</w:t>
      </w:r>
      <w:r w:rsidRPr="00252A6B">
        <w:tab/>
      </w:r>
      <w:r w:rsidR="00790D7C" w:rsidRPr="00252A6B">
        <w:t>Distinctive Limousine filled out the form and returned it.  Tr. 8.</w:t>
      </w:r>
    </w:p>
    <w:p w:rsidR="00790D7C" w:rsidRPr="00252A6B" w:rsidRDefault="00790D7C" w:rsidP="00C16FB6">
      <w:pPr>
        <w:jc w:val="left"/>
      </w:pPr>
    </w:p>
    <w:p w:rsidR="00790D7C" w:rsidRPr="00252A6B" w:rsidRDefault="00790D7C" w:rsidP="00C16FB6">
      <w:pPr>
        <w:jc w:val="left"/>
      </w:pPr>
      <w:r w:rsidRPr="00252A6B">
        <w:tab/>
      </w:r>
      <w:r w:rsidRPr="00252A6B">
        <w:tab/>
        <w:t>8.</w:t>
      </w:r>
      <w:r w:rsidRPr="00252A6B">
        <w:tab/>
        <w:t>I&amp;E Exhibit 2 is a copy of the 2010-11 PUC invoice that was sent to Distinctive Limousine</w:t>
      </w:r>
      <w:r w:rsidR="00155505" w:rsidRPr="00252A6B">
        <w:t>, dated September 10, 2010</w:t>
      </w:r>
      <w:r w:rsidRPr="00252A6B">
        <w:t>.  Tr. 9.</w:t>
      </w:r>
    </w:p>
    <w:p w:rsidR="00790D7C" w:rsidRPr="00252A6B" w:rsidRDefault="00790D7C" w:rsidP="00C16FB6">
      <w:pPr>
        <w:jc w:val="left"/>
      </w:pPr>
    </w:p>
    <w:p w:rsidR="00790D7C" w:rsidRPr="00252A6B" w:rsidRDefault="00790D7C" w:rsidP="00C16FB6">
      <w:pPr>
        <w:jc w:val="left"/>
      </w:pPr>
      <w:r w:rsidRPr="00252A6B">
        <w:tab/>
      </w:r>
      <w:r w:rsidRPr="00252A6B">
        <w:tab/>
        <w:t>9.</w:t>
      </w:r>
      <w:r w:rsidRPr="00252A6B">
        <w:tab/>
        <w:t>Invoices for amounts under $100 are sent regular mail, and invoices for amounts over $100 are sent certified mail.  Tr. 10.</w:t>
      </w:r>
    </w:p>
    <w:p w:rsidR="0067597C" w:rsidRPr="00252A6B" w:rsidRDefault="0067597C" w:rsidP="00C16FB6">
      <w:pPr>
        <w:jc w:val="left"/>
      </w:pPr>
    </w:p>
    <w:p w:rsidR="0067597C" w:rsidRPr="00252A6B" w:rsidRDefault="0067597C" w:rsidP="00C16FB6">
      <w:pPr>
        <w:jc w:val="left"/>
      </w:pPr>
      <w:r w:rsidRPr="00252A6B">
        <w:tab/>
      </w:r>
      <w:r w:rsidRPr="00252A6B">
        <w:tab/>
        <w:t>10.</w:t>
      </w:r>
      <w:r w:rsidRPr="00252A6B">
        <w:tab/>
        <w:t>The invoice for Respondent was sent by certified mail.  Tr. 10.</w:t>
      </w:r>
    </w:p>
    <w:p w:rsidR="00790D7C" w:rsidRPr="00252A6B" w:rsidRDefault="00790D7C" w:rsidP="00C16FB6">
      <w:pPr>
        <w:jc w:val="left"/>
      </w:pPr>
    </w:p>
    <w:p w:rsidR="0067597C" w:rsidRPr="00252A6B" w:rsidRDefault="00790D7C" w:rsidP="00C16FB6">
      <w:pPr>
        <w:jc w:val="left"/>
      </w:pPr>
      <w:r w:rsidRPr="00252A6B">
        <w:tab/>
      </w:r>
      <w:r w:rsidRPr="00252A6B">
        <w:tab/>
        <w:t>1</w:t>
      </w:r>
      <w:r w:rsidR="0067597C" w:rsidRPr="00252A6B">
        <w:t>1.</w:t>
      </w:r>
      <w:r w:rsidR="0067597C" w:rsidRPr="00252A6B">
        <w:tab/>
        <w:t>There is no return receipt for the invoice sent to Respondent.  Tr. 10.</w:t>
      </w:r>
    </w:p>
    <w:p w:rsidR="0067597C" w:rsidRPr="00252A6B" w:rsidRDefault="0067597C" w:rsidP="00C16FB6">
      <w:pPr>
        <w:jc w:val="left"/>
      </w:pPr>
    </w:p>
    <w:p w:rsidR="00790D7C" w:rsidRPr="00252A6B" w:rsidRDefault="0067597C" w:rsidP="00C16FB6">
      <w:pPr>
        <w:jc w:val="left"/>
      </w:pPr>
      <w:r w:rsidRPr="00252A6B">
        <w:tab/>
      </w:r>
      <w:r w:rsidRPr="00252A6B">
        <w:tab/>
        <w:t>12.</w:t>
      </w:r>
      <w:r w:rsidRPr="00252A6B">
        <w:tab/>
      </w:r>
      <w:r w:rsidR="00790D7C" w:rsidRPr="00252A6B">
        <w:t>I&amp;E Exhibit 3 is a copy of the Notice of Assessment that would have been sent with the assessment invoice.  Tr. 11.</w:t>
      </w:r>
    </w:p>
    <w:p w:rsidR="00790D7C" w:rsidRPr="00252A6B" w:rsidRDefault="00790D7C" w:rsidP="00C16FB6">
      <w:pPr>
        <w:jc w:val="left"/>
      </w:pPr>
    </w:p>
    <w:p w:rsidR="00C16FB6" w:rsidRPr="00252A6B" w:rsidRDefault="00790D7C" w:rsidP="00C16FB6">
      <w:pPr>
        <w:jc w:val="left"/>
      </w:pPr>
      <w:r w:rsidRPr="00252A6B">
        <w:lastRenderedPageBreak/>
        <w:tab/>
      </w:r>
      <w:r w:rsidRPr="00252A6B">
        <w:tab/>
      </w:r>
      <w:r w:rsidR="0067597C" w:rsidRPr="00252A6B">
        <w:t>13</w:t>
      </w:r>
      <w:r w:rsidRPr="00252A6B">
        <w:t>.</w:t>
      </w:r>
      <w:r w:rsidRPr="00252A6B">
        <w:tab/>
        <w:t>A utility's assessment is calculated by taking the reported jurisdictional revenue and multiplying it by the correct factor appearing on I&amp;E Exhibit 3, page 3.  Tr. 11.</w:t>
      </w:r>
    </w:p>
    <w:p w:rsidR="00790D7C" w:rsidRPr="00252A6B" w:rsidRDefault="00790D7C" w:rsidP="00C16FB6">
      <w:pPr>
        <w:jc w:val="left"/>
      </w:pPr>
    </w:p>
    <w:p w:rsidR="00790D7C" w:rsidRPr="00252A6B" w:rsidRDefault="00790D7C" w:rsidP="00C16FB6">
      <w:pPr>
        <w:jc w:val="left"/>
      </w:pPr>
      <w:r w:rsidRPr="00252A6B">
        <w:tab/>
      </w:r>
      <w:r w:rsidRPr="00252A6B">
        <w:tab/>
      </w:r>
      <w:r w:rsidR="0067597C" w:rsidRPr="00252A6B">
        <w:t>14</w:t>
      </w:r>
      <w:r w:rsidRPr="00252A6B">
        <w:t>.</w:t>
      </w:r>
      <w:r w:rsidRPr="00252A6B">
        <w:tab/>
        <w:t>The Notice of Assessment indicates that the amount assessed is due within thirty days.  Tr. 12.</w:t>
      </w:r>
    </w:p>
    <w:p w:rsidR="00790D7C" w:rsidRPr="00252A6B" w:rsidRDefault="00790D7C" w:rsidP="00C16FB6">
      <w:pPr>
        <w:jc w:val="left"/>
      </w:pPr>
    </w:p>
    <w:p w:rsidR="00790D7C" w:rsidRPr="00252A6B" w:rsidRDefault="00790D7C" w:rsidP="00C16FB6">
      <w:pPr>
        <w:jc w:val="left"/>
      </w:pPr>
      <w:r w:rsidRPr="00252A6B">
        <w:tab/>
      </w:r>
      <w:r w:rsidRPr="00252A6B">
        <w:tab/>
        <w:t>1</w:t>
      </w:r>
      <w:r w:rsidR="0067597C" w:rsidRPr="00252A6B">
        <w:t>5</w:t>
      </w:r>
      <w:r w:rsidRPr="00252A6B">
        <w:t>.</w:t>
      </w:r>
      <w:r w:rsidRPr="00252A6B">
        <w:tab/>
        <w:t>Distinctive Limousine did not appeal or file an objection to the 2010-2011 assessment.  Tr. 12.</w:t>
      </w:r>
    </w:p>
    <w:p w:rsidR="00790D7C" w:rsidRPr="00252A6B" w:rsidRDefault="00790D7C" w:rsidP="00C16FB6">
      <w:pPr>
        <w:jc w:val="left"/>
      </w:pPr>
    </w:p>
    <w:p w:rsidR="00790D7C" w:rsidRPr="00252A6B" w:rsidRDefault="00790D7C" w:rsidP="00C16FB6">
      <w:pPr>
        <w:jc w:val="left"/>
      </w:pPr>
      <w:r w:rsidRPr="00252A6B">
        <w:tab/>
      </w:r>
      <w:r w:rsidRPr="00252A6B">
        <w:tab/>
        <w:t>1</w:t>
      </w:r>
      <w:r w:rsidR="0067597C" w:rsidRPr="00252A6B">
        <w:t>6</w:t>
      </w:r>
      <w:r w:rsidRPr="00252A6B">
        <w:t>.</w:t>
      </w:r>
      <w:r w:rsidRPr="00252A6B">
        <w:tab/>
        <w:t>Payment for the 2010-2011</w:t>
      </w:r>
      <w:r w:rsidR="00230991">
        <w:t xml:space="preserve"> and 2011-2012</w:t>
      </w:r>
      <w:r w:rsidRPr="00252A6B">
        <w:t xml:space="preserve"> assessment</w:t>
      </w:r>
      <w:r w:rsidR="00230991">
        <w:t>s</w:t>
      </w:r>
      <w:r w:rsidRPr="00252A6B">
        <w:t xml:space="preserve"> was received by the Commission's Fiscal Office in January 2013.  Tr. 12-13</w:t>
      </w:r>
      <w:r w:rsidR="00230991">
        <w:t>, 18</w:t>
      </w:r>
      <w:r w:rsidRPr="00252A6B">
        <w:t>.</w:t>
      </w:r>
    </w:p>
    <w:p w:rsidR="00790D7C" w:rsidRPr="00252A6B" w:rsidRDefault="00790D7C" w:rsidP="00C16FB6">
      <w:pPr>
        <w:jc w:val="left"/>
      </w:pPr>
    </w:p>
    <w:p w:rsidR="00790D7C" w:rsidRPr="00252A6B" w:rsidRDefault="00790D7C" w:rsidP="00C16FB6">
      <w:pPr>
        <w:jc w:val="left"/>
      </w:pPr>
      <w:r w:rsidRPr="00252A6B">
        <w:tab/>
      </w:r>
      <w:r w:rsidRPr="00252A6B">
        <w:tab/>
      </w:r>
      <w:r w:rsidR="0067597C" w:rsidRPr="00252A6B">
        <w:t>17</w:t>
      </w:r>
      <w:r w:rsidRPr="00252A6B">
        <w:t>.</w:t>
      </w:r>
      <w:r w:rsidRPr="00252A6B">
        <w:tab/>
        <w:t>I&amp;E Exhibit 4 is a copy of Distinctive Limousine's 2010 calendar year assessment report.  Tr. 13.</w:t>
      </w:r>
    </w:p>
    <w:p w:rsidR="00790D7C" w:rsidRPr="00252A6B" w:rsidRDefault="00790D7C" w:rsidP="00C16FB6">
      <w:pPr>
        <w:jc w:val="left"/>
      </w:pPr>
    </w:p>
    <w:p w:rsidR="00790D7C" w:rsidRPr="00252A6B" w:rsidRDefault="00790D7C" w:rsidP="00C16FB6">
      <w:pPr>
        <w:jc w:val="left"/>
      </w:pPr>
      <w:r w:rsidRPr="00252A6B">
        <w:tab/>
      </w:r>
      <w:r w:rsidRPr="00252A6B">
        <w:tab/>
      </w:r>
      <w:r w:rsidR="0067597C" w:rsidRPr="00252A6B">
        <w:t>18</w:t>
      </w:r>
      <w:r w:rsidRPr="00252A6B">
        <w:t>.</w:t>
      </w:r>
      <w:r w:rsidRPr="00252A6B">
        <w:tab/>
      </w:r>
      <w:r w:rsidR="00DC33ED" w:rsidRPr="00252A6B">
        <w:t>I&amp;E Exhibit 5 is a copy of Distinctive Limousine's 2011-2012 assessment invoice</w:t>
      </w:r>
      <w:r w:rsidR="00155505" w:rsidRPr="00252A6B">
        <w:t>, dated September 23, 2011</w:t>
      </w:r>
      <w:r w:rsidR="00DC33ED" w:rsidRPr="00252A6B">
        <w:t>.  Tr. 14.</w:t>
      </w:r>
    </w:p>
    <w:p w:rsidR="00DC33ED" w:rsidRPr="00252A6B" w:rsidRDefault="00DC33ED" w:rsidP="00C16FB6">
      <w:pPr>
        <w:jc w:val="left"/>
      </w:pPr>
    </w:p>
    <w:p w:rsidR="00DC33ED" w:rsidRPr="00252A6B" w:rsidRDefault="00DC33ED" w:rsidP="00C16FB6">
      <w:pPr>
        <w:jc w:val="left"/>
      </w:pPr>
      <w:r w:rsidRPr="00252A6B">
        <w:tab/>
      </w:r>
      <w:r w:rsidRPr="00252A6B">
        <w:tab/>
        <w:t>1</w:t>
      </w:r>
      <w:r w:rsidR="0067597C" w:rsidRPr="00252A6B">
        <w:t>9</w:t>
      </w:r>
      <w:r w:rsidRPr="00252A6B">
        <w:t>.</w:t>
      </w:r>
      <w:r w:rsidRPr="00252A6B">
        <w:tab/>
        <w:t xml:space="preserve">The invoice was </w:t>
      </w:r>
      <w:r w:rsidR="0091394F" w:rsidRPr="00252A6B">
        <w:t xml:space="preserve">sent out </w:t>
      </w:r>
      <w:r w:rsidRPr="00252A6B">
        <w:t>by certified mail.  Tr. 14-15.</w:t>
      </w:r>
    </w:p>
    <w:p w:rsidR="00DC33ED" w:rsidRPr="00252A6B" w:rsidRDefault="00DC33ED" w:rsidP="00C16FB6">
      <w:pPr>
        <w:jc w:val="left"/>
      </w:pPr>
    </w:p>
    <w:p w:rsidR="00DC33ED" w:rsidRPr="00252A6B" w:rsidRDefault="00DC33ED" w:rsidP="00C16FB6">
      <w:pPr>
        <w:jc w:val="left"/>
      </w:pPr>
      <w:r w:rsidRPr="00252A6B">
        <w:tab/>
      </w:r>
      <w:r w:rsidRPr="00252A6B">
        <w:tab/>
      </w:r>
      <w:r w:rsidR="0067597C" w:rsidRPr="00252A6B">
        <w:t>20</w:t>
      </w:r>
      <w:r w:rsidRPr="00252A6B">
        <w:t>.</w:t>
      </w:r>
      <w:r w:rsidRPr="00252A6B">
        <w:tab/>
        <w:t>There is no return receipt for the certified mailing of the 2011-2012 invoice.  Tr. 15.</w:t>
      </w:r>
    </w:p>
    <w:p w:rsidR="00DC33ED" w:rsidRPr="00252A6B" w:rsidRDefault="00DC33ED" w:rsidP="00C16FB6">
      <w:pPr>
        <w:jc w:val="left"/>
      </w:pPr>
    </w:p>
    <w:p w:rsidR="00DC33ED" w:rsidRPr="00252A6B" w:rsidRDefault="00DC33ED" w:rsidP="00C16FB6">
      <w:pPr>
        <w:jc w:val="left"/>
      </w:pPr>
      <w:r w:rsidRPr="00252A6B">
        <w:tab/>
      </w:r>
      <w:r w:rsidRPr="00252A6B">
        <w:tab/>
      </w:r>
      <w:r w:rsidR="0067597C" w:rsidRPr="00252A6B">
        <w:t>21</w:t>
      </w:r>
      <w:r w:rsidRPr="00252A6B">
        <w:t>.</w:t>
      </w:r>
      <w:r w:rsidRPr="00252A6B">
        <w:tab/>
        <w:t>Following telephone contact with Respondent's wife, Ms. Daub sent both of the invoices by email on November 7, 2011.  Tr. 15-16.</w:t>
      </w:r>
    </w:p>
    <w:p w:rsidR="00DC33ED" w:rsidRPr="00252A6B" w:rsidRDefault="00DC33ED" w:rsidP="00C16FB6">
      <w:pPr>
        <w:jc w:val="left"/>
      </w:pPr>
    </w:p>
    <w:p w:rsidR="00DC33ED" w:rsidRPr="00252A6B" w:rsidRDefault="00DC33ED" w:rsidP="00C16FB6">
      <w:pPr>
        <w:jc w:val="left"/>
      </w:pPr>
      <w:r w:rsidRPr="00252A6B">
        <w:tab/>
      </w:r>
      <w:r w:rsidRPr="00252A6B">
        <w:tab/>
      </w:r>
      <w:r w:rsidR="0067597C" w:rsidRPr="00252A6B">
        <w:t>22</w:t>
      </w:r>
      <w:r w:rsidRPr="00252A6B">
        <w:t>.</w:t>
      </w:r>
      <w:r w:rsidRPr="00252A6B">
        <w:tab/>
        <w:t>The invoices were sent by first-class mail.  Tr. 16.</w:t>
      </w:r>
    </w:p>
    <w:p w:rsidR="00DC33ED" w:rsidRPr="00252A6B" w:rsidRDefault="00DC33ED" w:rsidP="00C16FB6">
      <w:pPr>
        <w:jc w:val="left"/>
      </w:pPr>
    </w:p>
    <w:p w:rsidR="00DC33ED" w:rsidRPr="00252A6B" w:rsidRDefault="00DC33ED" w:rsidP="00C16FB6">
      <w:pPr>
        <w:jc w:val="left"/>
      </w:pPr>
      <w:r w:rsidRPr="00252A6B">
        <w:tab/>
      </w:r>
      <w:r w:rsidRPr="00252A6B">
        <w:tab/>
        <w:t>2</w:t>
      </w:r>
      <w:r w:rsidR="0067597C" w:rsidRPr="00252A6B">
        <w:t>3</w:t>
      </w:r>
      <w:r w:rsidRPr="00252A6B">
        <w:t>.</w:t>
      </w:r>
      <w:r w:rsidRPr="00252A6B">
        <w:tab/>
        <w:t>Neither the email nor the first-class mail was returned as undeliverable.  Tr. 16.</w:t>
      </w:r>
    </w:p>
    <w:p w:rsidR="00DC33ED" w:rsidRPr="00252A6B" w:rsidRDefault="00DC33ED" w:rsidP="00C16FB6">
      <w:pPr>
        <w:jc w:val="left"/>
      </w:pPr>
    </w:p>
    <w:p w:rsidR="00DC33ED" w:rsidRPr="00252A6B" w:rsidRDefault="00DC33ED" w:rsidP="00C16FB6">
      <w:pPr>
        <w:jc w:val="left"/>
      </w:pPr>
      <w:r w:rsidRPr="00252A6B">
        <w:lastRenderedPageBreak/>
        <w:tab/>
      </w:r>
      <w:r w:rsidRPr="00252A6B">
        <w:tab/>
      </w:r>
      <w:r w:rsidR="0067597C" w:rsidRPr="00252A6B">
        <w:t>24</w:t>
      </w:r>
      <w:r w:rsidRPr="00252A6B">
        <w:t>.</w:t>
      </w:r>
      <w:r w:rsidRPr="00252A6B">
        <w:tab/>
        <w:t>I&amp;E Exhibit 6 is the Notice of Assessment that accompanied the 2011-2012 assessment invoice.  Tr. 17.</w:t>
      </w:r>
    </w:p>
    <w:p w:rsidR="00DC33ED" w:rsidRPr="00252A6B" w:rsidRDefault="00DC33ED" w:rsidP="00C16FB6">
      <w:pPr>
        <w:jc w:val="left"/>
      </w:pPr>
    </w:p>
    <w:p w:rsidR="00DC33ED" w:rsidRPr="00252A6B" w:rsidRDefault="002C56ED" w:rsidP="002C56ED">
      <w:pPr>
        <w:rPr>
          <w:u w:val="single"/>
        </w:rPr>
      </w:pPr>
      <w:r w:rsidRPr="00252A6B">
        <w:rPr>
          <w:u w:val="single"/>
        </w:rPr>
        <w:t>DISCUSSION</w:t>
      </w:r>
    </w:p>
    <w:p w:rsidR="002C56ED" w:rsidRPr="00252A6B" w:rsidRDefault="002C56ED" w:rsidP="002C56ED">
      <w:pPr>
        <w:rPr>
          <w:u w:val="single"/>
        </w:rPr>
      </w:pPr>
    </w:p>
    <w:p w:rsidR="006A6996" w:rsidRPr="00252A6B" w:rsidRDefault="006A6996" w:rsidP="006A6996">
      <w:pPr>
        <w:jc w:val="left"/>
      </w:pPr>
      <w:r w:rsidRPr="00252A6B">
        <w:tab/>
      </w:r>
      <w:r w:rsidRPr="00252A6B">
        <w:tab/>
        <w:t>The Complaint charges that Respondent has failed to pay his annual assessment for two consecutive fiscal years.</w:t>
      </w:r>
    </w:p>
    <w:p w:rsidR="002C56ED" w:rsidRPr="00252A6B" w:rsidRDefault="002C56ED" w:rsidP="006A6996">
      <w:pPr>
        <w:jc w:val="left"/>
      </w:pPr>
      <w:r w:rsidRPr="00252A6B">
        <w:tab/>
      </w:r>
      <w:r w:rsidRPr="00252A6B">
        <w:tab/>
      </w:r>
    </w:p>
    <w:p w:rsidR="002C56ED" w:rsidRPr="00252A6B" w:rsidRDefault="002C56ED" w:rsidP="00636FF4">
      <w:pPr>
        <w:jc w:val="left"/>
      </w:pPr>
      <w:r w:rsidRPr="00252A6B">
        <w:tab/>
      </w:r>
      <w:r w:rsidRPr="00252A6B">
        <w:tab/>
        <w:t xml:space="preserve">Pursuant to Section 701 of the </w:t>
      </w:r>
      <w:r w:rsidRPr="00252A6B">
        <w:rPr>
          <w:rStyle w:val="term1"/>
          <w:b w:val="0"/>
        </w:rPr>
        <w:t>Public</w:t>
      </w:r>
      <w:r w:rsidRPr="00252A6B">
        <w:rPr>
          <w:b/>
        </w:rPr>
        <w:t xml:space="preserve"> </w:t>
      </w:r>
      <w:r w:rsidRPr="00252A6B">
        <w:t xml:space="preserve">Utility Code (Code), </w:t>
      </w:r>
      <w:hyperlink r:id="rId7" w:history="1">
        <w:r w:rsidRPr="00252A6B">
          <w:rPr>
            <w:rStyle w:val="Hyperlink"/>
            <w:color w:val="auto"/>
            <w:u w:val="none"/>
          </w:rPr>
          <w:t>66 Pa. C.S. § 701</w:t>
        </w:r>
      </w:hyperlink>
      <w:r w:rsidRPr="00252A6B">
        <w:t xml:space="preserve">, the Commission may file a complaint against a </w:t>
      </w:r>
      <w:r w:rsidRPr="00252A6B">
        <w:rPr>
          <w:rStyle w:val="term1"/>
          <w:b w:val="0"/>
        </w:rPr>
        <w:t>public</w:t>
      </w:r>
      <w:r w:rsidRPr="00252A6B">
        <w:rPr>
          <w:b/>
        </w:rPr>
        <w:t xml:space="preserve"> </w:t>
      </w:r>
      <w:r w:rsidRPr="00252A6B">
        <w:t>utility f</w:t>
      </w:r>
      <w:r w:rsidR="00705065">
        <w:t xml:space="preserve">or violation of any section of </w:t>
      </w:r>
      <w:r w:rsidRPr="00252A6B">
        <w:t xml:space="preserve">the Code, or any regulation or order of the Commission. </w:t>
      </w:r>
      <w:r w:rsidR="0046246B">
        <w:t xml:space="preserve"> </w:t>
      </w:r>
      <w:r w:rsidRPr="00252A6B">
        <w:t xml:space="preserve">Because </w:t>
      </w:r>
      <w:r w:rsidR="007E764F" w:rsidRPr="00252A6B">
        <w:t>I</w:t>
      </w:r>
      <w:r w:rsidR="00636FF4" w:rsidRPr="00252A6B">
        <w:t>&amp;</w:t>
      </w:r>
      <w:r w:rsidR="007E764F" w:rsidRPr="00252A6B">
        <w:t>E</w:t>
      </w:r>
      <w:r w:rsidRPr="00252A6B">
        <w:t xml:space="preserve"> is the complainant in this proceeding, it bears the burden of proof.  </w:t>
      </w:r>
      <w:hyperlink r:id="rId8" w:history="1">
        <w:r w:rsidRPr="00252A6B">
          <w:rPr>
            <w:rStyle w:val="Hyperlink"/>
            <w:color w:val="auto"/>
            <w:u w:val="none"/>
          </w:rPr>
          <w:t>66 Pa. C.S. § 332(a)</w:t>
        </w:r>
      </w:hyperlink>
      <w:r w:rsidRPr="00252A6B">
        <w:t>.  The term "burden of proof" means a duty to establish a fact by a preponderance of the evidence</w:t>
      </w:r>
      <w:r w:rsidRPr="00252A6B">
        <w:rPr>
          <w:i/>
        </w:rPr>
        <w:t>.  Se-Ling Hosiery v. Margulies</w:t>
      </w:r>
      <w:r w:rsidRPr="00252A6B">
        <w:t xml:space="preserve">, 364 Pa. 45, 70 A.2d 854 (1950). </w:t>
      </w:r>
      <w:r w:rsidR="007105B1">
        <w:t xml:space="preserve"> </w:t>
      </w:r>
      <w:r w:rsidRPr="00252A6B">
        <w:t xml:space="preserve">The term "preponderance of the evidence" means that one party has presented evidence which is more convincing, by even the smallest degree, than the evidence presented by the other party. </w:t>
      </w:r>
      <w:r w:rsidR="0098145D">
        <w:t xml:space="preserve"> </w:t>
      </w:r>
      <w:r w:rsidRPr="00252A6B">
        <w:t xml:space="preserve">To establish a sufficient case against a utility and satisfy the burden of proof, a complainant must show that the utility is responsible or accountable for the problem described in the complaint. </w:t>
      </w:r>
      <w:r w:rsidR="00E73CEF">
        <w:t xml:space="preserve"> </w:t>
      </w:r>
      <w:hyperlink r:id="rId9" w:history="1">
        <w:r w:rsidRPr="00252A6B">
          <w:rPr>
            <w:rStyle w:val="Hyperlink"/>
            <w:i/>
            <w:color w:val="auto"/>
            <w:u w:val="none"/>
          </w:rPr>
          <w:t>Feinstein v. Philadelphia Suburban Water Company</w:t>
        </w:r>
        <w:r w:rsidRPr="00252A6B">
          <w:rPr>
            <w:rStyle w:val="Hyperlink"/>
            <w:color w:val="auto"/>
            <w:u w:val="none"/>
          </w:rPr>
          <w:t>, 50 Pa. PUC 300 (1986).</w:t>
        </w:r>
      </w:hyperlink>
      <w:r w:rsidRPr="00252A6B">
        <w:t xml:space="preserve">  Therefore, </w:t>
      </w:r>
      <w:r w:rsidR="007E764F" w:rsidRPr="00252A6B">
        <w:t>I&amp;E</w:t>
      </w:r>
      <w:r w:rsidRPr="00252A6B">
        <w:t xml:space="preserve"> is charged with the burden of proof in this matter.</w:t>
      </w:r>
    </w:p>
    <w:p w:rsidR="006A6996" w:rsidRPr="00252A6B" w:rsidRDefault="006A6996" w:rsidP="00636FF4">
      <w:pPr>
        <w:jc w:val="left"/>
      </w:pPr>
    </w:p>
    <w:p w:rsidR="006A6996" w:rsidRPr="00252A6B" w:rsidRDefault="006A6996" w:rsidP="00636FF4">
      <w:pPr>
        <w:jc w:val="left"/>
      </w:pPr>
      <w:r w:rsidRPr="00252A6B">
        <w:tab/>
      </w:r>
      <w:r w:rsidRPr="00252A6B">
        <w:tab/>
        <w:t>The cost of regulating public utilities is borne by the public utilities that are regulated.  Section 510 of the Public Utility Code, 66 Pa. C.S. § 510, requires that, on or before March 31</w:t>
      </w:r>
      <w:r w:rsidRPr="00252A6B">
        <w:rPr>
          <w:vertAlign w:val="superscript"/>
        </w:rPr>
        <w:t>st</w:t>
      </w:r>
      <w:r w:rsidRPr="00252A6B">
        <w:t xml:space="preserve"> of each year, each jurisdictional public utility provide a statement of jurisdictional operating revenues for the preceding calendar year.  Based on the application of a specific formula, the Commission determines the amount of each utility's assessment</w:t>
      </w:r>
      <w:r w:rsidR="00F35E34" w:rsidRPr="00252A6B">
        <w:t xml:space="preserve"> from that utility's reported jurisdictional revenues, or an estimate if the actual number has not been provided timely,</w:t>
      </w:r>
      <w:r w:rsidRPr="00252A6B">
        <w:t xml:space="preserve"> and sends that assessment to the utility.</w:t>
      </w:r>
    </w:p>
    <w:p w:rsidR="006A6996" w:rsidRPr="00252A6B" w:rsidRDefault="006A6996" w:rsidP="00636FF4">
      <w:pPr>
        <w:jc w:val="left"/>
      </w:pPr>
    </w:p>
    <w:p w:rsidR="00466561" w:rsidRPr="00252A6B" w:rsidRDefault="006A6996" w:rsidP="00636FF4">
      <w:pPr>
        <w:jc w:val="left"/>
      </w:pPr>
      <w:r w:rsidRPr="00252A6B">
        <w:tab/>
      </w:r>
      <w:r w:rsidRPr="00252A6B">
        <w:tab/>
        <w:t>The Public Utility Code requires that the Commission serve the assessment on each utility by registered or certified mail</w:t>
      </w:r>
      <w:r w:rsidR="009E5D2E" w:rsidRPr="00252A6B">
        <w:t xml:space="preserve">, 66 Pa. C.S. § 510(c).  Under that same subsection, a </w:t>
      </w:r>
      <w:r w:rsidR="009E5D2E" w:rsidRPr="00252A6B">
        <w:lastRenderedPageBreak/>
        <w:t xml:space="preserve">utility has thirty days to pay the assessment.  The utility has only fifteen days to object to the assessment, but an objected-to assessment must still be paid pending the outcome of the objection.  </w:t>
      </w:r>
      <w:r w:rsidR="009E5D2E" w:rsidRPr="00252A6B">
        <w:rPr>
          <w:i/>
        </w:rPr>
        <w:t>See Pittsburgh Limousine, Inc. v. Pa. PUC, Bureau of Transportation and Safety</w:t>
      </w:r>
      <w:r w:rsidR="009E5D2E" w:rsidRPr="00252A6B">
        <w:t>, 762 A.2d 1150 (Pa. Cmwlth. Ct. 2000).</w:t>
      </w:r>
    </w:p>
    <w:p w:rsidR="00466561" w:rsidRPr="00252A6B" w:rsidRDefault="00466561" w:rsidP="00636FF4">
      <w:pPr>
        <w:jc w:val="left"/>
      </w:pPr>
    </w:p>
    <w:p w:rsidR="00FE03DF" w:rsidRPr="00252A6B" w:rsidRDefault="00466561" w:rsidP="00636FF4">
      <w:pPr>
        <w:jc w:val="left"/>
      </w:pPr>
      <w:r w:rsidRPr="00252A6B">
        <w:tab/>
      </w:r>
      <w:r w:rsidRPr="00252A6B">
        <w:tab/>
        <w:t>In this instance, the Respondent</w:t>
      </w:r>
      <w:r w:rsidR="003034EE" w:rsidRPr="00252A6B">
        <w:t xml:space="preserve"> has</w:t>
      </w:r>
      <w:r w:rsidRPr="00252A6B">
        <w:t xml:space="preserve"> not challeng</w:t>
      </w:r>
      <w:r w:rsidR="003034EE" w:rsidRPr="00252A6B">
        <w:t>ed</w:t>
      </w:r>
      <w:r w:rsidRPr="00252A6B">
        <w:t xml:space="preserve"> the amount of either assessment.  Rather, the issue</w:t>
      </w:r>
      <w:r w:rsidR="0091394F" w:rsidRPr="00252A6B">
        <w:t>s</w:t>
      </w:r>
      <w:r w:rsidRPr="00252A6B">
        <w:t xml:space="preserve"> at hand </w:t>
      </w:r>
      <w:r w:rsidR="0091394F" w:rsidRPr="00252A6B">
        <w:t>are: (1)</w:t>
      </w:r>
      <w:r w:rsidRPr="00252A6B">
        <w:t xml:space="preserve"> </w:t>
      </w:r>
      <w:r w:rsidR="003034EE" w:rsidRPr="00252A6B">
        <w:t xml:space="preserve">proper </w:t>
      </w:r>
      <w:r w:rsidRPr="00252A6B">
        <w:t>service</w:t>
      </w:r>
      <w:r w:rsidR="0091394F" w:rsidRPr="00252A6B">
        <w:t xml:space="preserve"> of the invoices; and (2) the duty of the utility</w:t>
      </w:r>
      <w:r w:rsidRPr="00252A6B">
        <w:t>.</w:t>
      </w:r>
    </w:p>
    <w:p w:rsidR="00FE03DF" w:rsidRPr="00252A6B" w:rsidRDefault="00FE03DF" w:rsidP="00636FF4">
      <w:pPr>
        <w:jc w:val="left"/>
      </w:pPr>
    </w:p>
    <w:p w:rsidR="00D3580B" w:rsidRPr="00252A6B" w:rsidRDefault="00FE03DF" w:rsidP="00636FF4">
      <w:pPr>
        <w:jc w:val="left"/>
      </w:pPr>
      <w:r w:rsidRPr="00252A6B">
        <w:tab/>
      </w:r>
      <w:r w:rsidRPr="00252A6B">
        <w:tab/>
      </w:r>
      <w:r w:rsidR="00875A0F" w:rsidRPr="00252A6B">
        <w:t>T</w:t>
      </w:r>
      <w:r w:rsidR="00466561" w:rsidRPr="00252A6B">
        <w:t xml:space="preserve">he Public Utility Code requires that a utility file </w:t>
      </w:r>
      <w:r w:rsidR="00875A0F" w:rsidRPr="00252A6B">
        <w:t xml:space="preserve">a report of </w:t>
      </w:r>
      <w:r w:rsidR="00466561" w:rsidRPr="00252A6B">
        <w:t>its jurisdictional operating revenues for the preceding calendar year on or before March 31</w:t>
      </w:r>
      <w:r w:rsidR="00466561" w:rsidRPr="00252A6B">
        <w:rPr>
          <w:vertAlign w:val="superscript"/>
        </w:rPr>
        <w:t>st</w:t>
      </w:r>
      <w:r w:rsidR="00466561" w:rsidRPr="00252A6B">
        <w:t xml:space="preserve">.  This </w:t>
      </w:r>
      <w:r w:rsidR="007111A2" w:rsidRPr="00252A6B">
        <w:t xml:space="preserve">section of the statute </w:t>
      </w:r>
      <w:r w:rsidR="00466561" w:rsidRPr="00252A6B">
        <w:t>creates an affirmative duty that does not depend on the action of the Commission, such as sending the f</w:t>
      </w:r>
      <w:r w:rsidR="00D3580B" w:rsidRPr="00252A6B">
        <w:t xml:space="preserve">orms, to trigger the duty.  </w:t>
      </w:r>
      <w:r w:rsidR="00875A0F" w:rsidRPr="00252A6B">
        <w:t>The record shows that</w:t>
      </w:r>
      <w:r w:rsidR="007111A2" w:rsidRPr="00252A6B">
        <w:t xml:space="preserve"> t</w:t>
      </w:r>
      <w:r w:rsidR="00D3580B" w:rsidRPr="00252A6B">
        <w:t>h</w:t>
      </w:r>
      <w:r w:rsidRPr="00252A6B">
        <w:t>e revenue report</w:t>
      </w:r>
      <w:r w:rsidR="007111A2" w:rsidRPr="00252A6B">
        <w:t xml:space="preserve"> was</w:t>
      </w:r>
      <w:r w:rsidRPr="00252A6B">
        <w:t xml:space="preserve"> sent to</w:t>
      </w:r>
      <w:r w:rsidR="007111A2" w:rsidRPr="00252A6B">
        <w:t xml:space="preserve"> Respondent by first-class mail and was returned</w:t>
      </w:r>
      <w:r w:rsidR="00875A0F" w:rsidRPr="00252A6B">
        <w:t xml:space="preserve"> by Respondent</w:t>
      </w:r>
      <w:r w:rsidR="007111A2" w:rsidRPr="00252A6B">
        <w:t xml:space="preserve"> as required</w:t>
      </w:r>
      <w:r w:rsidR="00466561" w:rsidRPr="00252A6B">
        <w:t>.  I&amp;E Exhibi</w:t>
      </w:r>
      <w:r w:rsidR="00D3580B" w:rsidRPr="00252A6B">
        <w:t>ts</w:t>
      </w:r>
      <w:r w:rsidR="00466561" w:rsidRPr="00252A6B">
        <w:t xml:space="preserve"> 1</w:t>
      </w:r>
      <w:r w:rsidR="00951B23">
        <w:t xml:space="preserve"> and </w:t>
      </w:r>
      <w:r w:rsidR="00D3580B" w:rsidRPr="00252A6B">
        <w:t>4</w:t>
      </w:r>
      <w:r w:rsidR="00466561" w:rsidRPr="00252A6B">
        <w:t>.</w:t>
      </w:r>
    </w:p>
    <w:p w:rsidR="00D3580B" w:rsidRPr="00252A6B" w:rsidRDefault="00D3580B" w:rsidP="00636FF4">
      <w:pPr>
        <w:jc w:val="left"/>
      </w:pPr>
    </w:p>
    <w:p w:rsidR="00F35E34" w:rsidRPr="00252A6B" w:rsidRDefault="00D3580B" w:rsidP="00636FF4">
      <w:pPr>
        <w:jc w:val="left"/>
      </w:pPr>
      <w:r w:rsidRPr="00252A6B">
        <w:tab/>
      </w:r>
      <w:r w:rsidRPr="00252A6B">
        <w:tab/>
        <w:t xml:space="preserve">The next step in the process is for the Commission to develop the invoices based on the information provided in the report form, and to send out the invoices to the utilities.  </w:t>
      </w:r>
      <w:r w:rsidR="0091394F" w:rsidRPr="00252A6B">
        <w:t>Ms. Daub testified that assessments lower than $100 are</w:t>
      </w:r>
      <w:r w:rsidR="00466561" w:rsidRPr="00252A6B">
        <w:t xml:space="preserve"> </w:t>
      </w:r>
      <w:r w:rsidR="0091394F" w:rsidRPr="00252A6B">
        <w:t>sent by regular mail, and invoices for more than $100 are sent by certified mail, Tr. 10</w:t>
      </w:r>
      <w:r w:rsidR="003D5637" w:rsidRPr="00252A6B">
        <w:t>.</w:t>
      </w:r>
    </w:p>
    <w:p w:rsidR="00F35E34" w:rsidRPr="00252A6B" w:rsidRDefault="00F35E34" w:rsidP="00636FF4">
      <w:pPr>
        <w:jc w:val="left"/>
      </w:pPr>
    </w:p>
    <w:p w:rsidR="00FE03DF" w:rsidRPr="00252A6B" w:rsidRDefault="00FE03DF" w:rsidP="00636FF4">
      <w:pPr>
        <w:jc w:val="left"/>
      </w:pPr>
      <w:r w:rsidRPr="00252A6B">
        <w:tab/>
      </w:r>
      <w:r w:rsidRPr="00252A6B">
        <w:tab/>
      </w:r>
      <w:r w:rsidR="00875A0F" w:rsidRPr="00252A6B">
        <w:t xml:space="preserve">The Public Utility Code requires that the Commission serve the invoice by either registered or certified mail.  66 Pa. C.S. 510(c).  </w:t>
      </w:r>
      <w:r w:rsidRPr="00252A6B">
        <w:rPr>
          <w:rFonts w:eastAsia="Times New Roman"/>
        </w:rPr>
        <w:t xml:space="preserve">Whether a statute is </w:t>
      </w:r>
      <w:r w:rsidRPr="00252A6B">
        <w:rPr>
          <w:rFonts w:eastAsia="Times New Roman"/>
          <w:bCs/>
        </w:rPr>
        <w:t>mandatory or directory</w:t>
      </w:r>
      <w:r w:rsidRPr="00252A6B">
        <w:rPr>
          <w:rFonts w:eastAsia="Times New Roman"/>
        </w:rPr>
        <w:t xml:space="preserve"> must be determined by considering legislative intent gleaned from review of the entire statute and from considering the nature and object</w:t>
      </w:r>
      <w:r w:rsidR="007111A2" w:rsidRPr="00252A6B">
        <w:rPr>
          <w:rFonts w:eastAsia="Times New Roman"/>
        </w:rPr>
        <w:t>ive</w:t>
      </w:r>
      <w:r w:rsidRPr="00252A6B">
        <w:rPr>
          <w:rFonts w:eastAsia="Times New Roman"/>
        </w:rPr>
        <w:t xml:space="preserve"> of the statute and the consequences of the construction of it one way or the other. </w:t>
      </w:r>
      <w:r w:rsidR="00232D82">
        <w:rPr>
          <w:rFonts w:eastAsia="Times New Roman"/>
        </w:rPr>
        <w:t xml:space="preserve"> </w:t>
      </w:r>
      <w:hyperlink r:id="rId10" w:history="1">
        <w:r w:rsidRPr="00252A6B">
          <w:rPr>
            <w:rFonts w:eastAsia="Times New Roman"/>
            <w:i/>
            <w:iCs/>
          </w:rPr>
          <w:t>Pennsylvania Railroad Com. v. Bd of Revision of Taxes,</w:t>
        </w:r>
        <w:r w:rsidR="00232D82">
          <w:rPr>
            <w:rFonts w:eastAsia="Times New Roman"/>
          </w:rPr>
          <w:t> </w:t>
        </w:r>
        <w:r w:rsidRPr="00252A6B">
          <w:rPr>
            <w:rFonts w:eastAsia="Times New Roman"/>
          </w:rPr>
          <w:t>372 Pa. 468, 92 A.2d 679 (1953).</w:t>
        </w:r>
      </w:hyperlink>
      <w:r w:rsidRPr="00252A6B">
        <w:rPr>
          <w:rFonts w:eastAsia="Times New Roman"/>
        </w:rPr>
        <w:t xml:space="preserve"> </w:t>
      </w:r>
      <w:r w:rsidR="00876590">
        <w:rPr>
          <w:rFonts w:eastAsia="Times New Roman"/>
        </w:rPr>
        <w:t xml:space="preserve"> </w:t>
      </w:r>
      <w:r w:rsidRPr="00252A6B">
        <w:rPr>
          <w:rFonts w:eastAsia="Times New Roman"/>
        </w:rPr>
        <w:t xml:space="preserve">If the thing directed to be done is the essence of the thing required, the statute is </w:t>
      </w:r>
      <w:r w:rsidRPr="00252A6B">
        <w:rPr>
          <w:rFonts w:eastAsia="Times New Roman"/>
          <w:bCs/>
        </w:rPr>
        <w:t>mandatory</w:t>
      </w:r>
      <w:r w:rsidRPr="008F4BE9">
        <w:rPr>
          <w:rFonts w:eastAsia="Times New Roman"/>
          <w:bCs/>
        </w:rPr>
        <w:t>.</w:t>
      </w:r>
      <w:r w:rsidRPr="00252A6B">
        <w:rPr>
          <w:rFonts w:eastAsia="Times New Roman"/>
        </w:rPr>
        <w:t xml:space="preserve"> </w:t>
      </w:r>
      <w:r w:rsidR="008F4BE9">
        <w:rPr>
          <w:rFonts w:eastAsia="Times New Roman"/>
        </w:rPr>
        <w:t xml:space="preserve"> </w:t>
      </w:r>
      <w:r w:rsidRPr="00252A6B">
        <w:rPr>
          <w:rFonts w:eastAsia="Times New Roman"/>
          <w:i/>
          <w:iCs/>
        </w:rPr>
        <w:t>Id.</w:t>
      </w:r>
      <w:r w:rsidRPr="00252A6B">
        <w:rPr>
          <w:rFonts w:eastAsia="Times New Roman"/>
        </w:rPr>
        <w:t xml:space="preserve"> </w:t>
      </w:r>
      <w:r w:rsidR="008F4BE9">
        <w:rPr>
          <w:rFonts w:eastAsia="Times New Roman"/>
        </w:rPr>
        <w:t xml:space="preserve"> </w:t>
      </w:r>
      <w:r w:rsidRPr="00252A6B">
        <w:rPr>
          <w:rFonts w:eastAsia="Times New Roman"/>
        </w:rPr>
        <w:t xml:space="preserve">If, however, the statute merely directs that certain proceedings be done in a certain manner or at a certain time, it is </w:t>
      </w:r>
      <w:r w:rsidRPr="00252A6B">
        <w:rPr>
          <w:rFonts w:eastAsia="Times New Roman"/>
          <w:bCs/>
        </w:rPr>
        <w:t>directory.</w:t>
      </w:r>
      <w:r w:rsidRPr="00252A6B">
        <w:rPr>
          <w:rFonts w:eastAsia="Times New Roman"/>
        </w:rPr>
        <w:t xml:space="preserve"> </w:t>
      </w:r>
      <w:r w:rsidR="004B6DEC">
        <w:rPr>
          <w:rFonts w:eastAsia="Times New Roman"/>
        </w:rPr>
        <w:t xml:space="preserve"> </w:t>
      </w:r>
      <w:hyperlink r:id="rId11" w:history="1">
        <w:r w:rsidRPr="00252A6B">
          <w:rPr>
            <w:rFonts w:eastAsia="Times New Roman"/>
            <w:i/>
            <w:iCs/>
          </w:rPr>
          <w:t>Prichard v. Willistown Township School District,</w:t>
        </w:r>
        <w:r w:rsidRPr="00252A6B">
          <w:rPr>
            <w:rFonts w:eastAsia="Times New Roman"/>
          </w:rPr>
          <w:t xml:space="preserve"> 394 Pa. 489, 147 A.2d 380 (1959).</w:t>
        </w:r>
      </w:hyperlink>
      <w:r w:rsidRPr="00252A6B">
        <w:rPr>
          <w:rFonts w:eastAsia="Times New Roman"/>
        </w:rPr>
        <w:t xml:space="preserve"> </w:t>
      </w:r>
      <w:r w:rsidR="00562D35">
        <w:rPr>
          <w:rFonts w:eastAsia="Times New Roman"/>
        </w:rPr>
        <w:t xml:space="preserve"> </w:t>
      </w:r>
      <w:r w:rsidRPr="00252A6B">
        <w:rPr>
          <w:rFonts w:eastAsia="Times New Roman"/>
        </w:rPr>
        <w:t xml:space="preserve">Failure to follow a </w:t>
      </w:r>
      <w:r w:rsidRPr="00252A6B">
        <w:rPr>
          <w:rFonts w:eastAsia="Times New Roman"/>
          <w:bCs/>
        </w:rPr>
        <w:t>mandatory</w:t>
      </w:r>
      <w:r w:rsidRPr="00252A6B">
        <w:rPr>
          <w:rFonts w:eastAsia="Times New Roman"/>
        </w:rPr>
        <w:t xml:space="preserve"> statute renders the proceedings void, whereas failure to follow a </w:t>
      </w:r>
      <w:r w:rsidRPr="00252A6B">
        <w:rPr>
          <w:rFonts w:eastAsia="Times New Roman"/>
          <w:bCs/>
        </w:rPr>
        <w:t>directory</w:t>
      </w:r>
      <w:r w:rsidRPr="00252A6B">
        <w:rPr>
          <w:rFonts w:eastAsia="Times New Roman"/>
        </w:rPr>
        <w:t xml:space="preserve"> statute does </w:t>
      </w:r>
      <w:r w:rsidRPr="00252A6B">
        <w:rPr>
          <w:rFonts w:eastAsia="Times New Roman"/>
        </w:rPr>
        <w:lastRenderedPageBreak/>
        <w:t xml:space="preserve">not. </w:t>
      </w:r>
      <w:r w:rsidR="00F74001">
        <w:rPr>
          <w:rFonts w:eastAsia="Times New Roman"/>
        </w:rPr>
        <w:t xml:space="preserve"> </w:t>
      </w:r>
      <w:hyperlink r:id="rId12" w:history="1">
        <w:r w:rsidRPr="00252A6B">
          <w:rPr>
            <w:rFonts w:eastAsia="Times New Roman"/>
            <w:i/>
            <w:iCs/>
          </w:rPr>
          <w:t>American Labor Party Case,</w:t>
        </w:r>
        <w:r w:rsidRPr="00252A6B">
          <w:rPr>
            <w:rFonts w:eastAsia="Times New Roman"/>
          </w:rPr>
          <w:t xml:space="preserve"> 352 Pa. 576, 44 A.2d 48 (1945).</w:t>
        </w:r>
      </w:hyperlink>
      <w:r w:rsidRPr="00252A6B">
        <w:rPr>
          <w:rFonts w:eastAsia="Times New Roman"/>
        </w:rPr>
        <w:t xml:space="preserve"> </w:t>
      </w:r>
      <w:r w:rsidR="00F74001">
        <w:rPr>
          <w:rFonts w:eastAsia="Times New Roman"/>
        </w:rPr>
        <w:t xml:space="preserve"> </w:t>
      </w:r>
      <w:hyperlink r:id="rId13" w:history="1">
        <w:r w:rsidRPr="00252A6B">
          <w:rPr>
            <w:rFonts w:eastAsia="Times New Roman"/>
            <w:i/>
            <w:iCs/>
          </w:rPr>
          <w:t>West Penn Power Co. v. Pa. Publ. Util. Comm'n, 521 A.2d 75</w:t>
        </w:r>
      </w:hyperlink>
      <w:r w:rsidRPr="00252A6B">
        <w:rPr>
          <w:rFonts w:eastAsia="Times New Roman"/>
          <w:i/>
          <w:iCs/>
        </w:rPr>
        <w:t xml:space="preserve"> (Pa. Cmwlth. Ct.</w:t>
      </w:r>
      <w:r w:rsidRPr="00252A6B">
        <w:rPr>
          <w:rFonts w:eastAsia="Times New Roman"/>
        </w:rPr>
        <w:t xml:space="preserve"> </w:t>
      </w:r>
      <w:r w:rsidRPr="00252A6B">
        <w:rPr>
          <w:rFonts w:eastAsia="Times New Roman"/>
          <w:i/>
          <w:iCs/>
        </w:rPr>
        <w:t>1985).</w:t>
      </w:r>
      <w:r w:rsidRPr="00252A6B">
        <w:rPr>
          <w:rFonts w:eastAsia="Times New Roman"/>
        </w:rPr>
        <w:br/>
      </w:r>
    </w:p>
    <w:p w:rsidR="00F35E34" w:rsidRPr="00252A6B" w:rsidRDefault="00F35E34" w:rsidP="00F35E34">
      <w:pPr>
        <w:jc w:val="left"/>
      </w:pPr>
      <w:r w:rsidRPr="00252A6B">
        <w:tab/>
      </w:r>
      <w:r w:rsidRPr="00252A6B">
        <w:tab/>
        <w:t xml:space="preserve">The purpose of </w:t>
      </w:r>
      <w:r w:rsidR="007111A2" w:rsidRPr="00252A6B">
        <w:t xml:space="preserve">requiring service by </w:t>
      </w:r>
      <w:r w:rsidRPr="00252A6B">
        <w:t>certified or registered mail is to both ensure that the mailed item arrives in the hands of the person</w:t>
      </w:r>
      <w:r w:rsidR="008D4A6E">
        <w:t xml:space="preserve"> to whom</w:t>
      </w:r>
      <w:r w:rsidRPr="00252A6B">
        <w:t xml:space="preserve"> it is addressed, and to provide a record, which is a prima facie proof of service of process in legal matters such as this one.  The statutory requirement that service of the invoice be by registered or certified mail is meant to provide protections for both the issuing authority and the utility, but the goal of the statute is that the utility be served with the invoices.  The statute merely directs that the service be done in a certain manner, rendering the certified or registered mail requirement directory.  Accordingly, failure to effect service by certified mail does not render the proceeding void.</w:t>
      </w:r>
    </w:p>
    <w:p w:rsidR="00F35E34" w:rsidRPr="00252A6B" w:rsidRDefault="00F35E34" w:rsidP="00F35E34">
      <w:pPr>
        <w:jc w:val="left"/>
      </w:pPr>
      <w:r w:rsidRPr="00252A6B">
        <w:tab/>
      </w:r>
      <w:r w:rsidRPr="00252A6B">
        <w:tab/>
      </w:r>
    </w:p>
    <w:p w:rsidR="00F35E34" w:rsidRPr="00252A6B" w:rsidRDefault="00F35E34" w:rsidP="00636FF4">
      <w:pPr>
        <w:jc w:val="left"/>
      </w:pPr>
      <w:r w:rsidRPr="00252A6B">
        <w:tab/>
      </w:r>
      <w:r w:rsidRPr="00252A6B">
        <w:tab/>
        <w:t xml:space="preserve">Typically, lack of service by certified mail is cured by service by first-class mail and publication.  </w:t>
      </w:r>
      <w:r w:rsidRPr="00252A6B">
        <w:rPr>
          <w:i/>
        </w:rPr>
        <w:t>See</w:t>
      </w:r>
      <w:r w:rsidRPr="00252A6B">
        <w:t xml:space="preserve"> 52 Pa. Code § 1.53(e</w:t>
      </w:r>
      <w:r w:rsidRPr="00C4539C">
        <w:t xml:space="preserve">).  </w:t>
      </w:r>
      <w:r w:rsidRPr="00252A6B">
        <w:t xml:space="preserve">Notice mailed to a party’s last known address and not returned by the post office is presumed to have been received.  </w:t>
      </w:r>
      <w:r w:rsidRPr="00252A6B">
        <w:rPr>
          <w:i/>
        </w:rPr>
        <w:t>Chartiers Industrial and Commercial Development Authority v. Allegheny County Board of Property Assessment Appeals and Review</w:t>
      </w:r>
      <w:r w:rsidRPr="00252A6B">
        <w:t xml:space="preserve">, 645 A.2d 944 (Pa. Cmwlth.1994), </w:t>
      </w:r>
      <w:r w:rsidRPr="00252A6B">
        <w:rPr>
          <w:i/>
        </w:rPr>
        <w:t>appeal denied</w:t>
      </w:r>
      <w:r w:rsidRPr="00252A6B">
        <w:t xml:space="preserve"> 539 Pa. 696, 653 A.2d 1234 (1994).</w:t>
      </w:r>
    </w:p>
    <w:p w:rsidR="0027335D" w:rsidRPr="00252A6B" w:rsidRDefault="0027335D" w:rsidP="00636FF4">
      <w:pPr>
        <w:jc w:val="left"/>
      </w:pPr>
      <w:r w:rsidRPr="00252A6B">
        <w:tab/>
      </w:r>
      <w:r w:rsidRPr="00252A6B">
        <w:tab/>
      </w:r>
    </w:p>
    <w:p w:rsidR="005163EF" w:rsidRPr="00252A6B" w:rsidRDefault="0027335D" w:rsidP="00636FF4">
      <w:pPr>
        <w:jc w:val="left"/>
      </w:pPr>
      <w:r w:rsidRPr="00252A6B">
        <w:tab/>
      </w:r>
      <w:r w:rsidRPr="00252A6B">
        <w:tab/>
        <w:t>Ms. Daub testi</w:t>
      </w:r>
      <w:r w:rsidR="008D4A6E">
        <w:t>fied that she spoke with Ms. De</w:t>
      </w:r>
      <w:r w:rsidR="00AA3B14">
        <w:t>c</w:t>
      </w:r>
      <w:r w:rsidRPr="00252A6B">
        <w:t xml:space="preserve">hert and sent the invoices to the email address provided on November 7, 2011.  </w:t>
      </w:r>
      <w:r w:rsidR="00FE03DF" w:rsidRPr="00252A6B">
        <w:t xml:space="preserve">Tr. 15.  </w:t>
      </w:r>
      <w:r w:rsidRPr="00252A6B">
        <w:t>This is both uncontested testimony and credible.  Therefore, the lack of a certified mail return receipt only excuses the nonpayment of the invoices until November 7, 2011.  At that point, they were both due in thirty days</w:t>
      </w:r>
      <w:r w:rsidR="008E0E62" w:rsidRPr="00252A6B">
        <w:t>.  The Respondent failed to pay them</w:t>
      </w:r>
      <w:r w:rsidRPr="00252A6B">
        <w:t xml:space="preserve"> for an addition</w:t>
      </w:r>
      <w:r w:rsidR="00FE03DF" w:rsidRPr="00252A6B">
        <w:t>al</w:t>
      </w:r>
      <w:r w:rsidRPr="00252A6B">
        <w:t xml:space="preserve"> year.</w:t>
      </w:r>
    </w:p>
    <w:p w:rsidR="005163EF" w:rsidRPr="00252A6B" w:rsidRDefault="005163EF" w:rsidP="00636FF4">
      <w:pPr>
        <w:jc w:val="left"/>
      </w:pPr>
    </w:p>
    <w:p w:rsidR="002C56ED" w:rsidRPr="00252A6B" w:rsidRDefault="005163EF" w:rsidP="002C56ED">
      <w:pPr>
        <w:jc w:val="left"/>
      </w:pPr>
      <w:r w:rsidRPr="00252A6B">
        <w:tab/>
      </w:r>
      <w:r w:rsidRPr="00252A6B">
        <w:tab/>
        <w:t>As the holder of a certificate of public convenience, Respondent is deemed to have knowledge of his re</w:t>
      </w:r>
      <w:r w:rsidR="008E0E62" w:rsidRPr="00252A6B">
        <w:t>gulatory requirements,</w:t>
      </w:r>
      <w:r w:rsidRPr="00252A6B">
        <w:t xml:space="preserve"> including the responsibility to pay his annual as</w:t>
      </w:r>
      <w:r w:rsidR="005F1513">
        <w:t xml:space="preserve">sessment in a timely fashion.  </w:t>
      </w:r>
      <w:r w:rsidRPr="00252A6B">
        <w:t xml:space="preserve">I&amp;E established that Respondent had actual knowledge of the invoices on November 7, 2011, and failed to pay them until </w:t>
      </w:r>
      <w:r w:rsidR="008E0E62" w:rsidRPr="00252A6B">
        <w:t>the subject f</w:t>
      </w:r>
      <w:r w:rsidRPr="00252A6B">
        <w:t xml:space="preserve">ormal </w:t>
      </w:r>
      <w:r w:rsidR="008E0E62" w:rsidRPr="00252A6B">
        <w:t>C</w:t>
      </w:r>
      <w:r w:rsidRPr="00252A6B">
        <w:t>omplaint was filed, over a year later.  I&amp;E has established that Respondent has violated the Public Utility Code by failing to pay the invoices for fiscal years 2010-2011, and 2011-2012.</w:t>
      </w:r>
    </w:p>
    <w:p w:rsidR="005163EF" w:rsidRPr="00252A6B" w:rsidRDefault="005163EF" w:rsidP="002C56ED">
      <w:pPr>
        <w:jc w:val="left"/>
      </w:pPr>
    </w:p>
    <w:p w:rsidR="005163EF" w:rsidRPr="00252A6B" w:rsidRDefault="005163EF" w:rsidP="002C56ED">
      <w:pPr>
        <w:jc w:val="left"/>
        <w:rPr>
          <w:b/>
        </w:rPr>
      </w:pPr>
      <w:r w:rsidRPr="00252A6B">
        <w:rPr>
          <w:b/>
        </w:rPr>
        <w:t>Civil Penalty</w:t>
      </w:r>
    </w:p>
    <w:p w:rsidR="005163EF" w:rsidRPr="00252A6B" w:rsidRDefault="005163EF" w:rsidP="002C56ED">
      <w:pPr>
        <w:jc w:val="left"/>
      </w:pPr>
    </w:p>
    <w:p w:rsidR="005163EF" w:rsidRPr="00252A6B" w:rsidRDefault="005163EF" w:rsidP="002C56ED">
      <w:pPr>
        <w:jc w:val="left"/>
      </w:pPr>
      <w:r w:rsidRPr="00252A6B">
        <w:tab/>
      </w:r>
      <w:r w:rsidRPr="00252A6B">
        <w:tab/>
        <w:t xml:space="preserve">Having established two violations of the Public Utility Code, the analysis turns to the appropriate remedy.  I&amp;E has asked for </w:t>
      </w:r>
      <w:r w:rsidR="00F84573" w:rsidRPr="00252A6B">
        <w:t xml:space="preserve">a civil penalty of 15% of the total assessment for the two fiscal years, stating that the Commission has approved 15% as appropriate for failure to pay assessments on time.  </w:t>
      </w:r>
      <w:r w:rsidR="00E607CB" w:rsidRPr="00252A6B">
        <w:rPr>
          <w:i/>
        </w:rPr>
        <w:t>Pa. P.U.C., Bureau of Investigation and Enforcement v. Trimac Transport</w:t>
      </w:r>
      <w:r w:rsidR="00F84573" w:rsidRPr="00252A6B">
        <w:rPr>
          <w:i/>
        </w:rPr>
        <w:t>a</w:t>
      </w:r>
      <w:r w:rsidR="00E607CB" w:rsidRPr="00252A6B">
        <w:rPr>
          <w:i/>
        </w:rPr>
        <w:t>tion</w:t>
      </w:r>
      <w:r w:rsidR="00F84573" w:rsidRPr="00252A6B">
        <w:rPr>
          <w:i/>
        </w:rPr>
        <w:t xml:space="preserve"> East, </w:t>
      </w:r>
      <w:r w:rsidR="00F84573" w:rsidRPr="00252A6B">
        <w:t>Docket No. C-2012-2311750</w:t>
      </w:r>
      <w:r w:rsidRPr="00252A6B">
        <w:t xml:space="preserve"> </w:t>
      </w:r>
      <w:r w:rsidR="00E607CB" w:rsidRPr="00252A6B">
        <w:t>(Opi</w:t>
      </w:r>
      <w:r w:rsidR="00607765">
        <w:t>nion and Order entered December 20, </w:t>
      </w:r>
      <w:r w:rsidR="00E607CB" w:rsidRPr="00252A6B">
        <w:t>2012)(</w:t>
      </w:r>
      <w:r w:rsidR="00E607CB" w:rsidRPr="00252A6B">
        <w:rPr>
          <w:i/>
        </w:rPr>
        <w:t>Trimac)</w:t>
      </w:r>
      <w:r w:rsidR="00E607CB" w:rsidRPr="00252A6B">
        <w:t>.</w:t>
      </w:r>
    </w:p>
    <w:p w:rsidR="00E607CB" w:rsidRPr="00252A6B" w:rsidRDefault="00E607CB" w:rsidP="002C56ED">
      <w:pPr>
        <w:jc w:val="left"/>
      </w:pPr>
    </w:p>
    <w:p w:rsidR="00E607CB" w:rsidRPr="00252A6B" w:rsidRDefault="00E607CB" w:rsidP="002C56ED">
      <w:pPr>
        <w:jc w:val="left"/>
      </w:pPr>
      <w:r w:rsidRPr="00252A6B">
        <w:tab/>
      </w:r>
      <w:r w:rsidRPr="00252A6B">
        <w:tab/>
        <w:t xml:space="preserve">In </w:t>
      </w:r>
      <w:r w:rsidRPr="00252A6B">
        <w:rPr>
          <w:i/>
        </w:rPr>
        <w:t>Trimac,</w:t>
      </w:r>
      <w:r w:rsidRPr="00252A6B">
        <w:t xml:space="preserve"> the Commission was ruling on a motion for default judgment filed by I&amp;E as the utility had not filed an answer to the complaint.  Procedurally, this means that the failure to file a timely answer enables the Commission to deem all of the facts averred in the complaint to be admitted.  52 Pa. Code § 5.61(c).  Under these circumstances, the Commission granted the complaint and the </w:t>
      </w:r>
      <w:r w:rsidR="00D93C3F" w:rsidRPr="00252A6B">
        <w:t>requested civil penalty without further analysis.</w:t>
      </w:r>
    </w:p>
    <w:p w:rsidR="00D93C3F" w:rsidRPr="00252A6B" w:rsidRDefault="00D93C3F" w:rsidP="002C56ED">
      <w:pPr>
        <w:jc w:val="left"/>
      </w:pPr>
    </w:p>
    <w:p w:rsidR="00512123" w:rsidRPr="00252A6B" w:rsidRDefault="00D93C3F" w:rsidP="002C56ED">
      <w:pPr>
        <w:jc w:val="left"/>
      </w:pPr>
      <w:r w:rsidRPr="00252A6B">
        <w:tab/>
      </w:r>
      <w:r w:rsidRPr="00252A6B">
        <w:tab/>
        <w:t>The instant case was presented as litigated, despite the lack of an actual answer from the Respondent, and as such, each element of the violations needed to be proven.  After the violations were established, the penalty needed to be supported as well.  Accordingly, the analysis turns to the appropriate standard for establishing a civil penalty.</w:t>
      </w:r>
    </w:p>
    <w:p w:rsidR="00BD5DD2" w:rsidRPr="00252A6B" w:rsidRDefault="00BD5DD2" w:rsidP="002C56ED">
      <w:pPr>
        <w:jc w:val="left"/>
      </w:pPr>
    </w:p>
    <w:p w:rsidR="00BD5DD2" w:rsidRPr="00252A6B" w:rsidRDefault="00BD5DD2" w:rsidP="002C56ED">
      <w:pPr>
        <w:jc w:val="left"/>
      </w:pPr>
      <w:r w:rsidRPr="00252A6B">
        <w:tab/>
      </w:r>
      <w:r w:rsidRPr="00252A6B">
        <w:tab/>
        <w:t>Counsel for I&amp;E argues:</w:t>
      </w:r>
    </w:p>
    <w:p w:rsidR="00BD5DD2" w:rsidRPr="00252A6B" w:rsidRDefault="00BD5DD2" w:rsidP="00BD5DD2">
      <w:pPr>
        <w:spacing w:line="240" w:lineRule="auto"/>
        <w:ind w:left="1440" w:right="1440"/>
        <w:jc w:val="left"/>
      </w:pPr>
      <w:r w:rsidRPr="00252A6B">
        <w:t xml:space="preserve">Further, the factors and standards for evaluating litigated proceedings are set forth in a Policy Statement, not a regulation and are </w:t>
      </w:r>
      <w:r w:rsidRPr="00252A6B">
        <w:rPr>
          <w:i/>
        </w:rPr>
        <w:t>guidelines</w:t>
      </w:r>
      <w:r w:rsidRPr="00252A6B">
        <w:t>, not requirements.  The party with the burden of proof is under absolutely no affirmative duty to prove each element under these guidelines.</w:t>
      </w:r>
    </w:p>
    <w:p w:rsidR="00BD5DD2" w:rsidRPr="00252A6B" w:rsidRDefault="00BD5DD2" w:rsidP="002C56ED">
      <w:pPr>
        <w:jc w:val="left"/>
      </w:pPr>
      <w:r w:rsidRPr="00252A6B">
        <w:t>Letter to Secretary Chiavetta, page 2.</w:t>
      </w:r>
    </w:p>
    <w:p w:rsidR="002E3735" w:rsidRPr="00252A6B" w:rsidRDefault="002E3735" w:rsidP="002C56ED">
      <w:pPr>
        <w:jc w:val="left"/>
      </w:pPr>
    </w:p>
    <w:p w:rsidR="00FC7342" w:rsidRPr="00252A6B" w:rsidRDefault="002E3735" w:rsidP="002C56ED">
      <w:pPr>
        <w:jc w:val="left"/>
      </w:pPr>
      <w:r w:rsidRPr="00252A6B">
        <w:tab/>
      </w:r>
      <w:r w:rsidRPr="00252A6B">
        <w:tab/>
        <w:t xml:space="preserve">The present day standard was developed in </w:t>
      </w:r>
      <w:r w:rsidRPr="00252A6B">
        <w:rPr>
          <w:i/>
        </w:rPr>
        <w:t>Joseph A</w:t>
      </w:r>
      <w:r w:rsidR="00FC7342" w:rsidRPr="00252A6B">
        <w:rPr>
          <w:i/>
        </w:rPr>
        <w:t>.</w:t>
      </w:r>
      <w:r w:rsidRPr="00252A6B">
        <w:rPr>
          <w:i/>
        </w:rPr>
        <w:t xml:space="preserve"> Rosi v. Bell-Atlantic – Pennsylvania, Inc. and Sprint Communications, L.P., </w:t>
      </w:r>
      <w:r w:rsidRPr="00252A6B">
        <w:t xml:space="preserve">Docket No. C-00992409 (Order entered March 16, 2000), and in </w:t>
      </w:r>
      <w:r w:rsidRPr="00252A6B">
        <w:rPr>
          <w:i/>
        </w:rPr>
        <w:t xml:space="preserve">Pa. Publ. Util. Comm'n v. NCIC Operator Serv., </w:t>
      </w:r>
      <w:r w:rsidRPr="00252A6B">
        <w:t xml:space="preserve">Docket No. </w:t>
      </w:r>
    </w:p>
    <w:p w:rsidR="002E3735" w:rsidRPr="00252A6B" w:rsidRDefault="002E3735" w:rsidP="002C56ED">
      <w:pPr>
        <w:jc w:val="left"/>
      </w:pPr>
      <w:r w:rsidRPr="00252A6B">
        <w:lastRenderedPageBreak/>
        <w:t xml:space="preserve">M-00001440 (Order entered December 21, 2000), the Commission held that violations would be subject to the </w:t>
      </w:r>
      <w:r w:rsidRPr="00252A6B">
        <w:rPr>
          <w:i/>
        </w:rPr>
        <w:t>Rosi</w:t>
      </w:r>
      <w:r w:rsidRPr="00252A6B">
        <w:t xml:space="preserve"> standards.  Subsequently, the Commission adopted </w:t>
      </w:r>
      <w:r w:rsidR="00FC7342" w:rsidRPr="00252A6B">
        <w:t>the</w:t>
      </w:r>
      <w:r w:rsidRPr="00252A6B">
        <w:t xml:space="preserve"> policy statement enumerating the same standards.  Through case law, the Commission has directed that litigated proceedings seeking to impose a civil penalty include an analysis of these standards:</w:t>
      </w:r>
    </w:p>
    <w:p w:rsidR="00512123" w:rsidRPr="00252A6B" w:rsidRDefault="00512123" w:rsidP="00CC03C4">
      <w:pPr>
        <w:spacing w:before="100" w:beforeAutospacing="1" w:after="100" w:afterAutospacing="1" w:line="240" w:lineRule="auto"/>
        <w:ind w:left="1440" w:right="1440"/>
        <w:jc w:val="left"/>
        <w:outlineLvl w:val="3"/>
        <w:rPr>
          <w:rFonts w:eastAsia="Times New Roman"/>
          <w:b/>
          <w:bCs/>
        </w:rPr>
      </w:pPr>
      <w:bookmarkStart w:id="1" w:name="69.1201."/>
      <w:r w:rsidRPr="00252A6B">
        <w:rPr>
          <w:rFonts w:eastAsia="Times New Roman"/>
          <w:b/>
          <w:bCs/>
        </w:rPr>
        <w:t>§ 69.1201. Factors and standards for evaluating litigated and settled proceedings involving violations of the Public Utility Code and Commission regulations—statement of policy.</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xml:space="preserve"> (a)  The Commission will consider specific factors and standards in evaluating litigated and settled cases involving violations of 66 Pa.C.S. (relating to Public Utility Code) and this title. </w:t>
      </w:r>
      <w:r w:rsidR="000B4CEF">
        <w:rPr>
          <w:rFonts w:eastAsia="Times New Roman"/>
        </w:rPr>
        <w:t xml:space="preserve"> </w:t>
      </w:r>
      <w:r w:rsidRPr="00252A6B">
        <w:rPr>
          <w:rFonts w:eastAsia="Times New Roman"/>
        </w:rPr>
        <w:t>These factors and standards will be utilized by the Commission in determining if a fine for violating a Commission order, regulation or statute is appropriate, as well as if a proposed settlement for a violation is reasonable and approval of the settlement agree</w:t>
      </w:r>
      <w:r w:rsidR="0051513A">
        <w:rPr>
          <w:rFonts w:eastAsia="Times New Roman"/>
        </w:rPr>
        <w:t>ment is in the public interest.</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xml:space="preserve"> (b)  Many of the same factors and standards may be considered in the evaluation of both litigated and settled cases. </w:t>
      </w:r>
      <w:r w:rsidR="00510FCB">
        <w:rPr>
          <w:rFonts w:eastAsia="Times New Roman"/>
        </w:rPr>
        <w:t xml:space="preserve"> </w:t>
      </w:r>
      <w:r w:rsidRPr="00252A6B">
        <w:rPr>
          <w:rFonts w:eastAsia="Times New Roman"/>
        </w:rPr>
        <w:t xml:space="preserve">When applied in settled cases, these factors and standards will not be applied in as strict a fashion as in a litigated proceeding. </w:t>
      </w:r>
      <w:r w:rsidR="00082319">
        <w:rPr>
          <w:rFonts w:eastAsia="Times New Roman"/>
        </w:rPr>
        <w:t xml:space="preserve"> </w:t>
      </w:r>
      <w:r w:rsidRPr="00252A6B">
        <w:rPr>
          <w:rFonts w:eastAsia="Times New Roman"/>
        </w:rPr>
        <w:t xml:space="preserve">The parties in settled cases will be afforded flexibility in reaching amicable resolutions to complaints and other matters so long as the settlement is in the public interest. </w:t>
      </w:r>
      <w:r w:rsidR="00343A9F">
        <w:rPr>
          <w:rFonts w:eastAsia="Times New Roman"/>
        </w:rPr>
        <w:t xml:space="preserve"> </w:t>
      </w:r>
      <w:r w:rsidRPr="00252A6B">
        <w:rPr>
          <w:rFonts w:eastAsia="Times New Roman"/>
        </w:rPr>
        <w:t xml:space="preserve">The parties to a settlement should include in the settlement agreement a statement in support of settlement explaining how and why the settlement is in the public interest. </w:t>
      </w:r>
      <w:r w:rsidR="00082D1A">
        <w:rPr>
          <w:rFonts w:eastAsia="Times New Roman"/>
        </w:rPr>
        <w:t xml:space="preserve"> </w:t>
      </w:r>
      <w:r w:rsidRPr="00252A6B">
        <w:rPr>
          <w:rFonts w:eastAsia="Times New Roman"/>
        </w:rPr>
        <w:t>The statement may be filed jointly by the parties or separ</w:t>
      </w:r>
      <w:r w:rsidR="007948A5">
        <w:rPr>
          <w:rFonts w:eastAsia="Times New Roman"/>
        </w:rPr>
        <w:t>ately by each individual party.</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(c)  The factors and standards that will be considered by the Commission include the following:</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xml:space="preserve">   (1)  Whether the conduct at issue was of a serious nature. </w:t>
      </w:r>
      <w:r w:rsidR="00B46051">
        <w:rPr>
          <w:rFonts w:eastAsia="Times New Roman"/>
        </w:rPr>
        <w:t xml:space="preserve"> </w:t>
      </w:r>
      <w:r w:rsidRPr="00252A6B">
        <w:rPr>
          <w:rFonts w:eastAsia="Times New Roman"/>
        </w:rPr>
        <w:t xml:space="preserve">When conduct of a serious nature is involved, such as willful fraud or misrepresentation, the conduct may warrant a higher penalty. </w:t>
      </w:r>
      <w:r w:rsidR="003B1D8C">
        <w:rPr>
          <w:rFonts w:eastAsia="Times New Roman"/>
        </w:rPr>
        <w:t xml:space="preserve"> </w:t>
      </w:r>
      <w:r w:rsidRPr="00252A6B">
        <w:rPr>
          <w:rFonts w:eastAsia="Times New Roman"/>
        </w:rPr>
        <w:t>When the conduct is less egregious, such as administrative filing or technical errors, it may warrant a lower penalty.</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xml:space="preserve">   (2)  Whether the resulting consequences of the conduct at issue were of a serious nature. </w:t>
      </w:r>
      <w:r w:rsidR="00C06FEB">
        <w:rPr>
          <w:rFonts w:eastAsia="Times New Roman"/>
        </w:rPr>
        <w:t xml:space="preserve"> </w:t>
      </w:r>
      <w:r w:rsidRPr="00252A6B">
        <w:rPr>
          <w:rFonts w:eastAsia="Times New Roman"/>
        </w:rPr>
        <w:t>When consequences of a serious nature are involved, such as personal injury or property damage, the consequences may warrant a higher penalty.</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lastRenderedPageBreak/>
        <w:t xml:space="preserve">   (3)  Whether the conduct at issue was deemed intentional or negligent. </w:t>
      </w:r>
      <w:r w:rsidR="00AA2DC0">
        <w:rPr>
          <w:rFonts w:eastAsia="Times New Roman"/>
        </w:rPr>
        <w:t xml:space="preserve"> </w:t>
      </w:r>
      <w:r w:rsidRPr="00252A6B">
        <w:rPr>
          <w:rFonts w:eastAsia="Times New Roman"/>
        </w:rPr>
        <w:t xml:space="preserve">This factor may only be considered in evaluating litigated cases. </w:t>
      </w:r>
      <w:r w:rsidR="00D744F8">
        <w:rPr>
          <w:rFonts w:eastAsia="Times New Roman"/>
        </w:rPr>
        <w:t xml:space="preserve"> </w:t>
      </w:r>
      <w:r w:rsidRPr="00252A6B">
        <w:rPr>
          <w:rFonts w:eastAsia="Times New Roman"/>
        </w:rPr>
        <w:t>When conduct has been deemed intentional, the conduct may result in a higher penalty.</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xml:space="preserve">   (4)  Whether the regulated entity made efforts to modify internal practices and procedures to address the conduct at issue and prevent similar conduct in the future. </w:t>
      </w:r>
      <w:r w:rsidR="00306ECE">
        <w:rPr>
          <w:rFonts w:eastAsia="Times New Roman"/>
        </w:rPr>
        <w:t xml:space="preserve"> </w:t>
      </w:r>
      <w:r w:rsidRPr="00252A6B">
        <w:rPr>
          <w:rFonts w:eastAsia="Times New Roman"/>
        </w:rPr>
        <w:t xml:space="preserve">These modifications may include activities such as training and improving company techniques and supervision. </w:t>
      </w:r>
      <w:r w:rsidR="00640B9A">
        <w:rPr>
          <w:rFonts w:eastAsia="Times New Roman"/>
        </w:rPr>
        <w:t xml:space="preserve"> </w:t>
      </w:r>
      <w:r w:rsidRPr="00252A6B">
        <w:rPr>
          <w:rFonts w:eastAsia="Times New Roman"/>
        </w:rPr>
        <w:t>The amount of time it took the utility to correct the conduct once it was discovered and the involvement of top-level management in correcting the conduct may be considered.</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(5)  The number of customers affected and the duration of the violation.</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xml:space="preserve">   (6)  The compliance history of the regulated entity which committed the violation. </w:t>
      </w:r>
      <w:r w:rsidR="003E7DDA">
        <w:rPr>
          <w:rFonts w:eastAsia="Times New Roman"/>
        </w:rPr>
        <w:t xml:space="preserve"> </w:t>
      </w:r>
      <w:r w:rsidRPr="00252A6B">
        <w:rPr>
          <w:rFonts w:eastAsia="Times New Roman"/>
        </w:rPr>
        <w:t>An isolated incident from an otherwise compliant utility may result in a lower penalty, whereas frequent, recurrent violations by a utility may result in a higher penalty.</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xml:space="preserve">   (7)  Whether the regulated entity cooperated with the Commission’s investigation. </w:t>
      </w:r>
      <w:r w:rsidR="00BC4498">
        <w:rPr>
          <w:rFonts w:eastAsia="Times New Roman"/>
        </w:rPr>
        <w:t xml:space="preserve"> </w:t>
      </w:r>
      <w:r w:rsidRPr="00252A6B">
        <w:rPr>
          <w:rFonts w:eastAsia="Times New Roman"/>
        </w:rPr>
        <w:t>Facts establishing bad faith, active concealment of violations, or attempts to interfere with Commission investigations may result in a higher penalty.</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xml:space="preserve">   (8)  The amount of the civil penalty or fine necessary to deter future violations. </w:t>
      </w:r>
      <w:r w:rsidR="00A13E69">
        <w:rPr>
          <w:rFonts w:eastAsia="Times New Roman"/>
        </w:rPr>
        <w:t xml:space="preserve"> </w:t>
      </w:r>
      <w:r w:rsidRPr="00252A6B">
        <w:rPr>
          <w:rFonts w:eastAsia="Times New Roman"/>
        </w:rPr>
        <w:t>The size of the utility may be considered to determine an appropriate penalty amount.</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(9)  Past Commission decisions in similar situations.</w:t>
      </w:r>
    </w:p>
    <w:p w:rsidR="00512123" w:rsidRPr="00252A6B" w:rsidRDefault="00512123" w:rsidP="00CC03C4">
      <w:pPr>
        <w:spacing w:before="100" w:beforeAutospacing="1" w:after="100" w:afterAutospacing="1" w:line="240" w:lineRule="auto"/>
        <w:ind w:left="1440" w:right="1440"/>
        <w:jc w:val="left"/>
        <w:rPr>
          <w:rFonts w:eastAsia="Times New Roman"/>
        </w:rPr>
      </w:pPr>
      <w:r w:rsidRPr="00252A6B">
        <w:rPr>
          <w:rFonts w:eastAsia="Times New Roman"/>
        </w:rPr>
        <w:t>   (10)  Other relevant factors.</w:t>
      </w:r>
    </w:p>
    <w:bookmarkEnd w:id="1"/>
    <w:p w:rsidR="002E3735" w:rsidRPr="00252A6B" w:rsidRDefault="002E3735" w:rsidP="002C56ED">
      <w:pPr>
        <w:jc w:val="left"/>
      </w:pPr>
      <w:r w:rsidRPr="00252A6B">
        <w:t>52 Pa. Code § 69.1201.</w:t>
      </w:r>
    </w:p>
    <w:p w:rsidR="002E3735" w:rsidRPr="00252A6B" w:rsidRDefault="002E3735" w:rsidP="002C56ED">
      <w:pPr>
        <w:jc w:val="left"/>
      </w:pPr>
    </w:p>
    <w:p w:rsidR="002E3735" w:rsidRPr="00252A6B" w:rsidRDefault="002E3735" w:rsidP="002C56ED">
      <w:pPr>
        <w:jc w:val="left"/>
      </w:pPr>
      <w:r w:rsidRPr="00252A6B">
        <w:tab/>
      </w:r>
      <w:r w:rsidRPr="00252A6B">
        <w:tab/>
      </w:r>
      <w:r w:rsidR="00FC7342" w:rsidRPr="00252A6B">
        <w:t xml:space="preserve">Obviously, a regulation carries more weight than a policy statement, and a rulemaking on this subject would be a good idea.  However, in lieu of that regulation, the Commission has expressed its desire that litigated proceedings handled by the Office of Administrative Law Judge address these factors, and has remanded cases where the analysis of these factors did not take place.  </w:t>
      </w:r>
      <w:r w:rsidRPr="00252A6B">
        <w:t>Accordingly,</w:t>
      </w:r>
      <w:r w:rsidR="003D73A9" w:rsidRPr="00252A6B">
        <w:t xml:space="preserve"> the factors in subsection (c)</w:t>
      </w:r>
      <w:r w:rsidRPr="00252A6B">
        <w:t xml:space="preserve"> are addressed below.</w:t>
      </w:r>
    </w:p>
    <w:p w:rsidR="002E3735" w:rsidRPr="00252A6B" w:rsidRDefault="002E3735" w:rsidP="002E3735">
      <w:pPr>
        <w:pStyle w:val="NormalWeb"/>
      </w:pPr>
      <w:r w:rsidRPr="00252A6B">
        <w:lastRenderedPageBreak/>
        <w:t>    </w:t>
      </w:r>
      <w:r w:rsidRPr="00252A6B">
        <w:rPr>
          <w:i/>
        </w:rPr>
        <w:t xml:space="preserve">(1)  Whether the conduct at issue was of a serious nature. </w:t>
      </w:r>
      <w:r w:rsidR="001D1519">
        <w:rPr>
          <w:i/>
        </w:rPr>
        <w:t xml:space="preserve"> </w:t>
      </w:r>
      <w:r w:rsidRPr="00252A6B">
        <w:rPr>
          <w:i/>
        </w:rPr>
        <w:t xml:space="preserve">When conduct of a serious nature is involved, such as willful fraud or misrepresentation, the conduct may warrant a higher penalty. </w:t>
      </w:r>
      <w:r w:rsidR="00395630">
        <w:rPr>
          <w:i/>
        </w:rPr>
        <w:t xml:space="preserve"> </w:t>
      </w:r>
      <w:r w:rsidRPr="00252A6B">
        <w:rPr>
          <w:i/>
        </w:rPr>
        <w:t>When the conduct is less egregious, such as administrative filing or technical errors, it may warrant a lower penalty</w:t>
      </w:r>
      <w:r w:rsidRPr="00252A6B">
        <w:t>.</w:t>
      </w:r>
    </w:p>
    <w:p w:rsidR="002E3735" w:rsidRPr="00252A6B" w:rsidRDefault="002E3735" w:rsidP="003D73A9">
      <w:pPr>
        <w:pStyle w:val="NormalWeb"/>
        <w:spacing w:line="360" w:lineRule="auto"/>
      </w:pPr>
      <w:r w:rsidRPr="00252A6B">
        <w:tab/>
      </w:r>
      <w:r w:rsidRPr="00252A6B">
        <w:tab/>
        <w:t xml:space="preserve">Evidence supports a finding of willful misconduct as of </w:t>
      </w:r>
      <w:r w:rsidR="0069374F" w:rsidRPr="00252A6B">
        <w:t>Dece</w:t>
      </w:r>
      <w:r w:rsidRPr="00252A6B">
        <w:t>mber 7, 2011</w:t>
      </w:r>
      <w:r w:rsidR="003D73A9" w:rsidRPr="00252A6B">
        <w:t>, supporting a higher penalty</w:t>
      </w:r>
      <w:r w:rsidRPr="00252A6B">
        <w:t>.</w:t>
      </w:r>
    </w:p>
    <w:p w:rsidR="002E3735" w:rsidRPr="00252A6B" w:rsidRDefault="002E3735" w:rsidP="002E3735">
      <w:pPr>
        <w:pStyle w:val="NormalWeb"/>
        <w:rPr>
          <w:i/>
        </w:rPr>
      </w:pPr>
      <w:r w:rsidRPr="00252A6B">
        <w:rPr>
          <w:i/>
        </w:rPr>
        <w:t xml:space="preserve">   (2)  Whether the resulting consequences of the conduct at issue were of a serious nature. </w:t>
      </w:r>
      <w:r w:rsidR="0043275F">
        <w:rPr>
          <w:i/>
        </w:rPr>
        <w:t xml:space="preserve"> </w:t>
      </w:r>
      <w:r w:rsidRPr="00252A6B">
        <w:rPr>
          <w:i/>
        </w:rPr>
        <w:t>When consequences of a serious nature are involved, such as personal injury or property damage, the consequences may warrant a higher penalty.</w:t>
      </w:r>
    </w:p>
    <w:p w:rsidR="002E3735" w:rsidRPr="00252A6B" w:rsidRDefault="002E3735" w:rsidP="003D73A9">
      <w:pPr>
        <w:pStyle w:val="NormalWeb"/>
        <w:spacing w:line="360" w:lineRule="auto"/>
      </w:pPr>
      <w:r w:rsidRPr="00252A6B">
        <w:tab/>
      </w:r>
      <w:r w:rsidRPr="00252A6B">
        <w:tab/>
        <w:t>There is no question of personal or property damage, merely a lack of financial support for the regulator.</w:t>
      </w:r>
    </w:p>
    <w:p w:rsidR="002E3735" w:rsidRPr="00252A6B" w:rsidRDefault="002E3735" w:rsidP="002E3735">
      <w:pPr>
        <w:pStyle w:val="NormalWeb"/>
        <w:rPr>
          <w:i/>
        </w:rPr>
      </w:pPr>
      <w:r w:rsidRPr="00252A6B">
        <w:t>   (</w:t>
      </w:r>
      <w:r w:rsidRPr="00252A6B">
        <w:rPr>
          <w:i/>
        </w:rPr>
        <w:t xml:space="preserve">3)  Whether the conduct at issue was deemed intentional or negligent. </w:t>
      </w:r>
      <w:r w:rsidR="004F07FE">
        <w:rPr>
          <w:i/>
        </w:rPr>
        <w:t xml:space="preserve"> </w:t>
      </w:r>
      <w:r w:rsidRPr="00252A6B">
        <w:rPr>
          <w:i/>
        </w:rPr>
        <w:t xml:space="preserve">This factor may only be considered in evaluating litigated cases. </w:t>
      </w:r>
      <w:r w:rsidR="004F07FE">
        <w:rPr>
          <w:i/>
        </w:rPr>
        <w:t xml:space="preserve"> </w:t>
      </w:r>
      <w:r w:rsidRPr="00252A6B">
        <w:rPr>
          <w:i/>
        </w:rPr>
        <w:t>When conduct has been deemed intentional, the conduct may result in a higher penalty.</w:t>
      </w:r>
    </w:p>
    <w:p w:rsidR="002E3735" w:rsidRPr="00252A6B" w:rsidRDefault="002E3735" w:rsidP="002E3735">
      <w:pPr>
        <w:pStyle w:val="NormalWeb"/>
      </w:pPr>
      <w:r w:rsidRPr="00252A6B">
        <w:tab/>
      </w:r>
      <w:r w:rsidRPr="00252A6B">
        <w:tab/>
        <w:t>The conduct was intentional as of November 7, 20</w:t>
      </w:r>
      <w:r w:rsidR="003D73A9" w:rsidRPr="00252A6B">
        <w:t>11, supporting a higher penalty.</w:t>
      </w:r>
    </w:p>
    <w:p w:rsidR="002E3735" w:rsidRPr="00252A6B" w:rsidRDefault="002E3735" w:rsidP="002E3735">
      <w:pPr>
        <w:pStyle w:val="NormalWeb"/>
        <w:rPr>
          <w:i/>
        </w:rPr>
      </w:pPr>
      <w:r w:rsidRPr="00252A6B">
        <w:t>   </w:t>
      </w:r>
      <w:r w:rsidRPr="00252A6B">
        <w:rPr>
          <w:i/>
        </w:rPr>
        <w:t xml:space="preserve">(4)  Whether the regulated entity made efforts to modify internal practices and procedures to address the conduct at issue and prevent similar conduct in the future. </w:t>
      </w:r>
      <w:r w:rsidR="003553CD">
        <w:rPr>
          <w:i/>
        </w:rPr>
        <w:t xml:space="preserve"> </w:t>
      </w:r>
      <w:r w:rsidRPr="00252A6B">
        <w:rPr>
          <w:i/>
        </w:rPr>
        <w:t xml:space="preserve">These modifications may include activities such as training and improving company techniques and supervision. </w:t>
      </w:r>
      <w:r w:rsidR="002B2D46">
        <w:rPr>
          <w:i/>
        </w:rPr>
        <w:t xml:space="preserve"> </w:t>
      </w:r>
      <w:r w:rsidRPr="00252A6B">
        <w:rPr>
          <w:i/>
        </w:rPr>
        <w:t>The amount of time it took the utility to correct the conduct once it was discovered and the involvement of top-level management in correcting the conduct may be considered.</w:t>
      </w:r>
    </w:p>
    <w:p w:rsidR="002E3735" w:rsidRPr="00252A6B" w:rsidRDefault="002E3735" w:rsidP="003D73A9">
      <w:pPr>
        <w:pStyle w:val="NormalWeb"/>
        <w:spacing w:line="360" w:lineRule="auto"/>
      </w:pPr>
      <w:r w:rsidRPr="00252A6B">
        <w:tab/>
      </w:r>
      <w:r w:rsidRPr="00252A6B">
        <w:tab/>
        <w:t>Respondent is unable to receive certified mail at its location, and has communicated this inability to Commission staff.  No further evidence is available.</w:t>
      </w:r>
    </w:p>
    <w:p w:rsidR="002E3735" w:rsidRPr="00252A6B" w:rsidRDefault="002E3735" w:rsidP="002E3735">
      <w:pPr>
        <w:pStyle w:val="NormalWeb"/>
      </w:pPr>
      <w:r w:rsidRPr="00252A6B">
        <w:t>   (5</w:t>
      </w:r>
      <w:r w:rsidRPr="00252A6B">
        <w:rPr>
          <w:i/>
        </w:rPr>
        <w:t>)  The number of customers affected and the duration of the violation</w:t>
      </w:r>
      <w:r w:rsidRPr="00252A6B">
        <w:t>.</w:t>
      </w:r>
    </w:p>
    <w:p w:rsidR="002E3735" w:rsidRPr="00252A6B" w:rsidRDefault="002E3735" w:rsidP="002E3735">
      <w:pPr>
        <w:pStyle w:val="NormalWeb"/>
      </w:pPr>
      <w:r w:rsidRPr="00252A6B">
        <w:tab/>
      </w:r>
      <w:r w:rsidRPr="00252A6B">
        <w:tab/>
        <w:t>No customers were affected by this action</w:t>
      </w:r>
      <w:r w:rsidR="003D73A9" w:rsidRPr="00252A6B">
        <w:t>, supporting a reduced penalty</w:t>
      </w:r>
      <w:r w:rsidRPr="00252A6B">
        <w:t>.</w:t>
      </w:r>
    </w:p>
    <w:p w:rsidR="002E3735" w:rsidRPr="00252A6B" w:rsidRDefault="002E3735" w:rsidP="002E3735">
      <w:pPr>
        <w:pStyle w:val="NormalWeb"/>
        <w:rPr>
          <w:i/>
        </w:rPr>
      </w:pPr>
      <w:r w:rsidRPr="00252A6B">
        <w:t>   (</w:t>
      </w:r>
      <w:r w:rsidRPr="00252A6B">
        <w:rPr>
          <w:i/>
        </w:rPr>
        <w:t xml:space="preserve">6)  The compliance history of the regulated entity which committed the violation. </w:t>
      </w:r>
      <w:r w:rsidR="004E6C7C">
        <w:rPr>
          <w:i/>
        </w:rPr>
        <w:t xml:space="preserve"> </w:t>
      </w:r>
      <w:r w:rsidRPr="00252A6B">
        <w:rPr>
          <w:i/>
        </w:rPr>
        <w:t>An isolated incident from an otherwise compliant utility may result in a lower penalty, whereas frequent, recurrent violations by a utility may result in a higher penalty.</w:t>
      </w:r>
    </w:p>
    <w:p w:rsidR="003B195A" w:rsidRPr="00252A6B" w:rsidRDefault="0069374F" w:rsidP="003D73A9">
      <w:pPr>
        <w:pStyle w:val="NormalWeb"/>
        <w:spacing w:line="360" w:lineRule="auto"/>
        <w:contextualSpacing/>
      </w:pPr>
      <w:r w:rsidRPr="00252A6B">
        <w:tab/>
      </w:r>
      <w:r w:rsidRPr="00252A6B">
        <w:tab/>
        <w:t>In the</w:t>
      </w:r>
      <w:r w:rsidR="002E3735" w:rsidRPr="00252A6B">
        <w:t xml:space="preserve"> letter addressed t</w:t>
      </w:r>
      <w:r w:rsidR="003B195A" w:rsidRPr="00252A6B">
        <w:t xml:space="preserve">o the Secretary, counsel for I&amp;E indicated that Respondent had failed to supply a list of vehicles used under its authority in violation of 52 Pa. Code </w:t>
      </w:r>
    </w:p>
    <w:p w:rsidR="002E3735" w:rsidRPr="00252A6B" w:rsidRDefault="003B195A" w:rsidP="003D73A9">
      <w:pPr>
        <w:pStyle w:val="NormalWeb"/>
        <w:spacing w:line="360" w:lineRule="auto"/>
        <w:contextualSpacing/>
      </w:pPr>
      <w:r w:rsidRPr="00252A6B">
        <w:lastRenderedPageBreak/>
        <w:t>§ 29.333(d) in 2011 and 2012, each violation incurring a $250 penalty.</w:t>
      </w:r>
      <w:r w:rsidR="003D73A9" w:rsidRPr="00252A6B">
        <w:t xml:space="preserve">  This creates the suspicion that the Respondent is less than meticulous with Commission requirements, supporting the imposition of a penalty.</w:t>
      </w:r>
    </w:p>
    <w:p w:rsidR="003B195A" w:rsidRPr="00252A6B" w:rsidRDefault="003B195A" w:rsidP="003D73A9">
      <w:pPr>
        <w:pStyle w:val="NormalWeb"/>
        <w:spacing w:line="360" w:lineRule="auto"/>
        <w:contextualSpacing/>
      </w:pPr>
    </w:p>
    <w:p w:rsidR="002E3735" w:rsidRPr="00252A6B" w:rsidRDefault="002E3735" w:rsidP="002E3735">
      <w:pPr>
        <w:pStyle w:val="NormalWeb"/>
        <w:rPr>
          <w:i/>
        </w:rPr>
      </w:pPr>
      <w:r w:rsidRPr="00252A6B">
        <w:t>   </w:t>
      </w:r>
      <w:r w:rsidRPr="00252A6B">
        <w:rPr>
          <w:i/>
        </w:rPr>
        <w:t xml:space="preserve">(7)  Whether the regulated entity cooperated with the Commission’s investigation. </w:t>
      </w:r>
      <w:r w:rsidR="005308A7">
        <w:rPr>
          <w:i/>
        </w:rPr>
        <w:t xml:space="preserve"> </w:t>
      </w:r>
      <w:r w:rsidRPr="00252A6B">
        <w:rPr>
          <w:i/>
        </w:rPr>
        <w:t>Facts establishing bad faith, active concealment of violations, or attempts to interfere with Commission investigations may result in a higher penalty.</w:t>
      </w:r>
    </w:p>
    <w:p w:rsidR="003B195A" w:rsidRPr="00252A6B" w:rsidRDefault="003B195A" w:rsidP="003D73A9">
      <w:pPr>
        <w:pStyle w:val="NormalWeb"/>
        <w:spacing w:line="360" w:lineRule="auto"/>
      </w:pPr>
      <w:r w:rsidRPr="00252A6B">
        <w:tab/>
      </w:r>
      <w:r w:rsidRPr="00252A6B">
        <w:tab/>
        <w:t>When asked about this factor at the hearing, counsel for I&amp;E replied that Respondent did pay the assessments eventually.  Tr. 21.</w:t>
      </w:r>
      <w:r w:rsidR="003D73A9" w:rsidRPr="00252A6B">
        <w:t xml:space="preserve">  The utility failed to inquire where the invoices might be when they did not appear, and Respondent is charged with the knowledge that the invoices would be forthcoming annually.  This neither supports nor mitigates against the imposition of a penalty.</w:t>
      </w:r>
    </w:p>
    <w:p w:rsidR="002E3735" w:rsidRPr="00252A6B" w:rsidRDefault="002E3735" w:rsidP="002E3735">
      <w:pPr>
        <w:pStyle w:val="NormalWeb"/>
        <w:rPr>
          <w:i/>
        </w:rPr>
      </w:pPr>
      <w:r w:rsidRPr="00252A6B">
        <w:rPr>
          <w:i/>
        </w:rPr>
        <w:t xml:space="preserve">   (8)  The amount of the civil penalty or fine necessary to deter future violations. </w:t>
      </w:r>
      <w:r w:rsidR="002A4A2E">
        <w:rPr>
          <w:i/>
        </w:rPr>
        <w:t xml:space="preserve"> </w:t>
      </w:r>
      <w:r w:rsidRPr="00252A6B">
        <w:rPr>
          <w:i/>
        </w:rPr>
        <w:t>The size of the utility may be considered to determine an appropriate penalty amount.</w:t>
      </w:r>
    </w:p>
    <w:p w:rsidR="003B195A" w:rsidRPr="00252A6B" w:rsidRDefault="003B195A" w:rsidP="003D73A9">
      <w:pPr>
        <w:pStyle w:val="NormalWeb"/>
        <w:spacing w:line="360" w:lineRule="auto"/>
      </w:pPr>
      <w:r w:rsidRPr="00252A6B">
        <w:tab/>
      </w:r>
      <w:r w:rsidRPr="00252A6B">
        <w:tab/>
        <w:t>This is a small utility which was assessed only $293 for the 2010-2011 fiscal year, and $288 for the 2011-2012 fiscal year.  A large penalty would not be proportionate with its revenues.</w:t>
      </w:r>
    </w:p>
    <w:p w:rsidR="002E3735" w:rsidRPr="00252A6B" w:rsidRDefault="002E3735" w:rsidP="002E3735">
      <w:pPr>
        <w:pStyle w:val="NormalWeb"/>
        <w:rPr>
          <w:i/>
        </w:rPr>
      </w:pPr>
      <w:r w:rsidRPr="00252A6B">
        <w:t> </w:t>
      </w:r>
      <w:r w:rsidRPr="00252A6B">
        <w:rPr>
          <w:i/>
        </w:rPr>
        <w:t>  (9)  Past Commission decisions in similar situations.</w:t>
      </w:r>
    </w:p>
    <w:p w:rsidR="003B195A" w:rsidRPr="00252A6B" w:rsidRDefault="003B195A" w:rsidP="003D73A9">
      <w:pPr>
        <w:pStyle w:val="NormalWeb"/>
        <w:spacing w:line="360" w:lineRule="auto"/>
      </w:pPr>
      <w:r w:rsidRPr="00252A6B">
        <w:tab/>
      </w:r>
      <w:r w:rsidR="003D73A9" w:rsidRPr="00252A6B">
        <w:tab/>
      </w:r>
      <w:r w:rsidRPr="00252A6B">
        <w:t>I&amp;E counsel is quick to point out that the Commission regularly approves its request for 15% of the outstanding assessment in similar cases.</w:t>
      </w:r>
    </w:p>
    <w:p w:rsidR="002E3735" w:rsidRPr="00252A6B" w:rsidRDefault="002E3735" w:rsidP="002E3735">
      <w:pPr>
        <w:pStyle w:val="NormalWeb"/>
        <w:rPr>
          <w:i/>
        </w:rPr>
      </w:pPr>
      <w:r w:rsidRPr="00252A6B">
        <w:rPr>
          <w:i/>
        </w:rPr>
        <w:t>   (10)  Other relevant factors.</w:t>
      </w:r>
    </w:p>
    <w:p w:rsidR="0069374F" w:rsidRPr="00252A6B" w:rsidRDefault="003D73A9" w:rsidP="0069374F">
      <w:pPr>
        <w:pStyle w:val="NormalWeb"/>
        <w:spacing w:line="360" w:lineRule="auto"/>
      </w:pPr>
      <w:r w:rsidRPr="00252A6B">
        <w:rPr>
          <w:i/>
        </w:rPr>
        <w:tab/>
      </w:r>
      <w:r w:rsidRPr="00252A6B">
        <w:rPr>
          <w:i/>
        </w:rPr>
        <w:tab/>
      </w:r>
      <w:r w:rsidR="0069374F" w:rsidRPr="00252A6B">
        <w:t>None were presented.</w:t>
      </w:r>
    </w:p>
    <w:p w:rsidR="00CC03C4" w:rsidRPr="00252A6B" w:rsidRDefault="003D73A9" w:rsidP="0069374F">
      <w:pPr>
        <w:pStyle w:val="NormalWeb"/>
        <w:spacing w:line="360" w:lineRule="auto"/>
      </w:pPr>
      <w:r w:rsidRPr="00252A6B">
        <w:tab/>
      </w:r>
      <w:r w:rsidRPr="00252A6B">
        <w:tab/>
      </w:r>
      <w:r w:rsidR="0093278E" w:rsidRPr="00252A6B">
        <w:t xml:space="preserve">If this Respondent had paid the assessments directly following the electronic and first-class mail service on November 7, 2011, </w:t>
      </w:r>
      <w:r w:rsidR="00CC03C4" w:rsidRPr="00252A6B">
        <w:t xml:space="preserve">when he had actual knowledge of the invoices, </w:t>
      </w:r>
      <w:r w:rsidR="0093278E" w:rsidRPr="00252A6B">
        <w:t xml:space="preserve">there would be no civil penalty assessed.  </w:t>
      </w:r>
      <w:r w:rsidR="00CC03C4" w:rsidRPr="00252A6B">
        <w:t xml:space="preserve">It took fourteen months and the filing of a formal complaint to inspire Respondent to make the payment. </w:t>
      </w:r>
      <w:r w:rsidR="005165A3">
        <w:t xml:space="preserve"> </w:t>
      </w:r>
      <w:r w:rsidR="00CC03C4" w:rsidRPr="00252A6B">
        <w:t>E</w:t>
      </w:r>
      <w:r w:rsidR="0093278E" w:rsidRPr="00252A6B">
        <w:t xml:space="preserve">ach certificated utility is expected to pay its assessments in a timely manner, as the operations of this agency, including the oversight of safety considerations present in the regulation of each utility, depend on the assessments for </w:t>
      </w:r>
      <w:r w:rsidR="0093278E" w:rsidRPr="00252A6B">
        <w:lastRenderedPageBreak/>
        <w:t xml:space="preserve">funding.  </w:t>
      </w:r>
      <w:r w:rsidR="00CC03C4" w:rsidRPr="00252A6B">
        <w:t xml:space="preserve">Every utility knows that the privilege of being certificated comes with its own responsibilities, including paying for the regulator.  </w:t>
      </w:r>
      <w:r w:rsidR="0093278E" w:rsidRPr="00252A6B">
        <w:t xml:space="preserve">When a bill is due in thirty days, fourteen months is too long to excuse.  Considering the amount of the assessments, </w:t>
      </w:r>
      <w:r w:rsidR="00CE381D" w:rsidRPr="00252A6B">
        <w:t xml:space="preserve">and the circumstances of this case, </w:t>
      </w:r>
      <w:r w:rsidR="0093278E" w:rsidRPr="00252A6B">
        <w:t xml:space="preserve">the $85 penalty requested by I&amp;E </w:t>
      </w:r>
      <w:r w:rsidR="008E0E62" w:rsidRPr="00252A6B">
        <w:t>is</w:t>
      </w:r>
      <w:r w:rsidR="0093278E" w:rsidRPr="00252A6B">
        <w:t xml:space="preserve"> granted</w:t>
      </w:r>
      <w:r w:rsidR="00CC03C4" w:rsidRPr="00252A6B">
        <w:t>.</w:t>
      </w:r>
    </w:p>
    <w:p w:rsidR="00CC03C4" w:rsidRPr="00252A6B" w:rsidRDefault="00CC03C4" w:rsidP="002C56ED">
      <w:pPr>
        <w:jc w:val="left"/>
      </w:pPr>
    </w:p>
    <w:p w:rsidR="00CC03C4" w:rsidRPr="00252A6B" w:rsidRDefault="00CC03C4" w:rsidP="00CC03C4">
      <w:r w:rsidRPr="00252A6B">
        <w:rPr>
          <w:u w:val="single"/>
        </w:rPr>
        <w:t>CONCLUSIONS OF LAW</w:t>
      </w:r>
    </w:p>
    <w:p w:rsidR="00CC03C4" w:rsidRPr="00252A6B" w:rsidRDefault="00CC03C4" w:rsidP="00CC03C4"/>
    <w:p w:rsidR="003034EE" w:rsidRPr="00252A6B" w:rsidRDefault="00CC03C4" w:rsidP="003034EE">
      <w:pPr>
        <w:jc w:val="left"/>
      </w:pPr>
      <w:r w:rsidRPr="00252A6B">
        <w:tab/>
      </w:r>
      <w:r w:rsidRPr="00252A6B">
        <w:tab/>
      </w:r>
      <w:r w:rsidR="003034EE" w:rsidRPr="00252A6B">
        <w:t>1.</w:t>
      </w:r>
      <w:r w:rsidR="003034EE" w:rsidRPr="00252A6B">
        <w:tab/>
        <w:t>The Commission has jurisdiction over the parties and the subject matter of this proceeding.  66 Pa. C.S. § 701.</w:t>
      </w:r>
    </w:p>
    <w:p w:rsidR="003034EE" w:rsidRPr="00252A6B" w:rsidRDefault="003034EE" w:rsidP="003034EE">
      <w:pPr>
        <w:jc w:val="left"/>
      </w:pPr>
    </w:p>
    <w:p w:rsidR="003034EE" w:rsidRPr="00252A6B" w:rsidRDefault="003034EE" w:rsidP="003034EE">
      <w:pPr>
        <w:jc w:val="left"/>
      </w:pPr>
      <w:r w:rsidRPr="00252A6B">
        <w:tab/>
      </w:r>
      <w:r w:rsidRPr="00252A6B">
        <w:tab/>
        <w:t>2.</w:t>
      </w:r>
      <w:r w:rsidRPr="00252A6B">
        <w:tab/>
        <w:t xml:space="preserve">Notice mailed to a party’s last known address and not returned by the post office is presumed to have been received.  </w:t>
      </w:r>
      <w:r w:rsidRPr="00252A6B">
        <w:rPr>
          <w:i/>
        </w:rPr>
        <w:t>Chartiers Industrial and Commercial Development Authority v. Allegheny County Board of Property Assessment Appeals and Review</w:t>
      </w:r>
      <w:r w:rsidRPr="00252A6B">
        <w:t xml:space="preserve">, 645 A.2d 944 (Pa. Cmwlth.1994), </w:t>
      </w:r>
      <w:r w:rsidRPr="00252A6B">
        <w:rPr>
          <w:i/>
        </w:rPr>
        <w:t>appeal denied</w:t>
      </w:r>
      <w:r w:rsidRPr="00252A6B">
        <w:t xml:space="preserve"> 539 Pa. 696, 653 A.2d 1234 (1994).</w:t>
      </w:r>
    </w:p>
    <w:p w:rsidR="003034EE" w:rsidRPr="00252A6B" w:rsidRDefault="003034EE" w:rsidP="0080768B">
      <w:pPr>
        <w:jc w:val="left"/>
      </w:pPr>
    </w:p>
    <w:p w:rsidR="003034EE" w:rsidRPr="00252A6B" w:rsidRDefault="00CC03C4" w:rsidP="003034EE">
      <w:pPr>
        <w:jc w:val="left"/>
      </w:pPr>
      <w:r w:rsidRPr="00252A6B">
        <w:tab/>
      </w:r>
      <w:r w:rsidRPr="00252A6B">
        <w:tab/>
        <w:t>3.</w:t>
      </w:r>
      <w:r w:rsidRPr="00252A6B">
        <w:tab/>
      </w:r>
      <w:r w:rsidR="003034EE" w:rsidRPr="00252A6B">
        <w:t xml:space="preserve">Due process is provided when the parties are afforded notice and the opportunity to appear and be heard.  </w:t>
      </w:r>
      <w:r w:rsidR="003034EE" w:rsidRPr="00252A6B">
        <w:rPr>
          <w:i/>
        </w:rPr>
        <w:t>Schneider v. Pa. Publ. Util. Comm’n</w:t>
      </w:r>
      <w:r w:rsidR="003034EE" w:rsidRPr="00252A6B">
        <w:t>, 479 A.2d 10 (Pa. Cmwlth. 1984).</w:t>
      </w:r>
    </w:p>
    <w:p w:rsidR="003034EE" w:rsidRPr="00252A6B" w:rsidRDefault="003034EE" w:rsidP="0080768B">
      <w:pPr>
        <w:jc w:val="left"/>
      </w:pPr>
    </w:p>
    <w:p w:rsidR="00CC03C4" w:rsidRPr="00252A6B" w:rsidRDefault="00CC03C4" w:rsidP="00CC03C4">
      <w:pPr>
        <w:jc w:val="left"/>
      </w:pPr>
      <w:r w:rsidRPr="00252A6B">
        <w:tab/>
      </w:r>
      <w:r w:rsidRPr="00252A6B">
        <w:tab/>
        <w:t>4.</w:t>
      </w:r>
      <w:r w:rsidRPr="00252A6B">
        <w:tab/>
        <w:t>The Public Utility Code requires that the Commission serve the assessment on each utility by registered or certified mail, 66 Pa. C.S. § 510(c).</w:t>
      </w:r>
    </w:p>
    <w:p w:rsidR="00CC03C4" w:rsidRPr="00252A6B" w:rsidRDefault="00CC03C4" w:rsidP="00CC03C4">
      <w:pPr>
        <w:jc w:val="left"/>
      </w:pPr>
    </w:p>
    <w:p w:rsidR="00E607CB" w:rsidRPr="00252A6B" w:rsidRDefault="00CC03C4" w:rsidP="00CC03C4">
      <w:pPr>
        <w:jc w:val="left"/>
      </w:pPr>
      <w:r w:rsidRPr="00252A6B">
        <w:tab/>
      </w:r>
      <w:r w:rsidRPr="00252A6B">
        <w:tab/>
        <w:t>5.</w:t>
      </w:r>
      <w:r w:rsidRPr="00252A6B">
        <w:tab/>
        <w:t xml:space="preserve">A utility has thirty days to pay the assessment, and only fifteen days to object to the assessment; an objected-to assessment must still be paid pending the outcome of the objection.  </w:t>
      </w:r>
      <w:r w:rsidRPr="00252A6B">
        <w:rPr>
          <w:i/>
        </w:rPr>
        <w:t>See Pittsburgh Limousine, Inc. v. Pa. PUC, Bureau of Transportation and Safety</w:t>
      </w:r>
      <w:r w:rsidRPr="00252A6B">
        <w:t>, 762 A.2d 1150 (Pa. Cmwlth. Ct. 2000).</w:t>
      </w:r>
    </w:p>
    <w:p w:rsidR="00CC03C4" w:rsidRPr="00252A6B" w:rsidRDefault="00CC03C4" w:rsidP="00CC03C4">
      <w:pPr>
        <w:jc w:val="left"/>
      </w:pPr>
    </w:p>
    <w:p w:rsidR="00CC03C4" w:rsidRPr="00252A6B" w:rsidRDefault="00CC03C4" w:rsidP="00CC03C4">
      <w:pPr>
        <w:jc w:val="left"/>
      </w:pPr>
      <w:r w:rsidRPr="00252A6B">
        <w:tab/>
      </w:r>
      <w:r w:rsidRPr="00252A6B">
        <w:tab/>
        <w:t>6.</w:t>
      </w:r>
      <w:r w:rsidRPr="00252A6B">
        <w:tab/>
      </w:r>
      <w:r w:rsidR="00CE381D" w:rsidRPr="00252A6B">
        <w:t>U</w:t>
      </w:r>
      <w:r w:rsidRPr="00252A6B">
        <w:t xml:space="preserve">tilities </w:t>
      </w:r>
      <w:r w:rsidR="00CE381D" w:rsidRPr="00252A6B">
        <w:t xml:space="preserve">are required to </w:t>
      </w:r>
      <w:r w:rsidRPr="00252A6B">
        <w:t>be served with invoices by certified or registered mail.  66 Pa. C.S. § 510(c).</w:t>
      </w:r>
    </w:p>
    <w:p w:rsidR="00CC03C4" w:rsidRPr="00252A6B" w:rsidRDefault="00CC03C4" w:rsidP="00B46B58">
      <w:pPr>
        <w:jc w:val="left"/>
      </w:pPr>
    </w:p>
    <w:p w:rsidR="00FE7C69" w:rsidRPr="00252A6B" w:rsidRDefault="00CC03C4" w:rsidP="00CC03C4">
      <w:pPr>
        <w:jc w:val="left"/>
        <w:rPr>
          <w:rFonts w:eastAsia="Times New Roman"/>
        </w:rPr>
      </w:pPr>
      <w:r w:rsidRPr="00252A6B">
        <w:lastRenderedPageBreak/>
        <w:tab/>
      </w:r>
      <w:r w:rsidRPr="00252A6B">
        <w:tab/>
        <w:t>7.</w:t>
      </w:r>
      <w:r w:rsidRPr="00252A6B">
        <w:tab/>
      </w:r>
      <w:r w:rsidRPr="00252A6B">
        <w:rPr>
          <w:rFonts w:eastAsia="Times New Roman"/>
        </w:rPr>
        <w:t xml:space="preserve">Whether a statute is </w:t>
      </w:r>
      <w:r w:rsidRPr="00252A6B">
        <w:rPr>
          <w:rFonts w:eastAsia="Times New Roman"/>
          <w:bCs/>
        </w:rPr>
        <w:t>mandatory or directory</w:t>
      </w:r>
      <w:r w:rsidRPr="00252A6B">
        <w:rPr>
          <w:rFonts w:eastAsia="Times New Roman"/>
        </w:rPr>
        <w:t xml:space="preserve"> must be determined by considering legislative intent gleaned from review of the entire statute and from considering the nature and object of the statute and the consequences of the construction of it one way or the other. </w:t>
      </w:r>
      <w:r w:rsidR="00E55438">
        <w:rPr>
          <w:rFonts w:eastAsia="Times New Roman"/>
        </w:rPr>
        <w:t xml:space="preserve"> </w:t>
      </w:r>
      <w:hyperlink r:id="rId14" w:history="1">
        <w:r w:rsidRPr="00252A6B">
          <w:rPr>
            <w:rFonts w:eastAsia="Times New Roman"/>
            <w:i/>
            <w:iCs/>
          </w:rPr>
          <w:t>Pennsylvania Railroad Com. v. Bd of Revision of Taxes,</w:t>
        </w:r>
        <w:r w:rsidRPr="00252A6B">
          <w:rPr>
            <w:rFonts w:eastAsia="Times New Roman"/>
          </w:rPr>
          <w:t xml:space="preserve"> 372 Pa. 468, 92 A.2d 679 (1953).</w:t>
        </w:r>
      </w:hyperlink>
      <w:r w:rsidRPr="00252A6B">
        <w:rPr>
          <w:rFonts w:eastAsia="Times New Roman"/>
        </w:rPr>
        <w:t xml:space="preserve"> </w:t>
      </w:r>
      <w:r w:rsidR="00E55438">
        <w:rPr>
          <w:rFonts w:eastAsia="Times New Roman"/>
        </w:rPr>
        <w:t xml:space="preserve"> </w:t>
      </w:r>
      <w:r w:rsidRPr="00252A6B">
        <w:rPr>
          <w:rFonts w:eastAsia="Times New Roman"/>
        </w:rPr>
        <w:t xml:space="preserve">If the thing directed to be done is the essence of the thing required, the statute is </w:t>
      </w:r>
      <w:r w:rsidRPr="00252A6B">
        <w:rPr>
          <w:rFonts w:eastAsia="Times New Roman"/>
          <w:bCs/>
        </w:rPr>
        <w:t>mandatory</w:t>
      </w:r>
      <w:r w:rsidRPr="00D86B2D">
        <w:rPr>
          <w:rFonts w:eastAsia="Times New Roman"/>
          <w:bCs/>
        </w:rPr>
        <w:t>.</w:t>
      </w:r>
      <w:r w:rsidRPr="00252A6B">
        <w:rPr>
          <w:rFonts w:eastAsia="Times New Roman"/>
        </w:rPr>
        <w:t xml:space="preserve"> </w:t>
      </w:r>
      <w:r w:rsidR="00D86B2D">
        <w:rPr>
          <w:rFonts w:eastAsia="Times New Roman"/>
        </w:rPr>
        <w:t xml:space="preserve"> </w:t>
      </w:r>
      <w:r w:rsidRPr="00252A6B">
        <w:rPr>
          <w:rFonts w:eastAsia="Times New Roman"/>
          <w:i/>
          <w:iCs/>
        </w:rPr>
        <w:t>Id.</w:t>
      </w:r>
      <w:r w:rsidRPr="00252A6B">
        <w:rPr>
          <w:rFonts w:eastAsia="Times New Roman"/>
        </w:rPr>
        <w:t xml:space="preserve"> </w:t>
      </w:r>
      <w:r w:rsidR="00D86B2D">
        <w:rPr>
          <w:rFonts w:eastAsia="Times New Roman"/>
        </w:rPr>
        <w:t xml:space="preserve"> </w:t>
      </w:r>
      <w:r w:rsidRPr="00252A6B">
        <w:rPr>
          <w:rFonts w:eastAsia="Times New Roman"/>
        </w:rPr>
        <w:t xml:space="preserve">If, however, the statute merely directs that certain proceedings be done in a certain manner or at a certain time, it is </w:t>
      </w:r>
      <w:r w:rsidRPr="00252A6B">
        <w:rPr>
          <w:rFonts w:eastAsia="Times New Roman"/>
          <w:bCs/>
        </w:rPr>
        <w:t>directory.</w:t>
      </w:r>
      <w:r w:rsidRPr="00252A6B">
        <w:rPr>
          <w:rFonts w:eastAsia="Times New Roman"/>
        </w:rPr>
        <w:t xml:space="preserve"> </w:t>
      </w:r>
      <w:r w:rsidR="00FE7C69" w:rsidRPr="00252A6B">
        <w:rPr>
          <w:rFonts w:eastAsia="Times New Roman"/>
        </w:rPr>
        <w:t xml:space="preserve"> </w:t>
      </w:r>
      <w:hyperlink r:id="rId15" w:history="1">
        <w:r w:rsidRPr="00252A6B">
          <w:rPr>
            <w:rFonts w:eastAsia="Times New Roman"/>
            <w:i/>
            <w:iCs/>
          </w:rPr>
          <w:t>Prichard v. Willistown Township School District,</w:t>
        </w:r>
        <w:r w:rsidRPr="00252A6B">
          <w:rPr>
            <w:rFonts w:eastAsia="Times New Roman"/>
          </w:rPr>
          <w:t xml:space="preserve"> 394 Pa. 489, 147 A.2d 380 (1959).</w:t>
        </w:r>
      </w:hyperlink>
    </w:p>
    <w:p w:rsidR="00FE7C69" w:rsidRPr="00252A6B" w:rsidRDefault="00FE7C69" w:rsidP="00B46B58">
      <w:pPr>
        <w:jc w:val="left"/>
        <w:rPr>
          <w:rFonts w:eastAsia="Times New Roman"/>
        </w:rPr>
      </w:pPr>
    </w:p>
    <w:p w:rsidR="00CC03C4" w:rsidRPr="00252A6B" w:rsidRDefault="00FE7C69" w:rsidP="00B46B58">
      <w:pPr>
        <w:jc w:val="left"/>
      </w:pPr>
      <w:r w:rsidRPr="00252A6B">
        <w:rPr>
          <w:rFonts w:eastAsia="Times New Roman"/>
        </w:rPr>
        <w:tab/>
      </w:r>
      <w:r w:rsidRPr="00252A6B">
        <w:rPr>
          <w:rFonts w:eastAsia="Times New Roman"/>
        </w:rPr>
        <w:tab/>
        <w:t>8.</w:t>
      </w:r>
      <w:r w:rsidRPr="00252A6B">
        <w:rPr>
          <w:rFonts w:eastAsia="Times New Roman"/>
        </w:rPr>
        <w:tab/>
      </w:r>
      <w:r w:rsidR="00CC03C4" w:rsidRPr="00252A6B">
        <w:rPr>
          <w:rFonts w:eastAsia="Times New Roman"/>
        </w:rPr>
        <w:t xml:space="preserve">Failure to follow a </w:t>
      </w:r>
      <w:r w:rsidR="00CC03C4" w:rsidRPr="00252A6B">
        <w:rPr>
          <w:rFonts w:eastAsia="Times New Roman"/>
          <w:bCs/>
        </w:rPr>
        <w:t>mandatory</w:t>
      </w:r>
      <w:r w:rsidR="00CC03C4" w:rsidRPr="00252A6B">
        <w:rPr>
          <w:rFonts w:eastAsia="Times New Roman"/>
        </w:rPr>
        <w:t xml:space="preserve"> statute renders the proceedings void, whereas failure to follow a </w:t>
      </w:r>
      <w:r w:rsidR="00CC03C4" w:rsidRPr="00252A6B">
        <w:rPr>
          <w:rFonts w:eastAsia="Times New Roman"/>
          <w:bCs/>
        </w:rPr>
        <w:t>directory</w:t>
      </w:r>
      <w:r w:rsidR="00CC03C4" w:rsidRPr="00252A6B">
        <w:rPr>
          <w:rFonts w:eastAsia="Times New Roman"/>
        </w:rPr>
        <w:t xml:space="preserve"> statute does not. </w:t>
      </w:r>
      <w:r w:rsidR="00EE72FE">
        <w:rPr>
          <w:rFonts w:eastAsia="Times New Roman"/>
        </w:rPr>
        <w:t xml:space="preserve"> </w:t>
      </w:r>
      <w:hyperlink r:id="rId16" w:history="1">
        <w:r w:rsidR="00CC03C4" w:rsidRPr="00252A6B">
          <w:rPr>
            <w:rFonts w:eastAsia="Times New Roman"/>
            <w:i/>
            <w:iCs/>
          </w:rPr>
          <w:t>American Labor Party Case,</w:t>
        </w:r>
        <w:r w:rsidR="00EE72FE">
          <w:rPr>
            <w:rFonts w:eastAsia="Times New Roman"/>
          </w:rPr>
          <w:t xml:space="preserve"> 352 Pa. 576, </w:t>
        </w:r>
        <w:r w:rsidR="00CC03C4" w:rsidRPr="00252A6B">
          <w:rPr>
            <w:rFonts w:eastAsia="Times New Roman"/>
          </w:rPr>
          <w:t>44 A.2d 48 (1945).</w:t>
        </w:r>
      </w:hyperlink>
      <w:r w:rsidR="00CC03C4" w:rsidRPr="00252A6B">
        <w:rPr>
          <w:rFonts w:eastAsia="Times New Roman"/>
        </w:rPr>
        <w:t xml:space="preserve"> </w:t>
      </w:r>
      <w:r w:rsidR="00367D02">
        <w:rPr>
          <w:rFonts w:eastAsia="Times New Roman"/>
        </w:rPr>
        <w:t xml:space="preserve"> </w:t>
      </w:r>
      <w:hyperlink r:id="rId17" w:history="1">
        <w:r w:rsidR="00CC03C4" w:rsidRPr="00252A6B">
          <w:rPr>
            <w:rFonts w:eastAsia="Times New Roman"/>
            <w:i/>
            <w:iCs/>
          </w:rPr>
          <w:t>West Penn Power Co. v. Pa. Publ. Util. Comm'n, 521 A.2d 75</w:t>
        </w:r>
      </w:hyperlink>
      <w:r w:rsidR="00CC03C4" w:rsidRPr="00252A6B">
        <w:rPr>
          <w:rFonts w:eastAsia="Times New Roman"/>
          <w:i/>
          <w:iCs/>
        </w:rPr>
        <w:t xml:space="preserve"> (Pa. Cmwlth. Ct.</w:t>
      </w:r>
      <w:r w:rsidR="00CC03C4" w:rsidRPr="00252A6B">
        <w:rPr>
          <w:rFonts w:eastAsia="Times New Roman"/>
        </w:rPr>
        <w:t xml:space="preserve"> </w:t>
      </w:r>
      <w:r w:rsidR="00CC03C4" w:rsidRPr="00252A6B">
        <w:rPr>
          <w:rFonts w:eastAsia="Times New Roman"/>
          <w:i/>
          <w:iCs/>
        </w:rPr>
        <w:t>1985).</w:t>
      </w:r>
      <w:r w:rsidR="00CC03C4" w:rsidRPr="00252A6B">
        <w:rPr>
          <w:rFonts w:eastAsia="Times New Roman"/>
        </w:rPr>
        <w:br/>
      </w:r>
    </w:p>
    <w:p w:rsidR="00FE7C69" w:rsidRPr="00252A6B" w:rsidRDefault="00FE7C69" w:rsidP="00CC03C4">
      <w:pPr>
        <w:jc w:val="left"/>
      </w:pPr>
      <w:r w:rsidRPr="00252A6B">
        <w:tab/>
      </w:r>
      <w:r w:rsidRPr="00252A6B">
        <w:tab/>
        <w:t>9.</w:t>
      </w:r>
      <w:r w:rsidRPr="00252A6B">
        <w:tab/>
      </w:r>
      <w:r w:rsidR="00CC03C4" w:rsidRPr="00252A6B">
        <w:t xml:space="preserve">The present day standard </w:t>
      </w:r>
      <w:r w:rsidRPr="00252A6B">
        <w:t xml:space="preserve">of evaluating civil penalties in litigated proceedings </w:t>
      </w:r>
      <w:r w:rsidR="00CC03C4" w:rsidRPr="00252A6B">
        <w:t xml:space="preserve">was developed in </w:t>
      </w:r>
      <w:r w:rsidR="00CC03C4" w:rsidRPr="00252A6B">
        <w:rPr>
          <w:i/>
        </w:rPr>
        <w:t xml:space="preserve">Joseph A Rosi v. Bell-Atlantic – Pennsylvania, Inc. and Sprint Communications, L.P., </w:t>
      </w:r>
      <w:r w:rsidR="00CC03C4" w:rsidRPr="00252A6B">
        <w:t>Docket No. C-00992409</w:t>
      </w:r>
      <w:r w:rsidRPr="00252A6B">
        <w:t xml:space="preserve"> (Order entered March 16, 2000).</w:t>
      </w:r>
    </w:p>
    <w:p w:rsidR="00FE7C69" w:rsidRPr="00252A6B" w:rsidRDefault="00FE7C69" w:rsidP="00B46B58">
      <w:pPr>
        <w:jc w:val="left"/>
      </w:pPr>
    </w:p>
    <w:p w:rsidR="00CE381D" w:rsidRPr="00252A6B" w:rsidRDefault="00FE7C69" w:rsidP="00CC03C4">
      <w:pPr>
        <w:jc w:val="left"/>
      </w:pPr>
      <w:r w:rsidRPr="00252A6B">
        <w:tab/>
      </w:r>
      <w:r w:rsidRPr="00252A6B">
        <w:tab/>
        <w:t>10.</w:t>
      </w:r>
      <w:r w:rsidRPr="00252A6B">
        <w:tab/>
        <w:t>I</w:t>
      </w:r>
      <w:r w:rsidR="00CC03C4" w:rsidRPr="00252A6B">
        <w:t xml:space="preserve">n </w:t>
      </w:r>
      <w:r w:rsidR="00CC03C4" w:rsidRPr="00252A6B">
        <w:rPr>
          <w:i/>
        </w:rPr>
        <w:t xml:space="preserve">Pa. Publ. Util. Comm'n v. NCIC Operator Serv., </w:t>
      </w:r>
      <w:r w:rsidR="00CC03C4" w:rsidRPr="00252A6B">
        <w:t xml:space="preserve">Docket No. </w:t>
      </w:r>
    </w:p>
    <w:p w:rsidR="00CC03C4" w:rsidRPr="00252A6B" w:rsidRDefault="00CC03C4" w:rsidP="00CC03C4">
      <w:pPr>
        <w:jc w:val="left"/>
      </w:pPr>
      <w:r w:rsidRPr="00252A6B">
        <w:t xml:space="preserve">M-00001440 (Order entered December 21, 2000), the Commission held that violations would be subject to the </w:t>
      </w:r>
      <w:r w:rsidRPr="00252A6B">
        <w:rPr>
          <w:i/>
        </w:rPr>
        <w:t>Rosi</w:t>
      </w:r>
      <w:r w:rsidRPr="00252A6B">
        <w:t xml:space="preserve"> standards.</w:t>
      </w:r>
    </w:p>
    <w:p w:rsidR="00FE7C69" w:rsidRPr="00252A6B" w:rsidRDefault="00FE7C69" w:rsidP="00CC03C4">
      <w:pPr>
        <w:jc w:val="left"/>
      </w:pPr>
    </w:p>
    <w:p w:rsidR="00FE7C69" w:rsidRPr="00252A6B" w:rsidRDefault="00FE7C69" w:rsidP="00CC03C4">
      <w:pPr>
        <w:jc w:val="left"/>
      </w:pPr>
      <w:r w:rsidRPr="00252A6B">
        <w:tab/>
      </w:r>
      <w:r w:rsidRPr="00252A6B">
        <w:tab/>
        <w:t>11.</w:t>
      </w:r>
      <w:r w:rsidRPr="00252A6B">
        <w:tab/>
        <w:t>The Commission has adopted a policy statement which enumerates the standards that it uses to evaluate civil penalties.  52 Pa. Code § 69.1201.</w:t>
      </w:r>
    </w:p>
    <w:p w:rsidR="00CC03C4" w:rsidRPr="00252A6B" w:rsidRDefault="00CC03C4" w:rsidP="00CC03C4">
      <w:pPr>
        <w:jc w:val="left"/>
      </w:pPr>
    </w:p>
    <w:p w:rsidR="00CE381D" w:rsidRPr="00252A6B" w:rsidRDefault="00FE7C69" w:rsidP="00CC03C4">
      <w:pPr>
        <w:jc w:val="left"/>
      </w:pPr>
      <w:r w:rsidRPr="00252A6B">
        <w:tab/>
      </w:r>
      <w:r w:rsidRPr="00252A6B">
        <w:tab/>
        <w:t>12.</w:t>
      </w:r>
      <w:r w:rsidRPr="00252A6B">
        <w:tab/>
      </w:r>
      <w:r w:rsidR="00CE381D" w:rsidRPr="00252A6B">
        <w:t>Respondent has violated the Public Utility Code by failing to pay the two invoices within thirty days of their receipt.</w:t>
      </w:r>
    </w:p>
    <w:p w:rsidR="00CE381D" w:rsidRPr="00252A6B" w:rsidRDefault="00CE381D" w:rsidP="003F6FD8">
      <w:pPr>
        <w:jc w:val="left"/>
      </w:pPr>
    </w:p>
    <w:p w:rsidR="00CC03C4" w:rsidRPr="00252A6B" w:rsidRDefault="00CE381D" w:rsidP="00CC03C4">
      <w:pPr>
        <w:jc w:val="left"/>
      </w:pPr>
      <w:r w:rsidRPr="00252A6B">
        <w:tab/>
      </w:r>
      <w:r w:rsidRPr="00252A6B">
        <w:tab/>
        <w:t>13.</w:t>
      </w:r>
      <w:r w:rsidRPr="00252A6B">
        <w:tab/>
      </w:r>
      <w:r w:rsidR="00FE7C69" w:rsidRPr="00252A6B">
        <w:t>The I&amp;E request for $85 civil penalty is reasonable</w:t>
      </w:r>
      <w:r w:rsidRPr="00252A6B">
        <w:t xml:space="preserve"> under applicable standards</w:t>
      </w:r>
      <w:r w:rsidR="00FE7C69" w:rsidRPr="00252A6B">
        <w:t>.</w:t>
      </w:r>
    </w:p>
    <w:p w:rsidR="00FE7C69" w:rsidRPr="00252A6B" w:rsidRDefault="00FE7C69" w:rsidP="003F6FD8">
      <w:pPr>
        <w:jc w:val="both"/>
      </w:pPr>
    </w:p>
    <w:p w:rsidR="00FE7C69" w:rsidRPr="003F6FD8" w:rsidRDefault="00FE7C69" w:rsidP="00FE7C69">
      <w:pPr>
        <w:rPr>
          <w:b/>
          <w:u w:val="single"/>
        </w:rPr>
      </w:pPr>
      <w:r w:rsidRPr="003F6FD8">
        <w:rPr>
          <w:b/>
          <w:u w:val="single"/>
        </w:rPr>
        <w:lastRenderedPageBreak/>
        <w:t>ORDER</w:t>
      </w:r>
    </w:p>
    <w:p w:rsidR="00FE7C69" w:rsidRDefault="00FE7C69" w:rsidP="00577B28">
      <w:pPr>
        <w:jc w:val="left"/>
      </w:pPr>
    </w:p>
    <w:p w:rsidR="00577B28" w:rsidRPr="00252A6B" w:rsidRDefault="00577B28" w:rsidP="00577B28">
      <w:pPr>
        <w:jc w:val="left"/>
      </w:pPr>
    </w:p>
    <w:p w:rsidR="00FE7C69" w:rsidRPr="00252A6B" w:rsidRDefault="00FE7C69" w:rsidP="00CC03C4">
      <w:pPr>
        <w:jc w:val="left"/>
      </w:pPr>
      <w:r w:rsidRPr="00252A6B">
        <w:tab/>
      </w:r>
      <w:r w:rsidRPr="00252A6B">
        <w:tab/>
        <w:t>THEREFORE:</w:t>
      </w:r>
    </w:p>
    <w:p w:rsidR="00FE7C69" w:rsidRPr="00252A6B" w:rsidRDefault="00FE7C69" w:rsidP="00577B28">
      <w:pPr>
        <w:jc w:val="left"/>
      </w:pPr>
    </w:p>
    <w:p w:rsidR="00FE7C69" w:rsidRPr="00252A6B" w:rsidRDefault="00FE7C69" w:rsidP="00CC03C4">
      <w:pPr>
        <w:jc w:val="left"/>
      </w:pPr>
      <w:r w:rsidRPr="00252A6B">
        <w:tab/>
      </w:r>
      <w:r w:rsidRPr="00252A6B">
        <w:tab/>
        <w:t>IT IS ORDERED:</w:t>
      </w:r>
    </w:p>
    <w:p w:rsidR="00FE7C69" w:rsidRPr="00252A6B" w:rsidRDefault="00FE7C69" w:rsidP="00577B28">
      <w:pPr>
        <w:jc w:val="left"/>
      </w:pPr>
    </w:p>
    <w:p w:rsidR="00FE7C69" w:rsidRPr="00252A6B" w:rsidRDefault="00FE7C69" w:rsidP="00CC03C4">
      <w:pPr>
        <w:jc w:val="left"/>
      </w:pPr>
      <w:r w:rsidRPr="00252A6B">
        <w:tab/>
      </w:r>
      <w:r w:rsidRPr="00252A6B">
        <w:tab/>
        <w:t>1.</w:t>
      </w:r>
      <w:r w:rsidRPr="00252A6B">
        <w:tab/>
        <w:t>That the violations averred by the Commission's Bureau of Investigation and Enforcement in the Complaint filed against Scott A. Dechert t/a Distinctive Limousine Service, at Docket No. C-2012-2334904, are sustained.</w:t>
      </w:r>
    </w:p>
    <w:p w:rsidR="00FE7C69" w:rsidRPr="00252A6B" w:rsidRDefault="00FE7C69" w:rsidP="00CC03C4">
      <w:pPr>
        <w:jc w:val="left"/>
      </w:pPr>
    </w:p>
    <w:p w:rsidR="00CC03C4" w:rsidRPr="00252A6B" w:rsidRDefault="00FE7C69" w:rsidP="00FE7C69">
      <w:pPr>
        <w:jc w:val="left"/>
      </w:pPr>
      <w:r w:rsidRPr="00252A6B">
        <w:tab/>
      </w:r>
      <w:r w:rsidRPr="00252A6B">
        <w:tab/>
        <w:t>2.</w:t>
      </w:r>
      <w:r w:rsidRPr="00252A6B">
        <w:tab/>
        <w:t>That within thirty days of the entry date of the Commission's final order in this matter, Scott A. Dechert t/a Distinctive Limousine Service, shall remit $85, payable by check, money order, or certified funds, to:</w:t>
      </w:r>
    </w:p>
    <w:p w:rsidR="00CC03C4" w:rsidRPr="00252A6B" w:rsidRDefault="00CC03C4" w:rsidP="00187FCD">
      <w:pPr>
        <w:spacing w:line="240" w:lineRule="auto"/>
        <w:jc w:val="left"/>
      </w:pPr>
    </w:p>
    <w:p w:rsidR="00E607CB" w:rsidRPr="00252A6B" w:rsidRDefault="00E607CB" w:rsidP="00187FCD">
      <w:pPr>
        <w:spacing w:line="240" w:lineRule="auto"/>
        <w:ind w:firstLine="1440"/>
        <w:jc w:val="left"/>
      </w:pPr>
      <w:r w:rsidRPr="00252A6B">
        <w:t>Secretary</w:t>
      </w:r>
    </w:p>
    <w:p w:rsidR="00E607CB" w:rsidRPr="00252A6B" w:rsidRDefault="00E607CB" w:rsidP="00187FCD">
      <w:pPr>
        <w:spacing w:line="240" w:lineRule="auto"/>
        <w:ind w:firstLine="1440"/>
        <w:jc w:val="left"/>
      </w:pPr>
      <w:r w:rsidRPr="00252A6B">
        <w:t>Pennsylvania Public Utility Commission</w:t>
      </w:r>
    </w:p>
    <w:p w:rsidR="00E607CB" w:rsidRPr="00252A6B" w:rsidRDefault="00E607CB" w:rsidP="00187FCD">
      <w:pPr>
        <w:spacing w:line="240" w:lineRule="auto"/>
        <w:ind w:firstLine="1440"/>
        <w:jc w:val="left"/>
      </w:pPr>
      <w:r w:rsidRPr="00252A6B">
        <w:t>P.O. Box 3265</w:t>
      </w:r>
    </w:p>
    <w:p w:rsidR="00E607CB" w:rsidRPr="00252A6B" w:rsidRDefault="00E607CB" w:rsidP="00187FCD">
      <w:pPr>
        <w:spacing w:line="240" w:lineRule="auto"/>
        <w:ind w:firstLine="1440"/>
        <w:jc w:val="left"/>
      </w:pPr>
      <w:r w:rsidRPr="00252A6B">
        <w:t>Harrisburg, PA, 17105-3265</w:t>
      </w:r>
    </w:p>
    <w:p w:rsidR="00E607CB" w:rsidRPr="00252A6B" w:rsidRDefault="00E607CB" w:rsidP="00FE7C69">
      <w:pPr>
        <w:ind w:firstLine="1440"/>
        <w:jc w:val="left"/>
      </w:pPr>
    </w:p>
    <w:p w:rsidR="00E607CB" w:rsidRPr="00252A6B" w:rsidRDefault="00BB524E" w:rsidP="00FE7C69">
      <w:pPr>
        <w:ind w:firstLine="1440"/>
        <w:jc w:val="left"/>
      </w:pPr>
      <w:r>
        <w:t>3</w:t>
      </w:r>
      <w:r w:rsidR="00E607CB" w:rsidRPr="00252A6B">
        <w:t>.</w:t>
      </w:r>
      <w:r w:rsidR="00E607CB" w:rsidRPr="00252A6B">
        <w:tab/>
        <w:t xml:space="preserve">That a copy of this </w:t>
      </w:r>
      <w:r w:rsidR="00187FCD" w:rsidRPr="00252A6B">
        <w:t>Initial Decision</w:t>
      </w:r>
      <w:r w:rsidR="00E607CB" w:rsidRPr="00252A6B">
        <w:t xml:space="preserve"> shall be served upon the Financial and Assessment Chief, Office of Administrative Services.</w:t>
      </w:r>
    </w:p>
    <w:p w:rsidR="00E607CB" w:rsidRPr="00252A6B" w:rsidRDefault="00E607CB" w:rsidP="00FE7C69">
      <w:pPr>
        <w:ind w:firstLine="1440"/>
        <w:jc w:val="left"/>
      </w:pPr>
    </w:p>
    <w:p w:rsidR="00E607CB" w:rsidRPr="00252A6B" w:rsidRDefault="00BB524E" w:rsidP="00FE7C69">
      <w:pPr>
        <w:ind w:firstLine="1440"/>
        <w:jc w:val="left"/>
      </w:pPr>
      <w:r>
        <w:t>4</w:t>
      </w:r>
      <w:r w:rsidR="00E607CB" w:rsidRPr="00252A6B">
        <w:t>.</w:t>
      </w:r>
      <w:r w:rsidR="00E607CB" w:rsidRPr="00252A6B">
        <w:tab/>
        <w:t xml:space="preserve">That a copy of this </w:t>
      </w:r>
      <w:r w:rsidR="00187FCD" w:rsidRPr="00252A6B">
        <w:t>Initial Decision</w:t>
      </w:r>
      <w:r w:rsidR="00E607CB" w:rsidRPr="00252A6B">
        <w:t xml:space="preserve"> shall be served upon the Bureau of Technical Utility Services for monitoring of compliance.</w:t>
      </w:r>
    </w:p>
    <w:p w:rsidR="00E607CB" w:rsidRPr="00252A6B" w:rsidRDefault="00E607CB" w:rsidP="00FE7C69">
      <w:pPr>
        <w:ind w:firstLine="1440"/>
        <w:jc w:val="left"/>
      </w:pPr>
    </w:p>
    <w:p w:rsidR="00E607CB" w:rsidRPr="00252A6B" w:rsidRDefault="00BB524E" w:rsidP="00FE7C69">
      <w:pPr>
        <w:ind w:firstLine="1440"/>
        <w:jc w:val="left"/>
      </w:pPr>
      <w:r>
        <w:t>5</w:t>
      </w:r>
      <w:r w:rsidR="00E607CB" w:rsidRPr="00252A6B">
        <w:t>.</w:t>
      </w:r>
      <w:r w:rsidR="00E607CB" w:rsidRPr="00252A6B">
        <w:tab/>
        <w:t xml:space="preserve">That, if </w:t>
      </w:r>
      <w:r w:rsidR="00187FCD" w:rsidRPr="00252A6B">
        <w:t xml:space="preserve">Scott A. Dechert t/a Distinctive Limousine Service, </w:t>
      </w:r>
      <w:r w:rsidR="00E607CB" w:rsidRPr="00252A6B">
        <w:t xml:space="preserve">fails to make the payment required by Ordering Paragraph No. </w:t>
      </w:r>
      <w:r>
        <w:t>2</w:t>
      </w:r>
      <w:r w:rsidR="00E607CB" w:rsidRPr="00252A6B">
        <w:t xml:space="preserve"> above within thirty days of the entry date of this Opinion and Order:</w:t>
      </w:r>
    </w:p>
    <w:p w:rsidR="00E607CB" w:rsidRPr="00252A6B" w:rsidRDefault="00E607CB" w:rsidP="00FE7C69">
      <w:pPr>
        <w:ind w:left="2880" w:hanging="720"/>
        <w:jc w:val="left"/>
      </w:pPr>
    </w:p>
    <w:p w:rsidR="00E607CB" w:rsidRPr="00252A6B" w:rsidRDefault="00E607CB" w:rsidP="00FE7C69">
      <w:pPr>
        <w:ind w:left="2880" w:hanging="720"/>
        <w:jc w:val="left"/>
      </w:pPr>
      <w:r w:rsidRPr="00252A6B">
        <w:t>a.</w:t>
      </w:r>
      <w:r w:rsidRPr="00252A6B">
        <w:tab/>
        <w:t xml:space="preserve">The Certificate of Public Convenience held by </w:t>
      </w:r>
      <w:r w:rsidR="00187FCD" w:rsidRPr="00252A6B">
        <w:t xml:space="preserve">Scott A. Dechert t/a Distinctive Limousine Service, </w:t>
      </w:r>
      <w:r w:rsidRPr="00252A6B">
        <w:t xml:space="preserve">shall be cancelled without further action by this Commission; </w:t>
      </w:r>
    </w:p>
    <w:p w:rsidR="00E607CB" w:rsidRPr="00252A6B" w:rsidRDefault="00E607CB" w:rsidP="00FE7C69">
      <w:pPr>
        <w:ind w:left="2880" w:hanging="720"/>
        <w:jc w:val="left"/>
      </w:pPr>
    </w:p>
    <w:p w:rsidR="00E607CB" w:rsidRPr="00252A6B" w:rsidRDefault="00E607CB" w:rsidP="00FE7C69">
      <w:pPr>
        <w:ind w:left="2880" w:hanging="720"/>
        <w:jc w:val="left"/>
      </w:pPr>
      <w:r w:rsidRPr="00252A6B">
        <w:t>b.</w:t>
      </w:r>
      <w:r w:rsidRPr="00252A6B">
        <w:tab/>
        <w:t>The Bureau of Administrative Services, Assessment Section, shall refer this matter to the Pennsylvania Office of Attorney General for appropriate action; and</w:t>
      </w:r>
    </w:p>
    <w:p w:rsidR="00E607CB" w:rsidRPr="00252A6B" w:rsidRDefault="00E607CB" w:rsidP="00FE7C69">
      <w:pPr>
        <w:ind w:firstLine="1440"/>
        <w:jc w:val="left"/>
      </w:pPr>
    </w:p>
    <w:p w:rsidR="00E607CB" w:rsidRPr="00252A6B" w:rsidRDefault="00E607CB" w:rsidP="00FE7C69">
      <w:pPr>
        <w:ind w:left="2880" w:hanging="720"/>
        <w:jc w:val="left"/>
      </w:pPr>
      <w:r w:rsidRPr="00252A6B">
        <w:t>c.</w:t>
      </w:r>
      <w:r w:rsidRPr="00252A6B">
        <w:tab/>
        <w:t>A copy of this Opinion and Order shall be served upon the Pennsylvania Department of Trans</w:t>
      </w:r>
      <w:r w:rsidR="0070028D">
        <w:t>portation,  pursuant to Chapter </w:t>
      </w:r>
      <w:r w:rsidRPr="00252A6B">
        <w:t>13 of the Vehicle Code, 75 Pa. C.S. §§ 1301-1379, and the Commission will request that the Pennsylvania Department of Transportation put an administrative hold on</w:t>
      </w:r>
      <w:r w:rsidR="00187FCD" w:rsidRPr="00252A6B">
        <w:t xml:space="preserve"> Scott A. Dechert t/</w:t>
      </w:r>
      <w:r w:rsidR="00BB524E">
        <w:t>a Distinctive Limousine Service</w:t>
      </w:r>
      <w:r w:rsidRPr="00252A6B">
        <w:t xml:space="preserve">’s vehicle registrations.  </w:t>
      </w:r>
      <w:r w:rsidR="00187FCD" w:rsidRPr="00252A6B">
        <w:t>Scott A. Dechert t/a Distinctive Limousine Service,</w:t>
      </w:r>
      <w:r w:rsidRPr="00252A6B">
        <w:t xml:space="preserve"> 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E607CB" w:rsidRPr="00252A6B" w:rsidRDefault="00E607CB" w:rsidP="00FE7C69">
      <w:pPr>
        <w:ind w:firstLine="1440"/>
        <w:jc w:val="left"/>
      </w:pPr>
    </w:p>
    <w:p w:rsidR="00E607CB" w:rsidRPr="00252A6B" w:rsidRDefault="00BB524E" w:rsidP="00FE7C69">
      <w:pPr>
        <w:ind w:firstLine="1440"/>
        <w:jc w:val="left"/>
      </w:pPr>
      <w:r>
        <w:t>6</w:t>
      </w:r>
      <w:r w:rsidR="00E607CB" w:rsidRPr="00252A6B">
        <w:t>.</w:t>
      </w:r>
      <w:r w:rsidR="00E607CB" w:rsidRPr="00252A6B">
        <w:tab/>
        <w:t xml:space="preserve">That, after </w:t>
      </w:r>
      <w:r w:rsidR="00187FCD" w:rsidRPr="00252A6B">
        <w:t xml:space="preserve">Scott A. Dechert t/a Distinctive Limousine Service, </w:t>
      </w:r>
      <w:r w:rsidR="00E607CB" w:rsidRPr="00252A6B">
        <w:t>remits $8</w:t>
      </w:r>
      <w:r w:rsidR="00187FCD" w:rsidRPr="00252A6B">
        <w:t>5</w:t>
      </w:r>
      <w:r w:rsidR="00E607CB" w:rsidRPr="00252A6B">
        <w:t xml:space="preserve"> as requ</w:t>
      </w:r>
      <w:r>
        <w:t>ired by Ordering Paragraph No. 2</w:t>
      </w:r>
      <w:r w:rsidR="00E607CB" w:rsidRPr="00252A6B">
        <w:t>, the Secretary’s Bureau shall mark this proceeding closed.</w:t>
      </w:r>
    </w:p>
    <w:p w:rsidR="00187FCD" w:rsidRDefault="00187FCD" w:rsidP="002C35FB">
      <w:pPr>
        <w:ind w:firstLine="1440"/>
        <w:jc w:val="left"/>
      </w:pPr>
    </w:p>
    <w:p w:rsidR="002C35FB" w:rsidRPr="00252A6B" w:rsidRDefault="002C35FB" w:rsidP="002C35FB">
      <w:pPr>
        <w:ind w:firstLine="1440"/>
        <w:jc w:val="left"/>
      </w:pPr>
    </w:p>
    <w:p w:rsidR="00187FCD" w:rsidRPr="00252A6B" w:rsidRDefault="00187FCD" w:rsidP="00187FCD">
      <w:pPr>
        <w:spacing w:line="240" w:lineRule="auto"/>
        <w:jc w:val="both"/>
      </w:pPr>
      <w:r w:rsidRPr="00252A6B">
        <w:t>Dated:</w:t>
      </w:r>
      <w:r w:rsidRPr="00252A6B">
        <w:tab/>
      </w:r>
      <w:r w:rsidRPr="00252A6B">
        <w:rPr>
          <w:u w:val="single"/>
        </w:rPr>
        <w:t xml:space="preserve">May </w:t>
      </w:r>
      <w:r w:rsidR="00CE381D" w:rsidRPr="00252A6B">
        <w:rPr>
          <w:u w:val="single"/>
        </w:rPr>
        <w:t>30</w:t>
      </w:r>
      <w:r w:rsidRPr="00252A6B">
        <w:rPr>
          <w:u w:val="single"/>
        </w:rPr>
        <w:t>, 2013</w:t>
      </w:r>
      <w:r w:rsidRPr="00252A6B">
        <w:tab/>
      </w:r>
      <w:r w:rsidRPr="00252A6B">
        <w:tab/>
      </w:r>
      <w:r w:rsidRPr="00252A6B">
        <w:tab/>
      </w:r>
      <w:r w:rsidRPr="00252A6B">
        <w:tab/>
      </w:r>
      <w:r w:rsidRPr="00252A6B">
        <w:tab/>
        <w:t>__</w:t>
      </w:r>
      <w:r w:rsidR="008D4A6E">
        <w:rPr>
          <w:u w:val="single"/>
        </w:rPr>
        <w:t>/</w:t>
      </w:r>
      <w:r w:rsidR="008D4A6E">
        <w:rPr>
          <w:rFonts w:ascii="Berlin Sans FB" w:hAnsi="Berlin Sans FB"/>
          <w:u w:val="single"/>
        </w:rPr>
        <w:t>s</w:t>
      </w:r>
      <w:r w:rsidR="008D4A6E">
        <w:rPr>
          <w:u w:val="single"/>
        </w:rPr>
        <w:t>/</w:t>
      </w:r>
      <w:r w:rsidRPr="00252A6B">
        <w:t>________________________________</w:t>
      </w:r>
    </w:p>
    <w:p w:rsidR="00187FCD" w:rsidRPr="00252A6B" w:rsidRDefault="00187FCD" w:rsidP="00187FCD">
      <w:pPr>
        <w:spacing w:line="240" w:lineRule="auto"/>
        <w:jc w:val="both"/>
      </w:pPr>
      <w:r w:rsidRPr="00252A6B">
        <w:tab/>
      </w:r>
      <w:r w:rsidRPr="00252A6B">
        <w:tab/>
      </w:r>
      <w:r w:rsidRPr="00252A6B">
        <w:tab/>
      </w:r>
      <w:r w:rsidRPr="00252A6B">
        <w:tab/>
      </w:r>
      <w:r w:rsidRPr="00252A6B">
        <w:tab/>
      </w:r>
      <w:r w:rsidRPr="00252A6B">
        <w:tab/>
      </w:r>
      <w:r w:rsidRPr="00252A6B">
        <w:tab/>
        <w:t>Susan D. Colwell</w:t>
      </w:r>
    </w:p>
    <w:p w:rsidR="00187FCD" w:rsidRPr="00252A6B" w:rsidRDefault="00187FCD" w:rsidP="00187FCD">
      <w:pPr>
        <w:spacing w:line="240" w:lineRule="auto"/>
        <w:jc w:val="both"/>
      </w:pPr>
      <w:r w:rsidRPr="00252A6B">
        <w:tab/>
      </w:r>
      <w:r w:rsidRPr="00252A6B">
        <w:tab/>
      </w:r>
      <w:r w:rsidRPr="00252A6B">
        <w:tab/>
      </w:r>
      <w:r w:rsidRPr="00252A6B">
        <w:tab/>
      </w:r>
      <w:r w:rsidRPr="00252A6B">
        <w:tab/>
      </w:r>
      <w:r w:rsidRPr="00252A6B">
        <w:tab/>
      </w:r>
      <w:r w:rsidRPr="00252A6B">
        <w:tab/>
        <w:t>Administrative Law Judge</w:t>
      </w:r>
    </w:p>
    <w:p w:rsidR="00187FCD" w:rsidRPr="00252A6B" w:rsidRDefault="00187FCD" w:rsidP="00187FCD">
      <w:pPr>
        <w:spacing w:line="240" w:lineRule="auto"/>
        <w:jc w:val="both"/>
      </w:pPr>
    </w:p>
    <w:p w:rsidR="00E607CB" w:rsidRPr="00252A6B" w:rsidRDefault="00E607CB" w:rsidP="00FE7C69">
      <w:pPr>
        <w:jc w:val="left"/>
      </w:pPr>
    </w:p>
    <w:p w:rsidR="00E607CB" w:rsidRPr="00252A6B" w:rsidRDefault="00E607CB" w:rsidP="00FE7C69">
      <w:pPr>
        <w:spacing w:line="240" w:lineRule="auto"/>
        <w:jc w:val="left"/>
      </w:pPr>
    </w:p>
    <w:sectPr w:rsidR="00E607CB" w:rsidRPr="00252A6B" w:rsidSect="00187FCD">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DF7" w:rsidRDefault="00D41DF7" w:rsidP="00187FCD">
      <w:pPr>
        <w:spacing w:line="240" w:lineRule="auto"/>
      </w:pPr>
      <w:r>
        <w:separator/>
      </w:r>
    </w:p>
  </w:endnote>
  <w:endnote w:type="continuationSeparator" w:id="0">
    <w:p w:rsidR="00D41DF7" w:rsidRDefault="00D41DF7" w:rsidP="00187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622077"/>
      <w:docPartObj>
        <w:docPartGallery w:val="Page Numbers (Bottom of Page)"/>
        <w:docPartUnique/>
      </w:docPartObj>
    </w:sdtPr>
    <w:sdtEndPr>
      <w:rPr>
        <w:noProof/>
        <w:sz w:val="20"/>
        <w:szCs w:val="20"/>
      </w:rPr>
    </w:sdtEndPr>
    <w:sdtContent>
      <w:p w:rsidR="00187FCD" w:rsidRPr="007D1321" w:rsidRDefault="00187FCD" w:rsidP="007D1321">
        <w:pPr>
          <w:pStyle w:val="Footer"/>
          <w:rPr>
            <w:sz w:val="20"/>
            <w:szCs w:val="20"/>
          </w:rPr>
        </w:pPr>
        <w:r w:rsidRPr="007D1321">
          <w:rPr>
            <w:sz w:val="20"/>
            <w:szCs w:val="20"/>
          </w:rPr>
          <w:fldChar w:fldCharType="begin"/>
        </w:r>
        <w:r w:rsidRPr="007D1321">
          <w:rPr>
            <w:sz w:val="20"/>
            <w:szCs w:val="20"/>
          </w:rPr>
          <w:instrText xml:space="preserve"> PAGE   \* MERGEFORMAT </w:instrText>
        </w:r>
        <w:r w:rsidRPr="007D1321">
          <w:rPr>
            <w:sz w:val="20"/>
            <w:szCs w:val="20"/>
          </w:rPr>
          <w:fldChar w:fldCharType="separate"/>
        </w:r>
        <w:r w:rsidR="00E403A0">
          <w:rPr>
            <w:noProof/>
            <w:sz w:val="20"/>
            <w:szCs w:val="20"/>
          </w:rPr>
          <w:t>16</w:t>
        </w:r>
        <w:r w:rsidRPr="007D132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DF7" w:rsidRDefault="00D41DF7" w:rsidP="00187FCD">
      <w:pPr>
        <w:spacing w:line="240" w:lineRule="auto"/>
      </w:pPr>
      <w:r>
        <w:separator/>
      </w:r>
    </w:p>
  </w:footnote>
  <w:footnote w:type="continuationSeparator" w:id="0">
    <w:p w:rsidR="00D41DF7" w:rsidRDefault="00D41DF7" w:rsidP="00187F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4E"/>
    <w:rsid w:val="00001E3A"/>
    <w:rsid w:val="00001EF6"/>
    <w:rsid w:val="000028EA"/>
    <w:rsid w:val="00003D11"/>
    <w:rsid w:val="00004AA3"/>
    <w:rsid w:val="00005558"/>
    <w:rsid w:val="000079FE"/>
    <w:rsid w:val="00012104"/>
    <w:rsid w:val="00012655"/>
    <w:rsid w:val="0001305A"/>
    <w:rsid w:val="00015FF5"/>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D4D"/>
    <w:rsid w:val="000634EB"/>
    <w:rsid w:val="00063801"/>
    <w:rsid w:val="00066E56"/>
    <w:rsid w:val="0006752D"/>
    <w:rsid w:val="000676B2"/>
    <w:rsid w:val="00067CBC"/>
    <w:rsid w:val="00070AA1"/>
    <w:rsid w:val="00071A36"/>
    <w:rsid w:val="00072595"/>
    <w:rsid w:val="00072D46"/>
    <w:rsid w:val="00073BE1"/>
    <w:rsid w:val="00074065"/>
    <w:rsid w:val="00076092"/>
    <w:rsid w:val="000779CB"/>
    <w:rsid w:val="00082319"/>
    <w:rsid w:val="00082363"/>
    <w:rsid w:val="00082D1A"/>
    <w:rsid w:val="000852E5"/>
    <w:rsid w:val="00085A52"/>
    <w:rsid w:val="00085B1B"/>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4CEF"/>
    <w:rsid w:val="000B7111"/>
    <w:rsid w:val="000C0311"/>
    <w:rsid w:val="000C2696"/>
    <w:rsid w:val="000C2A2B"/>
    <w:rsid w:val="000C34F3"/>
    <w:rsid w:val="000C4163"/>
    <w:rsid w:val="000C5976"/>
    <w:rsid w:val="000C6B6E"/>
    <w:rsid w:val="000C6EF0"/>
    <w:rsid w:val="000C7A4F"/>
    <w:rsid w:val="000D200A"/>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0F7A08"/>
    <w:rsid w:val="0010080E"/>
    <w:rsid w:val="001021FB"/>
    <w:rsid w:val="00102A77"/>
    <w:rsid w:val="0010420D"/>
    <w:rsid w:val="00104518"/>
    <w:rsid w:val="00106EE8"/>
    <w:rsid w:val="001077F1"/>
    <w:rsid w:val="00107E25"/>
    <w:rsid w:val="00113B1B"/>
    <w:rsid w:val="001155EF"/>
    <w:rsid w:val="00115BB6"/>
    <w:rsid w:val="00116578"/>
    <w:rsid w:val="001170B8"/>
    <w:rsid w:val="0012035F"/>
    <w:rsid w:val="00120A37"/>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505"/>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7FCD"/>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1A4"/>
    <w:rsid w:val="001D1519"/>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BA2"/>
    <w:rsid w:val="0021162B"/>
    <w:rsid w:val="002125E4"/>
    <w:rsid w:val="002131B7"/>
    <w:rsid w:val="002140CB"/>
    <w:rsid w:val="00214E49"/>
    <w:rsid w:val="00215381"/>
    <w:rsid w:val="00215BA6"/>
    <w:rsid w:val="002163B7"/>
    <w:rsid w:val="00216C32"/>
    <w:rsid w:val="00216F76"/>
    <w:rsid w:val="0021750E"/>
    <w:rsid w:val="002178EA"/>
    <w:rsid w:val="0022017F"/>
    <w:rsid w:val="002205EC"/>
    <w:rsid w:val="00220D97"/>
    <w:rsid w:val="00221A88"/>
    <w:rsid w:val="00222ADF"/>
    <w:rsid w:val="002241D0"/>
    <w:rsid w:val="00224756"/>
    <w:rsid w:val="0022478F"/>
    <w:rsid w:val="00227A4A"/>
    <w:rsid w:val="002308BD"/>
    <w:rsid w:val="00230991"/>
    <w:rsid w:val="00230CC6"/>
    <w:rsid w:val="00232D82"/>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A6B"/>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335D"/>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A2E"/>
    <w:rsid w:val="002A4E7E"/>
    <w:rsid w:val="002A5F4D"/>
    <w:rsid w:val="002A70E9"/>
    <w:rsid w:val="002A7A0A"/>
    <w:rsid w:val="002B0D61"/>
    <w:rsid w:val="002B2AF4"/>
    <w:rsid w:val="002B2D46"/>
    <w:rsid w:val="002B3E20"/>
    <w:rsid w:val="002B541A"/>
    <w:rsid w:val="002B754D"/>
    <w:rsid w:val="002C0694"/>
    <w:rsid w:val="002C1023"/>
    <w:rsid w:val="002C35FB"/>
    <w:rsid w:val="002C4F02"/>
    <w:rsid w:val="002C56ED"/>
    <w:rsid w:val="002C69AD"/>
    <w:rsid w:val="002D0E4D"/>
    <w:rsid w:val="002D11F2"/>
    <w:rsid w:val="002D1E71"/>
    <w:rsid w:val="002D29B0"/>
    <w:rsid w:val="002D6B36"/>
    <w:rsid w:val="002D7136"/>
    <w:rsid w:val="002D7978"/>
    <w:rsid w:val="002E2283"/>
    <w:rsid w:val="002E2CAD"/>
    <w:rsid w:val="002E32C2"/>
    <w:rsid w:val="002E3735"/>
    <w:rsid w:val="002E5790"/>
    <w:rsid w:val="002E6CB4"/>
    <w:rsid w:val="002E7DDB"/>
    <w:rsid w:val="002F21B6"/>
    <w:rsid w:val="002F222D"/>
    <w:rsid w:val="002F2A4A"/>
    <w:rsid w:val="002F42FC"/>
    <w:rsid w:val="002F5C03"/>
    <w:rsid w:val="002F6F4F"/>
    <w:rsid w:val="002F75DA"/>
    <w:rsid w:val="003034EE"/>
    <w:rsid w:val="00303526"/>
    <w:rsid w:val="00303761"/>
    <w:rsid w:val="00304AA1"/>
    <w:rsid w:val="0030682B"/>
    <w:rsid w:val="00306C33"/>
    <w:rsid w:val="00306ECE"/>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273DC"/>
    <w:rsid w:val="00330A67"/>
    <w:rsid w:val="00332A51"/>
    <w:rsid w:val="00333ADD"/>
    <w:rsid w:val="00334F62"/>
    <w:rsid w:val="00336496"/>
    <w:rsid w:val="003364EB"/>
    <w:rsid w:val="00336CE8"/>
    <w:rsid w:val="003425CF"/>
    <w:rsid w:val="0034272B"/>
    <w:rsid w:val="00342BFE"/>
    <w:rsid w:val="00343A9F"/>
    <w:rsid w:val="00344C34"/>
    <w:rsid w:val="00345C65"/>
    <w:rsid w:val="00346679"/>
    <w:rsid w:val="003470E8"/>
    <w:rsid w:val="0035100D"/>
    <w:rsid w:val="003534EB"/>
    <w:rsid w:val="00354574"/>
    <w:rsid w:val="00354BD0"/>
    <w:rsid w:val="003550C3"/>
    <w:rsid w:val="003553CD"/>
    <w:rsid w:val="00356988"/>
    <w:rsid w:val="003601E1"/>
    <w:rsid w:val="00360EC3"/>
    <w:rsid w:val="00360F5F"/>
    <w:rsid w:val="0036124A"/>
    <w:rsid w:val="0036153E"/>
    <w:rsid w:val="0036237C"/>
    <w:rsid w:val="003625F5"/>
    <w:rsid w:val="003643C9"/>
    <w:rsid w:val="003657F1"/>
    <w:rsid w:val="00365826"/>
    <w:rsid w:val="00365A2F"/>
    <w:rsid w:val="00366696"/>
    <w:rsid w:val="0036754C"/>
    <w:rsid w:val="00367D02"/>
    <w:rsid w:val="00370975"/>
    <w:rsid w:val="00375889"/>
    <w:rsid w:val="003760EB"/>
    <w:rsid w:val="00380892"/>
    <w:rsid w:val="00381B05"/>
    <w:rsid w:val="00383321"/>
    <w:rsid w:val="00385BF0"/>
    <w:rsid w:val="00385DAD"/>
    <w:rsid w:val="00386626"/>
    <w:rsid w:val="003908D7"/>
    <w:rsid w:val="00390929"/>
    <w:rsid w:val="00390DBB"/>
    <w:rsid w:val="00391CFF"/>
    <w:rsid w:val="003924CC"/>
    <w:rsid w:val="00395630"/>
    <w:rsid w:val="00396333"/>
    <w:rsid w:val="00396ADD"/>
    <w:rsid w:val="0039716B"/>
    <w:rsid w:val="003A0B9C"/>
    <w:rsid w:val="003A0E5A"/>
    <w:rsid w:val="003A0F8D"/>
    <w:rsid w:val="003A5E83"/>
    <w:rsid w:val="003A645E"/>
    <w:rsid w:val="003A6A5F"/>
    <w:rsid w:val="003A7581"/>
    <w:rsid w:val="003B195A"/>
    <w:rsid w:val="003B1D8C"/>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5637"/>
    <w:rsid w:val="003D73A9"/>
    <w:rsid w:val="003E1442"/>
    <w:rsid w:val="003E2B14"/>
    <w:rsid w:val="003E2FDE"/>
    <w:rsid w:val="003E447A"/>
    <w:rsid w:val="003E5240"/>
    <w:rsid w:val="003E7DDA"/>
    <w:rsid w:val="003E7E85"/>
    <w:rsid w:val="003F01A7"/>
    <w:rsid w:val="003F2E62"/>
    <w:rsid w:val="003F3925"/>
    <w:rsid w:val="003F425B"/>
    <w:rsid w:val="003F6FD8"/>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275F"/>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46B"/>
    <w:rsid w:val="004625E8"/>
    <w:rsid w:val="00463F4E"/>
    <w:rsid w:val="00464B18"/>
    <w:rsid w:val="00465D71"/>
    <w:rsid w:val="00466561"/>
    <w:rsid w:val="00466D15"/>
    <w:rsid w:val="0047070D"/>
    <w:rsid w:val="00474799"/>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2A13"/>
    <w:rsid w:val="004B3C5C"/>
    <w:rsid w:val="004B570B"/>
    <w:rsid w:val="004B652A"/>
    <w:rsid w:val="004B6DEC"/>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6C7C"/>
    <w:rsid w:val="004F07FE"/>
    <w:rsid w:val="004F160A"/>
    <w:rsid w:val="004F2F62"/>
    <w:rsid w:val="004F37CB"/>
    <w:rsid w:val="004F45CA"/>
    <w:rsid w:val="004F5216"/>
    <w:rsid w:val="004F616B"/>
    <w:rsid w:val="004F64E4"/>
    <w:rsid w:val="00500A53"/>
    <w:rsid w:val="00503634"/>
    <w:rsid w:val="00504F92"/>
    <w:rsid w:val="00505551"/>
    <w:rsid w:val="0050680A"/>
    <w:rsid w:val="005078B3"/>
    <w:rsid w:val="00510A28"/>
    <w:rsid w:val="00510FCB"/>
    <w:rsid w:val="00511C54"/>
    <w:rsid w:val="00512123"/>
    <w:rsid w:val="0051292E"/>
    <w:rsid w:val="0051513A"/>
    <w:rsid w:val="00516207"/>
    <w:rsid w:val="005163EF"/>
    <w:rsid w:val="005165A3"/>
    <w:rsid w:val="00520C27"/>
    <w:rsid w:val="00521B57"/>
    <w:rsid w:val="00522DE9"/>
    <w:rsid w:val="00522EF8"/>
    <w:rsid w:val="0052399F"/>
    <w:rsid w:val="00523F60"/>
    <w:rsid w:val="00523FBA"/>
    <w:rsid w:val="00524079"/>
    <w:rsid w:val="005255C0"/>
    <w:rsid w:val="005258BD"/>
    <w:rsid w:val="00526890"/>
    <w:rsid w:val="0052764F"/>
    <w:rsid w:val="00527AFE"/>
    <w:rsid w:val="005308A7"/>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6BF"/>
    <w:rsid w:val="00562A9A"/>
    <w:rsid w:val="00562D35"/>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7B28"/>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0053"/>
    <w:rsid w:val="005D1442"/>
    <w:rsid w:val="005D1922"/>
    <w:rsid w:val="005D2788"/>
    <w:rsid w:val="005D4281"/>
    <w:rsid w:val="005D6E32"/>
    <w:rsid w:val="005E06D4"/>
    <w:rsid w:val="005E1521"/>
    <w:rsid w:val="005E3768"/>
    <w:rsid w:val="005E448D"/>
    <w:rsid w:val="005F064D"/>
    <w:rsid w:val="005F1513"/>
    <w:rsid w:val="005F512E"/>
    <w:rsid w:val="005F5A21"/>
    <w:rsid w:val="005F6A04"/>
    <w:rsid w:val="00600458"/>
    <w:rsid w:val="0060118D"/>
    <w:rsid w:val="0060369E"/>
    <w:rsid w:val="00603824"/>
    <w:rsid w:val="0060530E"/>
    <w:rsid w:val="00605D75"/>
    <w:rsid w:val="006073B5"/>
    <w:rsid w:val="0060776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27526"/>
    <w:rsid w:val="00630C84"/>
    <w:rsid w:val="0063256A"/>
    <w:rsid w:val="006326D0"/>
    <w:rsid w:val="00634EB5"/>
    <w:rsid w:val="0063516D"/>
    <w:rsid w:val="00635AE1"/>
    <w:rsid w:val="00635DA6"/>
    <w:rsid w:val="00636FF4"/>
    <w:rsid w:val="00640B9A"/>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97C"/>
    <w:rsid w:val="006764EA"/>
    <w:rsid w:val="00677DDE"/>
    <w:rsid w:val="00680B65"/>
    <w:rsid w:val="00681287"/>
    <w:rsid w:val="006815A6"/>
    <w:rsid w:val="00681FD9"/>
    <w:rsid w:val="0068285E"/>
    <w:rsid w:val="00684EF6"/>
    <w:rsid w:val="006856E2"/>
    <w:rsid w:val="00690E46"/>
    <w:rsid w:val="00693743"/>
    <w:rsid w:val="0069374F"/>
    <w:rsid w:val="00693995"/>
    <w:rsid w:val="00693C61"/>
    <w:rsid w:val="00695397"/>
    <w:rsid w:val="0069562F"/>
    <w:rsid w:val="006A177A"/>
    <w:rsid w:val="006A1A5D"/>
    <w:rsid w:val="006A3267"/>
    <w:rsid w:val="006A4533"/>
    <w:rsid w:val="006A5968"/>
    <w:rsid w:val="006A5F8B"/>
    <w:rsid w:val="006A600F"/>
    <w:rsid w:val="006A6996"/>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028D"/>
    <w:rsid w:val="00700860"/>
    <w:rsid w:val="007021FA"/>
    <w:rsid w:val="0070357F"/>
    <w:rsid w:val="00703DA7"/>
    <w:rsid w:val="00703E05"/>
    <w:rsid w:val="00704A16"/>
    <w:rsid w:val="00705065"/>
    <w:rsid w:val="00705262"/>
    <w:rsid w:val="00705CA5"/>
    <w:rsid w:val="0070653C"/>
    <w:rsid w:val="00706ED7"/>
    <w:rsid w:val="00710289"/>
    <w:rsid w:val="007105B1"/>
    <w:rsid w:val="007111A2"/>
    <w:rsid w:val="00713444"/>
    <w:rsid w:val="0071374E"/>
    <w:rsid w:val="00714B6A"/>
    <w:rsid w:val="00716D0A"/>
    <w:rsid w:val="00717AF6"/>
    <w:rsid w:val="00720157"/>
    <w:rsid w:val="00720579"/>
    <w:rsid w:val="00721ECF"/>
    <w:rsid w:val="00722D13"/>
    <w:rsid w:val="007230FE"/>
    <w:rsid w:val="00725BEA"/>
    <w:rsid w:val="00726409"/>
    <w:rsid w:val="0072707B"/>
    <w:rsid w:val="007306D1"/>
    <w:rsid w:val="00730BE2"/>
    <w:rsid w:val="00732046"/>
    <w:rsid w:val="007335EB"/>
    <w:rsid w:val="007337E0"/>
    <w:rsid w:val="0073406C"/>
    <w:rsid w:val="007344C3"/>
    <w:rsid w:val="00736C31"/>
    <w:rsid w:val="007400FE"/>
    <w:rsid w:val="0074239D"/>
    <w:rsid w:val="00742CE1"/>
    <w:rsid w:val="0074372C"/>
    <w:rsid w:val="00744C7C"/>
    <w:rsid w:val="00745862"/>
    <w:rsid w:val="00746657"/>
    <w:rsid w:val="0074687F"/>
    <w:rsid w:val="00746973"/>
    <w:rsid w:val="00747C4D"/>
    <w:rsid w:val="00750633"/>
    <w:rsid w:val="00751055"/>
    <w:rsid w:val="007517A4"/>
    <w:rsid w:val="0075585E"/>
    <w:rsid w:val="00755A77"/>
    <w:rsid w:val="00761C8F"/>
    <w:rsid w:val="007631D1"/>
    <w:rsid w:val="007635AC"/>
    <w:rsid w:val="007640A1"/>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0D7C"/>
    <w:rsid w:val="0079132B"/>
    <w:rsid w:val="0079360E"/>
    <w:rsid w:val="007948A5"/>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5973"/>
    <w:rsid w:val="007B6474"/>
    <w:rsid w:val="007B7F0F"/>
    <w:rsid w:val="007C19EC"/>
    <w:rsid w:val="007C342D"/>
    <w:rsid w:val="007C3C7F"/>
    <w:rsid w:val="007C51EB"/>
    <w:rsid w:val="007C60E2"/>
    <w:rsid w:val="007C7435"/>
    <w:rsid w:val="007D1321"/>
    <w:rsid w:val="007D158A"/>
    <w:rsid w:val="007D5B1C"/>
    <w:rsid w:val="007D6D87"/>
    <w:rsid w:val="007D6FD6"/>
    <w:rsid w:val="007E0ADA"/>
    <w:rsid w:val="007E15CF"/>
    <w:rsid w:val="007E1DB4"/>
    <w:rsid w:val="007E5866"/>
    <w:rsid w:val="007E764F"/>
    <w:rsid w:val="007F07AF"/>
    <w:rsid w:val="007F2A44"/>
    <w:rsid w:val="007F41B6"/>
    <w:rsid w:val="007F6E2B"/>
    <w:rsid w:val="007F7699"/>
    <w:rsid w:val="007F773D"/>
    <w:rsid w:val="008003C8"/>
    <w:rsid w:val="00802118"/>
    <w:rsid w:val="00804065"/>
    <w:rsid w:val="008047DD"/>
    <w:rsid w:val="0080611B"/>
    <w:rsid w:val="00806213"/>
    <w:rsid w:val="0080768B"/>
    <w:rsid w:val="008121D7"/>
    <w:rsid w:val="00812B80"/>
    <w:rsid w:val="008168A2"/>
    <w:rsid w:val="008171E3"/>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5A0F"/>
    <w:rsid w:val="00876590"/>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4A6E"/>
    <w:rsid w:val="008D530C"/>
    <w:rsid w:val="008D56D1"/>
    <w:rsid w:val="008D638B"/>
    <w:rsid w:val="008D7ECE"/>
    <w:rsid w:val="008E01A0"/>
    <w:rsid w:val="008E0E62"/>
    <w:rsid w:val="008E1BF6"/>
    <w:rsid w:val="008E44FF"/>
    <w:rsid w:val="008E5A58"/>
    <w:rsid w:val="008E5F96"/>
    <w:rsid w:val="008E6FB7"/>
    <w:rsid w:val="008E7557"/>
    <w:rsid w:val="008E7FE5"/>
    <w:rsid w:val="008F1874"/>
    <w:rsid w:val="008F25DF"/>
    <w:rsid w:val="008F29E0"/>
    <w:rsid w:val="008F4BE9"/>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94F"/>
    <w:rsid w:val="00913D36"/>
    <w:rsid w:val="0091451C"/>
    <w:rsid w:val="00915C3E"/>
    <w:rsid w:val="00915D45"/>
    <w:rsid w:val="00916C5E"/>
    <w:rsid w:val="00920088"/>
    <w:rsid w:val="00922DF5"/>
    <w:rsid w:val="00923349"/>
    <w:rsid w:val="00923CE8"/>
    <w:rsid w:val="00924533"/>
    <w:rsid w:val="009252D3"/>
    <w:rsid w:val="00926002"/>
    <w:rsid w:val="00930061"/>
    <w:rsid w:val="00930EBA"/>
    <w:rsid w:val="0093151F"/>
    <w:rsid w:val="0093268C"/>
    <w:rsid w:val="0093278E"/>
    <w:rsid w:val="00934728"/>
    <w:rsid w:val="009347A5"/>
    <w:rsid w:val="00935580"/>
    <w:rsid w:val="009366E0"/>
    <w:rsid w:val="00936EB3"/>
    <w:rsid w:val="00940622"/>
    <w:rsid w:val="009412D9"/>
    <w:rsid w:val="00944730"/>
    <w:rsid w:val="00944858"/>
    <w:rsid w:val="009471B5"/>
    <w:rsid w:val="009502D3"/>
    <w:rsid w:val="00951A6C"/>
    <w:rsid w:val="00951B23"/>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45D"/>
    <w:rsid w:val="00983488"/>
    <w:rsid w:val="00983EDB"/>
    <w:rsid w:val="009849EF"/>
    <w:rsid w:val="00984E36"/>
    <w:rsid w:val="0098553B"/>
    <w:rsid w:val="00987014"/>
    <w:rsid w:val="009871AC"/>
    <w:rsid w:val="00990892"/>
    <w:rsid w:val="00993E3C"/>
    <w:rsid w:val="00997443"/>
    <w:rsid w:val="009A1BA1"/>
    <w:rsid w:val="009A2A81"/>
    <w:rsid w:val="009A2AFB"/>
    <w:rsid w:val="009A2DE2"/>
    <w:rsid w:val="009A3B62"/>
    <w:rsid w:val="009A3ED4"/>
    <w:rsid w:val="009A56EE"/>
    <w:rsid w:val="009A5C17"/>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E5D2E"/>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3E69"/>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955"/>
    <w:rsid w:val="00A77C4C"/>
    <w:rsid w:val="00A8008F"/>
    <w:rsid w:val="00A8092D"/>
    <w:rsid w:val="00A80D3B"/>
    <w:rsid w:val="00A80E74"/>
    <w:rsid w:val="00A851A4"/>
    <w:rsid w:val="00A86BD8"/>
    <w:rsid w:val="00A8787E"/>
    <w:rsid w:val="00A87EDF"/>
    <w:rsid w:val="00A90897"/>
    <w:rsid w:val="00A909E1"/>
    <w:rsid w:val="00A90C67"/>
    <w:rsid w:val="00A91205"/>
    <w:rsid w:val="00A92437"/>
    <w:rsid w:val="00A92B4B"/>
    <w:rsid w:val="00A93509"/>
    <w:rsid w:val="00A935BC"/>
    <w:rsid w:val="00A940DD"/>
    <w:rsid w:val="00A9585F"/>
    <w:rsid w:val="00AA013D"/>
    <w:rsid w:val="00AA0422"/>
    <w:rsid w:val="00AA1496"/>
    <w:rsid w:val="00AA155D"/>
    <w:rsid w:val="00AA2DC0"/>
    <w:rsid w:val="00AA3354"/>
    <w:rsid w:val="00AA3B1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051"/>
    <w:rsid w:val="00B46B58"/>
    <w:rsid w:val="00B475B6"/>
    <w:rsid w:val="00B53DCB"/>
    <w:rsid w:val="00B554DC"/>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2A4"/>
    <w:rsid w:val="00BB3631"/>
    <w:rsid w:val="00BB3FF6"/>
    <w:rsid w:val="00BB524E"/>
    <w:rsid w:val="00BB5630"/>
    <w:rsid w:val="00BB6BE1"/>
    <w:rsid w:val="00BC392E"/>
    <w:rsid w:val="00BC4498"/>
    <w:rsid w:val="00BC4DEA"/>
    <w:rsid w:val="00BC60A6"/>
    <w:rsid w:val="00BC62E0"/>
    <w:rsid w:val="00BC6FBF"/>
    <w:rsid w:val="00BD00D9"/>
    <w:rsid w:val="00BD1886"/>
    <w:rsid w:val="00BD23E3"/>
    <w:rsid w:val="00BD40BC"/>
    <w:rsid w:val="00BD5DD2"/>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FEB"/>
    <w:rsid w:val="00C10713"/>
    <w:rsid w:val="00C1120E"/>
    <w:rsid w:val="00C11391"/>
    <w:rsid w:val="00C114A8"/>
    <w:rsid w:val="00C12EC0"/>
    <w:rsid w:val="00C1324E"/>
    <w:rsid w:val="00C138A5"/>
    <w:rsid w:val="00C14B96"/>
    <w:rsid w:val="00C158D4"/>
    <w:rsid w:val="00C16FB6"/>
    <w:rsid w:val="00C211F9"/>
    <w:rsid w:val="00C22F92"/>
    <w:rsid w:val="00C238EE"/>
    <w:rsid w:val="00C25927"/>
    <w:rsid w:val="00C26D7E"/>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539C"/>
    <w:rsid w:val="00C4601A"/>
    <w:rsid w:val="00C478FE"/>
    <w:rsid w:val="00C502DD"/>
    <w:rsid w:val="00C56F62"/>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3C4"/>
    <w:rsid w:val="00CC074E"/>
    <w:rsid w:val="00CC1659"/>
    <w:rsid w:val="00CC3092"/>
    <w:rsid w:val="00CC30C3"/>
    <w:rsid w:val="00CC363A"/>
    <w:rsid w:val="00CC3D4E"/>
    <w:rsid w:val="00CC4003"/>
    <w:rsid w:val="00CC74BD"/>
    <w:rsid w:val="00CD0768"/>
    <w:rsid w:val="00CD3CC4"/>
    <w:rsid w:val="00CD788F"/>
    <w:rsid w:val="00CE047D"/>
    <w:rsid w:val="00CE1017"/>
    <w:rsid w:val="00CE1828"/>
    <w:rsid w:val="00CE358A"/>
    <w:rsid w:val="00CE373E"/>
    <w:rsid w:val="00CE381D"/>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2820"/>
    <w:rsid w:val="00D33231"/>
    <w:rsid w:val="00D3580B"/>
    <w:rsid w:val="00D36240"/>
    <w:rsid w:val="00D36D3E"/>
    <w:rsid w:val="00D36DB7"/>
    <w:rsid w:val="00D40E5E"/>
    <w:rsid w:val="00D4138D"/>
    <w:rsid w:val="00D41493"/>
    <w:rsid w:val="00D4152F"/>
    <w:rsid w:val="00D41DF7"/>
    <w:rsid w:val="00D438DC"/>
    <w:rsid w:val="00D43EF1"/>
    <w:rsid w:val="00D43F6F"/>
    <w:rsid w:val="00D44015"/>
    <w:rsid w:val="00D46755"/>
    <w:rsid w:val="00D46CFF"/>
    <w:rsid w:val="00D46FBF"/>
    <w:rsid w:val="00D47A7B"/>
    <w:rsid w:val="00D47BB6"/>
    <w:rsid w:val="00D54C37"/>
    <w:rsid w:val="00D5779A"/>
    <w:rsid w:val="00D57E08"/>
    <w:rsid w:val="00D62214"/>
    <w:rsid w:val="00D62ADB"/>
    <w:rsid w:val="00D632D1"/>
    <w:rsid w:val="00D64B7A"/>
    <w:rsid w:val="00D65AB8"/>
    <w:rsid w:val="00D65E10"/>
    <w:rsid w:val="00D67ADC"/>
    <w:rsid w:val="00D706BA"/>
    <w:rsid w:val="00D709A0"/>
    <w:rsid w:val="00D70A78"/>
    <w:rsid w:val="00D71394"/>
    <w:rsid w:val="00D7252A"/>
    <w:rsid w:val="00D73BC0"/>
    <w:rsid w:val="00D744F8"/>
    <w:rsid w:val="00D76C93"/>
    <w:rsid w:val="00D80799"/>
    <w:rsid w:val="00D81512"/>
    <w:rsid w:val="00D84747"/>
    <w:rsid w:val="00D84BD3"/>
    <w:rsid w:val="00D85346"/>
    <w:rsid w:val="00D86B2D"/>
    <w:rsid w:val="00D90E7B"/>
    <w:rsid w:val="00D91EDC"/>
    <w:rsid w:val="00D92D94"/>
    <w:rsid w:val="00D93C3F"/>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33ED"/>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3DCD"/>
    <w:rsid w:val="00E1638A"/>
    <w:rsid w:val="00E24543"/>
    <w:rsid w:val="00E2457B"/>
    <w:rsid w:val="00E247DE"/>
    <w:rsid w:val="00E257AB"/>
    <w:rsid w:val="00E307FB"/>
    <w:rsid w:val="00E3212A"/>
    <w:rsid w:val="00E32221"/>
    <w:rsid w:val="00E32512"/>
    <w:rsid w:val="00E333C7"/>
    <w:rsid w:val="00E3374E"/>
    <w:rsid w:val="00E33A7F"/>
    <w:rsid w:val="00E34A79"/>
    <w:rsid w:val="00E376F7"/>
    <w:rsid w:val="00E403A0"/>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5438"/>
    <w:rsid w:val="00E563DF"/>
    <w:rsid w:val="00E569B2"/>
    <w:rsid w:val="00E577FD"/>
    <w:rsid w:val="00E607CB"/>
    <w:rsid w:val="00E61098"/>
    <w:rsid w:val="00E619A4"/>
    <w:rsid w:val="00E62177"/>
    <w:rsid w:val="00E622AF"/>
    <w:rsid w:val="00E62A45"/>
    <w:rsid w:val="00E638EF"/>
    <w:rsid w:val="00E645FC"/>
    <w:rsid w:val="00E6494D"/>
    <w:rsid w:val="00E6634F"/>
    <w:rsid w:val="00E6716A"/>
    <w:rsid w:val="00E67F40"/>
    <w:rsid w:val="00E70167"/>
    <w:rsid w:val="00E703C3"/>
    <w:rsid w:val="00E73CEF"/>
    <w:rsid w:val="00E73F29"/>
    <w:rsid w:val="00E74899"/>
    <w:rsid w:val="00E759B1"/>
    <w:rsid w:val="00E779AA"/>
    <w:rsid w:val="00E80333"/>
    <w:rsid w:val="00E80FB8"/>
    <w:rsid w:val="00E8107B"/>
    <w:rsid w:val="00E83629"/>
    <w:rsid w:val="00E838DB"/>
    <w:rsid w:val="00E83F7E"/>
    <w:rsid w:val="00E848DB"/>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198A"/>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E6835"/>
    <w:rsid w:val="00EE72FE"/>
    <w:rsid w:val="00EF2966"/>
    <w:rsid w:val="00EF5346"/>
    <w:rsid w:val="00EF7235"/>
    <w:rsid w:val="00F00A4D"/>
    <w:rsid w:val="00F014D5"/>
    <w:rsid w:val="00F01EA8"/>
    <w:rsid w:val="00F023A3"/>
    <w:rsid w:val="00F02A6F"/>
    <w:rsid w:val="00F030F9"/>
    <w:rsid w:val="00F031E8"/>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5E34"/>
    <w:rsid w:val="00F361A3"/>
    <w:rsid w:val="00F36CDE"/>
    <w:rsid w:val="00F36E39"/>
    <w:rsid w:val="00F4003B"/>
    <w:rsid w:val="00F40A8F"/>
    <w:rsid w:val="00F40FF5"/>
    <w:rsid w:val="00F41D3A"/>
    <w:rsid w:val="00F41E1E"/>
    <w:rsid w:val="00F43ED1"/>
    <w:rsid w:val="00F442C9"/>
    <w:rsid w:val="00F44759"/>
    <w:rsid w:val="00F45144"/>
    <w:rsid w:val="00F46284"/>
    <w:rsid w:val="00F4680B"/>
    <w:rsid w:val="00F4734D"/>
    <w:rsid w:val="00F473D4"/>
    <w:rsid w:val="00F47445"/>
    <w:rsid w:val="00F5046F"/>
    <w:rsid w:val="00F5088C"/>
    <w:rsid w:val="00F5103B"/>
    <w:rsid w:val="00F510AC"/>
    <w:rsid w:val="00F510C0"/>
    <w:rsid w:val="00F5374F"/>
    <w:rsid w:val="00F545DD"/>
    <w:rsid w:val="00F55E69"/>
    <w:rsid w:val="00F579BE"/>
    <w:rsid w:val="00F606F4"/>
    <w:rsid w:val="00F60DF6"/>
    <w:rsid w:val="00F61E12"/>
    <w:rsid w:val="00F626E7"/>
    <w:rsid w:val="00F62D04"/>
    <w:rsid w:val="00F6434A"/>
    <w:rsid w:val="00F70887"/>
    <w:rsid w:val="00F70A7D"/>
    <w:rsid w:val="00F74001"/>
    <w:rsid w:val="00F748DD"/>
    <w:rsid w:val="00F76633"/>
    <w:rsid w:val="00F777F2"/>
    <w:rsid w:val="00F77EEC"/>
    <w:rsid w:val="00F81710"/>
    <w:rsid w:val="00F81FF7"/>
    <w:rsid w:val="00F83E64"/>
    <w:rsid w:val="00F84573"/>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C7342"/>
    <w:rsid w:val="00FD1EEA"/>
    <w:rsid w:val="00FD30C0"/>
    <w:rsid w:val="00FD33CF"/>
    <w:rsid w:val="00FD36CA"/>
    <w:rsid w:val="00FD3B41"/>
    <w:rsid w:val="00FD4E22"/>
    <w:rsid w:val="00FD6C73"/>
    <w:rsid w:val="00FE03DF"/>
    <w:rsid w:val="00FE263F"/>
    <w:rsid w:val="00FE486C"/>
    <w:rsid w:val="00FE4BFD"/>
    <w:rsid w:val="00FE578A"/>
    <w:rsid w:val="00FE7C48"/>
    <w:rsid w:val="00FE7C69"/>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512123"/>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56ED"/>
    <w:rPr>
      <w:color w:val="0000FF"/>
      <w:u w:val="single"/>
    </w:rPr>
  </w:style>
  <w:style w:type="character" w:customStyle="1" w:styleId="term1">
    <w:name w:val="term1"/>
    <w:basedOn w:val="DefaultParagraphFont"/>
    <w:rsid w:val="002C56ED"/>
    <w:rPr>
      <w:b/>
      <w:bCs/>
    </w:rPr>
  </w:style>
  <w:style w:type="character" w:customStyle="1" w:styleId="Heading4Char">
    <w:name w:val="Heading 4 Char"/>
    <w:basedOn w:val="DefaultParagraphFont"/>
    <w:link w:val="Heading4"/>
    <w:uiPriority w:val="9"/>
    <w:rsid w:val="00512123"/>
    <w:rPr>
      <w:rFonts w:eastAsia="Times New Roman"/>
      <w:b/>
      <w:bCs/>
    </w:rPr>
  </w:style>
  <w:style w:type="paragraph" w:styleId="NormalWeb">
    <w:name w:val="Normal (Web)"/>
    <w:basedOn w:val="Normal"/>
    <w:uiPriority w:val="99"/>
    <w:unhideWhenUsed/>
    <w:rsid w:val="00512123"/>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187FCD"/>
    <w:pPr>
      <w:tabs>
        <w:tab w:val="center" w:pos="4680"/>
        <w:tab w:val="right" w:pos="9360"/>
      </w:tabs>
      <w:spacing w:line="240" w:lineRule="auto"/>
    </w:pPr>
  </w:style>
  <w:style w:type="character" w:customStyle="1" w:styleId="HeaderChar">
    <w:name w:val="Header Char"/>
    <w:basedOn w:val="DefaultParagraphFont"/>
    <w:link w:val="Header"/>
    <w:uiPriority w:val="99"/>
    <w:rsid w:val="00187FCD"/>
  </w:style>
  <w:style w:type="paragraph" w:styleId="Footer">
    <w:name w:val="footer"/>
    <w:basedOn w:val="Normal"/>
    <w:link w:val="FooterChar"/>
    <w:uiPriority w:val="99"/>
    <w:unhideWhenUsed/>
    <w:rsid w:val="00187FCD"/>
    <w:pPr>
      <w:tabs>
        <w:tab w:val="center" w:pos="4680"/>
        <w:tab w:val="right" w:pos="9360"/>
      </w:tabs>
      <w:spacing w:line="240" w:lineRule="auto"/>
    </w:pPr>
  </w:style>
  <w:style w:type="character" w:customStyle="1" w:styleId="FooterChar">
    <w:name w:val="Footer Char"/>
    <w:basedOn w:val="DefaultParagraphFont"/>
    <w:link w:val="Footer"/>
    <w:uiPriority w:val="99"/>
    <w:rsid w:val="00187FCD"/>
  </w:style>
  <w:style w:type="paragraph" w:styleId="ListParagraph">
    <w:name w:val="List Paragraph"/>
    <w:basedOn w:val="Normal"/>
    <w:uiPriority w:val="34"/>
    <w:qFormat/>
    <w:rsid w:val="0080768B"/>
    <w:pPr>
      <w:ind w:left="720"/>
      <w:contextualSpacing/>
    </w:pPr>
  </w:style>
  <w:style w:type="paragraph" w:styleId="BalloonText">
    <w:name w:val="Balloon Text"/>
    <w:basedOn w:val="Normal"/>
    <w:link w:val="BalloonTextChar"/>
    <w:uiPriority w:val="99"/>
    <w:semiHidden/>
    <w:unhideWhenUsed/>
    <w:rsid w:val="008D4A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512123"/>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56ED"/>
    <w:rPr>
      <w:color w:val="0000FF"/>
      <w:u w:val="single"/>
    </w:rPr>
  </w:style>
  <w:style w:type="character" w:customStyle="1" w:styleId="term1">
    <w:name w:val="term1"/>
    <w:basedOn w:val="DefaultParagraphFont"/>
    <w:rsid w:val="002C56ED"/>
    <w:rPr>
      <w:b/>
      <w:bCs/>
    </w:rPr>
  </w:style>
  <w:style w:type="character" w:customStyle="1" w:styleId="Heading4Char">
    <w:name w:val="Heading 4 Char"/>
    <w:basedOn w:val="DefaultParagraphFont"/>
    <w:link w:val="Heading4"/>
    <w:uiPriority w:val="9"/>
    <w:rsid w:val="00512123"/>
    <w:rPr>
      <w:rFonts w:eastAsia="Times New Roman"/>
      <w:b/>
      <w:bCs/>
    </w:rPr>
  </w:style>
  <w:style w:type="paragraph" w:styleId="NormalWeb">
    <w:name w:val="Normal (Web)"/>
    <w:basedOn w:val="Normal"/>
    <w:uiPriority w:val="99"/>
    <w:unhideWhenUsed/>
    <w:rsid w:val="00512123"/>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187FCD"/>
    <w:pPr>
      <w:tabs>
        <w:tab w:val="center" w:pos="4680"/>
        <w:tab w:val="right" w:pos="9360"/>
      </w:tabs>
      <w:spacing w:line="240" w:lineRule="auto"/>
    </w:pPr>
  </w:style>
  <w:style w:type="character" w:customStyle="1" w:styleId="HeaderChar">
    <w:name w:val="Header Char"/>
    <w:basedOn w:val="DefaultParagraphFont"/>
    <w:link w:val="Header"/>
    <w:uiPriority w:val="99"/>
    <w:rsid w:val="00187FCD"/>
  </w:style>
  <w:style w:type="paragraph" w:styleId="Footer">
    <w:name w:val="footer"/>
    <w:basedOn w:val="Normal"/>
    <w:link w:val="FooterChar"/>
    <w:uiPriority w:val="99"/>
    <w:unhideWhenUsed/>
    <w:rsid w:val="00187FCD"/>
    <w:pPr>
      <w:tabs>
        <w:tab w:val="center" w:pos="4680"/>
        <w:tab w:val="right" w:pos="9360"/>
      </w:tabs>
      <w:spacing w:line="240" w:lineRule="auto"/>
    </w:pPr>
  </w:style>
  <w:style w:type="character" w:customStyle="1" w:styleId="FooterChar">
    <w:name w:val="Footer Char"/>
    <w:basedOn w:val="DefaultParagraphFont"/>
    <w:link w:val="Footer"/>
    <w:uiPriority w:val="99"/>
    <w:rsid w:val="00187FCD"/>
  </w:style>
  <w:style w:type="paragraph" w:styleId="ListParagraph">
    <w:name w:val="List Paragraph"/>
    <w:basedOn w:val="Normal"/>
    <w:uiPriority w:val="34"/>
    <w:qFormat/>
    <w:rsid w:val="0080768B"/>
    <w:pPr>
      <w:ind w:left="720"/>
      <w:contextualSpacing/>
    </w:pPr>
  </w:style>
  <w:style w:type="paragraph" w:styleId="BalloonText">
    <w:name w:val="Balloon Text"/>
    <w:basedOn w:val="Normal"/>
    <w:link w:val="BalloonTextChar"/>
    <w:uiPriority w:val="99"/>
    <w:semiHidden/>
    <w:unhideWhenUsed/>
    <w:rsid w:val="008D4A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79787">
      <w:bodyDiv w:val="1"/>
      <w:marLeft w:val="0"/>
      <w:marRight w:val="0"/>
      <w:marTop w:val="0"/>
      <w:marBottom w:val="0"/>
      <w:divBdr>
        <w:top w:val="none" w:sz="0" w:space="0" w:color="auto"/>
        <w:left w:val="none" w:sz="0" w:space="0" w:color="auto"/>
        <w:bottom w:val="none" w:sz="0" w:space="0" w:color="auto"/>
        <w:right w:val="none" w:sz="0" w:space="0" w:color="auto"/>
      </w:divBdr>
      <w:divsChild>
        <w:div w:id="199879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229980">
      <w:bodyDiv w:val="1"/>
      <w:marLeft w:val="0"/>
      <w:marRight w:val="0"/>
      <w:marTop w:val="0"/>
      <w:marBottom w:val="0"/>
      <w:divBdr>
        <w:top w:val="none" w:sz="0" w:space="0" w:color="auto"/>
        <w:left w:val="none" w:sz="0" w:space="0" w:color="auto"/>
        <w:bottom w:val="none" w:sz="0" w:space="0" w:color="auto"/>
        <w:right w:val="none" w:sz="0" w:space="0" w:color="auto"/>
      </w:divBdr>
      <w:divsChild>
        <w:div w:id="1492136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c1330c68f122704f4bc70bb15f3873f8&amp;_xfercite=%3ccite%20cc%3d%22USA%22%3e%3c%21%5bCDATA%5b1999%20Pa.%20PUC%20LEXIS%2065%5d%5d%3e%3c%2fcite%3e&amp;_butType=4&amp;_butStat=0&amp;_butNum=2&amp;_butInline=1&amp;_butinfo=66%20PACODE%20332&amp;_fmtstr=FULL&amp;docnum=69&amp;_startdoc=61&amp;wchp=dGLbVtb-zSkAl&amp;_md5=f5a987a3fc4db4b276d393ff31171edf" TargetMode="External"/><Relationship Id="rId13" Type="http://schemas.openxmlformats.org/officeDocument/2006/relationships/hyperlink" Target="https://www.lexis.com/research/buttonTFLink?_m=d9adfc81c4217a540e0af2763b777aab&amp;_xfercite=%3ccite%20cc%3d%22USA%22%3e%3c%21%5bCDATA%5b2010%20Pa.%20PUC%20LEXIS%20184%5d%5d%3e%3c%2fcite%3e&amp;_butType=3&amp;_butStat=2&amp;_butNum=21&amp;_butInline=1&amp;_butinfo=%3ccite%20cc%3d%22USA%22%3e%3c%21%5bCDATA%5b521%20A.2d%2075%5d%5d%3e%3c%2fcite%3e&amp;_fmtstr=FULL&amp;docnum=2&amp;_startdoc=1&amp;wchp=dGLzVzB-zSkAb&amp;_md5=42b5b728695a9702f14eea54723f57f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xis.com/research/buttonTFLink?_m=c1330c68f122704f4bc70bb15f3873f8&amp;_xfercite=%3ccite%20cc%3d%22USA%22%3e%3c%21%5bCDATA%5b1999%20Pa.%20PUC%20LEXIS%2065%5d%5d%3e%3c%2fcite%3e&amp;_butType=4&amp;_butStat=0&amp;_butNum=1&amp;_butInline=1&amp;_butinfo=66%20PACODE%20701&amp;_fmtstr=FULL&amp;docnum=69&amp;_startdoc=61&amp;wchp=dGLbVtb-zSkAl&amp;_md5=9f34c50029c3c0de0277e4a8f896f51a" TargetMode="External"/><Relationship Id="rId12" Type="http://schemas.openxmlformats.org/officeDocument/2006/relationships/hyperlink" Target="https://www.lexis.com/research/buttonTFLink?_m=d9adfc81c4217a540e0af2763b777aab&amp;_xfercite=%3ccite%20cc%3d%22USA%22%3e%3c%21%5bCDATA%5b2010%20Pa.%20PUC%20LEXIS%20184%5d%5d%3e%3c%2fcite%3e&amp;_butType=3&amp;_butStat=2&amp;_butNum=20&amp;_butInline=1&amp;_butinfo=%3ccite%20cc%3d%22USA%22%3e%3c%21%5bCDATA%5b352%20Pa.%20576%5d%5d%3e%3c%2fcite%3e&amp;_fmtstr=FULL&amp;docnum=2&amp;_startdoc=1&amp;wchp=dGLzVzB-zSkAb&amp;_md5=6919ec616ecd5d591f96a88e56ea07cf" TargetMode="External"/><Relationship Id="rId17" Type="http://schemas.openxmlformats.org/officeDocument/2006/relationships/hyperlink" Target="https://www.lexis.com/research/buttonTFLink?_m=d9adfc81c4217a540e0af2763b777aab&amp;_xfercite=%3ccite%20cc%3d%22USA%22%3e%3c%21%5bCDATA%5b2010%20Pa.%20PUC%20LEXIS%20184%5d%5d%3e%3c%2fcite%3e&amp;_butType=3&amp;_butStat=2&amp;_butNum=21&amp;_butInline=1&amp;_butinfo=%3ccite%20cc%3d%22USA%22%3e%3c%21%5bCDATA%5b521%20A.2d%2075%5d%5d%3e%3c%2fcite%3e&amp;_fmtstr=FULL&amp;docnum=2&amp;_startdoc=1&amp;wchp=dGLzVzB-zSkAb&amp;_md5=42b5b728695a9702f14eea54723f57f5" TargetMode="External"/><Relationship Id="rId2" Type="http://schemas.microsoft.com/office/2007/relationships/stylesWithEffects" Target="stylesWithEffects.xml"/><Relationship Id="rId16" Type="http://schemas.openxmlformats.org/officeDocument/2006/relationships/hyperlink" Target="https://www.lexis.com/research/buttonTFLink?_m=d9adfc81c4217a540e0af2763b777aab&amp;_xfercite=%3ccite%20cc%3d%22USA%22%3e%3c%21%5bCDATA%5b2010%20Pa.%20PUC%20LEXIS%20184%5d%5d%3e%3c%2fcite%3e&amp;_butType=3&amp;_butStat=2&amp;_butNum=20&amp;_butInline=1&amp;_butinfo=%3ccite%20cc%3d%22USA%22%3e%3c%21%5bCDATA%5b352%20Pa.%20576%5d%5d%3e%3c%2fcite%3e&amp;_fmtstr=FULL&amp;docnum=2&amp;_startdoc=1&amp;wchp=dGLzVzB-zSkAb&amp;_md5=6919ec616ecd5d591f96a88e56ea07c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lexis.com/research/buttonTFLink?_m=d9adfc81c4217a540e0af2763b777aab&amp;_xfercite=%3ccite%20cc%3d%22USA%22%3e%3c%21%5bCDATA%5b2010%20Pa.%20PUC%20LEXIS%20184%5d%5d%3e%3c%2fcite%3e&amp;_butType=3&amp;_butStat=2&amp;_butNum=19&amp;_butInline=1&amp;_butinfo=%3ccite%20cc%3d%22USA%22%3e%3c%21%5bCDATA%5b394%20Pa.%20489%5d%5d%3e%3c%2fcite%3e&amp;_fmtstr=FULL&amp;docnum=2&amp;_startdoc=1&amp;wchp=dGLzVzB-zSkAb&amp;_md5=76a946ce8221b949d4cc511c8c3341d5" TargetMode="External"/><Relationship Id="rId5" Type="http://schemas.openxmlformats.org/officeDocument/2006/relationships/footnotes" Target="footnotes.xml"/><Relationship Id="rId15" Type="http://schemas.openxmlformats.org/officeDocument/2006/relationships/hyperlink" Target="https://www.lexis.com/research/buttonTFLink?_m=d9adfc81c4217a540e0af2763b777aab&amp;_xfercite=%3ccite%20cc%3d%22USA%22%3e%3c%21%5bCDATA%5b2010%20Pa.%20PUC%20LEXIS%20184%5d%5d%3e%3c%2fcite%3e&amp;_butType=3&amp;_butStat=2&amp;_butNum=19&amp;_butInline=1&amp;_butinfo=%3ccite%20cc%3d%22USA%22%3e%3c%21%5bCDATA%5b394%20Pa.%20489%5d%5d%3e%3c%2fcite%3e&amp;_fmtstr=FULL&amp;docnum=2&amp;_startdoc=1&amp;wchp=dGLzVzB-zSkAb&amp;_md5=76a946ce8221b949d4cc511c8c3341d5" TargetMode="External"/><Relationship Id="rId10" Type="http://schemas.openxmlformats.org/officeDocument/2006/relationships/hyperlink" Target="https://www.lexis.com/research/buttonTFLink?_m=d9adfc81c4217a540e0af2763b777aab&amp;_xfercite=%3ccite%20cc%3d%22USA%22%3e%3c%21%5bCDATA%5b2010%20Pa.%20PUC%20LEXIS%20184%5d%5d%3e%3c%2fcite%3e&amp;_butType=3&amp;_butStat=2&amp;_butNum=18&amp;_butInline=1&amp;_butinfo=%3ccite%20cc%3d%22USA%22%3e%3c%21%5bCDATA%5b372%20Pa.%20468%5d%5d%3e%3c%2fcite%3e&amp;_fmtstr=FULL&amp;docnum=2&amp;_startdoc=1&amp;wchp=dGLzVzB-zSkAb&amp;_md5=f92e374e851bdf932c5472aee33da3d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xis.com/research/buttonTFLink?_m=c1330c68f122704f4bc70bb15f3873f8&amp;_xfercite=%3ccite%20cc%3d%22USA%22%3e%3c%21%5bCDATA%5b1999%20Pa.%20PUC%20LEXIS%2065%5d%5d%3e%3c%2fcite%3e&amp;_butType=3&amp;_butStat=2&amp;_butNum=4&amp;_butInline=1&amp;_butinfo=%3ccite%20cc%3d%22USA%22%3e%3c%21%5bCDATA%5b50%20Pa.%20PUC%20300%5d%5d%3e%3c%2fcite%3e&amp;_fmtstr=FULL&amp;docnum=69&amp;_startdoc=61&amp;wchp=dGLbVtb-zSkAl&amp;_md5=b79c5e9ef2778c558f9ae4cb478c20de" TargetMode="External"/><Relationship Id="rId14" Type="http://schemas.openxmlformats.org/officeDocument/2006/relationships/hyperlink" Target="https://www.lexis.com/research/buttonTFLink?_m=d9adfc81c4217a540e0af2763b777aab&amp;_xfercite=%3ccite%20cc%3d%22USA%22%3e%3c%21%5bCDATA%5b2010%20Pa.%20PUC%20LEXIS%20184%5d%5d%3e%3c%2fcite%3e&amp;_butType=3&amp;_butStat=2&amp;_butNum=18&amp;_butInline=1&amp;_butinfo=%3ccite%20cc%3d%22USA%22%3e%3c%21%5bCDATA%5b372%20Pa.%20468%5d%5d%3e%3c%2fcite%3e&amp;_fmtstr=FULL&amp;docnum=2&amp;_startdoc=1&amp;wchp=dGLzVzB-zSkAb&amp;_md5=f92e374e851bdf932c5472aee33da3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4923</Words>
  <Characters>28065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2013-06-10T18:25:00Z</cp:lastPrinted>
  <dcterms:created xsi:type="dcterms:W3CDTF">2013-06-11T18:12:00Z</dcterms:created>
  <dcterms:modified xsi:type="dcterms:W3CDTF">2013-06-11T18:12:00Z</dcterms:modified>
</cp:coreProperties>
</file>