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6AD2" w:rsidRPr="00F514FB" w:rsidRDefault="00776AD2" w:rsidP="00DD3486">
      <w:pPr>
        <w:tabs>
          <w:tab w:val="center" w:pos="4680"/>
        </w:tabs>
        <w:suppressAutoHyphens/>
        <w:spacing w:line="240" w:lineRule="auto"/>
        <w:ind w:firstLine="0"/>
        <w:jc w:val="center"/>
        <w:rPr>
          <w:b/>
          <w:sz w:val="26"/>
          <w:szCs w:val="26"/>
        </w:rPr>
      </w:pPr>
      <w:r w:rsidRPr="00F514FB">
        <w:rPr>
          <w:b/>
          <w:sz w:val="26"/>
          <w:szCs w:val="26"/>
        </w:rPr>
        <w:t>PENNSYLVANIA</w:t>
      </w:r>
    </w:p>
    <w:p w:rsidR="00776AD2" w:rsidRPr="00F514FB" w:rsidRDefault="00776AD2" w:rsidP="00DD3486">
      <w:pPr>
        <w:tabs>
          <w:tab w:val="center" w:pos="4680"/>
        </w:tabs>
        <w:suppressAutoHyphens/>
        <w:spacing w:line="240" w:lineRule="auto"/>
        <w:ind w:firstLine="0"/>
        <w:jc w:val="center"/>
        <w:rPr>
          <w:sz w:val="26"/>
          <w:szCs w:val="26"/>
        </w:rPr>
      </w:pPr>
      <w:r w:rsidRPr="00F514FB">
        <w:rPr>
          <w:b/>
          <w:sz w:val="26"/>
          <w:szCs w:val="26"/>
        </w:rPr>
        <w:t>PUBLIC UTILITY COMMISSION</w:t>
      </w:r>
    </w:p>
    <w:p w:rsidR="00776AD2" w:rsidRPr="00F514FB" w:rsidRDefault="00776AD2" w:rsidP="00DD3486">
      <w:pPr>
        <w:tabs>
          <w:tab w:val="center" w:pos="4680"/>
        </w:tabs>
        <w:suppressAutoHyphens/>
        <w:spacing w:line="240" w:lineRule="auto"/>
        <w:ind w:firstLine="0"/>
        <w:jc w:val="center"/>
        <w:rPr>
          <w:sz w:val="26"/>
          <w:szCs w:val="26"/>
        </w:rPr>
      </w:pPr>
      <w:r w:rsidRPr="00F514FB">
        <w:rPr>
          <w:b/>
          <w:sz w:val="26"/>
          <w:szCs w:val="26"/>
        </w:rPr>
        <w:t>Harrisburg, PA 17105-3265</w:t>
      </w:r>
    </w:p>
    <w:p w:rsidR="00776AD2" w:rsidRPr="00F514FB" w:rsidRDefault="00776AD2" w:rsidP="00DD3486">
      <w:pPr>
        <w:tabs>
          <w:tab w:val="left" w:pos="-720"/>
        </w:tabs>
        <w:suppressAutoHyphens/>
        <w:spacing w:line="240" w:lineRule="auto"/>
        <w:ind w:firstLine="0"/>
        <w:rPr>
          <w:sz w:val="26"/>
          <w:szCs w:val="26"/>
        </w:rPr>
      </w:pPr>
    </w:p>
    <w:p w:rsidR="00776AD2" w:rsidRPr="00F514FB" w:rsidRDefault="00776AD2" w:rsidP="00DD3486">
      <w:pPr>
        <w:spacing w:line="240" w:lineRule="auto"/>
        <w:ind w:firstLine="0"/>
        <w:rPr>
          <w:sz w:val="26"/>
          <w:szCs w:val="26"/>
        </w:rPr>
      </w:pPr>
    </w:p>
    <w:tbl>
      <w:tblPr>
        <w:tblW w:w="0" w:type="auto"/>
        <w:tblLook w:val="04A0" w:firstRow="1" w:lastRow="0" w:firstColumn="1" w:lastColumn="0" w:noHBand="0" w:noVBand="1"/>
      </w:tblPr>
      <w:tblGrid>
        <w:gridCol w:w="5058"/>
        <w:gridCol w:w="4428"/>
      </w:tblGrid>
      <w:tr w:rsidR="00776AD2" w:rsidRPr="00F514FB" w:rsidTr="00F04BBF">
        <w:tc>
          <w:tcPr>
            <w:tcW w:w="5058" w:type="dxa"/>
            <w:shd w:val="clear" w:color="auto" w:fill="auto"/>
          </w:tcPr>
          <w:p w:rsidR="00776AD2" w:rsidRPr="00F04BBF" w:rsidRDefault="00776AD2" w:rsidP="00DD3486">
            <w:pPr>
              <w:spacing w:line="240" w:lineRule="auto"/>
              <w:ind w:firstLine="0"/>
              <w:rPr>
                <w:sz w:val="26"/>
                <w:szCs w:val="26"/>
              </w:rPr>
            </w:pPr>
          </w:p>
        </w:tc>
        <w:tc>
          <w:tcPr>
            <w:tcW w:w="4428" w:type="dxa"/>
            <w:shd w:val="clear" w:color="auto" w:fill="auto"/>
          </w:tcPr>
          <w:p w:rsidR="00776AD2" w:rsidRPr="00F04BBF" w:rsidRDefault="00D17BB1" w:rsidP="00DD3486">
            <w:pPr>
              <w:spacing w:line="240" w:lineRule="auto"/>
              <w:ind w:firstLine="0"/>
              <w:jc w:val="right"/>
              <w:rPr>
                <w:sz w:val="26"/>
                <w:szCs w:val="26"/>
              </w:rPr>
            </w:pPr>
            <w:r>
              <w:rPr>
                <w:sz w:val="26"/>
                <w:szCs w:val="26"/>
              </w:rPr>
              <w:t xml:space="preserve">Public Meeting held </w:t>
            </w:r>
            <w:r w:rsidR="003E583D">
              <w:rPr>
                <w:sz w:val="26"/>
                <w:szCs w:val="26"/>
              </w:rPr>
              <w:t>June 13</w:t>
            </w:r>
            <w:r>
              <w:rPr>
                <w:sz w:val="26"/>
                <w:szCs w:val="26"/>
              </w:rPr>
              <w:t>, 2013</w:t>
            </w:r>
          </w:p>
          <w:p w:rsidR="00776AD2" w:rsidRPr="00F04BBF" w:rsidRDefault="00776AD2" w:rsidP="00DD3486">
            <w:pPr>
              <w:spacing w:line="240" w:lineRule="auto"/>
              <w:ind w:firstLine="0"/>
              <w:jc w:val="right"/>
              <w:rPr>
                <w:sz w:val="26"/>
                <w:szCs w:val="26"/>
              </w:rPr>
            </w:pPr>
          </w:p>
          <w:p w:rsidR="00776AD2" w:rsidRPr="00F04BBF" w:rsidRDefault="00776AD2" w:rsidP="00DD3486">
            <w:pPr>
              <w:spacing w:line="240" w:lineRule="auto"/>
              <w:ind w:firstLine="0"/>
              <w:jc w:val="right"/>
              <w:rPr>
                <w:sz w:val="26"/>
                <w:szCs w:val="26"/>
              </w:rPr>
            </w:pPr>
          </w:p>
        </w:tc>
      </w:tr>
      <w:tr w:rsidR="00776AD2" w:rsidRPr="00F514FB" w:rsidTr="00F04BBF">
        <w:tc>
          <w:tcPr>
            <w:tcW w:w="5058" w:type="dxa"/>
            <w:shd w:val="clear" w:color="auto" w:fill="auto"/>
          </w:tcPr>
          <w:p w:rsidR="00776AD2" w:rsidRPr="00F04BBF" w:rsidRDefault="00776AD2" w:rsidP="00DD3486">
            <w:pPr>
              <w:spacing w:line="240" w:lineRule="auto"/>
              <w:ind w:firstLine="0"/>
              <w:rPr>
                <w:sz w:val="26"/>
                <w:szCs w:val="26"/>
              </w:rPr>
            </w:pPr>
            <w:r w:rsidRPr="00F04BBF">
              <w:rPr>
                <w:sz w:val="26"/>
                <w:szCs w:val="26"/>
              </w:rPr>
              <w:t>Commissioners Present:</w:t>
            </w:r>
          </w:p>
          <w:p w:rsidR="00776AD2" w:rsidRPr="00F04BBF" w:rsidRDefault="00776AD2" w:rsidP="00DD3486">
            <w:pPr>
              <w:spacing w:line="240" w:lineRule="auto"/>
              <w:ind w:firstLine="0"/>
              <w:rPr>
                <w:sz w:val="26"/>
                <w:szCs w:val="26"/>
              </w:rPr>
            </w:pPr>
          </w:p>
          <w:p w:rsidR="00776AD2" w:rsidRPr="00F04BBF" w:rsidRDefault="00776AD2" w:rsidP="00DD3486">
            <w:pPr>
              <w:tabs>
                <w:tab w:val="left" w:pos="705"/>
              </w:tabs>
              <w:spacing w:line="240" w:lineRule="auto"/>
              <w:ind w:firstLine="0"/>
              <w:rPr>
                <w:sz w:val="26"/>
                <w:szCs w:val="26"/>
              </w:rPr>
            </w:pPr>
            <w:r w:rsidRPr="00F04BBF">
              <w:rPr>
                <w:sz w:val="26"/>
                <w:szCs w:val="26"/>
              </w:rPr>
              <w:t>Robert F. Powelson, Chairman</w:t>
            </w:r>
          </w:p>
          <w:p w:rsidR="00776AD2" w:rsidRPr="00F04BBF" w:rsidRDefault="00776AD2" w:rsidP="00DD3486">
            <w:pPr>
              <w:tabs>
                <w:tab w:val="left" w:pos="705"/>
              </w:tabs>
              <w:spacing w:line="240" w:lineRule="auto"/>
              <w:ind w:firstLine="0"/>
              <w:rPr>
                <w:sz w:val="26"/>
                <w:szCs w:val="26"/>
              </w:rPr>
            </w:pPr>
            <w:r w:rsidRPr="00F04BBF">
              <w:rPr>
                <w:sz w:val="26"/>
                <w:szCs w:val="26"/>
              </w:rPr>
              <w:t>John F. Coleman, Jr., Vice Chairman</w:t>
            </w:r>
          </w:p>
          <w:p w:rsidR="00776AD2" w:rsidRPr="00F04BBF" w:rsidRDefault="00776AD2" w:rsidP="00DD3486">
            <w:pPr>
              <w:tabs>
                <w:tab w:val="left" w:pos="705"/>
              </w:tabs>
              <w:spacing w:line="240" w:lineRule="auto"/>
              <w:ind w:firstLine="0"/>
              <w:rPr>
                <w:sz w:val="26"/>
                <w:szCs w:val="26"/>
              </w:rPr>
            </w:pPr>
            <w:r w:rsidRPr="00F04BBF">
              <w:rPr>
                <w:sz w:val="26"/>
                <w:szCs w:val="26"/>
              </w:rPr>
              <w:t>Wayne E. Gardner</w:t>
            </w:r>
          </w:p>
          <w:p w:rsidR="00776AD2" w:rsidRPr="00F04BBF" w:rsidRDefault="00776AD2" w:rsidP="00DD3486">
            <w:pPr>
              <w:tabs>
                <w:tab w:val="left" w:pos="705"/>
              </w:tabs>
              <w:spacing w:line="240" w:lineRule="auto"/>
              <w:ind w:firstLine="0"/>
              <w:rPr>
                <w:sz w:val="26"/>
                <w:szCs w:val="26"/>
              </w:rPr>
            </w:pPr>
            <w:r w:rsidRPr="00F04BBF">
              <w:rPr>
                <w:sz w:val="26"/>
                <w:szCs w:val="26"/>
              </w:rPr>
              <w:t>James H. Cawley</w:t>
            </w:r>
          </w:p>
          <w:p w:rsidR="00776AD2" w:rsidRPr="00F04BBF" w:rsidRDefault="00776AD2" w:rsidP="00DD3486">
            <w:pPr>
              <w:tabs>
                <w:tab w:val="left" w:pos="705"/>
              </w:tabs>
              <w:spacing w:line="240" w:lineRule="auto"/>
              <w:ind w:firstLine="0"/>
              <w:rPr>
                <w:sz w:val="26"/>
                <w:szCs w:val="26"/>
              </w:rPr>
            </w:pPr>
            <w:r w:rsidRPr="00F04BBF">
              <w:rPr>
                <w:sz w:val="26"/>
                <w:szCs w:val="26"/>
              </w:rPr>
              <w:t>Pamela A. Witmer</w:t>
            </w:r>
          </w:p>
          <w:p w:rsidR="00776AD2" w:rsidRPr="00F04BBF" w:rsidRDefault="00776AD2" w:rsidP="00DD3486">
            <w:pPr>
              <w:spacing w:line="240" w:lineRule="auto"/>
              <w:ind w:firstLine="0"/>
              <w:rPr>
                <w:sz w:val="26"/>
                <w:szCs w:val="26"/>
              </w:rPr>
            </w:pPr>
          </w:p>
          <w:p w:rsidR="00776AD2" w:rsidRPr="00F04BBF" w:rsidRDefault="00776AD2" w:rsidP="00DD3486">
            <w:pPr>
              <w:spacing w:line="240" w:lineRule="auto"/>
              <w:ind w:firstLine="0"/>
              <w:rPr>
                <w:sz w:val="26"/>
                <w:szCs w:val="26"/>
              </w:rPr>
            </w:pPr>
          </w:p>
        </w:tc>
        <w:tc>
          <w:tcPr>
            <w:tcW w:w="4428" w:type="dxa"/>
            <w:shd w:val="clear" w:color="auto" w:fill="auto"/>
          </w:tcPr>
          <w:p w:rsidR="00776AD2" w:rsidRPr="00F04BBF" w:rsidRDefault="00776AD2" w:rsidP="00DD3486">
            <w:pPr>
              <w:spacing w:line="240" w:lineRule="auto"/>
              <w:ind w:firstLine="0"/>
              <w:jc w:val="right"/>
              <w:rPr>
                <w:sz w:val="26"/>
                <w:szCs w:val="26"/>
              </w:rPr>
            </w:pPr>
          </w:p>
          <w:p w:rsidR="00776AD2" w:rsidRPr="00F04BBF" w:rsidRDefault="00776AD2" w:rsidP="00DD3486">
            <w:pPr>
              <w:spacing w:line="240" w:lineRule="auto"/>
              <w:ind w:firstLine="0"/>
              <w:jc w:val="right"/>
              <w:rPr>
                <w:sz w:val="26"/>
                <w:szCs w:val="26"/>
              </w:rPr>
            </w:pPr>
          </w:p>
        </w:tc>
      </w:tr>
      <w:tr w:rsidR="00776AD2" w:rsidRPr="00F514FB" w:rsidTr="00F04BBF">
        <w:tc>
          <w:tcPr>
            <w:tcW w:w="5058" w:type="dxa"/>
            <w:shd w:val="clear" w:color="auto" w:fill="auto"/>
          </w:tcPr>
          <w:p w:rsidR="00776AD2" w:rsidRPr="00462C58" w:rsidRDefault="00462C58" w:rsidP="00DD3486">
            <w:pPr>
              <w:spacing w:line="240" w:lineRule="auto"/>
              <w:ind w:firstLine="0"/>
              <w:rPr>
                <w:sz w:val="26"/>
                <w:szCs w:val="26"/>
              </w:rPr>
            </w:pPr>
            <w:r w:rsidRPr="00756DAF">
              <w:rPr>
                <w:sz w:val="26"/>
                <w:szCs w:val="26"/>
              </w:rPr>
              <w:t xml:space="preserve">Petition </w:t>
            </w:r>
            <w:r>
              <w:rPr>
                <w:sz w:val="26"/>
                <w:szCs w:val="26"/>
              </w:rPr>
              <w:t xml:space="preserve">of PECO Energy Company for </w:t>
            </w:r>
            <w:r w:rsidRPr="00756DAF">
              <w:rPr>
                <w:sz w:val="26"/>
                <w:szCs w:val="26"/>
              </w:rPr>
              <w:t>Approval of its Default Service Program II</w:t>
            </w:r>
          </w:p>
        </w:tc>
        <w:tc>
          <w:tcPr>
            <w:tcW w:w="4428" w:type="dxa"/>
            <w:shd w:val="clear" w:color="auto" w:fill="auto"/>
          </w:tcPr>
          <w:p w:rsidR="00D17BB1" w:rsidRPr="00F04BBF" w:rsidRDefault="00462C58" w:rsidP="00DD3486">
            <w:pPr>
              <w:spacing w:line="240" w:lineRule="auto"/>
              <w:ind w:firstLine="0"/>
              <w:jc w:val="right"/>
              <w:rPr>
                <w:sz w:val="26"/>
                <w:szCs w:val="26"/>
              </w:rPr>
            </w:pPr>
            <w:r w:rsidRPr="00756DAF">
              <w:rPr>
                <w:sz w:val="26"/>
                <w:szCs w:val="26"/>
              </w:rPr>
              <w:t>P-2012-2283641</w:t>
            </w:r>
          </w:p>
        </w:tc>
      </w:tr>
      <w:tr w:rsidR="00776AD2" w:rsidRPr="00F514FB" w:rsidTr="00F04BBF">
        <w:tc>
          <w:tcPr>
            <w:tcW w:w="5058" w:type="dxa"/>
            <w:shd w:val="clear" w:color="auto" w:fill="auto"/>
          </w:tcPr>
          <w:p w:rsidR="00776AD2" w:rsidRPr="00F04BBF" w:rsidRDefault="00776AD2" w:rsidP="00DD3486">
            <w:pPr>
              <w:spacing w:line="240" w:lineRule="auto"/>
              <w:ind w:firstLine="0"/>
              <w:rPr>
                <w:sz w:val="26"/>
                <w:szCs w:val="26"/>
              </w:rPr>
            </w:pPr>
          </w:p>
        </w:tc>
        <w:tc>
          <w:tcPr>
            <w:tcW w:w="4428" w:type="dxa"/>
            <w:shd w:val="clear" w:color="auto" w:fill="auto"/>
          </w:tcPr>
          <w:p w:rsidR="00776AD2" w:rsidRPr="00F04BBF" w:rsidRDefault="00776AD2" w:rsidP="00DD3486">
            <w:pPr>
              <w:spacing w:line="240" w:lineRule="auto"/>
              <w:ind w:firstLine="0"/>
              <w:rPr>
                <w:sz w:val="26"/>
                <w:szCs w:val="26"/>
              </w:rPr>
            </w:pPr>
          </w:p>
        </w:tc>
      </w:tr>
    </w:tbl>
    <w:p w:rsidR="00776AD2" w:rsidRPr="00F514FB" w:rsidRDefault="00776AD2" w:rsidP="00DD3486">
      <w:pPr>
        <w:spacing w:line="240" w:lineRule="auto"/>
        <w:ind w:firstLine="0"/>
        <w:jc w:val="center"/>
        <w:rPr>
          <w:b/>
          <w:sz w:val="26"/>
          <w:szCs w:val="26"/>
        </w:rPr>
      </w:pPr>
      <w:r w:rsidRPr="00F514FB">
        <w:rPr>
          <w:b/>
          <w:sz w:val="26"/>
          <w:szCs w:val="26"/>
        </w:rPr>
        <w:t xml:space="preserve"> ORDER</w:t>
      </w:r>
    </w:p>
    <w:p w:rsidR="00776AD2" w:rsidRPr="00F514FB" w:rsidRDefault="00776AD2" w:rsidP="00DD3486">
      <w:pPr>
        <w:spacing w:line="240" w:lineRule="auto"/>
        <w:ind w:firstLine="0"/>
        <w:jc w:val="center"/>
        <w:rPr>
          <w:b/>
          <w:sz w:val="26"/>
          <w:szCs w:val="26"/>
        </w:rPr>
      </w:pPr>
    </w:p>
    <w:p w:rsidR="00776AD2" w:rsidRPr="00F514FB" w:rsidRDefault="00776AD2" w:rsidP="00DD3486">
      <w:pPr>
        <w:spacing w:line="240" w:lineRule="auto"/>
        <w:ind w:firstLine="0"/>
        <w:rPr>
          <w:b/>
          <w:sz w:val="26"/>
          <w:szCs w:val="26"/>
        </w:rPr>
      </w:pPr>
      <w:r w:rsidRPr="00F514FB">
        <w:rPr>
          <w:b/>
          <w:sz w:val="26"/>
          <w:szCs w:val="26"/>
        </w:rPr>
        <w:t>BY THE COMMISSION:</w:t>
      </w:r>
    </w:p>
    <w:p w:rsidR="00776AD2" w:rsidRPr="00F514FB" w:rsidRDefault="00776AD2" w:rsidP="00DD3486">
      <w:pPr>
        <w:spacing w:line="240" w:lineRule="auto"/>
        <w:ind w:firstLine="0"/>
        <w:rPr>
          <w:sz w:val="26"/>
          <w:szCs w:val="26"/>
        </w:rPr>
      </w:pPr>
    </w:p>
    <w:p w:rsidR="00F86D8F" w:rsidRDefault="000F1318" w:rsidP="003E22CB">
      <w:pPr>
        <w:widowControl/>
        <w:tabs>
          <w:tab w:val="left" w:pos="-720"/>
        </w:tabs>
        <w:suppressAutoHyphens/>
        <w:rPr>
          <w:sz w:val="26"/>
        </w:rPr>
      </w:pPr>
      <w:r w:rsidRPr="00027664">
        <w:rPr>
          <w:sz w:val="26"/>
        </w:rPr>
        <w:t xml:space="preserve">Before the </w:t>
      </w:r>
      <w:r w:rsidR="005C7928">
        <w:rPr>
          <w:sz w:val="26"/>
        </w:rPr>
        <w:t xml:space="preserve">Pennsylvania Public Utility </w:t>
      </w:r>
      <w:r w:rsidRPr="00027664">
        <w:rPr>
          <w:sz w:val="26"/>
        </w:rPr>
        <w:t xml:space="preserve">Commission </w:t>
      </w:r>
      <w:r w:rsidR="005C7928">
        <w:rPr>
          <w:sz w:val="26"/>
        </w:rPr>
        <w:t xml:space="preserve">(Commission) </w:t>
      </w:r>
      <w:r w:rsidRPr="00027664">
        <w:rPr>
          <w:sz w:val="26"/>
        </w:rPr>
        <w:t>for co</w:t>
      </w:r>
      <w:r w:rsidR="00893951">
        <w:rPr>
          <w:sz w:val="26"/>
        </w:rPr>
        <w:t>ns</w:t>
      </w:r>
      <w:r w:rsidR="00F86D8F">
        <w:rPr>
          <w:sz w:val="26"/>
        </w:rPr>
        <w:t xml:space="preserve">ideration and disposition is PECO Energy Company’s (PECO) Third Revised Default Service Plan Compliance Filing, filed </w:t>
      </w:r>
      <w:r w:rsidR="00D85A63">
        <w:rPr>
          <w:sz w:val="26"/>
        </w:rPr>
        <w:t>on April</w:t>
      </w:r>
      <w:r w:rsidR="00F86D8F">
        <w:rPr>
          <w:sz w:val="26"/>
        </w:rPr>
        <w:t xml:space="preserve"> 15, 2013.</w:t>
      </w:r>
    </w:p>
    <w:p w:rsidR="00F86D8F" w:rsidRDefault="00F86D8F" w:rsidP="003E22CB">
      <w:pPr>
        <w:widowControl/>
        <w:tabs>
          <w:tab w:val="left" w:pos="-720"/>
        </w:tabs>
        <w:suppressAutoHyphens/>
        <w:rPr>
          <w:sz w:val="26"/>
        </w:rPr>
      </w:pPr>
    </w:p>
    <w:p w:rsidR="00624BBC" w:rsidRDefault="006F1C0E" w:rsidP="00204A26">
      <w:pPr>
        <w:widowControl/>
        <w:tabs>
          <w:tab w:val="left" w:pos="-720"/>
        </w:tabs>
        <w:suppressAutoHyphens/>
        <w:rPr>
          <w:sz w:val="26"/>
        </w:rPr>
      </w:pPr>
      <w:r>
        <w:rPr>
          <w:sz w:val="26"/>
        </w:rPr>
        <w:t>Comments</w:t>
      </w:r>
      <w:r w:rsidR="00F86D8F">
        <w:rPr>
          <w:sz w:val="26"/>
        </w:rPr>
        <w:t xml:space="preserve"> were</w:t>
      </w:r>
      <w:r w:rsidR="000F1318" w:rsidRPr="00027664">
        <w:rPr>
          <w:sz w:val="26"/>
        </w:rPr>
        <w:t xml:space="preserve"> filed by</w:t>
      </w:r>
      <w:r w:rsidR="00F35B05">
        <w:rPr>
          <w:sz w:val="26"/>
        </w:rPr>
        <w:t xml:space="preserve"> the </w:t>
      </w:r>
      <w:r w:rsidR="00512BF6">
        <w:rPr>
          <w:sz w:val="26"/>
          <w:szCs w:val="26"/>
        </w:rPr>
        <w:t xml:space="preserve">Office of Consumer Advocate (OCA) </w:t>
      </w:r>
      <w:r w:rsidR="000F1318" w:rsidRPr="00027664">
        <w:rPr>
          <w:sz w:val="26"/>
        </w:rPr>
        <w:t>on</w:t>
      </w:r>
      <w:r w:rsidR="00D17BB1">
        <w:rPr>
          <w:sz w:val="26"/>
        </w:rPr>
        <w:t xml:space="preserve"> </w:t>
      </w:r>
      <w:r w:rsidR="00C948F7">
        <w:rPr>
          <w:sz w:val="26"/>
        </w:rPr>
        <w:t>March 1</w:t>
      </w:r>
      <w:r w:rsidR="00512BF6">
        <w:rPr>
          <w:sz w:val="26"/>
        </w:rPr>
        <w:t>1</w:t>
      </w:r>
      <w:r w:rsidR="00D17BB1">
        <w:rPr>
          <w:sz w:val="26"/>
        </w:rPr>
        <w:t>, 2013</w:t>
      </w:r>
      <w:r w:rsidR="00241BA3">
        <w:rPr>
          <w:sz w:val="26"/>
        </w:rPr>
        <w:t xml:space="preserve"> (OCA March comments)</w:t>
      </w:r>
      <w:r w:rsidR="00F86D8F">
        <w:rPr>
          <w:sz w:val="26"/>
        </w:rPr>
        <w:t xml:space="preserve"> and</w:t>
      </w:r>
      <w:r w:rsidR="00512BF6">
        <w:rPr>
          <w:sz w:val="26"/>
        </w:rPr>
        <w:t xml:space="preserve"> the Office of Small Business Advocate (OSBA) on March 13, 2013</w:t>
      </w:r>
      <w:r w:rsidR="00241BA3">
        <w:rPr>
          <w:sz w:val="26"/>
        </w:rPr>
        <w:t xml:space="preserve"> (OSBA March comments) </w:t>
      </w:r>
      <w:r w:rsidR="00F86D8F">
        <w:rPr>
          <w:sz w:val="26"/>
        </w:rPr>
        <w:t xml:space="preserve">relative to PECO’s Second Revised Default Service Plan Compliance Filing, </w:t>
      </w:r>
      <w:r w:rsidR="00204A26">
        <w:rPr>
          <w:sz w:val="26"/>
        </w:rPr>
        <w:t xml:space="preserve">which was </w:t>
      </w:r>
      <w:r w:rsidR="00F86D8F">
        <w:rPr>
          <w:sz w:val="26"/>
        </w:rPr>
        <w:t>filed on February 28, 2013. Reply</w:t>
      </w:r>
      <w:r w:rsidR="00241BA3">
        <w:rPr>
          <w:sz w:val="26"/>
        </w:rPr>
        <w:t xml:space="preserve"> Comments </w:t>
      </w:r>
      <w:r w:rsidR="00F86D8F">
        <w:rPr>
          <w:sz w:val="26"/>
        </w:rPr>
        <w:t xml:space="preserve">were </w:t>
      </w:r>
      <w:r w:rsidR="00241BA3">
        <w:rPr>
          <w:sz w:val="26"/>
        </w:rPr>
        <w:t>filed by</w:t>
      </w:r>
      <w:r w:rsidR="00241BA3" w:rsidRPr="00241BA3">
        <w:rPr>
          <w:sz w:val="26"/>
        </w:rPr>
        <w:t xml:space="preserve"> </w:t>
      </w:r>
      <w:r w:rsidR="00241BA3">
        <w:rPr>
          <w:sz w:val="26"/>
        </w:rPr>
        <w:t xml:space="preserve">PECO on March 22, 2013 (PECO </w:t>
      </w:r>
      <w:r w:rsidR="00F86D8F">
        <w:rPr>
          <w:sz w:val="26"/>
        </w:rPr>
        <w:t>March reply</w:t>
      </w:r>
      <w:r w:rsidR="00C378DE">
        <w:rPr>
          <w:sz w:val="26"/>
        </w:rPr>
        <w:t>).</w:t>
      </w:r>
      <w:r w:rsidR="00C45174">
        <w:rPr>
          <w:sz w:val="26"/>
        </w:rPr>
        <w:t xml:space="preserve"> </w:t>
      </w:r>
      <w:r w:rsidR="00F86D8F">
        <w:rPr>
          <w:sz w:val="26"/>
        </w:rPr>
        <w:t>Subsequently,</w:t>
      </w:r>
      <w:r w:rsidR="00C45174">
        <w:rPr>
          <w:sz w:val="26"/>
        </w:rPr>
        <w:t xml:space="preserve"> Comments </w:t>
      </w:r>
      <w:r w:rsidR="00F86D8F">
        <w:rPr>
          <w:sz w:val="26"/>
        </w:rPr>
        <w:t xml:space="preserve">were </w:t>
      </w:r>
      <w:r w:rsidR="00C45174">
        <w:rPr>
          <w:sz w:val="26"/>
        </w:rPr>
        <w:t>filed by the OCA on April 25, 2013</w:t>
      </w:r>
      <w:r w:rsidR="004409D4">
        <w:rPr>
          <w:sz w:val="26"/>
        </w:rPr>
        <w:t xml:space="preserve"> (OCA April comments)</w:t>
      </w:r>
      <w:r w:rsidR="00C45174">
        <w:rPr>
          <w:sz w:val="26"/>
        </w:rPr>
        <w:t>, OSBA on April 24, 2013</w:t>
      </w:r>
      <w:r w:rsidR="004409D4">
        <w:rPr>
          <w:sz w:val="26"/>
        </w:rPr>
        <w:t xml:space="preserve"> (OSBA April comments)</w:t>
      </w:r>
      <w:r w:rsidR="00C378DE">
        <w:rPr>
          <w:sz w:val="26"/>
        </w:rPr>
        <w:t xml:space="preserve"> relative to PECO’s Third Revised Default Service Plan Compliance Filing</w:t>
      </w:r>
      <w:r w:rsidR="00204A26">
        <w:rPr>
          <w:sz w:val="26"/>
        </w:rPr>
        <w:t xml:space="preserve">, which was </w:t>
      </w:r>
      <w:r w:rsidR="00C378DE">
        <w:rPr>
          <w:sz w:val="26"/>
        </w:rPr>
        <w:t xml:space="preserve">filed on April 15, 2013. Additionally, </w:t>
      </w:r>
      <w:r w:rsidR="00C45174">
        <w:rPr>
          <w:sz w:val="26"/>
        </w:rPr>
        <w:t xml:space="preserve">Reply Comments </w:t>
      </w:r>
      <w:r w:rsidR="00204A26">
        <w:rPr>
          <w:sz w:val="26"/>
        </w:rPr>
        <w:t>were filed by</w:t>
      </w:r>
      <w:r w:rsidR="00C45174">
        <w:rPr>
          <w:sz w:val="26"/>
        </w:rPr>
        <w:t xml:space="preserve"> the Retail Energy Supply Association </w:t>
      </w:r>
      <w:r w:rsidR="00C45174">
        <w:rPr>
          <w:sz w:val="26"/>
        </w:rPr>
        <w:lastRenderedPageBreak/>
        <w:t>(RESA</w:t>
      </w:r>
      <w:r w:rsidR="00C378DE">
        <w:rPr>
          <w:sz w:val="26"/>
        </w:rPr>
        <w:t xml:space="preserve"> reply</w:t>
      </w:r>
      <w:r w:rsidR="00C45174">
        <w:rPr>
          <w:sz w:val="26"/>
        </w:rPr>
        <w:t>) on May 1, 2013, PECO on M</w:t>
      </w:r>
      <w:r w:rsidR="00241BA3">
        <w:rPr>
          <w:sz w:val="26"/>
        </w:rPr>
        <w:t>a</w:t>
      </w:r>
      <w:r w:rsidR="00C45174">
        <w:rPr>
          <w:sz w:val="26"/>
        </w:rPr>
        <w:t>y 6, 2013</w:t>
      </w:r>
      <w:r w:rsidR="000122C4">
        <w:rPr>
          <w:sz w:val="26"/>
        </w:rPr>
        <w:t xml:space="preserve"> (PECO May </w:t>
      </w:r>
      <w:r w:rsidR="00C378DE">
        <w:rPr>
          <w:sz w:val="26"/>
        </w:rPr>
        <w:t>reply)</w:t>
      </w:r>
      <w:r w:rsidR="00C45174">
        <w:rPr>
          <w:sz w:val="26"/>
        </w:rPr>
        <w:t>, and FirstEnergy Solutions Corp. (FES</w:t>
      </w:r>
      <w:r w:rsidR="00C378DE">
        <w:rPr>
          <w:sz w:val="26"/>
        </w:rPr>
        <w:t xml:space="preserve"> reply) on May 7, 2013.</w:t>
      </w:r>
      <w:r w:rsidR="00C45174">
        <w:rPr>
          <w:sz w:val="26"/>
        </w:rPr>
        <w:t xml:space="preserve"> </w:t>
      </w:r>
    </w:p>
    <w:p w:rsidR="00C361E3" w:rsidRDefault="00624BBC" w:rsidP="003E22CB">
      <w:pPr>
        <w:widowControl/>
        <w:tabs>
          <w:tab w:val="left" w:pos="-720"/>
        </w:tabs>
        <w:suppressAutoHyphens/>
        <w:rPr>
          <w:sz w:val="26"/>
        </w:rPr>
      </w:pPr>
      <w:r>
        <w:rPr>
          <w:sz w:val="26"/>
        </w:rPr>
        <w:t xml:space="preserve"> </w:t>
      </w:r>
    </w:p>
    <w:p w:rsidR="00A44DC3" w:rsidRDefault="00C361E3" w:rsidP="00A44DC3">
      <w:pPr>
        <w:pStyle w:val="Heading1"/>
        <w:keepLines w:val="0"/>
        <w:widowControl/>
      </w:pPr>
      <w:r>
        <w:t>History of the Proceeding</w:t>
      </w:r>
    </w:p>
    <w:p w:rsidR="00A44DC3" w:rsidRPr="00A44DC3" w:rsidRDefault="00A44DC3" w:rsidP="00A44DC3"/>
    <w:p w:rsidR="00FC757A" w:rsidRPr="00FC757A" w:rsidRDefault="00FC757A" w:rsidP="00FC757A">
      <w:pPr>
        <w:rPr>
          <w:sz w:val="26"/>
          <w:szCs w:val="26"/>
        </w:rPr>
      </w:pPr>
      <w:r w:rsidRPr="00FC757A">
        <w:rPr>
          <w:sz w:val="26"/>
          <w:szCs w:val="26"/>
        </w:rPr>
        <w:t>On January 13, 2012, PECO filed a Default Service Plan Petition (DSP II Petition)</w:t>
      </w:r>
      <w:r w:rsidRPr="00FC757A">
        <w:rPr>
          <w:i/>
          <w:sz w:val="26"/>
          <w:szCs w:val="26"/>
        </w:rPr>
        <w:t xml:space="preserve"> </w:t>
      </w:r>
      <w:r w:rsidRPr="00FC757A">
        <w:rPr>
          <w:sz w:val="26"/>
          <w:szCs w:val="26"/>
        </w:rPr>
        <w:t xml:space="preserve">requesting that the Commission approve its Default Service Plan for the period from June 1, 2013 to May 31, 2015 (DSP II), and find that its DSP II satisfies the criteria set forth at </w:t>
      </w:r>
      <w:bookmarkStart w:id="0" w:name="_BA_Cite_79"/>
      <w:r w:rsidRPr="00FC757A">
        <w:rPr>
          <w:sz w:val="26"/>
          <w:szCs w:val="26"/>
        </w:rPr>
        <w:t xml:space="preserve">Section 2807(e)(3.7) of the Public Utility Code (Code), </w:t>
      </w:r>
      <w:r w:rsidRPr="00FC757A">
        <w:rPr>
          <w:color w:val="000000"/>
          <w:sz w:val="26"/>
          <w:szCs w:val="26"/>
        </w:rPr>
        <w:t xml:space="preserve">66 Pa. C.S. </w:t>
      </w:r>
      <w:r w:rsidR="00DD3486">
        <w:rPr>
          <w:color w:val="000000"/>
          <w:sz w:val="26"/>
          <w:szCs w:val="26"/>
        </w:rPr>
        <w:br/>
      </w:r>
      <w:r w:rsidRPr="00FC757A">
        <w:rPr>
          <w:color w:val="000000"/>
          <w:sz w:val="26"/>
          <w:szCs w:val="26"/>
        </w:rPr>
        <w:t>§ 2807(e)(3.7)</w:t>
      </w:r>
      <w:bookmarkEnd w:id="0"/>
      <w:r w:rsidRPr="00FC757A">
        <w:rPr>
          <w:sz w:val="26"/>
          <w:szCs w:val="26"/>
        </w:rPr>
        <w:t xml:space="preserve">.    </w:t>
      </w:r>
    </w:p>
    <w:p w:rsidR="00C361E3" w:rsidRDefault="00C361E3" w:rsidP="003E22CB">
      <w:pPr>
        <w:widowControl/>
        <w:tabs>
          <w:tab w:val="left" w:pos="-720"/>
        </w:tabs>
        <w:suppressAutoHyphens/>
        <w:rPr>
          <w:sz w:val="26"/>
        </w:rPr>
      </w:pPr>
    </w:p>
    <w:p w:rsidR="001B6C8E" w:rsidRPr="001B6C8E" w:rsidRDefault="001B6C8E" w:rsidP="001B6C8E">
      <w:pPr>
        <w:pStyle w:val="BodyText2"/>
        <w:spacing w:line="360" w:lineRule="auto"/>
        <w:rPr>
          <w:rFonts w:ascii="Times New Roman" w:hAnsi="Times New Roman" w:cs="Times New Roman"/>
          <w:sz w:val="26"/>
          <w:szCs w:val="26"/>
        </w:rPr>
      </w:pPr>
      <w:r>
        <w:rPr>
          <w:rFonts w:ascii="Times New Roman" w:hAnsi="Times New Roman" w:cs="Times New Roman"/>
          <w:sz w:val="26"/>
          <w:szCs w:val="26"/>
        </w:rPr>
        <w:t xml:space="preserve">Following extensive discovery, evidentiary hearings and the submission of briefs, the Commission </w:t>
      </w:r>
      <w:r w:rsidR="00322D23">
        <w:rPr>
          <w:rFonts w:ascii="Times New Roman" w:hAnsi="Times New Roman" w:cs="Times New Roman"/>
          <w:sz w:val="26"/>
          <w:szCs w:val="26"/>
        </w:rPr>
        <w:t xml:space="preserve">Secretary </w:t>
      </w:r>
      <w:r>
        <w:rPr>
          <w:rFonts w:ascii="Times New Roman" w:hAnsi="Times New Roman" w:cs="Times New Roman"/>
          <w:sz w:val="26"/>
          <w:szCs w:val="26"/>
        </w:rPr>
        <w:t xml:space="preserve">issued the Recommended Decision of </w:t>
      </w:r>
      <w:r w:rsidRPr="00F97334">
        <w:rPr>
          <w:rFonts w:ascii="Times New Roman" w:hAnsi="Times New Roman" w:cs="Times New Roman"/>
          <w:sz w:val="26"/>
          <w:szCs w:val="26"/>
        </w:rPr>
        <w:t>A</w:t>
      </w:r>
      <w:r>
        <w:rPr>
          <w:rFonts w:ascii="Times New Roman" w:hAnsi="Times New Roman" w:cs="Times New Roman"/>
          <w:sz w:val="26"/>
          <w:szCs w:val="26"/>
        </w:rPr>
        <w:t xml:space="preserve">dministrative </w:t>
      </w:r>
      <w:r w:rsidRPr="00F97334">
        <w:rPr>
          <w:rFonts w:ascii="Times New Roman" w:hAnsi="Times New Roman" w:cs="Times New Roman"/>
          <w:sz w:val="26"/>
          <w:szCs w:val="26"/>
        </w:rPr>
        <w:t>L</w:t>
      </w:r>
      <w:r>
        <w:rPr>
          <w:rFonts w:ascii="Times New Roman" w:hAnsi="Times New Roman" w:cs="Times New Roman"/>
          <w:sz w:val="26"/>
          <w:szCs w:val="26"/>
        </w:rPr>
        <w:t xml:space="preserve">aw </w:t>
      </w:r>
      <w:r w:rsidRPr="00F97334">
        <w:rPr>
          <w:rFonts w:ascii="Times New Roman" w:hAnsi="Times New Roman" w:cs="Times New Roman"/>
          <w:sz w:val="26"/>
          <w:szCs w:val="26"/>
        </w:rPr>
        <w:t>J</w:t>
      </w:r>
      <w:r>
        <w:rPr>
          <w:rFonts w:ascii="Times New Roman" w:hAnsi="Times New Roman" w:cs="Times New Roman"/>
          <w:sz w:val="26"/>
          <w:szCs w:val="26"/>
        </w:rPr>
        <w:t>udge (ALJ)</w:t>
      </w:r>
      <w:r w:rsidRPr="00F97334">
        <w:rPr>
          <w:rFonts w:ascii="Times New Roman" w:hAnsi="Times New Roman" w:cs="Times New Roman"/>
          <w:sz w:val="26"/>
          <w:szCs w:val="26"/>
        </w:rPr>
        <w:t xml:space="preserve"> </w:t>
      </w:r>
      <w:r w:rsidRPr="00F97334">
        <w:rPr>
          <w:rFonts w:ascii="Times New Roman" w:hAnsi="Times New Roman" w:cs="Times New Roman"/>
          <w:spacing w:val="-3"/>
          <w:sz w:val="26"/>
          <w:szCs w:val="26"/>
        </w:rPr>
        <w:t xml:space="preserve">Dennis J. Buckley </w:t>
      </w:r>
      <w:r>
        <w:rPr>
          <w:rFonts w:ascii="Times New Roman" w:hAnsi="Times New Roman" w:cs="Times New Roman"/>
          <w:sz w:val="26"/>
          <w:szCs w:val="26"/>
        </w:rPr>
        <w:t>on August 29, 2012.  After consideration of Exceptions to the Recommended Decision and the corresponding Reply Exceptions, the Commission entered an Opinion and Order on October 12, 201</w:t>
      </w:r>
      <w:r w:rsidR="00322D23">
        <w:rPr>
          <w:rFonts w:ascii="Times New Roman" w:hAnsi="Times New Roman" w:cs="Times New Roman"/>
          <w:sz w:val="26"/>
          <w:szCs w:val="26"/>
        </w:rPr>
        <w:t>2</w:t>
      </w:r>
      <w:r w:rsidR="0053101D">
        <w:rPr>
          <w:rFonts w:ascii="Times New Roman" w:hAnsi="Times New Roman" w:cs="Times New Roman"/>
          <w:sz w:val="26"/>
          <w:szCs w:val="26"/>
        </w:rPr>
        <w:t xml:space="preserve"> in the above-caption</w:t>
      </w:r>
      <w:r w:rsidR="00322D23">
        <w:rPr>
          <w:rFonts w:ascii="Times New Roman" w:hAnsi="Times New Roman" w:cs="Times New Roman"/>
          <w:sz w:val="26"/>
          <w:szCs w:val="26"/>
        </w:rPr>
        <w:t>ed</w:t>
      </w:r>
      <w:r w:rsidR="0053101D">
        <w:rPr>
          <w:rFonts w:ascii="Times New Roman" w:hAnsi="Times New Roman" w:cs="Times New Roman"/>
          <w:sz w:val="26"/>
          <w:szCs w:val="26"/>
        </w:rPr>
        <w:t xml:space="preserve"> proceeding.</w:t>
      </w:r>
      <w:r>
        <w:rPr>
          <w:rFonts w:ascii="Times New Roman" w:hAnsi="Times New Roman" w:cs="Times New Roman"/>
          <w:sz w:val="26"/>
          <w:szCs w:val="26"/>
        </w:rPr>
        <w:t xml:space="preserve"> (</w:t>
      </w:r>
      <w:r w:rsidRPr="00796FCA">
        <w:rPr>
          <w:rFonts w:ascii="Times New Roman" w:hAnsi="Times New Roman" w:cs="Times New Roman"/>
          <w:i/>
          <w:sz w:val="26"/>
          <w:szCs w:val="26"/>
        </w:rPr>
        <w:t>October 201</w:t>
      </w:r>
      <w:r w:rsidR="00322D23">
        <w:rPr>
          <w:rFonts w:ascii="Times New Roman" w:hAnsi="Times New Roman" w:cs="Times New Roman"/>
          <w:i/>
          <w:sz w:val="26"/>
          <w:szCs w:val="26"/>
        </w:rPr>
        <w:t>2</w:t>
      </w:r>
      <w:r w:rsidRPr="00796FCA">
        <w:rPr>
          <w:rFonts w:ascii="Times New Roman" w:hAnsi="Times New Roman" w:cs="Times New Roman"/>
          <w:i/>
          <w:sz w:val="26"/>
          <w:szCs w:val="26"/>
        </w:rPr>
        <w:t xml:space="preserve"> Order</w:t>
      </w:r>
      <w:r>
        <w:rPr>
          <w:rFonts w:ascii="Times New Roman" w:hAnsi="Times New Roman" w:cs="Times New Roman"/>
          <w:sz w:val="26"/>
          <w:szCs w:val="26"/>
        </w:rPr>
        <w:t xml:space="preserve">).  The </w:t>
      </w:r>
      <w:r w:rsidRPr="001B6C8E">
        <w:rPr>
          <w:rFonts w:ascii="Times New Roman" w:hAnsi="Times New Roman" w:cs="Times New Roman"/>
          <w:i/>
          <w:sz w:val="26"/>
          <w:szCs w:val="26"/>
        </w:rPr>
        <w:t xml:space="preserve">October </w:t>
      </w:r>
      <w:r>
        <w:rPr>
          <w:rFonts w:ascii="Times New Roman" w:hAnsi="Times New Roman" w:cs="Times New Roman"/>
          <w:i/>
          <w:sz w:val="26"/>
          <w:szCs w:val="26"/>
        </w:rPr>
        <w:t>201</w:t>
      </w:r>
      <w:r w:rsidR="00322D23">
        <w:rPr>
          <w:rFonts w:ascii="Times New Roman" w:hAnsi="Times New Roman" w:cs="Times New Roman"/>
          <w:i/>
          <w:sz w:val="26"/>
          <w:szCs w:val="26"/>
        </w:rPr>
        <w:t>2</w:t>
      </w:r>
      <w:r>
        <w:rPr>
          <w:rFonts w:ascii="Times New Roman" w:hAnsi="Times New Roman" w:cs="Times New Roman"/>
          <w:i/>
          <w:sz w:val="26"/>
          <w:szCs w:val="26"/>
        </w:rPr>
        <w:t xml:space="preserve"> Order, inter alia, </w:t>
      </w:r>
      <w:r>
        <w:rPr>
          <w:rFonts w:ascii="Times New Roman" w:hAnsi="Times New Roman" w:cs="Times New Roman"/>
          <w:sz w:val="26"/>
          <w:szCs w:val="26"/>
        </w:rPr>
        <w:t>made modifications to the RME programs and directed PECO, in collaboration with interested electric generation suppliers (EGSs), to submit a proposal on how EGSs</w:t>
      </w:r>
      <w:r w:rsidR="008B67A1">
        <w:rPr>
          <w:rFonts w:ascii="Times New Roman" w:hAnsi="Times New Roman" w:cs="Times New Roman"/>
          <w:sz w:val="26"/>
          <w:szCs w:val="26"/>
        </w:rPr>
        <w:t xml:space="preserve"> or customers</w:t>
      </w:r>
      <w:r>
        <w:rPr>
          <w:rFonts w:ascii="Times New Roman" w:hAnsi="Times New Roman" w:cs="Times New Roman"/>
          <w:sz w:val="26"/>
          <w:szCs w:val="26"/>
        </w:rPr>
        <w:t xml:space="preserve"> will pay for the costs of the RME programs.  </w:t>
      </w:r>
    </w:p>
    <w:p w:rsidR="000F1318" w:rsidRDefault="000F1318" w:rsidP="003E22CB">
      <w:pPr>
        <w:widowControl/>
        <w:tabs>
          <w:tab w:val="left" w:pos="-720"/>
        </w:tabs>
        <w:suppressAutoHyphens/>
        <w:rPr>
          <w:b/>
          <w:sz w:val="26"/>
        </w:rPr>
      </w:pPr>
    </w:p>
    <w:p w:rsidR="000C0063" w:rsidRDefault="004B60D3" w:rsidP="003E22CB">
      <w:pPr>
        <w:widowControl/>
        <w:tabs>
          <w:tab w:val="left" w:pos="-720"/>
        </w:tabs>
        <w:suppressAutoHyphens/>
        <w:rPr>
          <w:spacing w:val="-3"/>
          <w:sz w:val="26"/>
          <w:szCs w:val="26"/>
        </w:rPr>
      </w:pPr>
      <w:r>
        <w:rPr>
          <w:spacing w:val="-3"/>
          <w:sz w:val="26"/>
          <w:szCs w:val="26"/>
        </w:rPr>
        <w:t xml:space="preserve">On October 29, 2012, </w:t>
      </w:r>
      <w:r w:rsidRPr="00F97334">
        <w:rPr>
          <w:spacing w:val="-3"/>
          <w:sz w:val="26"/>
          <w:szCs w:val="26"/>
        </w:rPr>
        <w:t>the Coalition for Affordable Utility Services and Energy Efficiency in Pennsylvania (CAUSE-PA), the Tenants Union Representative Network (TURN), and the Action Alliance of Senior Citizens of Greater Philadelphia (collectively, CAUSE</w:t>
      </w:r>
      <w:r>
        <w:rPr>
          <w:spacing w:val="-3"/>
          <w:sz w:val="26"/>
          <w:szCs w:val="26"/>
        </w:rPr>
        <w:t>/TURN</w:t>
      </w:r>
      <w:r w:rsidRPr="00F97334">
        <w:rPr>
          <w:spacing w:val="-3"/>
          <w:sz w:val="26"/>
          <w:szCs w:val="26"/>
        </w:rPr>
        <w:t xml:space="preserve">) </w:t>
      </w:r>
      <w:r>
        <w:rPr>
          <w:spacing w:val="-3"/>
          <w:sz w:val="26"/>
          <w:szCs w:val="26"/>
        </w:rPr>
        <w:t xml:space="preserve">filed a Petition for Reconsideration </w:t>
      </w:r>
      <w:r w:rsidR="006602D3">
        <w:rPr>
          <w:spacing w:val="-3"/>
          <w:sz w:val="26"/>
          <w:szCs w:val="26"/>
        </w:rPr>
        <w:t xml:space="preserve">and/or Clarification </w:t>
      </w:r>
      <w:r w:rsidRPr="00F97334">
        <w:rPr>
          <w:spacing w:val="-3"/>
          <w:sz w:val="26"/>
          <w:szCs w:val="26"/>
        </w:rPr>
        <w:t>o</w:t>
      </w:r>
      <w:r w:rsidR="006602D3">
        <w:rPr>
          <w:spacing w:val="-3"/>
          <w:sz w:val="26"/>
          <w:szCs w:val="26"/>
        </w:rPr>
        <w:t xml:space="preserve">f the </w:t>
      </w:r>
      <w:r w:rsidR="00322D23">
        <w:rPr>
          <w:i/>
          <w:spacing w:val="-3"/>
          <w:sz w:val="26"/>
          <w:szCs w:val="26"/>
        </w:rPr>
        <w:t xml:space="preserve">October 2012 </w:t>
      </w:r>
      <w:r w:rsidR="006602D3" w:rsidRPr="006602D3">
        <w:rPr>
          <w:i/>
          <w:spacing w:val="-3"/>
          <w:sz w:val="26"/>
          <w:szCs w:val="26"/>
        </w:rPr>
        <w:t>Order</w:t>
      </w:r>
      <w:r w:rsidR="00EA12CE">
        <w:rPr>
          <w:i/>
          <w:spacing w:val="-3"/>
          <w:sz w:val="26"/>
          <w:szCs w:val="26"/>
        </w:rPr>
        <w:t xml:space="preserve"> </w:t>
      </w:r>
      <w:r w:rsidR="00EA12CE" w:rsidRPr="00EA12CE">
        <w:rPr>
          <w:spacing w:val="-3"/>
          <w:sz w:val="26"/>
          <w:szCs w:val="26"/>
        </w:rPr>
        <w:t>(CAUSE/TURN Petition)</w:t>
      </w:r>
      <w:r w:rsidR="006602D3">
        <w:rPr>
          <w:spacing w:val="-3"/>
          <w:sz w:val="26"/>
          <w:szCs w:val="26"/>
        </w:rPr>
        <w:t xml:space="preserve">. </w:t>
      </w:r>
      <w:r w:rsidRPr="00F97334">
        <w:rPr>
          <w:spacing w:val="-3"/>
          <w:sz w:val="26"/>
          <w:szCs w:val="26"/>
        </w:rPr>
        <w:t xml:space="preserve"> </w:t>
      </w:r>
      <w:r w:rsidR="006602D3">
        <w:rPr>
          <w:spacing w:val="-3"/>
          <w:sz w:val="26"/>
          <w:szCs w:val="26"/>
        </w:rPr>
        <w:t xml:space="preserve">Also, on October 31, 2012, PECO filed a Petition for Clarification and Reconsideration of the </w:t>
      </w:r>
      <w:r w:rsidR="00322D23">
        <w:rPr>
          <w:i/>
          <w:spacing w:val="-3"/>
          <w:sz w:val="26"/>
          <w:szCs w:val="26"/>
        </w:rPr>
        <w:t xml:space="preserve">October 2012 </w:t>
      </w:r>
      <w:r w:rsidR="006602D3" w:rsidRPr="006602D3">
        <w:rPr>
          <w:i/>
          <w:spacing w:val="-3"/>
          <w:sz w:val="26"/>
          <w:szCs w:val="26"/>
        </w:rPr>
        <w:t>Order</w:t>
      </w:r>
      <w:r w:rsidR="00EA12CE">
        <w:rPr>
          <w:spacing w:val="-3"/>
          <w:sz w:val="26"/>
          <w:szCs w:val="26"/>
        </w:rPr>
        <w:t xml:space="preserve"> (PECO Petition). </w:t>
      </w:r>
      <w:r w:rsidR="00335E31">
        <w:rPr>
          <w:spacing w:val="-3"/>
          <w:sz w:val="26"/>
          <w:szCs w:val="26"/>
        </w:rPr>
        <w:t xml:space="preserve"> </w:t>
      </w:r>
      <w:r w:rsidR="00322D23">
        <w:rPr>
          <w:spacing w:val="-3"/>
          <w:sz w:val="26"/>
          <w:szCs w:val="26"/>
        </w:rPr>
        <w:t>A</w:t>
      </w:r>
      <w:r w:rsidR="006D20BC">
        <w:rPr>
          <w:spacing w:val="-3"/>
          <w:sz w:val="26"/>
          <w:szCs w:val="26"/>
        </w:rPr>
        <w:t>t</w:t>
      </w:r>
      <w:r w:rsidR="00390845">
        <w:rPr>
          <w:spacing w:val="-3"/>
          <w:sz w:val="26"/>
          <w:szCs w:val="26"/>
        </w:rPr>
        <w:t xml:space="preserve"> Public Meeting held November 8, 2012, the Commission acted to grant the </w:t>
      </w:r>
      <w:r w:rsidR="00EA12CE">
        <w:rPr>
          <w:spacing w:val="-3"/>
          <w:sz w:val="26"/>
          <w:szCs w:val="26"/>
        </w:rPr>
        <w:t>CAUSE/TURN and PECO P</w:t>
      </w:r>
      <w:r w:rsidR="00390845">
        <w:rPr>
          <w:spacing w:val="-3"/>
          <w:sz w:val="26"/>
          <w:szCs w:val="26"/>
        </w:rPr>
        <w:t xml:space="preserve">etitions, </w:t>
      </w:r>
      <w:r w:rsidR="00EA12CE">
        <w:rPr>
          <w:spacing w:val="-3"/>
          <w:sz w:val="26"/>
          <w:szCs w:val="26"/>
        </w:rPr>
        <w:t xml:space="preserve">pending further review and consideration on the </w:t>
      </w:r>
      <w:r w:rsidR="00EA12CE">
        <w:rPr>
          <w:spacing w:val="-3"/>
          <w:sz w:val="26"/>
          <w:szCs w:val="26"/>
        </w:rPr>
        <w:lastRenderedPageBreak/>
        <w:t xml:space="preserve">merits.  By Opinion and Order entered November 21, 2012, the Commission, </w:t>
      </w:r>
      <w:r w:rsidR="00EA12CE" w:rsidRPr="00EA12CE">
        <w:rPr>
          <w:i/>
          <w:spacing w:val="-3"/>
          <w:sz w:val="26"/>
          <w:szCs w:val="26"/>
        </w:rPr>
        <w:t>inter alia</w:t>
      </w:r>
      <w:r w:rsidR="00EA12CE">
        <w:rPr>
          <w:spacing w:val="-3"/>
          <w:sz w:val="26"/>
          <w:szCs w:val="26"/>
        </w:rPr>
        <w:t xml:space="preserve">, granted in part, and denied in part, the CAUSE/TURN and PECO Petitions.  </w:t>
      </w:r>
    </w:p>
    <w:p w:rsidR="006602D3" w:rsidRDefault="006602D3" w:rsidP="003E22CB">
      <w:pPr>
        <w:widowControl/>
        <w:tabs>
          <w:tab w:val="left" w:pos="-720"/>
        </w:tabs>
        <w:suppressAutoHyphens/>
        <w:rPr>
          <w:b/>
          <w:sz w:val="26"/>
        </w:rPr>
      </w:pPr>
    </w:p>
    <w:p w:rsidR="00B852C0" w:rsidRPr="00413488" w:rsidRDefault="00B852C0" w:rsidP="00B852C0">
      <w:pPr>
        <w:pStyle w:val="BodyText2"/>
        <w:spacing w:line="360" w:lineRule="auto"/>
        <w:rPr>
          <w:sz w:val="26"/>
          <w:szCs w:val="26"/>
          <w:lang w:eastAsia="x-none"/>
        </w:rPr>
      </w:pPr>
      <w:r>
        <w:rPr>
          <w:sz w:val="26"/>
        </w:rPr>
        <w:t>Following two in-person stakeholder meetings and a conference call in November and December 2012, PECO submitted the Revised Default Service Plan II (Revised DSP II) on December 11</w:t>
      </w:r>
      <w:r w:rsidR="00961A4F">
        <w:rPr>
          <w:sz w:val="26"/>
        </w:rPr>
        <w:t>,</w:t>
      </w:r>
      <w:r>
        <w:rPr>
          <w:sz w:val="26"/>
        </w:rPr>
        <w:t xml:space="preserve"> 2012.  </w:t>
      </w:r>
      <w:r w:rsidRPr="00413488">
        <w:rPr>
          <w:sz w:val="26"/>
          <w:szCs w:val="26"/>
          <w:lang w:eastAsia="x-none"/>
        </w:rPr>
        <w:t xml:space="preserve">Comments </w:t>
      </w:r>
      <w:r>
        <w:rPr>
          <w:sz w:val="26"/>
          <w:szCs w:val="26"/>
          <w:lang w:eastAsia="x-none"/>
        </w:rPr>
        <w:t xml:space="preserve">on the Revised DSP II </w:t>
      </w:r>
      <w:r w:rsidRPr="00413488">
        <w:rPr>
          <w:sz w:val="26"/>
          <w:szCs w:val="26"/>
          <w:lang w:eastAsia="x-none"/>
        </w:rPr>
        <w:t xml:space="preserve">were filed by </w:t>
      </w:r>
      <w:r w:rsidRPr="00413488">
        <w:rPr>
          <w:sz w:val="26"/>
          <w:szCs w:val="26"/>
          <w:lang w:val="x-none" w:eastAsia="x-none"/>
        </w:rPr>
        <w:t>the Office of Consumer Advocate (OCA), the Office of Small Business Advocate (OSBA), Dominion Retail, Inc. and Interstate Gas Supply, Inc. (collectively</w:t>
      </w:r>
      <w:r>
        <w:rPr>
          <w:sz w:val="26"/>
          <w:szCs w:val="26"/>
          <w:lang w:eastAsia="x-none"/>
        </w:rPr>
        <w:t>,</w:t>
      </w:r>
      <w:r w:rsidRPr="00413488">
        <w:rPr>
          <w:sz w:val="26"/>
          <w:szCs w:val="26"/>
          <w:lang w:val="x-none" w:eastAsia="x-none"/>
        </w:rPr>
        <w:t xml:space="preserve"> EGS Partie</w:t>
      </w:r>
      <w:r>
        <w:rPr>
          <w:sz w:val="26"/>
          <w:szCs w:val="26"/>
          <w:lang w:eastAsia="x-none"/>
        </w:rPr>
        <w:t>s</w:t>
      </w:r>
      <w:r w:rsidRPr="00413488">
        <w:rPr>
          <w:sz w:val="26"/>
          <w:szCs w:val="26"/>
          <w:lang w:val="x-none" w:eastAsia="x-none"/>
        </w:rPr>
        <w:t>), FirstEnergy Solutions Corp</w:t>
      </w:r>
      <w:r w:rsidRPr="00413488">
        <w:rPr>
          <w:sz w:val="26"/>
          <w:szCs w:val="26"/>
          <w:lang w:eastAsia="x-none"/>
        </w:rPr>
        <w:t>.</w:t>
      </w:r>
      <w:r w:rsidRPr="00413488">
        <w:rPr>
          <w:sz w:val="26"/>
          <w:szCs w:val="26"/>
          <w:lang w:val="x-none" w:eastAsia="x-none"/>
        </w:rPr>
        <w:t xml:space="preserve"> (FES), </w:t>
      </w:r>
      <w:r w:rsidR="00322D23">
        <w:rPr>
          <w:sz w:val="26"/>
          <w:szCs w:val="26"/>
          <w:lang w:eastAsia="x-none"/>
        </w:rPr>
        <w:t xml:space="preserve">and the </w:t>
      </w:r>
      <w:r w:rsidRPr="00413488">
        <w:rPr>
          <w:sz w:val="26"/>
          <w:szCs w:val="26"/>
          <w:lang w:val="x-none" w:eastAsia="x-none"/>
        </w:rPr>
        <w:t>Retail Energy Supply Association (RESA)</w:t>
      </w:r>
      <w:r w:rsidRPr="00413488">
        <w:rPr>
          <w:sz w:val="26"/>
          <w:szCs w:val="26"/>
          <w:lang w:eastAsia="x-none"/>
        </w:rPr>
        <w:t xml:space="preserve">.  Reply Comments were filed by the OCA, </w:t>
      </w:r>
      <w:r w:rsidR="00961A4F">
        <w:rPr>
          <w:sz w:val="26"/>
          <w:szCs w:val="26"/>
          <w:lang w:eastAsia="x-none"/>
        </w:rPr>
        <w:t xml:space="preserve">the </w:t>
      </w:r>
      <w:r w:rsidRPr="00413488">
        <w:rPr>
          <w:sz w:val="26"/>
          <w:szCs w:val="26"/>
          <w:lang w:eastAsia="x-none"/>
        </w:rPr>
        <w:t xml:space="preserve">OSBA, EGS Parties, FES, </w:t>
      </w:r>
      <w:r w:rsidR="00FA0F1C" w:rsidRPr="00FA0F1C">
        <w:rPr>
          <w:sz w:val="26"/>
          <w:szCs w:val="26"/>
          <w:lang w:eastAsia="x-none"/>
        </w:rPr>
        <w:t>Philadelphia Area Industrial Energy Users Group</w:t>
      </w:r>
      <w:r w:rsidR="00204A26">
        <w:rPr>
          <w:sz w:val="26"/>
          <w:szCs w:val="26"/>
          <w:lang w:eastAsia="x-none"/>
        </w:rPr>
        <w:t xml:space="preserve"> (PAIEUG</w:t>
      </w:r>
      <w:r w:rsidR="00FA0F1C">
        <w:rPr>
          <w:sz w:val="26"/>
          <w:szCs w:val="26"/>
          <w:lang w:eastAsia="x-none"/>
        </w:rPr>
        <w:t>)</w:t>
      </w:r>
      <w:r w:rsidR="00961A4F">
        <w:rPr>
          <w:sz w:val="26"/>
          <w:szCs w:val="26"/>
          <w:lang w:eastAsia="x-none"/>
        </w:rPr>
        <w:t xml:space="preserve">, </w:t>
      </w:r>
      <w:r w:rsidRPr="00413488">
        <w:rPr>
          <w:sz w:val="26"/>
          <w:szCs w:val="26"/>
          <w:lang w:eastAsia="x-none"/>
        </w:rPr>
        <w:t>RESA,</w:t>
      </w:r>
      <w:r w:rsidRPr="00413488">
        <w:rPr>
          <w:sz w:val="26"/>
          <w:szCs w:val="26"/>
          <w:lang w:val="x-none" w:eastAsia="x-none"/>
        </w:rPr>
        <w:t xml:space="preserve"> and PECO</w:t>
      </w:r>
      <w:r>
        <w:rPr>
          <w:sz w:val="26"/>
          <w:szCs w:val="26"/>
          <w:lang w:eastAsia="x-none"/>
        </w:rPr>
        <w:t xml:space="preserve">.  </w:t>
      </w:r>
    </w:p>
    <w:p w:rsidR="00B852C0" w:rsidRDefault="00B852C0" w:rsidP="003E22CB">
      <w:pPr>
        <w:widowControl/>
        <w:tabs>
          <w:tab w:val="left" w:pos="-720"/>
        </w:tabs>
        <w:suppressAutoHyphens/>
        <w:rPr>
          <w:sz w:val="26"/>
        </w:rPr>
      </w:pPr>
    </w:p>
    <w:p w:rsidR="00B852C0" w:rsidRDefault="00AB4249" w:rsidP="003E22CB">
      <w:pPr>
        <w:widowControl/>
        <w:tabs>
          <w:tab w:val="left" w:pos="-720"/>
        </w:tabs>
        <w:suppressAutoHyphens/>
        <w:rPr>
          <w:sz w:val="26"/>
          <w:szCs w:val="26"/>
        </w:rPr>
      </w:pPr>
      <w:r w:rsidRPr="00AB4249">
        <w:rPr>
          <w:sz w:val="26"/>
        </w:rPr>
        <w:t xml:space="preserve">On December 27, 2012, </w:t>
      </w:r>
      <w:r>
        <w:rPr>
          <w:sz w:val="26"/>
        </w:rPr>
        <w:t xml:space="preserve">RESA filed a Petition for Reconsideration </w:t>
      </w:r>
      <w:r w:rsidRPr="00AB4249">
        <w:rPr>
          <w:i/>
          <w:sz w:val="26"/>
        </w:rPr>
        <w:t>Nunc Pro Tunc</w:t>
      </w:r>
      <w:r>
        <w:rPr>
          <w:sz w:val="26"/>
        </w:rPr>
        <w:t xml:space="preserve"> </w:t>
      </w:r>
      <w:r w:rsidR="0055088E">
        <w:rPr>
          <w:sz w:val="26"/>
        </w:rPr>
        <w:t xml:space="preserve">(RESA Petition) </w:t>
      </w:r>
      <w:r>
        <w:rPr>
          <w:sz w:val="26"/>
        </w:rPr>
        <w:t xml:space="preserve">seeking a modification to the </w:t>
      </w:r>
      <w:r w:rsidR="00322D23">
        <w:rPr>
          <w:i/>
          <w:sz w:val="26"/>
        </w:rPr>
        <w:t xml:space="preserve">October 2012 </w:t>
      </w:r>
      <w:r w:rsidRPr="00AB4249">
        <w:rPr>
          <w:i/>
          <w:sz w:val="26"/>
        </w:rPr>
        <w:t>Order.</w:t>
      </w:r>
      <w:r>
        <w:rPr>
          <w:sz w:val="26"/>
        </w:rPr>
        <w:t xml:space="preserve">  RESA requested</w:t>
      </w:r>
      <w:r w:rsidRPr="00AB4249">
        <w:rPr>
          <w:i/>
          <w:sz w:val="26"/>
        </w:rPr>
        <w:t>, inter alia</w:t>
      </w:r>
      <w:r>
        <w:rPr>
          <w:sz w:val="26"/>
        </w:rPr>
        <w:t>, that small business customers be permitted to participate in PECO’s customer referral programs (CRPs).</w:t>
      </w:r>
      <w:r w:rsidR="008B67A1">
        <w:rPr>
          <w:sz w:val="26"/>
        </w:rPr>
        <w:t xml:space="preserve"> The Commission granted the RESA Petition by Opinion and Order, Entered February 14, 2013 (</w:t>
      </w:r>
      <w:proofErr w:type="spellStart"/>
      <w:r w:rsidR="008B67A1">
        <w:rPr>
          <w:i/>
          <w:sz w:val="26"/>
        </w:rPr>
        <w:t>Nunc</w:t>
      </w:r>
      <w:proofErr w:type="spellEnd"/>
      <w:r w:rsidR="008B67A1">
        <w:rPr>
          <w:i/>
          <w:sz w:val="26"/>
        </w:rPr>
        <w:t xml:space="preserve"> Pro </w:t>
      </w:r>
      <w:proofErr w:type="spellStart"/>
      <w:r w:rsidR="008B67A1">
        <w:rPr>
          <w:i/>
          <w:sz w:val="26"/>
        </w:rPr>
        <w:t>Tunc</w:t>
      </w:r>
      <w:proofErr w:type="spellEnd"/>
      <w:r w:rsidR="008B67A1">
        <w:rPr>
          <w:i/>
          <w:sz w:val="26"/>
        </w:rPr>
        <w:t xml:space="preserve"> Order)</w:t>
      </w:r>
      <w:r w:rsidR="008B67A1">
        <w:rPr>
          <w:rStyle w:val="FootnoteReference"/>
          <w:i/>
          <w:sz w:val="26"/>
        </w:rPr>
        <w:footnoteReference w:id="1"/>
      </w:r>
      <w:r w:rsidR="008B67A1">
        <w:rPr>
          <w:i/>
          <w:sz w:val="26"/>
        </w:rPr>
        <w:t>.</w:t>
      </w:r>
      <w:r>
        <w:rPr>
          <w:sz w:val="26"/>
        </w:rPr>
        <w:t xml:space="preserve">  </w:t>
      </w:r>
      <w:r w:rsidR="00ED42E4">
        <w:rPr>
          <w:sz w:val="26"/>
        </w:rPr>
        <w:t>Also, b</w:t>
      </w:r>
      <w:r>
        <w:rPr>
          <w:sz w:val="26"/>
        </w:rPr>
        <w:t>y Opinion and Order entered February 14, 201</w:t>
      </w:r>
      <w:r w:rsidR="00F35B05">
        <w:rPr>
          <w:sz w:val="26"/>
        </w:rPr>
        <w:t>3</w:t>
      </w:r>
      <w:r w:rsidR="00FA0F1C">
        <w:rPr>
          <w:sz w:val="26"/>
        </w:rPr>
        <w:t xml:space="preserve"> (</w:t>
      </w:r>
      <w:r w:rsidR="00FA0F1C" w:rsidRPr="00FA0F1C">
        <w:rPr>
          <w:i/>
          <w:sz w:val="26"/>
        </w:rPr>
        <w:t>February 2013 Order</w:t>
      </w:r>
      <w:r w:rsidR="00FA0F1C">
        <w:rPr>
          <w:sz w:val="26"/>
        </w:rPr>
        <w:t>)</w:t>
      </w:r>
      <w:r>
        <w:rPr>
          <w:sz w:val="26"/>
        </w:rPr>
        <w:t xml:space="preserve">, the Commission, </w:t>
      </w:r>
      <w:r w:rsidRPr="00AB4249">
        <w:rPr>
          <w:i/>
          <w:sz w:val="26"/>
        </w:rPr>
        <w:t>inter alia</w:t>
      </w:r>
      <w:r>
        <w:rPr>
          <w:sz w:val="26"/>
        </w:rPr>
        <w:t xml:space="preserve">, amended the </w:t>
      </w:r>
      <w:r w:rsidR="00322D23">
        <w:rPr>
          <w:i/>
          <w:sz w:val="26"/>
        </w:rPr>
        <w:t xml:space="preserve">October 2012 </w:t>
      </w:r>
      <w:r w:rsidRPr="00AB4249">
        <w:rPr>
          <w:i/>
          <w:sz w:val="26"/>
        </w:rPr>
        <w:t>Order</w:t>
      </w:r>
      <w:r>
        <w:rPr>
          <w:sz w:val="26"/>
        </w:rPr>
        <w:t xml:space="preserve"> to extend the New/Moving and Standard Offer CR</w:t>
      </w:r>
      <w:r w:rsidR="00204A26">
        <w:rPr>
          <w:sz w:val="26"/>
        </w:rPr>
        <w:t xml:space="preserve">Ps to small business customers, approved in part and denied in part the Revised DSP II, and approved a </w:t>
      </w:r>
      <w:r w:rsidR="00883FEF">
        <w:rPr>
          <w:sz w:val="26"/>
          <w:szCs w:val="26"/>
        </w:rPr>
        <w:t>revision of the cost recovery method</w:t>
      </w:r>
      <w:r w:rsidR="00FA0F1C">
        <w:rPr>
          <w:sz w:val="26"/>
          <w:szCs w:val="26"/>
        </w:rPr>
        <w:t>ology</w:t>
      </w:r>
      <w:r w:rsidR="00883FEF">
        <w:rPr>
          <w:sz w:val="26"/>
          <w:szCs w:val="26"/>
        </w:rPr>
        <w:t xml:space="preserve"> for the RME programs. </w:t>
      </w:r>
    </w:p>
    <w:p w:rsidR="00883FEF" w:rsidRDefault="00883FEF" w:rsidP="003E22CB">
      <w:pPr>
        <w:widowControl/>
        <w:tabs>
          <w:tab w:val="left" w:pos="-720"/>
        </w:tabs>
        <w:suppressAutoHyphens/>
        <w:rPr>
          <w:sz w:val="26"/>
          <w:szCs w:val="26"/>
        </w:rPr>
      </w:pPr>
    </w:p>
    <w:p w:rsidR="00F85C31" w:rsidRDefault="0055088E" w:rsidP="00F85C31">
      <w:pPr>
        <w:widowControl/>
        <w:autoSpaceDE w:val="0"/>
        <w:autoSpaceDN w:val="0"/>
        <w:adjustRightInd w:val="0"/>
        <w:rPr>
          <w:sz w:val="26"/>
          <w:szCs w:val="26"/>
        </w:rPr>
      </w:pPr>
      <w:r w:rsidRPr="0055088E">
        <w:rPr>
          <w:sz w:val="26"/>
          <w:szCs w:val="26"/>
        </w:rPr>
        <w:t xml:space="preserve">On February 28, 2013, PECO filed a Second Revised DSP II Plan which PECO averred reflects </w:t>
      </w:r>
      <w:r w:rsidR="007F1668" w:rsidRPr="0055088E">
        <w:rPr>
          <w:sz w:val="26"/>
          <w:szCs w:val="26"/>
        </w:rPr>
        <w:t xml:space="preserve">all of the revisions set forth </w:t>
      </w:r>
      <w:r w:rsidRPr="0055088E">
        <w:rPr>
          <w:sz w:val="26"/>
          <w:szCs w:val="26"/>
        </w:rPr>
        <w:t xml:space="preserve">in the </w:t>
      </w:r>
      <w:r w:rsidRPr="0055088E">
        <w:rPr>
          <w:i/>
          <w:sz w:val="26"/>
          <w:szCs w:val="26"/>
        </w:rPr>
        <w:t>February 2013 Order</w:t>
      </w:r>
      <w:r w:rsidRPr="0055088E">
        <w:rPr>
          <w:sz w:val="26"/>
          <w:szCs w:val="26"/>
        </w:rPr>
        <w:t xml:space="preserve"> </w:t>
      </w:r>
      <w:r w:rsidR="007F1668" w:rsidRPr="0055088E">
        <w:rPr>
          <w:sz w:val="26"/>
          <w:szCs w:val="26"/>
        </w:rPr>
        <w:t xml:space="preserve">and </w:t>
      </w:r>
      <w:r w:rsidRPr="0055088E">
        <w:rPr>
          <w:sz w:val="26"/>
          <w:szCs w:val="26"/>
        </w:rPr>
        <w:t xml:space="preserve">the </w:t>
      </w:r>
      <w:r w:rsidR="00862B6A">
        <w:rPr>
          <w:sz w:val="26"/>
          <w:szCs w:val="26"/>
        </w:rPr>
        <w:t xml:space="preserve">Order </w:t>
      </w:r>
      <w:r w:rsidR="00322D23">
        <w:rPr>
          <w:sz w:val="26"/>
          <w:szCs w:val="26"/>
        </w:rPr>
        <w:t xml:space="preserve">also </w:t>
      </w:r>
      <w:r w:rsidR="00862B6A">
        <w:rPr>
          <w:sz w:val="26"/>
          <w:szCs w:val="26"/>
        </w:rPr>
        <w:t>entered on February 14, 2013</w:t>
      </w:r>
      <w:r w:rsidR="0049427A">
        <w:rPr>
          <w:sz w:val="26"/>
          <w:szCs w:val="26"/>
        </w:rPr>
        <w:t xml:space="preserve"> (</w:t>
      </w:r>
      <w:r w:rsidR="0049427A" w:rsidRPr="00FA0F1C">
        <w:rPr>
          <w:i/>
          <w:sz w:val="26"/>
          <w:szCs w:val="26"/>
        </w:rPr>
        <w:t>Nunc Pro Tunc</w:t>
      </w:r>
      <w:r w:rsidR="0049427A">
        <w:rPr>
          <w:i/>
          <w:sz w:val="26"/>
          <w:szCs w:val="26"/>
        </w:rPr>
        <w:t xml:space="preserve"> Order)</w:t>
      </w:r>
      <w:r w:rsidR="00862B6A">
        <w:rPr>
          <w:sz w:val="26"/>
          <w:szCs w:val="26"/>
        </w:rPr>
        <w:t xml:space="preserve"> </w:t>
      </w:r>
      <w:r w:rsidRPr="0055088E">
        <w:rPr>
          <w:sz w:val="26"/>
          <w:szCs w:val="26"/>
        </w:rPr>
        <w:t>that addressed the RESA Petition</w:t>
      </w:r>
      <w:r w:rsidR="00961A4F">
        <w:rPr>
          <w:sz w:val="26"/>
          <w:szCs w:val="26"/>
        </w:rPr>
        <w:t>.</w:t>
      </w:r>
      <w:r w:rsidRPr="0055088E">
        <w:rPr>
          <w:sz w:val="26"/>
          <w:szCs w:val="26"/>
        </w:rPr>
        <w:t xml:space="preserve">  </w:t>
      </w:r>
      <w:r w:rsidR="00F85C31">
        <w:rPr>
          <w:sz w:val="26"/>
          <w:szCs w:val="26"/>
        </w:rPr>
        <w:t xml:space="preserve">Comments on the Second Revised DSP II were filed by the OCA and the </w:t>
      </w:r>
      <w:r w:rsidR="00F85C31">
        <w:rPr>
          <w:sz w:val="26"/>
          <w:szCs w:val="26"/>
        </w:rPr>
        <w:lastRenderedPageBreak/>
        <w:t xml:space="preserve">OSBA on March 11, 2013, and March 13, 2013, respectively.  PECO filed Reply Comments on </w:t>
      </w:r>
      <w:r w:rsidR="00862B6A">
        <w:rPr>
          <w:sz w:val="26"/>
          <w:szCs w:val="26"/>
        </w:rPr>
        <w:t xml:space="preserve">March 22, 2013. </w:t>
      </w:r>
    </w:p>
    <w:p w:rsidR="00ED42E4" w:rsidRPr="00156391" w:rsidRDefault="00ED42E4" w:rsidP="00F85C31">
      <w:pPr>
        <w:widowControl/>
        <w:autoSpaceDE w:val="0"/>
        <w:autoSpaceDN w:val="0"/>
        <w:adjustRightInd w:val="0"/>
        <w:rPr>
          <w:sz w:val="26"/>
          <w:szCs w:val="26"/>
        </w:rPr>
      </w:pPr>
    </w:p>
    <w:p w:rsidR="00093D3D" w:rsidRDefault="00883FEF" w:rsidP="003E22CB">
      <w:pPr>
        <w:widowControl/>
        <w:tabs>
          <w:tab w:val="left" w:pos="-720"/>
        </w:tabs>
        <w:suppressAutoHyphens/>
        <w:rPr>
          <w:sz w:val="26"/>
          <w:szCs w:val="26"/>
        </w:rPr>
      </w:pPr>
      <w:r>
        <w:rPr>
          <w:sz w:val="26"/>
          <w:szCs w:val="26"/>
        </w:rPr>
        <w:t xml:space="preserve">As noted, </w:t>
      </w:r>
      <w:r w:rsidRPr="00883FEF">
        <w:rPr>
          <w:i/>
          <w:sz w:val="26"/>
          <w:szCs w:val="26"/>
        </w:rPr>
        <w:t>supra</w:t>
      </w:r>
      <w:r>
        <w:rPr>
          <w:sz w:val="26"/>
          <w:szCs w:val="26"/>
        </w:rPr>
        <w:t>, o</w:t>
      </w:r>
      <w:r w:rsidRPr="00883FEF">
        <w:rPr>
          <w:sz w:val="26"/>
          <w:szCs w:val="26"/>
        </w:rPr>
        <w:t xml:space="preserve">n March 1, 2013, the Industrials filed a Petition for Clarification </w:t>
      </w:r>
      <w:r w:rsidR="00961A4F">
        <w:rPr>
          <w:sz w:val="26"/>
          <w:szCs w:val="26"/>
        </w:rPr>
        <w:t>and/</w:t>
      </w:r>
      <w:r w:rsidRPr="00883FEF">
        <w:rPr>
          <w:sz w:val="26"/>
          <w:szCs w:val="26"/>
        </w:rPr>
        <w:t xml:space="preserve">or Reconsideration </w:t>
      </w:r>
      <w:r w:rsidR="007F1668">
        <w:rPr>
          <w:sz w:val="26"/>
          <w:szCs w:val="26"/>
        </w:rPr>
        <w:t xml:space="preserve">of the </w:t>
      </w:r>
      <w:r w:rsidR="007F1668" w:rsidRPr="007F1668">
        <w:rPr>
          <w:i/>
          <w:sz w:val="26"/>
          <w:szCs w:val="26"/>
        </w:rPr>
        <w:t>February 2013 Order</w:t>
      </w:r>
      <w:r w:rsidR="007F1668">
        <w:rPr>
          <w:sz w:val="26"/>
          <w:szCs w:val="26"/>
        </w:rPr>
        <w:t xml:space="preserve"> </w:t>
      </w:r>
      <w:r w:rsidRPr="00883FEF">
        <w:rPr>
          <w:sz w:val="26"/>
          <w:szCs w:val="26"/>
        </w:rPr>
        <w:t>seeking clarification o</w:t>
      </w:r>
      <w:r w:rsidR="00F35B05">
        <w:rPr>
          <w:sz w:val="26"/>
          <w:szCs w:val="26"/>
        </w:rPr>
        <w:t>f</w:t>
      </w:r>
      <w:r w:rsidRPr="00883FEF">
        <w:rPr>
          <w:sz w:val="26"/>
          <w:szCs w:val="26"/>
        </w:rPr>
        <w:t xml:space="preserve"> the allocation of the costs of the RME Programs.</w:t>
      </w:r>
      <w:r>
        <w:rPr>
          <w:sz w:val="26"/>
          <w:szCs w:val="26"/>
        </w:rPr>
        <w:t xml:space="preserve">  PECO filed its Answer to the Industrials</w:t>
      </w:r>
      <w:r w:rsidR="00F35B05">
        <w:rPr>
          <w:sz w:val="26"/>
          <w:szCs w:val="26"/>
        </w:rPr>
        <w:t>’</w:t>
      </w:r>
      <w:r>
        <w:rPr>
          <w:sz w:val="26"/>
          <w:szCs w:val="26"/>
        </w:rPr>
        <w:t xml:space="preserve"> Petition on March 7, 2013. </w:t>
      </w:r>
    </w:p>
    <w:p w:rsidR="00881F2C" w:rsidRDefault="00881F2C" w:rsidP="003E22CB">
      <w:pPr>
        <w:widowControl/>
        <w:tabs>
          <w:tab w:val="left" w:pos="-720"/>
        </w:tabs>
        <w:suppressAutoHyphens/>
        <w:rPr>
          <w:sz w:val="26"/>
          <w:szCs w:val="26"/>
        </w:rPr>
      </w:pPr>
    </w:p>
    <w:p w:rsidR="00881F2C" w:rsidRDefault="00881F2C" w:rsidP="00881F2C">
      <w:pPr>
        <w:rPr>
          <w:sz w:val="26"/>
        </w:rPr>
      </w:pPr>
      <w:r w:rsidRPr="00881F2C">
        <w:rPr>
          <w:sz w:val="26"/>
        </w:rPr>
        <w:t>By Tentative Order on Reconsideration entered March 14, 2013</w:t>
      </w:r>
      <w:r w:rsidR="00961A4F" w:rsidRPr="00881F2C">
        <w:rPr>
          <w:sz w:val="26"/>
          <w:vertAlign w:val="superscript"/>
        </w:rPr>
        <w:footnoteReference w:id="2"/>
      </w:r>
      <w:r w:rsidRPr="00881F2C">
        <w:rPr>
          <w:sz w:val="26"/>
        </w:rPr>
        <w:t xml:space="preserve"> (</w:t>
      </w:r>
      <w:r w:rsidRPr="00881F2C">
        <w:rPr>
          <w:i/>
          <w:sz w:val="26"/>
        </w:rPr>
        <w:t>Tentative Order</w:t>
      </w:r>
      <w:r w:rsidRPr="00881F2C">
        <w:rPr>
          <w:sz w:val="26"/>
        </w:rPr>
        <w:t>)</w:t>
      </w:r>
      <w:r w:rsidR="00961A4F">
        <w:rPr>
          <w:sz w:val="26"/>
        </w:rPr>
        <w:t>,</w:t>
      </w:r>
      <w:r w:rsidR="00961A4F" w:rsidRPr="00961A4F">
        <w:rPr>
          <w:sz w:val="26"/>
          <w:vertAlign w:val="superscript"/>
        </w:rPr>
        <w:t xml:space="preserve"> </w:t>
      </w:r>
      <w:r w:rsidRPr="00881F2C">
        <w:rPr>
          <w:sz w:val="26"/>
        </w:rPr>
        <w:t xml:space="preserve">the Commission, </w:t>
      </w:r>
      <w:r w:rsidRPr="00881F2C">
        <w:rPr>
          <w:i/>
          <w:sz w:val="26"/>
        </w:rPr>
        <w:t>inter alia</w:t>
      </w:r>
      <w:r w:rsidRPr="00881F2C">
        <w:rPr>
          <w:sz w:val="26"/>
        </w:rPr>
        <w:t>, postponed the implementation schedule of the Electric Distribution Companies</w:t>
      </w:r>
      <w:r w:rsidR="00F35B05">
        <w:rPr>
          <w:sz w:val="26"/>
        </w:rPr>
        <w:t>’</w:t>
      </w:r>
      <w:r w:rsidRPr="00881F2C">
        <w:rPr>
          <w:sz w:val="26"/>
        </w:rPr>
        <w:t xml:space="preserve"> (EDCs) DSP </w:t>
      </w:r>
      <w:r w:rsidR="005E29BC">
        <w:rPr>
          <w:sz w:val="26"/>
        </w:rPr>
        <w:t>Retail Opt-In (</w:t>
      </w:r>
      <w:r w:rsidRPr="00881F2C">
        <w:rPr>
          <w:sz w:val="26"/>
        </w:rPr>
        <w:t>ROI</w:t>
      </w:r>
      <w:r w:rsidR="005E29BC">
        <w:rPr>
          <w:sz w:val="26"/>
        </w:rPr>
        <w:t>)</w:t>
      </w:r>
      <w:r w:rsidRPr="00881F2C">
        <w:rPr>
          <w:sz w:val="26"/>
        </w:rPr>
        <w:t xml:space="preserve"> Programs and provided the Parties an opportunity to provide written comments on the implementation schedule of the ROI Programs.  </w:t>
      </w:r>
      <w:r w:rsidR="00383B8B">
        <w:rPr>
          <w:sz w:val="26"/>
        </w:rPr>
        <w:t>On April 4, 2013, the Commission issued a Final Order (</w:t>
      </w:r>
      <w:r w:rsidR="00383B8B" w:rsidRPr="00890FC7">
        <w:rPr>
          <w:i/>
          <w:sz w:val="26"/>
        </w:rPr>
        <w:t>ROI Suspension Order</w:t>
      </w:r>
      <w:r w:rsidR="00383B8B">
        <w:rPr>
          <w:sz w:val="26"/>
        </w:rPr>
        <w:t>) directing PECO and other Large EDCs to postpone implementation of their ROI Programs and to the extent necessary, submit conforming revisions to their default service plans within thirty days</w:t>
      </w:r>
      <w:r w:rsidR="00626B97">
        <w:rPr>
          <w:sz w:val="26"/>
        </w:rPr>
        <w:t xml:space="preserve"> of the entry of the Order (May </w:t>
      </w:r>
      <w:r w:rsidR="00383B8B">
        <w:rPr>
          <w:sz w:val="26"/>
        </w:rPr>
        <w:t>4, 2013).</w:t>
      </w:r>
    </w:p>
    <w:p w:rsidR="00881F2C" w:rsidRPr="00881F2C" w:rsidRDefault="00881F2C" w:rsidP="00881F2C">
      <w:pPr>
        <w:pStyle w:val="Heading1"/>
        <w:spacing w:line="240" w:lineRule="auto"/>
      </w:pPr>
      <w:r w:rsidRPr="00881F2C">
        <w:lastRenderedPageBreak/>
        <w:t>Discussion</w:t>
      </w:r>
      <w:r w:rsidRPr="00881F2C">
        <w:tab/>
      </w:r>
    </w:p>
    <w:p w:rsidR="00881F2C" w:rsidRPr="00881F2C" w:rsidRDefault="00881F2C" w:rsidP="00881F2C">
      <w:pPr>
        <w:keepNext/>
        <w:widowControl/>
        <w:rPr>
          <w:sz w:val="26"/>
          <w:szCs w:val="24"/>
        </w:rPr>
      </w:pPr>
    </w:p>
    <w:p w:rsidR="00862B6A" w:rsidRDefault="00881F2C" w:rsidP="00B17BF1">
      <w:pPr>
        <w:keepNext/>
        <w:widowControl/>
        <w:rPr>
          <w:b/>
          <w:bCs/>
          <w:iCs/>
          <w:sz w:val="26"/>
          <w:szCs w:val="28"/>
        </w:rPr>
      </w:pPr>
      <w:r w:rsidRPr="00881F2C">
        <w:rPr>
          <w:sz w:val="26"/>
          <w:szCs w:val="26"/>
        </w:rPr>
        <w:t>Initially, we note that any issue, which we do not specifically address herein, has been du</w:t>
      </w:r>
      <w:r w:rsidR="00890FC7">
        <w:rPr>
          <w:sz w:val="26"/>
          <w:szCs w:val="26"/>
        </w:rPr>
        <w:t>ly considered and will be approved</w:t>
      </w:r>
      <w:r w:rsidRPr="00881F2C">
        <w:rPr>
          <w:sz w:val="26"/>
          <w:szCs w:val="26"/>
        </w:rPr>
        <w:t xml:space="preserve"> without further discussion.  It is well settled that we are not required to consider expressly or at length each contention or argument raised by the parties.  </w:t>
      </w:r>
      <w:r w:rsidRPr="00881F2C">
        <w:rPr>
          <w:i/>
          <w:sz w:val="26"/>
          <w:szCs w:val="26"/>
        </w:rPr>
        <w:t>Consolidated Rail Corp. v. Pa. PUC</w:t>
      </w:r>
      <w:r w:rsidRPr="00881F2C">
        <w:rPr>
          <w:sz w:val="26"/>
          <w:szCs w:val="26"/>
        </w:rPr>
        <w:t xml:space="preserve">, 625 A.2d 741 (Pa. Cmwlth. 1993); </w:t>
      </w:r>
      <w:r w:rsidRPr="00D31ACA">
        <w:rPr>
          <w:i/>
          <w:sz w:val="26"/>
          <w:szCs w:val="26"/>
        </w:rPr>
        <w:t>also</w:t>
      </w:r>
      <w:r w:rsidRPr="00881F2C">
        <w:rPr>
          <w:sz w:val="26"/>
          <w:szCs w:val="26"/>
        </w:rPr>
        <w:t xml:space="preserve"> </w:t>
      </w:r>
      <w:r w:rsidRPr="00881F2C">
        <w:rPr>
          <w:i/>
          <w:sz w:val="26"/>
          <w:szCs w:val="26"/>
        </w:rPr>
        <w:t>see, generally, University of Pennsylvania v. Pa. PUC</w:t>
      </w:r>
      <w:r w:rsidRPr="00881F2C">
        <w:rPr>
          <w:sz w:val="26"/>
          <w:szCs w:val="26"/>
        </w:rPr>
        <w:t>, 485 A.2d 1217 (Pa. Cmwlth. 1984).</w:t>
      </w:r>
      <w:bookmarkStart w:id="1" w:name="_Toc335643629"/>
      <w:bookmarkStart w:id="2" w:name="_Toc335643696"/>
      <w:bookmarkStart w:id="3" w:name="_Toc335643731"/>
      <w:bookmarkStart w:id="4" w:name="_Toc335643763"/>
      <w:bookmarkStart w:id="5" w:name="_Toc335825296"/>
      <w:bookmarkStart w:id="6" w:name="_Toc335826199"/>
    </w:p>
    <w:bookmarkEnd w:id="1"/>
    <w:bookmarkEnd w:id="2"/>
    <w:bookmarkEnd w:id="3"/>
    <w:bookmarkEnd w:id="4"/>
    <w:bookmarkEnd w:id="5"/>
    <w:bookmarkEnd w:id="6"/>
    <w:p w:rsidR="00FA0211" w:rsidRDefault="00FA0211" w:rsidP="00881F2C">
      <w:pPr>
        <w:keepNext/>
        <w:widowControl/>
        <w:rPr>
          <w:sz w:val="26"/>
          <w:szCs w:val="26"/>
        </w:rPr>
      </w:pPr>
    </w:p>
    <w:p w:rsidR="00AA2319" w:rsidRDefault="00DD0FBB" w:rsidP="00FA0211">
      <w:pPr>
        <w:keepNext/>
        <w:widowControl/>
        <w:spacing w:line="240" w:lineRule="auto"/>
        <w:ind w:firstLine="720"/>
        <w:rPr>
          <w:b/>
          <w:bCs/>
          <w:iCs/>
          <w:sz w:val="26"/>
          <w:szCs w:val="28"/>
        </w:rPr>
      </w:pPr>
      <w:r>
        <w:rPr>
          <w:b/>
          <w:bCs/>
          <w:iCs/>
          <w:sz w:val="26"/>
          <w:szCs w:val="28"/>
        </w:rPr>
        <w:t>A</w:t>
      </w:r>
      <w:r w:rsidR="00AA2319">
        <w:rPr>
          <w:b/>
          <w:bCs/>
          <w:iCs/>
          <w:sz w:val="26"/>
          <w:szCs w:val="28"/>
        </w:rPr>
        <w:t xml:space="preserve">. </w:t>
      </w:r>
      <w:r w:rsidR="00AA2319">
        <w:rPr>
          <w:b/>
          <w:bCs/>
          <w:iCs/>
          <w:sz w:val="26"/>
          <w:szCs w:val="28"/>
        </w:rPr>
        <w:tab/>
      </w:r>
      <w:r w:rsidR="00AA2319" w:rsidRPr="00AA2319">
        <w:rPr>
          <w:b/>
          <w:bCs/>
          <w:iCs/>
          <w:sz w:val="26"/>
          <w:szCs w:val="28"/>
        </w:rPr>
        <w:t>Allocation of Retail</w:t>
      </w:r>
      <w:r w:rsidR="00890FC7">
        <w:rPr>
          <w:b/>
          <w:bCs/>
          <w:iCs/>
          <w:sz w:val="26"/>
          <w:szCs w:val="28"/>
        </w:rPr>
        <w:t xml:space="preserve"> Market</w:t>
      </w:r>
      <w:r w:rsidR="00AA2319" w:rsidRPr="00AA2319">
        <w:rPr>
          <w:b/>
          <w:bCs/>
          <w:iCs/>
          <w:sz w:val="26"/>
          <w:szCs w:val="28"/>
        </w:rPr>
        <w:t xml:space="preserve"> Enhancement Program Costs</w:t>
      </w:r>
    </w:p>
    <w:p w:rsidR="001A034E" w:rsidRPr="00881F2C" w:rsidRDefault="001A034E" w:rsidP="00FA0211">
      <w:pPr>
        <w:keepNext/>
        <w:widowControl/>
        <w:ind w:firstLine="720"/>
        <w:rPr>
          <w:b/>
          <w:bCs/>
          <w:iCs/>
          <w:sz w:val="26"/>
          <w:szCs w:val="28"/>
        </w:rPr>
      </w:pPr>
    </w:p>
    <w:p w:rsidR="00AA2319" w:rsidRPr="00AA2319" w:rsidRDefault="00AA2319" w:rsidP="00FA0211">
      <w:pPr>
        <w:keepNext/>
        <w:widowControl/>
        <w:autoSpaceDE w:val="0"/>
        <w:autoSpaceDN w:val="0"/>
        <w:adjustRightInd w:val="0"/>
        <w:rPr>
          <w:sz w:val="26"/>
          <w:szCs w:val="24"/>
        </w:rPr>
      </w:pPr>
      <w:r>
        <w:rPr>
          <w:sz w:val="26"/>
          <w:szCs w:val="26"/>
        </w:rPr>
        <w:t xml:space="preserve">In the </w:t>
      </w:r>
      <w:r w:rsidRPr="00AA2319">
        <w:rPr>
          <w:i/>
          <w:sz w:val="26"/>
          <w:szCs w:val="26"/>
        </w:rPr>
        <w:t>February 2013 Order</w:t>
      </w:r>
      <w:r w:rsidR="00890FC7">
        <w:rPr>
          <w:i/>
          <w:sz w:val="26"/>
          <w:szCs w:val="26"/>
        </w:rPr>
        <w:t xml:space="preserve">, </w:t>
      </w:r>
      <w:r w:rsidR="00890FC7" w:rsidRPr="00890FC7">
        <w:rPr>
          <w:i/>
          <w:sz w:val="26"/>
          <w:szCs w:val="26"/>
        </w:rPr>
        <w:t>inter alia</w:t>
      </w:r>
      <w:r>
        <w:rPr>
          <w:sz w:val="26"/>
          <w:szCs w:val="26"/>
        </w:rPr>
        <w:t xml:space="preserve">, the Commission directed that PECO make several revisions to its RME programs, including the cost recovery mechanisms for </w:t>
      </w:r>
      <w:r w:rsidR="00890FC7">
        <w:rPr>
          <w:sz w:val="26"/>
          <w:szCs w:val="26"/>
        </w:rPr>
        <w:t xml:space="preserve">the </w:t>
      </w:r>
      <w:r w:rsidR="00D93DA1">
        <w:rPr>
          <w:sz w:val="26"/>
          <w:szCs w:val="26"/>
        </w:rPr>
        <w:t>SOP</w:t>
      </w:r>
      <w:r>
        <w:rPr>
          <w:sz w:val="26"/>
          <w:szCs w:val="26"/>
        </w:rPr>
        <w:t>.  T</w:t>
      </w:r>
      <w:r w:rsidRPr="00AA2319">
        <w:rPr>
          <w:sz w:val="26"/>
          <w:szCs w:val="24"/>
        </w:rPr>
        <w:t xml:space="preserve">he Commission prescribed the following cost allocation in the </w:t>
      </w:r>
      <w:r w:rsidRPr="00AA2319">
        <w:rPr>
          <w:i/>
          <w:sz w:val="26"/>
          <w:szCs w:val="24"/>
        </w:rPr>
        <w:t>February 2013 Order</w:t>
      </w:r>
      <w:r w:rsidRPr="00AA2319">
        <w:rPr>
          <w:sz w:val="26"/>
          <w:szCs w:val="24"/>
        </w:rPr>
        <w:t>:</w:t>
      </w:r>
    </w:p>
    <w:p w:rsidR="00AA2319" w:rsidRPr="00AA2319" w:rsidRDefault="00AA2319" w:rsidP="00890FC7">
      <w:pPr>
        <w:widowControl/>
        <w:tabs>
          <w:tab w:val="left" w:pos="-720"/>
        </w:tabs>
        <w:suppressAutoHyphens/>
        <w:rPr>
          <w:sz w:val="26"/>
          <w:szCs w:val="26"/>
        </w:rPr>
      </w:pPr>
      <w:r>
        <w:rPr>
          <w:sz w:val="26"/>
          <w:szCs w:val="26"/>
        </w:rPr>
        <w:t xml:space="preserve"> </w:t>
      </w:r>
    </w:p>
    <w:p w:rsidR="00AA2319" w:rsidRDefault="00AA2319" w:rsidP="00612783">
      <w:pPr>
        <w:widowControl/>
        <w:tabs>
          <w:tab w:val="left" w:pos="0"/>
          <w:tab w:val="left" w:pos="1530"/>
        </w:tabs>
        <w:autoSpaceDE w:val="0"/>
        <w:autoSpaceDN w:val="0"/>
        <w:spacing w:line="240" w:lineRule="auto"/>
        <w:ind w:left="1440" w:right="1440" w:firstLine="720"/>
        <w:rPr>
          <w:sz w:val="26"/>
          <w:szCs w:val="26"/>
          <w:lang w:eastAsia="x-none"/>
        </w:rPr>
      </w:pPr>
      <w:r w:rsidRPr="00AA2319">
        <w:rPr>
          <w:sz w:val="26"/>
          <w:szCs w:val="26"/>
          <w:lang w:eastAsia="x-none"/>
        </w:rPr>
        <w:t xml:space="preserve">As to the SOP, we agree with RESA that a fee of the lesser of $30/customer or actual costs per referred customer is appropriate.  Any remaining costs should be recovered in either one of two ways – through a non-by-passable surcharge, as proposed by RESA, or shared with 50% from the POR discount and 50% from residential and small commercial default service customers. </w:t>
      </w:r>
    </w:p>
    <w:p w:rsidR="00AA2319" w:rsidRDefault="00AA2319" w:rsidP="00612783">
      <w:pPr>
        <w:widowControl/>
        <w:tabs>
          <w:tab w:val="left" w:pos="0"/>
          <w:tab w:val="left" w:pos="1530"/>
        </w:tabs>
        <w:autoSpaceDE w:val="0"/>
        <w:autoSpaceDN w:val="0"/>
        <w:spacing w:line="240" w:lineRule="auto"/>
        <w:ind w:left="1440" w:right="1440" w:firstLine="720"/>
        <w:rPr>
          <w:sz w:val="26"/>
          <w:szCs w:val="26"/>
          <w:lang w:eastAsia="x-none"/>
        </w:rPr>
      </w:pPr>
    </w:p>
    <w:p w:rsidR="00AA2319" w:rsidRDefault="00AA2319" w:rsidP="00AA2319">
      <w:pPr>
        <w:widowControl/>
        <w:tabs>
          <w:tab w:val="left" w:pos="0"/>
          <w:tab w:val="left" w:pos="1530"/>
        </w:tabs>
        <w:autoSpaceDE w:val="0"/>
        <w:autoSpaceDN w:val="0"/>
        <w:spacing w:after="120" w:line="240" w:lineRule="auto"/>
        <w:ind w:right="1440" w:firstLine="0"/>
        <w:rPr>
          <w:sz w:val="26"/>
          <w:szCs w:val="26"/>
          <w:lang w:eastAsia="x-none"/>
        </w:rPr>
      </w:pPr>
      <w:r w:rsidRPr="00AA2319">
        <w:rPr>
          <w:i/>
          <w:sz w:val="26"/>
          <w:szCs w:val="26"/>
          <w:lang w:eastAsia="x-none"/>
        </w:rPr>
        <w:t>February 2013 Order</w:t>
      </w:r>
      <w:r>
        <w:rPr>
          <w:sz w:val="26"/>
          <w:szCs w:val="26"/>
          <w:lang w:eastAsia="x-none"/>
        </w:rPr>
        <w:t xml:space="preserve"> at 13.</w:t>
      </w:r>
    </w:p>
    <w:p w:rsidR="00F83471" w:rsidRDefault="00F83471" w:rsidP="00AA2319">
      <w:pPr>
        <w:widowControl/>
        <w:tabs>
          <w:tab w:val="left" w:pos="0"/>
          <w:tab w:val="left" w:pos="1530"/>
        </w:tabs>
        <w:autoSpaceDE w:val="0"/>
        <w:autoSpaceDN w:val="0"/>
        <w:spacing w:after="120" w:line="240" w:lineRule="auto"/>
        <w:ind w:right="1440" w:firstLine="0"/>
        <w:rPr>
          <w:sz w:val="26"/>
          <w:szCs w:val="26"/>
          <w:lang w:eastAsia="x-none"/>
        </w:rPr>
      </w:pPr>
    </w:p>
    <w:p w:rsidR="00F83471" w:rsidRDefault="00156391" w:rsidP="00156391">
      <w:pPr>
        <w:widowControl/>
        <w:autoSpaceDE w:val="0"/>
        <w:autoSpaceDN w:val="0"/>
        <w:adjustRightInd w:val="0"/>
        <w:rPr>
          <w:sz w:val="26"/>
          <w:szCs w:val="26"/>
        </w:rPr>
      </w:pPr>
      <w:r w:rsidRPr="00156391">
        <w:rPr>
          <w:sz w:val="26"/>
          <w:szCs w:val="26"/>
        </w:rPr>
        <w:t xml:space="preserve">In its proposed Second </w:t>
      </w:r>
      <w:r w:rsidR="00890FC7">
        <w:rPr>
          <w:sz w:val="26"/>
          <w:szCs w:val="26"/>
        </w:rPr>
        <w:t xml:space="preserve">and Third </w:t>
      </w:r>
      <w:r w:rsidRPr="00156391">
        <w:rPr>
          <w:sz w:val="26"/>
          <w:szCs w:val="26"/>
        </w:rPr>
        <w:t>Revised DSP II</w:t>
      </w:r>
      <w:r w:rsidR="00961A4F">
        <w:rPr>
          <w:sz w:val="26"/>
          <w:szCs w:val="26"/>
        </w:rPr>
        <w:t>,</w:t>
      </w:r>
      <w:r w:rsidR="00B17BF1">
        <w:rPr>
          <w:sz w:val="26"/>
          <w:szCs w:val="26"/>
        </w:rPr>
        <w:t xml:space="preserve"> PECO </w:t>
      </w:r>
      <w:r w:rsidR="00ED42E4">
        <w:rPr>
          <w:sz w:val="26"/>
          <w:szCs w:val="26"/>
        </w:rPr>
        <w:t xml:space="preserve">included modifications to its SOP rules as well as its tariffs in </w:t>
      </w:r>
      <w:proofErr w:type="gramStart"/>
      <w:r w:rsidR="00ED42E4">
        <w:rPr>
          <w:sz w:val="26"/>
          <w:szCs w:val="26"/>
        </w:rPr>
        <w:t xml:space="preserve">order </w:t>
      </w:r>
      <w:r w:rsidR="00B17BF1">
        <w:rPr>
          <w:sz w:val="26"/>
          <w:szCs w:val="26"/>
        </w:rPr>
        <w:t xml:space="preserve"> to</w:t>
      </w:r>
      <w:proofErr w:type="gramEnd"/>
      <w:r w:rsidR="00B17BF1">
        <w:rPr>
          <w:sz w:val="26"/>
          <w:szCs w:val="26"/>
        </w:rPr>
        <w:t xml:space="preserve"> recover any remaining cost</w:t>
      </w:r>
      <w:r w:rsidR="00890FC7">
        <w:rPr>
          <w:sz w:val="26"/>
          <w:szCs w:val="26"/>
        </w:rPr>
        <w:t xml:space="preserve"> over the $30 per customer acquisition fee from</w:t>
      </w:r>
      <w:r w:rsidR="00B17BF1">
        <w:rPr>
          <w:sz w:val="26"/>
          <w:szCs w:val="26"/>
        </w:rPr>
        <w:t xml:space="preserve"> the SOP, </w:t>
      </w:r>
      <w:r w:rsidR="00B17BF1" w:rsidRPr="00AA2319">
        <w:rPr>
          <w:sz w:val="26"/>
          <w:szCs w:val="26"/>
          <w:lang w:eastAsia="x-none"/>
        </w:rPr>
        <w:t>with 50%</w:t>
      </w:r>
      <w:r w:rsidR="00B17BF1">
        <w:rPr>
          <w:sz w:val="26"/>
          <w:szCs w:val="26"/>
          <w:lang w:eastAsia="x-none"/>
        </w:rPr>
        <w:t xml:space="preserve"> of costs</w:t>
      </w:r>
      <w:r w:rsidR="00B17BF1" w:rsidRPr="00AA2319">
        <w:rPr>
          <w:sz w:val="26"/>
          <w:szCs w:val="26"/>
          <w:lang w:eastAsia="x-none"/>
        </w:rPr>
        <w:t xml:space="preserve"> </w:t>
      </w:r>
      <w:r w:rsidR="00B17BF1">
        <w:rPr>
          <w:sz w:val="26"/>
          <w:szCs w:val="26"/>
          <w:lang w:eastAsia="x-none"/>
        </w:rPr>
        <w:t xml:space="preserve">coming </w:t>
      </w:r>
      <w:r w:rsidR="00B17BF1" w:rsidRPr="00AA2319">
        <w:rPr>
          <w:sz w:val="26"/>
          <w:szCs w:val="26"/>
          <w:lang w:eastAsia="x-none"/>
        </w:rPr>
        <w:t>from the POR discount and 50% from residential and small commercial default service customers.</w:t>
      </w:r>
    </w:p>
    <w:p w:rsidR="00626B97" w:rsidRDefault="00626B97">
      <w:pPr>
        <w:widowControl/>
        <w:spacing w:line="240" w:lineRule="auto"/>
        <w:ind w:firstLine="0"/>
        <w:rPr>
          <w:sz w:val="26"/>
          <w:szCs w:val="26"/>
        </w:rPr>
      </w:pPr>
      <w:r>
        <w:rPr>
          <w:sz w:val="26"/>
          <w:szCs w:val="26"/>
        </w:rPr>
        <w:br w:type="page"/>
      </w:r>
    </w:p>
    <w:p w:rsidR="00E1129F" w:rsidRDefault="001348B4" w:rsidP="00C70F46">
      <w:pPr>
        <w:pStyle w:val="ListParagraph"/>
        <w:widowControl/>
        <w:numPr>
          <w:ilvl w:val="0"/>
          <w:numId w:val="10"/>
        </w:numPr>
        <w:autoSpaceDE w:val="0"/>
        <w:autoSpaceDN w:val="0"/>
        <w:adjustRightInd w:val="0"/>
        <w:rPr>
          <w:b/>
          <w:sz w:val="26"/>
          <w:szCs w:val="26"/>
        </w:rPr>
      </w:pPr>
      <w:r>
        <w:rPr>
          <w:b/>
          <w:sz w:val="26"/>
          <w:szCs w:val="26"/>
        </w:rPr>
        <w:lastRenderedPageBreak/>
        <w:t>The OCA and OSBA</w:t>
      </w:r>
      <w:r w:rsidR="00241BA3">
        <w:rPr>
          <w:b/>
          <w:sz w:val="26"/>
          <w:szCs w:val="26"/>
        </w:rPr>
        <w:t>’s</w:t>
      </w:r>
      <w:r>
        <w:rPr>
          <w:b/>
          <w:sz w:val="26"/>
          <w:szCs w:val="26"/>
        </w:rPr>
        <w:t xml:space="preserve"> position</w:t>
      </w:r>
      <w:r w:rsidR="00BE7453">
        <w:rPr>
          <w:b/>
          <w:sz w:val="26"/>
          <w:szCs w:val="26"/>
        </w:rPr>
        <w:t xml:space="preserve"> </w:t>
      </w:r>
    </w:p>
    <w:p w:rsidR="00712E1A" w:rsidRDefault="00712E1A" w:rsidP="00712E1A">
      <w:pPr>
        <w:pStyle w:val="ListParagraph"/>
        <w:widowControl/>
        <w:autoSpaceDE w:val="0"/>
        <w:autoSpaceDN w:val="0"/>
        <w:adjustRightInd w:val="0"/>
        <w:ind w:left="1800" w:firstLine="0"/>
        <w:rPr>
          <w:b/>
          <w:sz w:val="26"/>
          <w:szCs w:val="26"/>
        </w:rPr>
      </w:pPr>
    </w:p>
    <w:p w:rsidR="00C70F46" w:rsidRDefault="009F7233" w:rsidP="00712E1A">
      <w:pPr>
        <w:widowControl/>
        <w:tabs>
          <w:tab w:val="left" w:pos="0"/>
        </w:tabs>
        <w:autoSpaceDE w:val="0"/>
        <w:autoSpaceDN w:val="0"/>
        <w:adjustRightInd w:val="0"/>
        <w:rPr>
          <w:sz w:val="26"/>
          <w:szCs w:val="26"/>
        </w:rPr>
      </w:pPr>
      <w:r>
        <w:rPr>
          <w:sz w:val="26"/>
          <w:szCs w:val="26"/>
        </w:rPr>
        <w:t>The</w:t>
      </w:r>
      <w:r w:rsidR="00712E1A">
        <w:rPr>
          <w:sz w:val="26"/>
          <w:szCs w:val="26"/>
        </w:rPr>
        <w:t xml:space="preserve"> OCA</w:t>
      </w:r>
      <w:r>
        <w:rPr>
          <w:sz w:val="26"/>
          <w:szCs w:val="26"/>
        </w:rPr>
        <w:t xml:space="preserve"> and the OSBA </w:t>
      </w:r>
      <w:r w:rsidR="00E27C7F">
        <w:rPr>
          <w:sz w:val="26"/>
          <w:szCs w:val="26"/>
        </w:rPr>
        <w:t xml:space="preserve">are in </w:t>
      </w:r>
      <w:r>
        <w:rPr>
          <w:sz w:val="26"/>
          <w:szCs w:val="26"/>
        </w:rPr>
        <w:t>agree</w:t>
      </w:r>
      <w:r w:rsidR="00E27C7F">
        <w:rPr>
          <w:sz w:val="26"/>
          <w:szCs w:val="26"/>
        </w:rPr>
        <w:t>ment,</w:t>
      </w:r>
      <w:r w:rsidR="00712E1A">
        <w:rPr>
          <w:sz w:val="26"/>
          <w:szCs w:val="26"/>
        </w:rPr>
        <w:t xml:space="preserve"> that the 50/50 sharing </w:t>
      </w:r>
      <w:r w:rsidR="00E27C7F">
        <w:rPr>
          <w:sz w:val="26"/>
          <w:szCs w:val="26"/>
        </w:rPr>
        <w:t>option is preferable to the non-</w:t>
      </w:r>
      <w:r w:rsidR="00712E1A">
        <w:rPr>
          <w:sz w:val="26"/>
          <w:szCs w:val="26"/>
        </w:rPr>
        <w:t>bypassable charge option because i</w:t>
      </w:r>
      <w:r w:rsidR="00890FC7">
        <w:rPr>
          <w:sz w:val="26"/>
          <w:szCs w:val="26"/>
        </w:rPr>
        <w:t>t is less harmful to ratepayers.</w:t>
      </w:r>
      <w:r w:rsidR="00712E1A">
        <w:rPr>
          <w:sz w:val="26"/>
          <w:szCs w:val="26"/>
        </w:rPr>
        <w:t xml:space="preserve"> </w:t>
      </w:r>
    </w:p>
    <w:p w:rsidR="00890FC7" w:rsidRDefault="00890FC7" w:rsidP="00890FC7">
      <w:pPr>
        <w:widowControl/>
        <w:tabs>
          <w:tab w:val="left" w:pos="0"/>
        </w:tabs>
        <w:autoSpaceDE w:val="0"/>
        <w:autoSpaceDN w:val="0"/>
        <w:adjustRightInd w:val="0"/>
        <w:ind w:firstLine="0"/>
        <w:rPr>
          <w:sz w:val="26"/>
          <w:szCs w:val="26"/>
        </w:rPr>
      </w:pPr>
      <w:r>
        <w:rPr>
          <w:sz w:val="26"/>
          <w:szCs w:val="26"/>
        </w:rPr>
        <w:t>However, t</w:t>
      </w:r>
      <w:r w:rsidR="00712E1A">
        <w:rPr>
          <w:sz w:val="26"/>
          <w:szCs w:val="26"/>
        </w:rPr>
        <w:t>he OCA</w:t>
      </w:r>
      <w:r w:rsidR="009F7233">
        <w:rPr>
          <w:sz w:val="26"/>
          <w:szCs w:val="26"/>
        </w:rPr>
        <w:t xml:space="preserve"> and OSBA assert</w:t>
      </w:r>
      <w:r w:rsidR="00712E1A">
        <w:rPr>
          <w:sz w:val="26"/>
          <w:szCs w:val="26"/>
        </w:rPr>
        <w:t xml:space="preserve"> that there is no evidence to determine whether </w:t>
      </w:r>
      <w:r w:rsidR="00712E1A" w:rsidRPr="001D6B9B">
        <w:rPr>
          <w:i/>
          <w:sz w:val="26"/>
          <w:szCs w:val="26"/>
        </w:rPr>
        <w:t>any</w:t>
      </w:r>
      <w:r w:rsidR="001D6B9B">
        <w:rPr>
          <w:sz w:val="26"/>
          <w:szCs w:val="26"/>
        </w:rPr>
        <w:t xml:space="preserve"> (emphasis added)</w:t>
      </w:r>
      <w:r w:rsidR="00712E1A">
        <w:rPr>
          <w:sz w:val="26"/>
          <w:szCs w:val="26"/>
        </w:rPr>
        <w:t xml:space="preserve"> cost recovery from customers for PECO’s proposed programs is reasonable.</w:t>
      </w:r>
    </w:p>
    <w:p w:rsidR="00890FC7" w:rsidRDefault="00890FC7" w:rsidP="00890FC7">
      <w:pPr>
        <w:widowControl/>
        <w:tabs>
          <w:tab w:val="left" w:pos="0"/>
        </w:tabs>
        <w:autoSpaceDE w:val="0"/>
        <w:autoSpaceDN w:val="0"/>
        <w:adjustRightInd w:val="0"/>
        <w:ind w:firstLine="0"/>
        <w:rPr>
          <w:sz w:val="26"/>
          <w:szCs w:val="26"/>
        </w:rPr>
      </w:pPr>
    </w:p>
    <w:p w:rsidR="00890FC7" w:rsidRDefault="00890FC7" w:rsidP="00890FC7">
      <w:pPr>
        <w:widowControl/>
        <w:tabs>
          <w:tab w:val="left" w:pos="0"/>
        </w:tabs>
        <w:autoSpaceDE w:val="0"/>
        <w:autoSpaceDN w:val="0"/>
        <w:adjustRightInd w:val="0"/>
        <w:ind w:firstLine="0"/>
        <w:rPr>
          <w:sz w:val="26"/>
          <w:szCs w:val="26"/>
        </w:rPr>
      </w:pPr>
      <w:r>
        <w:rPr>
          <w:sz w:val="26"/>
          <w:szCs w:val="26"/>
        </w:rPr>
        <w:tab/>
      </w:r>
      <w:r>
        <w:rPr>
          <w:sz w:val="26"/>
          <w:szCs w:val="26"/>
        </w:rPr>
        <w:tab/>
      </w:r>
      <w:r w:rsidR="00712E1A">
        <w:rPr>
          <w:sz w:val="26"/>
          <w:szCs w:val="26"/>
        </w:rPr>
        <w:t xml:space="preserve"> The </w:t>
      </w:r>
      <w:r w:rsidR="006622EF">
        <w:rPr>
          <w:sz w:val="26"/>
          <w:szCs w:val="26"/>
        </w:rPr>
        <w:t xml:space="preserve">OCA submits that default customers should not be asked to pay any sum that happens not to be covered by the EGS’s capped charge. The OCA maintains that the RME programs should be designed to remain within the capped amounts identified by the Commission for </w:t>
      </w:r>
      <w:r w:rsidR="00DA38BA">
        <w:rPr>
          <w:sz w:val="26"/>
          <w:szCs w:val="26"/>
        </w:rPr>
        <w:t>payment by</w:t>
      </w:r>
      <w:r w:rsidR="006622EF">
        <w:rPr>
          <w:sz w:val="26"/>
          <w:szCs w:val="26"/>
        </w:rPr>
        <w:t xml:space="preserve"> participating suppliers without resorting to default service customers to pay the difference.</w:t>
      </w:r>
      <w:r w:rsidR="009F7233">
        <w:rPr>
          <w:sz w:val="26"/>
          <w:szCs w:val="26"/>
        </w:rPr>
        <w:t xml:space="preserve">  The OCA opines that once the Commission capped the participating EGS charge at $30 per customer referred, it was incumbent upon PECO to revisit the program design and to seek to implement the program within this cost cap.</w:t>
      </w:r>
      <w:r w:rsidR="00E27C7F">
        <w:rPr>
          <w:sz w:val="26"/>
          <w:szCs w:val="26"/>
        </w:rPr>
        <w:t xml:space="preserve"> </w:t>
      </w:r>
    </w:p>
    <w:p w:rsidR="00890FC7" w:rsidRDefault="00890FC7" w:rsidP="00890FC7">
      <w:pPr>
        <w:widowControl/>
        <w:tabs>
          <w:tab w:val="left" w:pos="0"/>
        </w:tabs>
        <w:autoSpaceDE w:val="0"/>
        <w:autoSpaceDN w:val="0"/>
        <w:adjustRightInd w:val="0"/>
        <w:ind w:firstLine="0"/>
        <w:rPr>
          <w:sz w:val="26"/>
          <w:szCs w:val="26"/>
        </w:rPr>
      </w:pPr>
    </w:p>
    <w:p w:rsidR="00890FC7" w:rsidRDefault="00890FC7" w:rsidP="00890FC7">
      <w:pPr>
        <w:widowControl/>
        <w:tabs>
          <w:tab w:val="left" w:pos="0"/>
        </w:tabs>
        <w:autoSpaceDE w:val="0"/>
        <w:autoSpaceDN w:val="0"/>
        <w:adjustRightInd w:val="0"/>
        <w:ind w:firstLine="0"/>
        <w:rPr>
          <w:sz w:val="26"/>
          <w:szCs w:val="26"/>
        </w:rPr>
      </w:pPr>
      <w:r>
        <w:rPr>
          <w:sz w:val="26"/>
          <w:szCs w:val="26"/>
        </w:rPr>
        <w:tab/>
      </w:r>
      <w:r>
        <w:rPr>
          <w:sz w:val="26"/>
          <w:szCs w:val="26"/>
        </w:rPr>
        <w:tab/>
      </w:r>
      <w:r w:rsidR="00E27C7F">
        <w:rPr>
          <w:sz w:val="26"/>
          <w:szCs w:val="26"/>
        </w:rPr>
        <w:t>The OCA and the OSBA concur that the Commission should not approve the Second Revised Plan until the Commission and the parties know the precise amounts that they will be expected to pay and whether such amounts are reasonable.</w:t>
      </w:r>
      <w:r w:rsidR="00800A00">
        <w:rPr>
          <w:sz w:val="26"/>
          <w:szCs w:val="26"/>
        </w:rPr>
        <w:t xml:space="preserve"> (OCA</w:t>
      </w:r>
      <w:r w:rsidR="00383AEB">
        <w:rPr>
          <w:sz w:val="26"/>
          <w:szCs w:val="26"/>
        </w:rPr>
        <w:t xml:space="preserve"> </w:t>
      </w:r>
      <w:r w:rsidR="004409D4">
        <w:rPr>
          <w:sz w:val="26"/>
          <w:szCs w:val="26"/>
        </w:rPr>
        <w:t xml:space="preserve">March </w:t>
      </w:r>
      <w:r w:rsidR="00800A00">
        <w:rPr>
          <w:sz w:val="26"/>
          <w:szCs w:val="26"/>
        </w:rPr>
        <w:t>comments at 1-5) and (OSBA</w:t>
      </w:r>
      <w:r w:rsidR="00383AEB">
        <w:rPr>
          <w:sz w:val="26"/>
          <w:szCs w:val="26"/>
        </w:rPr>
        <w:t xml:space="preserve"> </w:t>
      </w:r>
      <w:r w:rsidR="004409D4">
        <w:rPr>
          <w:sz w:val="26"/>
          <w:szCs w:val="26"/>
        </w:rPr>
        <w:t xml:space="preserve">March </w:t>
      </w:r>
      <w:r w:rsidR="00383AEB">
        <w:rPr>
          <w:sz w:val="26"/>
          <w:szCs w:val="26"/>
        </w:rPr>
        <w:t>comments at 1-4).</w:t>
      </w:r>
      <w:r w:rsidR="00001586">
        <w:rPr>
          <w:sz w:val="26"/>
          <w:szCs w:val="26"/>
        </w:rPr>
        <w:t xml:space="preserve">  Additionally, the OCA opines that the Commission not approve either the Second Revised Plan or the Third Revised Plan until the Commission and the Parties know the precise amounts that they will be expected to pay for the Standard Offer Program and whether such amounts are reasonable. </w:t>
      </w:r>
    </w:p>
    <w:p w:rsidR="00890FC7" w:rsidRDefault="00890FC7" w:rsidP="00890FC7">
      <w:pPr>
        <w:widowControl/>
        <w:tabs>
          <w:tab w:val="left" w:pos="0"/>
        </w:tabs>
        <w:autoSpaceDE w:val="0"/>
        <w:autoSpaceDN w:val="0"/>
        <w:adjustRightInd w:val="0"/>
        <w:ind w:firstLine="0"/>
        <w:rPr>
          <w:sz w:val="26"/>
          <w:szCs w:val="26"/>
        </w:rPr>
      </w:pPr>
    </w:p>
    <w:p w:rsidR="00712E1A" w:rsidRDefault="00890FC7" w:rsidP="00890FC7">
      <w:pPr>
        <w:widowControl/>
        <w:tabs>
          <w:tab w:val="left" w:pos="0"/>
        </w:tabs>
        <w:autoSpaceDE w:val="0"/>
        <w:autoSpaceDN w:val="0"/>
        <w:adjustRightInd w:val="0"/>
        <w:ind w:firstLine="0"/>
        <w:rPr>
          <w:sz w:val="26"/>
          <w:szCs w:val="26"/>
        </w:rPr>
      </w:pPr>
      <w:r>
        <w:rPr>
          <w:sz w:val="26"/>
          <w:szCs w:val="26"/>
        </w:rPr>
        <w:tab/>
      </w:r>
      <w:r>
        <w:rPr>
          <w:sz w:val="26"/>
          <w:szCs w:val="26"/>
        </w:rPr>
        <w:tab/>
      </w:r>
      <w:r w:rsidR="00001586">
        <w:rPr>
          <w:sz w:val="26"/>
          <w:szCs w:val="26"/>
        </w:rPr>
        <w:t xml:space="preserve">The OCA asserts that </w:t>
      </w:r>
      <w:r w:rsidR="00B87D26">
        <w:rPr>
          <w:sz w:val="26"/>
          <w:szCs w:val="26"/>
        </w:rPr>
        <w:t xml:space="preserve">it remains incumbent upon PECO to revisit the program design and to seek to implement the program within the cost cap established by </w:t>
      </w:r>
      <w:r w:rsidR="00B87D26">
        <w:rPr>
          <w:sz w:val="26"/>
          <w:szCs w:val="26"/>
        </w:rPr>
        <w:lastRenderedPageBreak/>
        <w:t>the Commission.</w:t>
      </w:r>
      <w:r w:rsidR="003E66A8">
        <w:rPr>
          <w:sz w:val="26"/>
          <w:szCs w:val="26"/>
        </w:rPr>
        <w:t xml:space="preserve"> Additionally the OCA proposes that PECO should examine the PPL</w:t>
      </w:r>
      <w:r w:rsidR="003E66A8">
        <w:rPr>
          <w:rStyle w:val="FootnoteReference"/>
          <w:sz w:val="26"/>
          <w:szCs w:val="26"/>
        </w:rPr>
        <w:footnoteReference w:id="3"/>
      </w:r>
      <w:r w:rsidR="003E66A8">
        <w:rPr>
          <w:sz w:val="26"/>
          <w:szCs w:val="26"/>
        </w:rPr>
        <w:t xml:space="preserve"> approach as well as the Duquesne</w:t>
      </w:r>
      <w:r w:rsidR="003E66A8">
        <w:rPr>
          <w:rStyle w:val="FootnoteReference"/>
          <w:sz w:val="26"/>
          <w:szCs w:val="26"/>
        </w:rPr>
        <w:footnoteReference w:id="4"/>
      </w:r>
      <w:r w:rsidR="003E66A8">
        <w:rPr>
          <w:sz w:val="26"/>
          <w:szCs w:val="26"/>
        </w:rPr>
        <w:t xml:space="preserve"> approach which proposes to implement the program below the $30 per enrolled customer cap.  </w:t>
      </w:r>
      <w:r w:rsidR="00B87D26">
        <w:rPr>
          <w:sz w:val="26"/>
          <w:szCs w:val="26"/>
        </w:rPr>
        <w:t xml:space="preserve"> </w:t>
      </w:r>
      <w:r w:rsidR="009E3D81">
        <w:rPr>
          <w:sz w:val="26"/>
          <w:szCs w:val="26"/>
        </w:rPr>
        <w:t>(OCA April comments at</w:t>
      </w:r>
      <w:r w:rsidR="00B87D26">
        <w:rPr>
          <w:sz w:val="26"/>
          <w:szCs w:val="26"/>
        </w:rPr>
        <w:t xml:space="preserve"> 7)</w:t>
      </w:r>
    </w:p>
    <w:p w:rsidR="00383AEB" w:rsidRDefault="00383AEB" w:rsidP="00712E1A">
      <w:pPr>
        <w:widowControl/>
        <w:tabs>
          <w:tab w:val="left" w:pos="0"/>
        </w:tabs>
        <w:autoSpaceDE w:val="0"/>
        <w:autoSpaceDN w:val="0"/>
        <w:adjustRightInd w:val="0"/>
        <w:rPr>
          <w:sz w:val="26"/>
          <w:szCs w:val="26"/>
        </w:rPr>
      </w:pPr>
    </w:p>
    <w:p w:rsidR="001348B4" w:rsidRDefault="009F1187" w:rsidP="009F1187">
      <w:pPr>
        <w:pStyle w:val="ListParagraph"/>
        <w:widowControl/>
        <w:numPr>
          <w:ilvl w:val="0"/>
          <w:numId w:val="10"/>
        </w:numPr>
        <w:tabs>
          <w:tab w:val="left" w:pos="0"/>
        </w:tabs>
        <w:autoSpaceDE w:val="0"/>
        <w:autoSpaceDN w:val="0"/>
        <w:adjustRightInd w:val="0"/>
        <w:rPr>
          <w:b/>
          <w:sz w:val="26"/>
          <w:szCs w:val="26"/>
        </w:rPr>
      </w:pPr>
      <w:r>
        <w:rPr>
          <w:b/>
          <w:sz w:val="26"/>
          <w:szCs w:val="26"/>
        </w:rPr>
        <w:t>PECO</w:t>
      </w:r>
      <w:r w:rsidR="00241BA3">
        <w:rPr>
          <w:b/>
          <w:sz w:val="26"/>
          <w:szCs w:val="26"/>
        </w:rPr>
        <w:t>’s</w:t>
      </w:r>
      <w:r>
        <w:rPr>
          <w:b/>
          <w:sz w:val="26"/>
          <w:szCs w:val="26"/>
        </w:rPr>
        <w:t xml:space="preserve"> position</w:t>
      </w:r>
      <w:r w:rsidR="00241BA3">
        <w:rPr>
          <w:b/>
          <w:sz w:val="26"/>
          <w:szCs w:val="26"/>
        </w:rPr>
        <w:t xml:space="preserve"> </w:t>
      </w:r>
      <w:r w:rsidR="004409D4">
        <w:rPr>
          <w:b/>
          <w:sz w:val="26"/>
          <w:szCs w:val="26"/>
        </w:rPr>
        <w:t xml:space="preserve"> </w:t>
      </w:r>
    </w:p>
    <w:p w:rsidR="009F1187" w:rsidRPr="009F1187" w:rsidRDefault="009F1187" w:rsidP="009F1187">
      <w:pPr>
        <w:pStyle w:val="ListParagraph"/>
        <w:widowControl/>
        <w:tabs>
          <w:tab w:val="left" w:pos="0"/>
        </w:tabs>
        <w:autoSpaceDE w:val="0"/>
        <w:autoSpaceDN w:val="0"/>
        <w:adjustRightInd w:val="0"/>
        <w:ind w:left="1800" w:firstLine="0"/>
        <w:rPr>
          <w:b/>
          <w:sz w:val="26"/>
          <w:szCs w:val="26"/>
        </w:rPr>
      </w:pPr>
    </w:p>
    <w:p w:rsidR="009D7DD7" w:rsidRDefault="00696423" w:rsidP="00712E1A">
      <w:pPr>
        <w:widowControl/>
        <w:tabs>
          <w:tab w:val="left" w:pos="0"/>
        </w:tabs>
        <w:autoSpaceDE w:val="0"/>
        <w:autoSpaceDN w:val="0"/>
        <w:adjustRightInd w:val="0"/>
        <w:rPr>
          <w:sz w:val="26"/>
          <w:szCs w:val="26"/>
        </w:rPr>
      </w:pPr>
      <w:r>
        <w:rPr>
          <w:sz w:val="26"/>
          <w:szCs w:val="26"/>
        </w:rPr>
        <w:t xml:space="preserve">PECO contends that the comments of both the OCA and the OSBA are an effort to re-litigate issues and arguments which the Commission has considered extensively in its </w:t>
      </w:r>
      <w:r>
        <w:rPr>
          <w:i/>
          <w:sz w:val="26"/>
          <w:szCs w:val="26"/>
        </w:rPr>
        <w:t>Investigation of Pennsylvania’s Retail Electricity Market,</w:t>
      </w:r>
      <w:r>
        <w:rPr>
          <w:sz w:val="26"/>
          <w:szCs w:val="26"/>
        </w:rPr>
        <w:t xml:space="preserve"> Docket No. I-2011-2237952, and th</w:t>
      </w:r>
      <w:r w:rsidR="00A9358F">
        <w:rPr>
          <w:sz w:val="26"/>
          <w:szCs w:val="26"/>
        </w:rPr>
        <w:t>is</w:t>
      </w:r>
      <w:r>
        <w:rPr>
          <w:sz w:val="26"/>
          <w:szCs w:val="26"/>
        </w:rPr>
        <w:t xml:space="preserve"> current proceeding.</w:t>
      </w:r>
      <w:r w:rsidR="00A9358F">
        <w:rPr>
          <w:sz w:val="26"/>
          <w:szCs w:val="26"/>
        </w:rPr>
        <w:t xml:space="preserve">  PECO notes that the estimated cost of the SOP was addressed in</w:t>
      </w:r>
      <w:r w:rsidR="00A51321">
        <w:rPr>
          <w:sz w:val="26"/>
          <w:szCs w:val="26"/>
        </w:rPr>
        <w:t xml:space="preserve"> detail</w:t>
      </w:r>
      <w:r w:rsidR="00A9358F">
        <w:rPr>
          <w:sz w:val="26"/>
          <w:szCs w:val="26"/>
        </w:rPr>
        <w:t xml:space="preserve"> in the evidentiary phase of this proceeding</w:t>
      </w:r>
      <w:r w:rsidR="00A9358F">
        <w:rPr>
          <w:rStyle w:val="FootnoteReference"/>
          <w:sz w:val="26"/>
          <w:szCs w:val="26"/>
        </w:rPr>
        <w:footnoteReference w:id="5"/>
      </w:r>
      <w:r w:rsidR="009216C0">
        <w:rPr>
          <w:sz w:val="26"/>
          <w:szCs w:val="26"/>
        </w:rPr>
        <w:t>. In its rebuttal testimony, PECO estimated more than $2 million in start-up costs for information technology changes necessary for SOP implementation.  Additionally</w:t>
      </w:r>
      <w:r w:rsidR="00A51321">
        <w:rPr>
          <w:sz w:val="26"/>
          <w:szCs w:val="26"/>
        </w:rPr>
        <w:t>,</w:t>
      </w:r>
      <w:r w:rsidR="009216C0">
        <w:rPr>
          <w:sz w:val="26"/>
          <w:szCs w:val="26"/>
        </w:rPr>
        <w:t xml:space="preserve"> PECO avers that </w:t>
      </w:r>
      <w:r w:rsidR="00A51321">
        <w:rPr>
          <w:sz w:val="26"/>
          <w:szCs w:val="26"/>
        </w:rPr>
        <w:t>its testimony made clear that it expects to incur another $900,000 per year of ongoing operational costs for call center support. PECO maintains that the OCA and the OSBA had ample opportunity to raise factual issues about those cost estimates during the evidentiary phase of this case, but did not present any evidence demonstrating that the costs of the SOP were unreasonable.</w:t>
      </w:r>
      <w:r w:rsidR="00B7768E">
        <w:rPr>
          <w:sz w:val="26"/>
          <w:szCs w:val="26"/>
        </w:rPr>
        <w:t xml:space="preserve"> PECO states that the OSBA</w:t>
      </w:r>
      <w:r w:rsidR="00C02CA2">
        <w:rPr>
          <w:sz w:val="26"/>
          <w:szCs w:val="26"/>
        </w:rPr>
        <w:t xml:space="preserve"> </w:t>
      </w:r>
      <w:r w:rsidR="00B7768E">
        <w:rPr>
          <w:sz w:val="26"/>
          <w:szCs w:val="26"/>
        </w:rPr>
        <w:t>errs by asserting that there is no record evidence to support the $30.00 cost cap selected by the Commission.</w:t>
      </w:r>
      <w:r w:rsidR="005F389B">
        <w:rPr>
          <w:sz w:val="26"/>
          <w:szCs w:val="26"/>
        </w:rPr>
        <w:t xml:space="preserve"> PECO points out that the $30.00 amount is within the range of the “customer acquisition fee” of $25.00 to $50.00 recommended by Dominion Retail, Inc</w:t>
      </w:r>
      <w:r w:rsidR="002A5CF3">
        <w:rPr>
          <w:sz w:val="26"/>
          <w:szCs w:val="26"/>
        </w:rPr>
        <w:t>.</w:t>
      </w:r>
      <w:r w:rsidR="005F389B">
        <w:rPr>
          <w:sz w:val="26"/>
          <w:szCs w:val="26"/>
        </w:rPr>
        <w:t xml:space="preserve"> and Int</w:t>
      </w:r>
      <w:r w:rsidR="002A5CF3">
        <w:rPr>
          <w:sz w:val="26"/>
          <w:szCs w:val="26"/>
        </w:rPr>
        <w:t xml:space="preserve">erstate Gas Supply, Inc. (Dominion/IGS) in the evidentiary phase of this proceeding.  </w:t>
      </w:r>
      <w:r w:rsidR="002A5CF3">
        <w:rPr>
          <w:i/>
          <w:sz w:val="26"/>
          <w:szCs w:val="26"/>
        </w:rPr>
        <w:t>See</w:t>
      </w:r>
      <w:r w:rsidR="002A5CF3">
        <w:rPr>
          <w:sz w:val="26"/>
          <w:szCs w:val="26"/>
        </w:rPr>
        <w:t xml:space="preserve"> PECO St. No. 5-R, pp. 11-12; PECO Exhibit ABC-3R (Dominion/IGS Responses to PECO Set I-1 and I-2).</w:t>
      </w:r>
      <w:r w:rsidR="00442C04">
        <w:rPr>
          <w:sz w:val="26"/>
          <w:szCs w:val="26"/>
        </w:rPr>
        <w:t xml:space="preserve"> Furthermore, PECO asserts that the Commission’s imposition  of a monetary cap on the portion of total Standard Offer Program costs for which EGSs are solely responsible does not in any way suggest that the Commission intended for PECO to </w:t>
      </w:r>
      <w:r w:rsidR="00442C04">
        <w:rPr>
          <w:sz w:val="26"/>
          <w:szCs w:val="26"/>
        </w:rPr>
        <w:lastRenderedPageBreak/>
        <w:t xml:space="preserve">redesign the program so that default service customers pay no program costs whatsoever, as the OCA and OSBA contend.  PECO maintains that the Second Revised Plan and its cost recovery provisions are consistent with the Commission’s </w:t>
      </w:r>
      <w:r w:rsidR="00442C04" w:rsidRPr="009D7DD7">
        <w:rPr>
          <w:i/>
          <w:sz w:val="26"/>
          <w:szCs w:val="26"/>
        </w:rPr>
        <w:t xml:space="preserve">February 2013 Order </w:t>
      </w:r>
      <w:r w:rsidR="00442C04">
        <w:rPr>
          <w:sz w:val="26"/>
          <w:szCs w:val="26"/>
        </w:rPr>
        <w:t xml:space="preserve">and the record in this proceeding and that the plan should be approved by the Commission. (PECO </w:t>
      </w:r>
      <w:r w:rsidR="0014555F">
        <w:rPr>
          <w:sz w:val="26"/>
          <w:szCs w:val="26"/>
        </w:rPr>
        <w:t xml:space="preserve">March </w:t>
      </w:r>
      <w:r w:rsidR="000122C4">
        <w:rPr>
          <w:sz w:val="26"/>
          <w:szCs w:val="26"/>
        </w:rPr>
        <w:t>reply</w:t>
      </w:r>
      <w:r w:rsidR="009E3D81">
        <w:rPr>
          <w:sz w:val="26"/>
          <w:szCs w:val="26"/>
        </w:rPr>
        <w:t xml:space="preserve"> at</w:t>
      </w:r>
      <w:r w:rsidR="00442C04">
        <w:rPr>
          <w:sz w:val="26"/>
          <w:szCs w:val="26"/>
        </w:rPr>
        <w:t xml:space="preserve"> 1-4). </w:t>
      </w:r>
      <w:r w:rsidR="00E57957">
        <w:rPr>
          <w:sz w:val="26"/>
          <w:szCs w:val="26"/>
        </w:rPr>
        <w:t xml:space="preserve"> </w:t>
      </w:r>
    </w:p>
    <w:p w:rsidR="009D7DD7" w:rsidRDefault="009D7DD7" w:rsidP="00712E1A">
      <w:pPr>
        <w:widowControl/>
        <w:tabs>
          <w:tab w:val="left" w:pos="0"/>
        </w:tabs>
        <w:autoSpaceDE w:val="0"/>
        <w:autoSpaceDN w:val="0"/>
        <w:adjustRightInd w:val="0"/>
        <w:rPr>
          <w:sz w:val="26"/>
          <w:szCs w:val="26"/>
        </w:rPr>
      </w:pPr>
    </w:p>
    <w:p w:rsidR="00383AEB" w:rsidRDefault="00E57957" w:rsidP="00712E1A">
      <w:pPr>
        <w:widowControl/>
        <w:tabs>
          <w:tab w:val="left" w:pos="0"/>
        </w:tabs>
        <w:autoSpaceDE w:val="0"/>
        <w:autoSpaceDN w:val="0"/>
        <w:adjustRightInd w:val="0"/>
        <w:rPr>
          <w:sz w:val="26"/>
          <w:szCs w:val="26"/>
        </w:rPr>
      </w:pPr>
      <w:r>
        <w:rPr>
          <w:sz w:val="26"/>
          <w:szCs w:val="26"/>
        </w:rPr>
        <w:t>Finally PECO asserts that the OCA’s discussion of the PPL Electric and Duquesne Standard Offer Program is based on facts which are not in the evidentiary record in this proceeding and, therefore, cannot be relied upon by the Commission</w:t>
      </w:r>
      <w:r w:rsidR="004E08D1">
        <w:rPr>
          <w:sz w:val="26"/>
          <w:szCs w:val="26"/>
        </w:rPr>
        <w:t>. That being said, PECO points out that PPL Electric  expects  recovery of its non-capital Program costs will not cause it to exceed the Participating EGS Cost Cap, it has also requested to recover over $522,000 in related capital costs from customers in its next base rate proceeding</w:t>
      </w:r>
      <w:r>
        <w:rPr>
          <w:sz w:val="26"/>
          <w:szCs w:val="26"/>
        </w:rPr>
        <w:t xml:space="preserve"> </w:t>
      </w:r>
      <w:r w:rsidR="00BB1F54">
        <w:rPr>
          <w:sz w:val="26"/>
          <w:szCs w:val="26"/>
        </w:rPr>
        <w:t>. Additionally PECO states that</w:t>
      </w:r>
      <w:r w:rsidR="004B1E60">
        <w:rPr>
          <w:sz w:val="26"/>
          <w:szCs w:val="26"/>
        </w:rPr>
        <w:t>, while Duquesne estimates that it may implement its Program within the Participating EGS Cost Cap, the OCA does not mention that Duquesne’s estimate is based upon a new plan for transferring customer calls directly to EGSs so that Duquesne can begin its Program by August 1, 2013, and avoid information technology upgrades that Duquesne acknowledges would otherwise be required to implement the Standard Offer Program as it originally proposed. (PECO May reply at 4-5)</w:t>
      </w:r>
    </w:p>
    <w:p w:rsidR="0014555F" w:rsidRDefault="0014555F" w:rsidP="00712E1A">
      <w:pPr>
        <w:widowControl/>
        <w:tabs>
          <w:tab w:val="left" w:pos="0"/>
        </w:tabs>
        <w:autoSpaceDE w:val="0"/>
        <w:autoSpaceDN w:val="0"/>
        <w:adjustRightInd w:val="0"/>
        <w:rPr>
          <w:sz w:val="26"/>
          <w:szCs w:val="26"/>
        </w:rPr>
      </w:pPr>
    </w:p>
    <w:p w:rsidR="0014555F" w:rsidRDefault="0014555F" w:rsidP="0014555F">
      <w:pPr>
        <w:pStyle w:val="ListParagraph"/>
        <w:widowControl/>
        <w:numPr>
          <w:ilvl w:val="0"/>
          <w:numId w:val="10"/>
        </w:numPr>
        <w:tabs>
          <w:tab w:val="left" w:pos="0"/>
        </w:tabs>
        <w:autoSpaceDE w:val="0"/>
        <w:autoSpaceDN w:val="0"/>
        <w:adjustRightInd w:val="0"/>
        <w:rPr>
          <w:b/>
          <w:sz w:val="26"/>
          <w:szCs w:val="26"/>
        </w:rPr>
      </w:pPr>
      <w:r>
        <w:rPr>
          <w:b/>
          <w:sz w:val="26"/>
          <w:szCs w:val="26"/>
        </w:rPr>
        <w:t>RESA’s position</w:t>
      </w:r>
    </w:p>
    <w:p w:rsidR="0014555F" w:rsidRDefault="0014555F" w:rsidP="0014555F">
      <w:pPr>
        <w:widowControl/>
        <w:tabs>
          <w:tab w:val="left" w:pos="0"/>
        </w:tabs>
        <w:autoSpaceDE w:val="0"/>
        <w:autoSpaceDN w:val="0"/>
        <w:adjustRightInd w:val="0"/>
        <w:ind w:left="1440" w:firstLine="0"/>
        <w:rPr>
          <w:b/>
          <w:sz w:val="26"/>
          <w:szCs w:val="26"/>
        </w:rPr>
      </w:pPr>
    </w:p>
    <w:p w:rsidR="0014555F" w:rsidRDefault="0014555F" w:rsidP="0014555F">
      <w:pPr>
        <w:widowControl/>
        <w:tabs>
          <w:tab w:val="left" w:pos="0"/>
        </w:tabs>
        <w:autoSpaceDE w:val="0"/>
        <w:autoSpaceDN w:val="0"/>
        <w:adjustRightInd w:val="0"/>
        <w:ind w:firstLine="0"/>
        <w:rPr>
          <w:sz w:val="26"/>
          <w:szCs w:val="26"/>
        </w:rPr>
      </w:pPr>
      <w:r>
        <w:rPr>
          <w:sz w:val="26"/>
          <w:szCs w:val="26"/>
        </w:rPr>
        <w:tab/>
      </w:r>
      <w:r>
        <w:rPr>
          <w:sz w:val="26"/>
          <w:szCs w:val="26"/>
        </w:rPr>
        <w:tab/>
        <w:t>RESA asserts that, much time and effort has been spent in this proceeding (and others) regarding the appropriate and reasonable way to allocate the costs of the retail market enhancement programs.</w:t>
      </w:r>
      <w:r w:rsidR="00BB2CA3">
        <w:rPr>
          <w:sz w:val="26"/>
          <w:szCs w:val="26"/>
        </w:rPr>
        <w:t xml:space="preserve">  RESA states the Commission resolved the issue in its </w:t>
      </w:r>
      <w:r w:rsidR="001D6B9B">
        <w:rPr>
          <w:i/>
          <w:sz w:val="26"/>
          <w:szCs w:val="26"/>
        </w:rPr>
        <w:t xml:space="preserve">February </w:t>
      </w:r>
      <w:r w:rsidR="00BB2CA3" w:rsidRPr="009D7DD7">
        <w:rPr>
          <w:i/>
          <w:sz w:val="26"/>
          <w:szCs w:val="26"/>
        </w:rPr>
        <w:t>2013 Order</w:t>
      </w:r>
      <w:r w:rsidR="00BB2CA3">
        <w:rPr>
          <w:sz w:val="26"/>
          <w:szCs w:val="26"/>
        </w:rPr>
        <w:t xml:space="preserve">, and in doing so, the Commission took into consideration all the competing interests and directed a reasonable resolution which requires electric generation suppliers to pay up to a defined cap with all customers sharing any remaining costs.  RESA affirms that allocating a reasonable portion of the costs of the Standard </w:t>
      </w:r>
      <w:r w:rsidR="00BB2CA3">
        <w:rPr>
          <w:sz w:val="26"/>
          <w:szCs w:val="26"/>
        </w:rPr>
        <w:lastRenderedPageBreak/>
        <w:t>Offer Program to all customers is appropriate and reasonable because the program benefits all stakeholders, especially default customers who are the targets of the programs. RESA opines that OCA’s rehashing of these issues here – with the goal of stopping implementation of the SOP – must be rejected as nothing more than an attempt to re</w:t>
      </w:r>
      <w:r w:rsidR="00E55136">
        <w:rPr>
          <w:sz w:val="26"/>
          <w:szCs w:val="26"/>
        </w:rPr>
        <w:t>-</w:t>
      </w:r>
      <w:r w:rsidR="00BB2CA3">
        <w:rPr>
          <w:sz w:val="26"/>
          <w:szCs w:val="26"/>
        </w:rPr>
        <w:t>litigate an already decided issue.</w:t>
      </w:r>
      <w:r w:rsidR="009E3D81">
        <w:rPr>
          <w:sz w:val="26"/>
          <w:szCs w:val="26"/>
        </w:rPr>
        <w:t xml:space="preserve"> </w:t>
      </w:r>
      <w:r w:rsidR="000122C4">
        <w:rPr>
          <w:sz w:val="26"/>
          <w:szCs w:val="26"/>
        </w:rPr>
        <w:t>(RESA reply</w:t>
      </w:r>
      <w:r w:rsidR="009E3D81">
        <w:rPr>
          <w:sz w:val="26"/>
          <w:szCs w:val="26"/>
        </w:rPr>
        <w:t xml:space="preserve"> at 3-4)</w:t>
      </w:r>
    </w:p>
    <w:p w:rsidR="00BB2CA3" w:rsidRDefault="00BB2CA3" w:rsidP="0014555F">
      <w:pPr>
        <w:widowControl/>
        <w:tabs>
          <w:tab w:val="left" w:pos="0"/>
        </w:tabs>
        <w:autoSpaceDE w:val="0"/>
        <w:autoSpaceDN w:val="0"/>
        <w:adjustRightInd w:val="0"/>
        <w:ind w:firstLine="0"/>
        <w:rPr>
          <w:sz w:val="26"/>
          <w:szCs w:val="26"/>
        </w:rPr>
      </w:pPr>
    </w:p>
    <w:p w:rsidR="009E3D81" w:rsidRDefault="009E3D81" w:rsidP="009E3D81">
      <w:pPr>
        <w:pStyle w:val="ListParagraph"/>
        <w:widowControl/>
        <w:numPr>
          <w:ilvl w:val="0"/>
          <w:numId w:val="10"/>
        </w:numPr>
        <w:tabs>
          <w:tab w:val="left" w:pos="0"/>
        </w:tabs>
        <w:autoSpaceDE w:val="0"/>
        <w:autoSpaceDN w:val="0"/>
        <w:adjustRightInd w:val="0"/>
        <w:rPr>
          <w:b/>
          <w:sz w:val="26"/>
          <w:szCs w:val="26"/>
        </w:rPr>
      </w:pPr>
      <w:r>
        <w:rPr>
          <w:b/>
          <w:sz w:val="26"/>
          <w:szCs w:val="26"/>
        </w:rPr>
        <w:t>FES’s position</w:t>
      </w:r>
    </w:p>
    <w:p w:rsidR="009E3D81" w:rsidRDefault="009E3D81" w:rsidP="009E3D81">
      <w:pPr>
        <w:widowControl/>
        <w:tabs>
          <w:tab w:val="left" w:pos="0"/>
        </w:tabs>
        <w:autoSpaceDE w:val="0"/>
        <w:autoSpaceDN w:val="0"/>
        <w:adjustRightInd w:val="0"/>
        <w:ind w:firstLine="0"/>
        <w:rPr>
          <w:b/>
          <w:sz w:val="26"/>
          <w:szCs w:val="26"/>
        </w:rPr>
      </w:pPr>
    </w:p>
    <w:p w:rsidR="009E3D81" w:rsidRPr="009E3D81" w:rsidRDefault="009E3D81" w:rsidP="009E3D81">
      <w:pPr>
        <w:widowControl/>
        <w:tabs>
          <w:tab w:val="left" w:pos="0"/>
        </w:tabs>
        <w:autoSpaceDE w:val="0"/>
        <w:autoSpaceDN w:val="0"/>
        <w:adjustRightInd w:val="0"/>
        <w:ind w:firstLine="0"/>
        <w:rPr>
          <w:sz w:val="26"/>
          <w:szCs w:val="26"/>
        </w:rPr>
      </w:pPr>
      <w:r>
        <w:rPr>
          <w:b/>
          <w:sz w:val="26"/>
          <w:szCs w:val="26"/>
        </w:rPr>
        <w:tab/>
      </w:r>
      <w:r>
        <w:rPr>
          <w:b/>
          <w:sz w:val="26"/>
          <w:szCs w:val="26"/>
        </w:rPr>
        <w:tab/>
      </w:r>
      <w:r>
        <w:rPr>
          <w:sz w:val="26"/>
          <w:szCs w:val="26"/>
        </w:rPr>
        <w:t xml:space="preserve">FES states that the Commission recognized the possibility that costs would exceed the $30 per customer cap on EGS responsibility, and expressly permitted EDCs to choose one of two options for recovery of any costs in excess of the $30 per customer cap: 1) the 50/50 division between default service customers and POR or, 2) a non-bypassable charge.  </w:t>
      </w:r>
      <w:r w:rsidR="009D7DD7">
        <w:rPr>
          <w:sz w:val="26"/>
          <w:szCs w:val="26"/>
        </w:rPr>
        <w:t xml:space="preserve">FES submits that </w:t>
      </w:r>
      <w:r>
        <w:rPr>
          <w:sz w:val="26"/>
          <w:szCs w:val="26"/>
        </w:rPr>
        <w:t>PECO chose the 50/50 division be</w:t>
      </w:r>
      <w:r w:rsidR="000122C4">
        <w:rPr>
          <w:sz w:val="26"/>
          <w:szCs w:val="26"/>
        </w:rPr>
        <w:t>tween default customers and POR.  FES asserts that the OCA recognizes that this methodology is one of the two permitted by the Commission, and yet maintains that default service customers should not bear any costs of PECO’s SOP. (FES reply at 2-3)</w:t>
      </w:r>
    </w:p>
    <w:p w:rsidR="00BB2CA3" w:rsidRPr="0014555F" w:rsidRDefault="00BB2CA3" w:rsidP="0014555F">
      <w:pPr>
        <w:widowControl/>
        <w:tabs>
          <w:tab w:val="left" w:pos="0"/>
        </w:tabs>
        <w:autoSpaceDE w:val="0"/>
        <w:autoSpaceDN w:val="0"/>
        <w:adjustRightInd w:val="0"/>
        <w:ind w:firstLine="0"/>
        <w:rPr>
          <w:sz w:val="26"/>
          <w:szCs w:val="26"/>
        </w:rPr>
      </w:pPr>
    </w:p>
    <w:p w:rsidR="00C70F46" w:rsidRDefault="00C70F46" w:rsidP="00C70F46">
      <w:pPr>
        <w:widowControl/>
        <w:autoSpaceDE w:val="0"/>
        <w:autoSpaceDN w:val="0"/>
        <w:adjustRightInd w:val="0"/>
        <w:ind w:left="1440" w:firstLine="0"/>
        <w:rPr>
          <w:b/>
          <w:sz w:val="26"/>
          <w:szCs w:val="26"/>
        </w:rPr>
      </w:pPr>
    </w:p>
    <w:p w:rsidR="00BE7453" w:rsidRDefault="007D475D" w:rsidP="007D475D">
      <w:pPr>
        <w:widowControl/>
        <w:autoSpaceDE w:val="0"/>
        <w:autoSpaceDN w:val="0"/>
        <w:adjustRightInd w:val="0"/>
        <w:ind w:left="720" w:firstLine="720"/>
        <w:rPr>
          <w:b/>
          <w:sz w:val="26"/>
          <w:szCs w:val="26"/>
        </w:rPr>
      </w:pPr>
      <w:r>
        <w:rPr>
          <w:b/>
          <w:sz w:val="26"/>
          <w:szCs w:val="26"/>
        </w:rPr>
        <w:t>5</w:t>
      </w:r>
      <w:r w:rsidR="00BE7453">
        <w:rPr>
          <w:b/>
          <w:sz w:val="26"/>
          <w:szCs w:val="26"/>
        </w:rPr>
        <w:t xml:space="preserve">. Disposition </w:t>
      </w:r>
    </w:p>
    <w:p w:rsidR="00BE7453" w:rsidRDefault="00BE7453" w:rsidP="00BE7453">
      <w:pPr>
        <w:widowControl/>
        <w:autoSpaceDE w:val="0"/>
        <w:autoSpaceDN w:val="0"/>
        <w:adjustRightInd w:val="0"/>
        <w:ind w:firstLine="720"/>
        <w:rPr>
          <w:b/>
          <w:sz w:val="26"/>
          <w:szCs w:val="26"/>
        </w:rPr>
      </w:pPr>
    </w:p>
    <w:p w:rsidR="00BE7453" w:rsidRPr="006E4922" w:rsidRDefault="00AE14BE" w:rsidP="00BE7453">
      <w:pPr>
        <w:widowControl/>
        <w:autoSpaceDE w:val="0"/>
        <w:autoSpaceDN w:val="0"/>
        <w:adjustRightInd w:val="0"/>
        <w:ind w:firstLine="720"/>
        <w:rPr>
          <w:sz w:val="26"/>
          <w:szCs w:val="26"/>
        </w:rPr>
      </w:pPr>
      <w:r>
        <w:rPr>
          <w:sz w:val="26"/>
        </w:rPr>
        <w:tab/>
      </w:r>
      <w:r w:rsidR="00BE7453">
        <w:rPr>
          <w:sz w:val="26"/>
        </w:rPr>
        <w:t>We agree with PECO</w:t>
      </w:r>
      <w:r w:rsidR="000122C4">
        <w:rPr>
          <w:sz w:val="26"/>
        </w:rPr>
        <w:t>, RESA and FES</w:t>
      </w:r>
      <w:r w:rsidR="00BE7453">
        <w:rPr>
          <w:sz w:val="26"/>
        </w:rPr>
        <w:t xml:space="preserve">, </w:t>
      </w:r>
      <w:r w:rsidR="006E4922">
        <w:rPr>
          <w:sz w:val="26"/>
        </w:rPr>
        <w:t xml:space="preserve">that </w:t>
      </w:r>
      <w:r w:rsidR="006E4922">
        <w:rPr>
          <w:sz w:val="26"/>
          <w:szCs w:val="26"/>
        </w:rPr>
        <w:t xml:space="preserve">PECO’s </w:t>
      </w:r>
      <w:r w:rsidR="00BE7453">
        <w:rPr>
          <w:sz w:val="26"/>
        </w:rPr>
        <w:t xml:space="preserve">Second </w:t>
      </w:r>
      <w:r w:rsidR="006E4922">
        <w:rPr>
          <w:sz w:val="26"/>
        </w:rPr>
        <w:t xml:space="preserve">and Third </w:t>
      </w:r>
      <w:r w:rsidR="00BE7453">
        <w:rPr>
          <w:sz w:val="26"/>
        </w:rPr>
        <w:t xml:space="preserve">Revised </w:t>
      </w:r>
      <w:r w:rsidR="006E4922">
        <w:rPr>
          <w:sz w:val="26"/>
        </w:rPr>
        <w:t xml:space="preserve">Default Service </w:t>
      </w:r>
      <w:r w:rsidR="00BE7453">
        <w:rPr>
          <w:sz w:val="26"/>
        </w:rPr>
        <w:t xml:space="preserve">Plan </w:t>
      </w:r>
      <w:r w:rsidR="006E4922">
        <w:rPr>
          <w:sz w:val="26"/>
        </w:rPr>
        <w:t xml:space="preserve">compliance filing </w:t>
      </w:r>
      <w:r w:rsidR="00ED42E4">
        <w:rPr>
          <w:sz w:val="26"/>
        </w:rPr>
        <w:t>regarding its</w:t>
      </w:r>
      <w:r w:rsidR="00BE7453">
        <w:rPr>
          <w:sz w:val="26"/>
        </w:rPr>
        <w:t xml:space="preserve"> cost recovery provisions are consistent with the Commission’s </w:t>
      </w:r>
      <w:r w:rsidR="00BE7453" w:rsidRPr="0049427A">
        <w:rPr>
          <w:i/>
          <w:sz w:val="26"/>
        </w:rPr>
        <w:t>February 2013 Order</w:t>
      </w:r>
      <w:r w:rsidR="00BE7453">
        <w:rPr>
          <w:sz w:val="26"/>
        </w:rPr>
        <w:t xml:space="preserve">. </w:t>
      </w:r>
      <w:r w:rsidR="006E4922">
        <w:rPr>
          <w:sz w:val="26"/>
        </w:rPr>
        <w:t>We are not persuaded by the</w:t>
      </w:r>
      <w:r w:rsidR="00BE7453">
        <w:rPr>
          <w:sz w:val="26"/>
        </w:rPr>
        <w:t xml:space="preserve"> comments of the OSBA and OCA, in that by establishing a $30.00 customer acquisition fee</w:t>
      </w:r>
      <w:r w:rsidR="006E4922">
        <w:rPr>
          <w:sz w:val="26"/>
        </w:rPr>
        <w:t xml:space="preserve"> cap</w:t>
      </w:r>
      <w:r w:rsidR="00BE7453">
        <w:rPr>
          <w:sz w:val="26"/>
        </w:rPr>
        <w:t xml:space="preserve"> it was </w:t>
      </w:r>
      <w:r w:rsidR="006E4922">
        <w:rPr>
          <w:sz w:val="26"/>
        </w:rPr>
        <w:t>incumbent</w:t>
      </w:r>
      <w:r w:rsidR="00BE7453">
        <w:rPr>
          <w:sz w:val="26"/>
        </w:rPr>
        <w:t xml:space="preserve"> upon PECO to redesign its program to</w:t>
      </w:r>
      <w:r w:rsidR="00BE7453" w:rsidRPr="00BE7453">
        <w:rPr>
          <w:sz w:val="26"/>
          <w:szCs w:val="26"/>
        </w:rPr>
        <w:t xml:space="preserve"> </w:t>
      </w:r>
      <w:r w:rsidR="00BE7453">
        <w:rPr>
          <w:sz w:val="26"/>
          <w:szCs w:val="26"/>
        </w:rPr>
        <w:t>remain within the capped amounts</w:t>
      </w:r>
      <w:r w:rsidR="00BE7453">
        <w:rPr>
          <w:b/>
          <w:sz w:val="26"/>
          <w:szCs w:val="26"/>
        </w:rPr>
        <w:t>.</w:t>
      </w:r>
      <w:r w:rsidR="006E4922">
        <w:rPr>
          <w:b/>
          <w:sz w:val="26"/>
          <w:szCs w:val="26"/>
        </w:rPr>
        <w:t xml:space="preserve">  </w:t>
      </w:r>
      <w:r w:rsidR="00591709">
        <w:rPr>
          <w:sz w:val="26"/>
          <w:szCs w:val="26"/>
        </w:rPr>
        <w:t xml:space="preserve">Furthermore, we agree with PECO </w:t>
      </w:r>
      <w:r w:rsidR="007D475D">
        <w:rPr>
          <w:sz w:val="26"/>
          <w:szCs w:val="26"/>
        </w:rPr>
        <w:t>and FES</w:t>
      </w:r>
      <w:r w:rsidR="00591709">
        <w:rPr>
          <w:sz w:val="26"/>
          <w:szCs w:val="26"/>
        </w:rPr>
        <w:t xml:space="preserve"> that the OCA’s proposal for PECO to consider using the PPL Electric or Duquesne Light SOP design is untimely and bears</w:t>
      </w:r>
      <w:r w:rsidR="007D475D">
        <w:rPr>
          <w:sz w:val="26"/>
          <w:szCs w:val="26"/>
        </w:rPr>
        <w:t xml:space="preserve"> no relationship to the evidentiary record of these proceedings.  Therefore we will approve </w:t>
      </w:r>
      <w:r w:rsidR="007D475D">
        <w:rPr>
          <w:sz w:val="26"/>
          <w:szCs w:val="26"/>
        </w:rPr>
        <w:lastRenderedPageBreak/>
        <w:t>PECO’s Standard Offer Program and its cost recovery provision as filed in its Third Revised Default Service Plan compliance filing.</w:t>
      </w:r>
    </w:p>
    <w:p w:rsidR="00E31C09" w:rsidRDefault="00E31C09" w:rsidP="007D475D">
      <w:pPr>
        <w:widowControl/>
        <w:tabs>
          <w:tab w:val="left" w:pos="-720"/>
          <w:tab w:val="left" w:pos="720"/>
        </w:tabs>
        <w:suppressAutoHyphens/>
        <w:ind w:firstLine="0"/>
        <w:rPr>
          <w:b/>
          <w:sz w:val="26"/>
          <w:szCs w:val="26"/>
        </w:rPr>
      </w:pPr>
    </w:p>
    <w:p w:rsidR="00E31C09" w:rsidRDefault="00E31C09" w:rsidP="0049427A">
      <w:pPr>
        <w:pStyle w:val="ListParagraph"/>
        <w:widowControl/>
        <w:numPr>
          <w:ilvl w:val="0"/>
          <w:numId w:val="14"/>
        </w:numPr>
        <w:tabs>
          <w:tab w:val="left" w:pos="-720"/>
          <w:tab w:val="left" w:pos="720"/>
          <w:tab w:val="left" w:pos="1440"/>
        </w:tabs>
        <w:suppressAutoHyphens/>
        <w:ind w:left="1440" w:hanging="720"/>
        <w:rPr>
          <w:b/>
          <w:sz w:val="26"/>
          <w:szCs w:val="26"/>
        </w:rPr>
      </w:pPr>
      <w:r w:rsidRPr="0049427A">
        <w:rPr>
          <w:b/>
          <w:sz w:val="26"/>
          <w:szCs w:val="26"/>
        </w:rPr>
        <w:t>Expanding the Standard Offer Program to Small Commercial Customers</w:t>
      </w:r>
    </w:p>
    <w:p w:rsidR="0049427A" w:rsidRPr="0049427A" w:rsidRDefault="0049427A" w:rsidP="0049427A">
      <w:pPr>
        <w:pStyle w:val="ListParagraph"/>
        <w:widowControl/>
        <w:tabs>
          <w:tab w:val="left" w:pos="-720"/>
          <w:tab w:val="left" w:pos="720"/>
          <w:tab w:val="left" w:pos="1440"/>
        </w:tabs>
        <w:suppressAutoHyphens/>
        <w:ind w:left="1440" w:firstLine="0"/>
        <w:rPr>
          <w:b/>
          <w:sz w:val="26"/>
          <w:szCs w:val="26"/>
        </w:rPr>
      </w:pPr>
    </w:p>
    <w:p w:rsidR="00E31C09" w:rsidRDefault="00AE14BE" w:rsidP="001D6B9B">
      <w:pPr>
        <w:pStyle w:val="ListParagraph"/>
        <w:widowControl/>
        <w:tabs>
          <w:tab w:val="left" w:pos="-720"/>
          <w:tab w:val="left" w:pos="720"/>
          <w:tab w:val="left" w:pos="1440"/>
        </w:tabs>
        <w:suppressAutoHyphens/>
        <w:ind w:left="0" w:firstLine="0"/>
        <w:rPr>
          <w:sz w:val="26"/>
          <w:szCs w:val="26"/>
        </w:rPr>
      </w:pPr>
      <w:r>
        <w:rPr>
          <w:sz w:val="26"/>
          <w:szCs w:val="26"/>
        </w:rPr>
        <w:tab/>
      </w:r>
      <w:r w:rsidR="001D6B9B">
        <w:rPr>
          <w:sz w:val="26"/>
          <w:szCs w:val="26"/>
        </w:rPr>
        <w:tab/>
      </w:r>
      <w:r w:rsidR="002C0D58">
        <w:rPr>
          <w:sz w:val="26"/>
          <w:szCs w:val="26"/>
        </w:rPr>
        <w:t>In t</w:t>
      </w:r>
      <w:r w:rsidR="00E31C09">
        <w:rPr>
          <w:sz w:val="26"/>
          <w:szCs w:val="26"/>
        </w:rPr>
        <w:t xml:space="preserve">he </w:t>
      </w:r>
      <w:r w:rsidR="0049427A" w:rsidRPr="0049427A">
        <w:rPr>
          <w:i/>
          <w:sz w:val="26"/>
          <w:szCs w:val="26"/>
        </w:rPr>
        <w:t>February 2013 Order</w:t>
      </w:r>
      <w:r w:rsidR="0049427A" w:rsidRPr="0049427A">
        <w:rPr>
          <w:sz w:val="26"/>
          <w:szCs w:val="26"/>
        </w:rPr>
        <w:t xml:space="preserve"> </w:t>
      </w:r>
      <w:r w:rsidR="00E31C09">
        <w:rPr>
          <w:sz w:val="26"/>
          <w:szCs w:val="26"/>
        </w:rPr>
        <w:t xml:space="preserve">and the </w:t>
      </w:r>
      <w:r w:rsidR="0049427A" w:rsidRPr="0049427A">
        <w:rPr>
          <w:i/>
          <w:sz w:val="26"/>
          <w:szCs w:val="26"/>
        </w:rPr>
        <w:t>Nunc Pro Tunc Order</w:t>
      </w:r>
      <w:r w:rsidR="0049427A">
        <w:rPr>
          <w:i/>
          <w:sz w:val="26"/>
          <w:szCs w:val="26"/>
        </w:rPr>
        <w:t>,</w:t>
      </w:r>
      <w:r w:rsidR="001D6B9B">
        <w:rPr>
          <w:sz w:val="26"/>
          <w:szCs w:val="26"/>
        </w:rPr>
        <w:t xml:space="preserve"> </w:t>
      </w:r>
      <w:r w:rsidR="00E31C09">
        <w:rPr>
          <w:sz w:val="26"/>
          <w:szCs w:val="26"/>
        </w:rPr>
        <w:t>directing PECO to include small commercial customers</w:t>
      </w:r>
      <w:r w:rsidR="002C0D58">
        <w:rPr>
          <w:sz w:val="26"/>
          <w:szCs w:val="26"/>
        </w:rPr>
        <w:t xml:space="preserve"> in the SOP within six months or </w:t>
      </w:r>
      <w:r w:rsidR="00A7542E">
        <w:rPr>
          <w:sz w:val="26"/>
          <w:szCs w:val="26"/>
        </w:rPr>
        <w:t xml:space="preserve">by </w:t>
      </w:r>
      <w:r w:rsidR="002C0D58">
        <w:rPr>
          <w:sz w:val="26"/>
          <w:szCs w:val="26"/>
        </w:rPr>
        <w:t>August 14, 2013, the Commission refers to small commercial and industrial customers with loads equal to or below 25kW</w:t>
      </w:r>
      <w:r w:rsidR="002C0D58">
        <w:rPr>
          <w:rStyle w:val="FootnoteReference"/>
          <w:sz w:val="26"/>
          <w:szCs w:val="26"/>
        </w:rPr>
        <w:footnoteReference w:id="6"/>
      </w:r>
      <w:r w:rsidR="002C0D58">
        <w:rPr>
          <w:sz w:val="26"/>
          <w:szCs w:val="26"/>
        </w:rPr>
        <w:t xml:space="preserve">. </w:t>
      </w:r>
    </w:p>
    <w:p w:rsidR="002C0D58" w:rsidRDefault="002C0D58" w:rsidP="00E31C09">
      <w:pPr>
        <w:pStyle w:val="ListParagraph"/>
        <w:widowControl/>
        <w:tabs>
          <w:tab w:val="left" w:pos="-720"/>
          <w:tab w:val="left" w:pos="720"/>
          <w:tab w:val="left" w:pos="1440"/>
        </w:tabs>
        <w:suppressAutoHyphens/>
        <w:ind w:left="0" w:firstLine="1800"/>
        <w:rPr>
          <w:sz w:val="26"/>
          <w:szCs w:val="26"/>
        </w:rPr>
      </w:pPr>
    </w:p>
    <w:p w:rsidR="002C0D58" w:rsidRPr="006A6BFA" w:rsidRDefault="002C0D58" w:rsidP="006A6BFA">
      <w:pPr>
        <w:pStyle w:val="ListParagraph"/>
        <w:widowControl/>
        <w:numPr>
          <w:ilvl w:val="0"/>
          <w:numId w:val="15"/>
        </w:numPr>
        <w:tabs>
          <w:tab w:val="left" w:pos="-720"/>
          <w:tab w:val="left" w:pos="720"/>
          <w:tab w:val="left" w:pos="1440"/>
        </w:tabs>
        <w:suppressAutoHyphens/>
        <w:rPr>
          <w:b/>
          <w:i/>
          <w:sz w:val="26"/>
          <w:szCs w:val="26"/>
        </w:rPr>
      </w:pPr>
      <w:r w:rsidRPr="006A6BFA">
        <w:rPr>
          <w:b/>
          <w:sz w:val="26"/>
          <w:szCs w:val="26"/>
        </w:rPr>
        <w:t>PECO’s position</w:t>
      </w:r>
    </w:p>
    <w:p w:rsidR="009231EB" w:rsidRPr="002C0D58" w:rsidRDefault="009231EB" w:rsidP="009231EB">
      <w:pPr>
        <w:pStyle w:val="ListParagraph"/>
        <w:widowControl/>
        <w:tabs>
          <w:tab w:val="left" w:pos="-720"/>
          <w:tab w:val="left" w:pos="720"/>
          <w:tab w:val="left" w:pos="1440"/>
        </w:tabs>
        <w:suppressAutoHyphens/>
        <w:ind w:left="1800" w:firstLine="0"/>
        <w:rPr>
          <w:b/>
          <w:i/>
          <w:sz w:val="26"/>
          <w:szCs w:val="26"/>
        </w:rPr>
      </w:pPr>
    </w:p>
    <w:p w:rsidR="002C0D58" w:rsidRDefault="00AE14BE" w:rsidP="002C0D58">
      <w:pPr>
        <w:widowControl/>
        <w:tabs>
          <w:tab w:val="left" w:pos="-720"/>
          <w:tab w:val="left" w:pos="720"/>
          <w:tab w:val="left" w:pos="1440"/>
        </w:tabs>
        <w:suppressAutoHyphens/>
        <w:ind w:firstLine="0"/>
        <w:rPr>
          <w:sz w:val="26"/>
          <w:szCs w:val="26"/>
        </w:rPr>
      </w:pPr>
      <w:r w:rsidRPr="00AE14BE">
        <w:rPr>
          <w:sz w:val="26"/>
          <w:szCs w:val="26"/>
        </w:rPr>
        <w:tab/>
      </w:r>
      <w:r w:rsidR="002C0D58" w:rsidRPr="00AE14BE">
        <w:rPr>
          <w:sz w:val="26"/>
          <w:szCs w:val="26"/>
        </w:rPr>
        <w:tab/>
      </w:r>
      <w:r w:rsidR="006A6BFA">
        <w:rPr>
          <w:sz w:val="26"/>
          <w:szCs w:val="26"/>
        </w:rPr>
        <w:t xml:space="preserve">Under PECO’s existing tariffs, small commercial customers are non-residential customers with peak demands equal or below 100kW.  </w:t>
      </w:r>
      <w:r w:rsidR="009231EB">
        <w:rPr>
          <w:sz w:val="26"/>
          <w:szCs w:val="26"/>
        </w:rPr>
        <w:t>PECO asserts that imposing a different definition of small commercial customer from that of its current tariffs, for the SOP would lead to significant additional IT expenses and further delay the ability of any small commercial customers to participate in the SOP. PECO also states that in planning for incorporation of small commercial customer’s, PECO has determined  that it will be able to more easily and efficiently design and implement the SOP for both residential and small commercial in the approximate timefram</w:t>
      </w:r>
      <w:r w:rsidR="00461C84">
        <w:rPr>
          <w:sz w:val="26"/>
          <w:szCs w:val="26"/>
        </w:rPr>
        <w:t xml:space="preserve">e </w:t>
      </w:r>
      <w:r w:rsidR="008540D2">
        <w:rPr>
          <w:sz w:val="26"/>
          <w:szCs w:val="26"/>
        </w:rPr>
        <w:t>the Commission permitted for introduction of the program to small commercial customers</w:t>
      </w:r>
      <w:r w:rsidR="00A7542E">
        <w:rPr>
          <w:sz w:val="26"/>
          <w:szCs w:val="26"/>
        </w:rPr>
        <w:t>.  PECO proposes a revised schedule under which t</w:t>
      </w:r>
      <w:r w:rsidR="0066687D">
        <w:rPr>
          <w:sz w:val="26"/>
          <w:szCs w:val="26"/>
        </w:rPr>
        <w:t xml:space="preserve">he SOP will be operating by </w:t>
      </w:r>
      <w:r w:rsidR="00A7542E">
        <w:rPr>
          <w:sz w:val="26"/>
          <w:szCs w:val="26"/>
        </w:rPr>
        <w:t>August</w:t>
      </w:r>
      <w:r w:rsidR="0066687D">
        <w:rPr>
          <w:sz w:val="26"/>
          <w:szCs w:val="26"/>
        </w:rPr>
        <w:t xml:space="preserve"> 19,</w:t>
      </w:r>
      <w:r w:rsidR="00A7542E">
        <w:rPr>
          <w:sz w:val="26"/>
          <w:szCs w:val="26"/>
        </w:rPr>
        <w:t xml:space="preserve"> 2013 for both residential and small commercial customers, with PECO ready to accept applications from EGSs beginning on July 1, 2013.</w:t>
      </w:r>
    </w:p>
    <w:p w:rsidR="00A7542E" w:rsidRDefault="00A7542E" w:rsidP="002C0D58">
      <w:pPr>
        <w:widowControl/>
        <w:tabs>
          <w:tab w:val="left" w:pos="-720"/>
          <w:tab w:val="left" w:pos="720"/>
          <w:tab w:val="left" w:pos="1440"/>
        </w:tabs>
        <w:suppressAutoHyphens/>
        <w:ind w:firstLine="0"/>
        <w:rPr>
          <w:sz w:val="26"/>
          <w:szCs w:val="26"/>
        </w:rPr>
      </w:pPr>
    </w:p>
    <w:p w:rsidR="00A7542E" w:rsidRPr="006A6BFA" w:rsidRDefault="00A7542E" w:rsidP="006A6BFA">
      <w:pPr>
        <w:pStyle w:val="ListParagraph"/>
        <w:widowControl/>
        <w:numPr>
          <w:ilvl w:val="0"/>
          <w:numId w:val="15"/>
        </w:numPr>
        <w:tabs>
          <w:tab w:val="left" w:pos="-720"/>
          <w:tab w:val="left" w:pos="720"/>
          <w:tab w:val="left" w:pos="1440"/>
        </w:tabs>
        <w:suppressAutoHyphens/>
        <w:rPr>
          <w:b/>
          <w:sz w:val="26"/>
          <w:szCs w:val="26"/>
        </w:rPr>
      </w:pPr>
      <w:r w:rsidRPr="006A6BFA">
        <w:rPr>
          <w:b/>
          <w:sz w:val="26"/>
          <w:szCs w:val="26"/>
        </w:rPr>
        <w:t>OSBA’s position</w:t>
      </w:r>
    </w:p>
    <w:p w:rsidR="00C12406" w:rsidRDefault="00AE14BE" w:rsidP="00E327D9">
      <w:pPr>
        <w:widowControl/>
        <w:tabs>
          <w:tab w:val="left" w:pos="-720"/>
          <w:tab w:val="left" w:pos="720"/>
          <w:tab w:val="left" w:pos="1440"/>
        </w:tabs>
        <w:suppressAutoHyphens/>
        <w:ind w:firstLine="0"/>
        <w:rPr>
          <w:b/>
          <w:sz w:val="26"/>
          <w:szCs w:val="26"/>
        </w:rPr>
      </w:pPr>
      <w:r>
        <w:rPr>
          <w:b/>
          <w:sz w:val="26"/>
          <w:szCs w:val="26"/>
        </w:rPr>
        <w:lastRenderedPageBreak/>
        <w:tab/>
      </w:r>
      <w:r w:rsidR="00E327D9">
        <w:rPr>
          <w:b/>
          <w:sz w:val="26"/>
          <w:szCs w:val="26"/>
        </w:rPr>
        <w:tab/>
      </w:r>
      <w:r w:rsidR="00E327D9">
        <w:rPr>
          <w:sz w:val="26"/>
          <w:szCs w:val="26"/>
        </w:rPr>
        <w:t xml:space="preserve">OSBA opines that at no time during this proceeding has any party, including PECO, ever advocated that small commercial customers be defined for purposes of RME Program eligibility in any other way, than those with loads below 25kW.  </w:t>
      </w:r>
      <w:r w:rsidR="0066687D">
        <w:rPr>
          <w:sz w:val="26"/>
          <w:szCs w:val="26"/>
        </w:rPr>
        <w:t>T</w:t>
      </w:r>
      <w:r w:rsidR="00C12406">
        <w:rPr>
          <w:sz w:val="26"/>
          <w:szCs w:val="26"/>
        </w:rPr>
        <w:t>he OSBA</w:t>
      </w:r>
      <w:r w:rsidR="00E327D9">
        <w:rPr>
          <w:sz w:val="26"/>
          <w:szCs w:val="26"/>
        </w:rPr>
        <w:t xml:space="preserve"> does not o</w:t>
      </w:r>
      <w:r w:rsidR="00C12406">
        <w:rPr>
          <w:sz w:val="26"/>
          <w:szCs w:val="26"/>
        </w:rPr>
        <w:t>bject to the change requested in PECO’s Third Revised Plan with respect to the definition of small commercial customers.</w:t>
      </w:r>
      <w:r w:rsidR="00E327D9">
        <w:rPr>
          <w:sz w:val="26"/>
          <w:szCs w:val="26"/>
        </w:rPr>
        <w:t xml:space="preserve"> </w:t>
      </w:r>
      <w:r w:rsidR="00C12406">
        <w:rPr>
          <w:sz w:val="26"/>
          <w:szCs w:val="26"/>
        </w:rPr>
        <w:t>(OSBA April comments at 5-6)</w:t>
      </w:r>
      <w:r w:rsidR="00E327D9">
        <w:rPr>
          <w:b/>
          <w:sz w:val="26"/>
          <w:szCs w:val="26"/>
        </w:rPr>
        <w:t xml:space="preserve"> </w:t>
      </w:r>
    </w:p>
    <w:p w:rsidR="00C12406" w:rsidRDefault="00C12406" w:rsidP="00E327D9">
      <w:pPr>
        <w:widowControl/>
        <w:tabs>
          <w:tab w:val="left" w:pos="-720"/>
          <w:tab w:val="left" w:pos="720"/>
          <w:tab w:val="left" w:pos="1440"/>
        </w:tabs>
        <w:suppressAutoHyphens/>
        <w:ind w:firstLine="0"/>
        <w:rPr>
          <w:b/>
          <w:sz w:val="26"/>
          <w:szCs w:val="26"/>
        </w:rPr>
      </w:pPr>
    </w:p>
    <w:p w:rsidR="00C12406" w:rsidRDefault="001919B8" w:rsidP="006A6BFA">
      <w:pPr>
        <w:pStyle w:val="ListParagraph"/>
        <w:widowControl/>
        <w:numPr>
          <w:ilvl w:val="0"/>
          <w:numId w:val="15"/>
        </w:numPr>
        <w:tabs>
          <w:tab w:val="left" w:pos="-720"/>
          <w:tab w:val="left" w:pos="720"/>
          <w:tab w:val="left" w:pos="1440"/>
        </w:tabs>
        <w:suppressAutoHyphens/>
        <w:rPr>
          <w:b/>
          <w:sz w:val="26"/>
          <w:szCs w:val="26"/>
        </w:rPr>
      </w:pPr>
      <w:r>
        <w:rPr>
          <w:b/>
          <w:sz w:val="26"/>
          <w:szCs w:val="26"/>
        </w:rPr>
        <w:t>Disposition</w:t>
      </w:r>
    </w:p>
    <w:p w:rsidR="001919B8" w:rsidRDefault="001919B8" w:rsidP="001919B8">
      <w:pPr>
        <w:widowControl/>
        <w:tabs>
          <w:tab w:val="left" w:pos="-720"/>
          <w:tab w:val="left" w:pos="720"/>
          <w:tab w:val="left" w:pos="1440"/>
        </w:tabs>
        <w:suppressAutoHyphens/>
        <w:ind w:firstLine="0"/>
        <w:rPr>
          <w:b/>
          <w:sz w:val="26"/>
          <w:szCs w:val="26"/>
        </w:rPr>
      </w:pPr>
      <w:r>
        <w:rPr>
          <w:b/>
          <w:sz w:val="26"/>
          <w:szCs w:val="26"/>
        </w:rPr>
        <w:tab/>
      </w:r>
      <w:r>
        <w:rPr>
          <w:b/>
          <w:sz w:val="26"/>
          <w:szCs w:val="26"/>
        </w:rPr>
        <w:tab/>
      </w:r>
    </w:p>
    <w:p w:rsidR="00EE32A7" w:rsidRDefault="001919B8" w:rsidP="001919B8">
      <w:pPr>
        <w:widowControl/>
        <w:tabs>
          <w:tab w:val="left" w:pos="-720"/>
          <w:tab w:val="left" w:pos="720"/>
          <w:tab w:val="left" w:pos="1440"/>
        </w:tabs>
        <w:suppressAutoHyphens/>
        <w:ind w:firstLine="0"/>
        <w:rPr>
          <w:sz w:val="26"/>
          <w:szCs w:val="26"/>
        </w:rPr>
      </w:pPr>
      <w:r>
        <w:rPr>
          <w:b/>
          <w:sz w:val="26"/>
          <w:szCs w:val="26"/>
        </w:rPr>
        <w:tab/>
      </w:r>
      <w:r>
        <w:rPr>
          <w:b/>
          <w:sz w:val="26"/>
          <w:szCs w:val="26"/>
        </w:rPr>
        <w:tab/>
      </w:r>
      <w:r>
        <w:rPr>
          <w:sz w:val="26"/>
          <w:szCs w:val="26"/>
        </w:rPr>
        <w:t>We find that PECO’s proposal to use its existing tariff definition for small and industrial customers</w:t>
      </w:r>
      <w:r w:rsidR="00EE32A7">
        <w:rPr>
          <w:sz w:val="26"/>
          <w:szCs w:val="26"/>
        </w:rPr>
        <w:t xml:space="preserve"> (customers with peak load demand of 100kW or less) to be reasonable and deemed approved. We also approve PECO’s proposed revised schedule under which the SOP will be operating by mid-August 2013 for both residential and small commercial customers, with PECO ready to accept applications from EGSs beginning on July 1, 2013.</w:t>
      </w:r>
    </w:p>
    <w:p w:rsidR="00EE32A7" w:rsidRDefault="00EE32A7" w:rsidP="001919B8">
      <w:pPr>
        <w:widowControl/>
        <w:tabs>
          <w:tab w:val="left" w:pos="-720"/>
          <w:tab w:val="left" w:pos="720"/>
          <w:tab w:val="left" w:pos="1440"/>
        </w:tabs>
        <w:suppressAutoHyphens/>
        <w:ind w:firstLine="0"/>
        <w:rPr>
          <w:sz w:val="26"/>
          <w:szCs w:val="26"/>
        </w:rPr>
      </w:pPr>
    </w:p>
    <w:p w:rsidR="001919B8" w:rsidRPr="006A6BFA" w:rsidRDefault="006A6BFA" w:rsidP="006A6BFA">
      <w:pPr>
        <w:widowControl/>
        <w:tabs>
          <w:tab w:val="left" w:pos="-720"/>
          <w:tab w:val="left" w:pos="720"/>
          <w:tab w:val="left" w:pos="1440"/>
        </w:tabs>
        <w:suppressAutoHyphens/>
        <w:ind w:firstLine="0"/>
        <w:rPr>
          <w:b/>
          <w:sz w:val="26"/>
          <w:szCs w:val="26"/>
        </w:rPr>
      </w:pPr>
      <w:r>
        <w:rPr>
          <w:b/>
          <w:sz w:val="26"/>
          <w:szCs w:val="26"/>
        </w:rPr>
        <w:tab/>
        <w:t xml:space="preserve">C.  </w:t>
      </w:r>
      <w:r w:rsidR="00EE32A7" w:rsidRPr="006A6BFA">
        <w:rPr>
          <w:b/>
          <w:sz w:val="26"/>
          <w:szCs w:val="26"/>
        </w:rPr>
        <w:t xml:space="preserve">Miscellaneous </w:t>
      </w:r>
    </w:p>
    <w:p w:rsidR="00EE32A7" w:rsidRDefault="00EE32A7" w:rsidP="00EE32A7">
      <w:pPr>
        <w:pStyle w:val="ListParagraph"/>
        <w:widowControl/>
        <w:tabs>
          <w:tab w:val="left" w:pos="-720"/>
          <w:tab w:val="left" w:pos="720"/>
          <w:tab w:val="left" w:pos="1440"/>
        </w:tabs>
        <w:suppressAutoHyphens/>
        <w:ind w:left="1800" w:firstLine="0"/>
        <w:rPr>
          <w:b/>
          <w:sz w:val="26"/>
          <w:szCs w:val="26"/>
        </w:rPr>
      </w:pPr>
    </w:p>
    <w:p w:rsidR="00EE32A7" w:rsidRDefault="00383B8B" w:rsidP="006A6BFA">
      <w:pPr>
        <w:pStyle w:val="ListParagraph"/>
        <w:widowControl/>
        <w:numPr>
          <w:ilvl w:val="0"/>
          <w:numId w:val="17"/>
        </w:numPr>
        <w:tabs>
          <w:tab w:val="left" w:pos="-720"/>
          <w:tab w:val="left" w:pos="720"/>
          <w:tab w:val="left" w:pos="1440"/>
        </w:tabs>
        <w:suppressAutoHyphens/>
        <w:rPr>
          <w:b/>
          <w:sz w:val="26"/>
          <w:szCs w:val="26"/>
        </w:rPr>
      </w:pPr>
      <w:r w:rsidRPr="006A6BFA">
        <w:rPr>
          <w:b/>
          <w:sz w:val="26"/>
          <w:szCs w:val="26"/>
        </w:rPr>
        <w:t>Suspending the ROI Program</w:t>
      </w:r>
    </w:p>
    <w:p w:rsidR="006A6BFA" w:rsidRPr="006A6BFA" w:rsidRDefault="006A6BFA" w:rsidP="006A6BFA">
      <w:pPr>
        <w:pStyle w:val="ListParagraph"/>
        <w:widowControl/>
        <w:tabs>
          <w:tab w:val="left" w:pos="-720"/>
          <w:tab w:val="left" w:pos="720"/>
          <w:tab w:val="left" w:pos="1440"/>
        </w:tabs>
        <w:suppressAutoHyphens/>
        <w:ind w:left="2160" w:firstLine="0"/>
        <w:rPr>
          <w:b/>
          <w:sz w:val="26"/>
          <w:szCs w:val="26"/>
        </w:rPr>
      </w:pPr>
    </w:p>
    <w:p w:rsidR="00383B8B" w:rsidRDefault="00383B8B" w:rsidP="00383B8B">
      <w:pPr>
        <w:widowControl/>
        <w:tabs>
          <w:tab w:val="left" w:pos="-720"/>
          <w:tab w:val="left" w:pos="720"/>
          <w:tab w:val="left" w:pos="1440"/>
          <w:tab w:val="left" w:pos="1530"/>
        </w:tabs>
        <w:suppressAutoHyphens/>
        <w:rPr>
          <w:sz w:val="26"/>
          <w:szCs w:val="26"/>
        </w:rPr>
      </w:pPr>
      <w:r w:rsidRPr="00383B8B">
        <w:rPr>
          <w:sz w:val="26"/>
          <w:szCs w:val="26"/>
        </w:rPr>
        <w:t>On April 4, 2013, the Commission issued a Final Order (</w:t>
      </w:r>
      <w:r w:rsidRPr="001D6B9B">
        <w:rPr>
          <w:i/>
          <w:sz w:val="26"/>
          <w:szCs w:val="26"/>
        </w:rPr>
        <w:t>ROI Suspension Order</w:t>
      </w:r>
      <w:r w:rsidRPr="00383B8B">
        <w:rPr>
          <w:sz w:val="26"/>
          <w:szCs w:val="26"/>
        </w:rPr>
        <w:t>) directing PECO and other Large EDCs to postpone implementation of their ROI Programs and to the extent necessary, submit conforming revisions to their default service plans with in thirty days of the entry of the Order (May 4, 2013).</w:t>
      </w:r>
      <w:r>
        <w:rPr>
          <w:sz w:val="26"/>
          <w:szCs w:val="26"/>
        </w:rPr>
        <w:t xml:space="preserve">  PECO has submitted for compliance changes in its Electric Service Tariff, Supplement No. 74 to Electric PA P.U.C No. 4 </w:t>
      </w:r>
      <w:r w:rsidR="00543FAE">
        <w:rPr>
          <w:sz w:val="26"/>
          <w:szCs w:val="26"/>
        </w:rPr>
        <w:t xml:space="preserve">and Electric Supplier Coordination Tariff, Supplement No. 15 to Tariff Electric Pa. P.U.C No. 1S that reflect the suspension of the ROI Program. No party has commented on this issue.  The Tariff changes to suspend the ROI </w:t>
      </w:r>
      <w:r w:rsidR="00AE0140">
        <w:rPr>
          <w:sz w:val="26"/>
          <w:szCs w:val="26"/>
        </w:rPr>
        <w:t>program are</w:t>
      </w:r>
      <w:r w:rsidR="00543FAE">
        <w:rPr>
          <w:sz w:val="26"/>
          <w:szCs w:val="26"/>
        </w:rPr>
        <w:t xml:space="preserve"> approved.</w:t>
      </w:r>
    </w:p>
    <w:p w:rsidR="00543FAE" w:rsidRDefault="00543FAE" w:rsidP="00383B8B">
      <w:pPr>
        <w:widowControl/>
        <w:tabs>
          <w:tab w:val="left" w:pos="-720"/>
          <w:tab w:val="left" w:pos="720"/>
          <w:tab w:val="left" w:pos="1440"/>
          <w:tab w:val="left" w:pos="1530"/>
        </w:tabs>
        <w:suppressAutoHyphens/>
        <w:rPr>
          <w:sz w:val="26"/>
          <w:szCs w:val="26"/>
        </w:rPr>
      </w:pPr>
    </w:p>
    <w:p w:rsidR="00543FAE" w:rsidRPr="006C6AAB" w:rsidRDefault="00543FAE" w:rsidP="006C6AAB">
      <w:pPr>
        <w:pStyle w:val="ListParagraph"/>
        <w:widowControl/>
        <w:numPr>
          <w:ilvl w:val="0"/>
          <w:numId w:val="17"/>
        </w:numPr>
        <w:tabs>
          <w:tab w:val="left" w:pos="-720"/>
          <w:tab w:val="left" w:pos="720"/>
          <w:tab w:val="left" w:pos="1440"/>
          <w:tab w:val="left" w:pos="1530"/>
          <w:tab w:val="left" w:pos="1800"/>
        </w:tabs>
        <w:suppressAutoHyphens/>
        <w:rPr>
          <w:b/>
          <w:sz w:val="26"/>
          <w:szCs w:val="26"/>
        </w:rPr>
      </w:pPr>
      <w:r w:rsidRPr="006C6AAB">
        <w:rPr>
          <w:b/>
          <w:sz w:val="26"/>
          <w:szCs w:val="26"/>
        </w:rPr>
        <w:t>Affiliated Interest Agreement</w:t>
      </w:r>
    </w:p>
    <w:p w:rsidR="00543FAE" w:rsidRDefault="00543FAE" w:rsidP="00543FAE">
      <w:pPr>
        <w:pStyle w:val="ListParagraph"/>
        <w:widowControl/>
        <w:tabs>
          <w:tab w:val="left" w:pos="-720"/>
          <w:tab w:val="left" w:pos="720"/>
          <w:tab w:val="left" w:pos="1440"/>
          <w:tab w:val="left" w:pos="1530"/>
          <w:tab w:val="left" w:pos="1800"/>
        </w:tabs>
        <w:suppressAutoHyphens/>
        <w:ind w:left="2160" w:firstLine="0"/>
        <w:rPr>
          <w:b/>
          <w:sz w:val="26"/>
          <w:szCs w:val="26"/>
        </w:rPr>
      </w:pPr>
    </w:p>
    <w:p w:rsidR="00543FAE" w:rsidRDefault="00543FAE" w:rsidP="00543FAE">
      <w:pPr>
        <w:widowControl/>
        <w:tabs>
          <w:tab w:val="left" w:pos="-720"/>
          <w:tab w:val="left" w:pos="720"/>
          <w:tab w:val="left" w:pos="1440"/>
          <w:tab w:val="left" w:pos="1530"/>
          <w:tab w:val="left" w:pos="1800"/>
        </w:tabs>
        <w:suppressAutoHyphens/>
        <w:rPr>
          <w:sz w:val="26"/>
          <w:szCs w:val="26"/>
        </w:rPr>
      </w:pPr>
      <w:r>
        <w:rPr>
          <w:sz w:val="26"/>
          <w:szCs w:val="26"/>
        </w:rPr>
        <w:t xml:space="preserve">PECO submits that in light of the changes made to the Form Agreement in the Standard Offer Program Rules to incorporate small commercial customers, the Company requests that the Commission approve the revised form for use as an affiliated interest agreement under 66 Pa.C.S. §2102.  No party has commented on this issue. We will grant PECO’s request, and note that the </w:t>
      </w:r>
      <w:r w:rsidR="00862724">
        <w:rPr>
          <w:sz w:val="26"/>
          <w:szCs w:val="26"/>
        </w:rPr>
        <w:t xml:space="preserve">Company does not have to file a separate affiliated interest agreement for the participation of an affiliate as a supplier in the SOP. </w:t>
      </w:r>
    </w:p>
    <w:p w:rsidR="00626B97" w:rsidRPr="00543FAE" w:rsidRDefault="00626B97" w:rsidP="00543FAE">
      <w:pPr>
        <w:widowControl/>
        <w:tabs>
          <w:tab w:val="left" w:pos="-720"/>
          <w:tab w:val="left" w:pos="720"/>
          <w:tab w:val="left" w:pos="1440"/>
          <w:tab w:val="left" w:pos="1530"/>
          <w:tab w:val="left" w:pos="1800"/>
        </w:tabs>
        <w:suppressAutoHyphens/>
        <w:rPr>
          <w:sz w:val="26"/>
          <w:szCs w:val="26"/>
        </w:rPr>
      </w:pPr>
    </w:p>
    <w:p w:rsidR="001A034E" w:rsidRPr="001A034E" w:rsidRDefault="001A034E" w:rsidP="001A034E">
      <w:pPr>
        <w:pStyle w:val="Heading1"/>
        <w:spacing w:line="240" w:lineRule="auto"/>
      </w:pPr>
      <w:r w:rsidRPr="001A034E">
        <w:t>Conclusion</w:t>
      </w:r>
    </w:p>
    <w:p w:rsidR="001A034E" w:rsidRPr="001A034E" w:rsidRDefault="001A034E" w:rsidP="001A034E">
      <w:pPr>
        <w:rPr>
          <w:sz w:val="26"/>
        </w:rPr>
      </w:pPr>
    </w:p>
    <w:p w:rsidR="001A034E" w:rsidRDefault="00AE0140" w:rsidP="001A034E">
      <w:pPr>
        <w:rPr>
          <w:b/>
          <w:sz w:val="26"/>
        </w:rPr>
      </w:pPr>
      <w:r>
        <w:rPr>
          <w:sz w:val="26"/>
        </w:rPr>
        <w:t>Based on the foregoing discussion, we shall approve PECO Energy Compan</w:t>
      </w:r>
      <w:r w:rsidR="0066687D">
        <w:rPr>
          <w:sz w:val="26"/>
        </w:rPr>
        <w:t>y’s</w:t>
      </w:r>
      <w:r>
        <w:rPr>
          <w:sz w:val="26"/>
        </w:rPr>
        <w:t xml:space="preserve"> Third Revised Default Service Plan Compliance filing</w:t>
      </w:r>
      <w:r w:rsidR="001A034E" w:rsidRPr="001A034E">
        <w:rPr>
          <w:sz w:val="26"/>
        </w:rPr>
        <w:t xml:space="preserve">; </w:t>
      </w:r>
      <w:r w:rsidR="001A034E" w:rsidRPr="001A034E">
        <w:rPr>
          <w:b/>
          <w:sz w:val="26"/>
        </w:rPr>
        <w:t>THEREFORE,</w:t>
      </w:r>
    </w:p>
    <w:p w:rsidR="001A034E" w:rsidRPr="001A034E" w:rsidRDefault="001A034E" w:rsidP="001A034E">
      <w:pPr>
        <w:rPr>
          <w:b/>
          <w:sz w:val="26"/>
        </w:rPr>
      </w:pPr>
    </w:p>
    <w:p w:rsidR="001A034E" w:rsidRPr="001A034E" w:rsidRDefault="001A034E" w:rsidP="001A034E">
      <w:pPr>
        <w:keepNext/>
        <w:widowControl/>
        <w:spacing w:line="240" w:lineRule="auto"/>
        <w:rPr>
          <w:sz w:val="26"/>
        </w:rPr>
      </w:pPr>
      <w:r w:rsidRPr="001A034E">
        <w:rPr>
          <w:b/>
          <w:sz w:val="26"/>
          <w:szCs w:val="26"/>
        </w:rPr>
        <w:t>IT IS ORDERED:</w:t>
      </w:r>
      <w:r w:rsidRPr="001A034E">
        <w:rPr>
          <w:sz w:val="26"/>
        </w:rPr>
        <w:t xml:space="preserve">  </w:t>
      </w:r>
    </w:p>
    <w:p w:rsidR="001A034E" w:rsidRPr="001A034E" w:rsidRDefault="001A034E" w:rsidP="001A034E">
      <w:pPr>
        <w:keepNext/>
        <w:widowControl/>
        <w:spacing w:line="240" w:lineRule="auto"/>
        <w:rPr>
          <w:sz w:val="26"/>
        </w:rPr>
      </w:pPr>
    </w:p>
    <w:p w:rsidR="001A034E" w:rsidRDefault="001A034E" w:rsidP="001A034E">
      <w:pPr>
        <w:keepNext/>
        <w:widowControl/>
        <w:rPr>
          <w:sz w:val="26"/>
          <w:szCs w:val="26"/>
        </w:rPr>
      </w:pPr>
      <w:r w:rsidRPr="001A034E">
        <w:rPr>
          <w:sz w:val="26"/>
        </w:rPr>
        <w:t>1.</w:t>
      </w:r>
      <w:r w:rsidRPr="001A034E">
        <w:rPr>
          <w:sz w:val="26"/>
        </w:rPr>
        <w:tab/>
      </w:r>
      <w:r w:rsidRPr="001A034E">
        <w:rPr>
          <w:sz w:val="26"/>
          <w:szCs w:val="26"/>
        </w:rPr>
        <w:t xml:space="preserve"> </w:t>
      </w:r>
      <w:r w:rsidR="00AE0140">
        <w:rPr>
          <w:sz w:val="26"/>
          <w:szCs w:val="26"/>
        </w:rPr>
        <w:t>That the PECO Energy Company’s Third</w:t>
      </w:r>
      <w:r w:rsidR="0066687D">
        <w:rPr>
          <w:sz w:val="26"/>
          <w:szCs w:val="26"/>
        </w:rPr>
        <w:t xml:space="preserve"> Revised Default Service Plan Compliance Filing</w:t>
      </w:r>
      <w:r w:rsidR="00AE0140">
        <w:rPr>
          <w:sz w:val="26"/>
          <w:szCs w:val="26"/>
        </w:rPr>
        <w:t xml:space="preserve"> is approved as filed.</w:t>
      </w:r>
    </w:p>
    <w:p w:rsidR="00AE0140" w:rsidRDefault="00AE0140" w:rsidP="001A034E">
      <w:pPr>
        <w:keepNext/>
        <w:widowControl/>
        <w:rPr>
          <w:sz w:val="26"/>
          <w:szCs w:val="26"/>
        </w:rPr>
      </w:pPr>
    </w:p>
    <w:p w:rsidR="00626B97" w:rsidRDefault="00F86D8F" w:rsidP="0066687D">
      <w:pPr>
        <w:keepNext/>
        <w:widowControl/>
        <w:tabs>
          <w:tab w:val="left" w:pos="90"/>
        </w:tabs>
        <w:ind w:firstLine="0"/>
        <w:rPr>
          <w:sz w:val="26"/>
          <w:szCs w:val="26"/>
        </w:rPr>
      </w:pPr>
      <w:r>
        <w:rPr>
          <w:sz w:val="26"/>
          <w:szCs w:val="26"/>
        </w:rPr>
        <w:tab/>
      </w:r>
      <w:r>
        <w:rPr>
          <w:sz w:val="26"/>
          <w:szCs w:val="26"/>
        </w:rPr>
        <w:tab/>
      </w:r>
      <w:r>
        <w:rPr>
          <w:sz w:val="26"/>
          <w:szCs w:val="26"/>
        </w:rPr>
        <w:tab/>
        <w:t>2.</w:t>
      </w:r>
      <w:r w:rsidR="00AE0140" w:rsidRPr="00F86D8F">
        <w:rPr>
          <w:sz w:val="26"/>
          <w:szCs w:val="26"/>
        </w:rPr>
        <w:t xml:space="preserve"> </w:t>
      </w:r>
      <w:r>
        <w:rPr>
          <w:sz w:val="26"/>
          <w:szCs w:val="26"/>
        </w:rPr>
        <w:tab/>
      </w:r>
      <w:r w:rsidR="00AE0140" w:rsidRPr="00F86D8F">
        <w:rPr>
          <w:sz w:val="26"/>
          <w:szCs w:val="26"/>
        </w:rPr>
        <w:t>That changes to Electric Service Tariff, Supplement No. 74 to Electric PA P.U.C No.4</w:t>
      </w:r>
      <w:r w:rsidR="006C6AAB">
        <w:rPr>
          <w:sz w:val="26"/>
          <w:szCs w:val="26"/>
        </w:rPr>
        <w:t xml:space="preserve"> with an effective date  of June 14, 2013</w:t>
      </w:r>
      <w:r w:rsidR="00AE0140" w:rsidRPr="00F86D8F">
        <w:rPr>
          <w:sz w:val="26"/>
          <w:szCs w:val="26"/>
        </w:rPr>
        <w:t xml:space="preserve"> and Electric Supplier Coordination Tariff, Supplement No. 15 to Tariff Electric Pa. P.U.C No. 1S</w:t>
      </w:r>
      <w:r w:rsidR="006C6AAB" w:rsidRPr="006C6AAB">
        <w:rPr>
          <w:sz w:val="26"/>
          <w:szCs w:val="26"/>
        </w:rPr>
        <w:t xml:space="preserve"> </w:t>
      </w:r>
      <w:r w:rsidR="006C6AAB">
        <w:rPr>
          <w:sz w:val="26"/>
          <w:szCs w:val="26"/>
        </w:rPr>
        <w:t>with an effective date  of June 14, 2013, which</w:t>
      </w:r>
      <w:r w:rsidR="00AE0140" w:rsidRPr="00F86D8F">
        <w:rPr>
          <w:sz w:val="26"/>
          <w:szCs w:val="26"/>
        </w:rPr>
        <w:t xml:space="preserve"> reflect the suspension of the ROI Program are approved.</w:t>
      </w:r>
      <w:r w:rsidR="00626B97">
        <w:rPr>
          <w:sz w:val="26"/>
          <w:szCs w:val="26"/>
        </w:rPr>
        <w:br w:type="page"/>
      </w:r>
    </w:p>
    <w:p w:rsidR="001A034E" w:rsidRDefault="00AE0140" w:rsidP="006C6AAB">
      <w:pPr>
        <w:pStyle w:val="ListParagraph"/>
        <w:numPr>
          <w:ilvl w:val="0"/>
          <w:numId w:val="17"/>
        </w:numPr>
        <w:ind w:left="0" w:firstLine="1440"/>
        <w:rPr>
          <w:sz w:val="26"/>
        </w:rPr>
      </w:pPr>
      <w:r w:rsidRPr="006C6AAB">
        <w:rPr>
          <w:sz w:val="26"/>
        </w:rPr>
        <w:lastRenderedPageBreak/>
        <w:t>That a copy of this Final</w:t>
      </w:r>
      <w:r w:rsidR="001A034E" w:rsidRPr="006C6AAB">
        <w:rPr>
          <w:sz w:val="26"/>
        </w:rPr>
        <w:t xml:space="preserve"> Order be served on all active Parties to the proceedings at Docket No. </w:t>
      </w:r>
      <w:r w:rsidRPr="006C6AAB">
        <w:rPr>
          <w:sz w:val="26"/>
          <w:szCs w:val="26"/>
        </w:rPr>
        <w:t>P-2012-2283641</w:t>
      </w:r>
      <w:r w:rsidR="006E733D" w:rsidRPr="006C6AAB">
        <w:rPr>
          <w:sz w:val="26"/>
        </w:rPr>
        <w:t>.</w:t>
      </w:r>
    </w:p>
    <w:p w:rsidR="006C6AAB" w:rsidRDefault="006C6AAB" w:rsidP="006C6AAB">
      <w:pPr>
        <w:pStyle w:val="ListParagraph"/>
        <w:ind w:left="1440" w:firstLine="0"/>
        <w:rPr>
          <w:sz w:val="26"/>
        </w:rPr>
      </w:pPr>
    </w:p>
    <w:p w:rsidR="006C6AAB" w:rsidRPr="006C6AAB" w:rsidRDefault="006C6AAB" w:rsidP="006C6AAB">
      <w:pPr>
        <w:tabs>
          <w:tab w:val="left" w:pos="2160"/>
        </w:tabs>
        <w:ind w:left="720" w:firstLine="720"/>
        <w:rPr>
          <w:sz w:val="26"/>
        </w:rPr>
      </w:pPr>
      <w:r w:rsidRPr="006C6AAB">
        <w:rPr>
          <w:sz w:val="26"/>
        </w:rPr>
        <w:t>4.</w:t>
      </w:r>
      <w:r>
        <w:rPr>
          <w:sz w:val="26"/>
        </w:rPr>
        <w:t xml:space="preserve"> </w:t>
      </w:r>
      <w:r>
        <w:rPr>
          <w:sz w:val="26"/>
        </w:rPr>
        <w:tab/>
      </w:r>
      <w:r w:rsidRPr="00BA16B1">
        <w:rPr>
          <w:sz w:val="26"/>
          <w:szCs w:val="26"/>
        </w:rPr>
        <w:t xml:space="preserve">That this proceeding at Docket No. </w:t>
      </w:r>
      <w:r w:rsidRPr="00756DAF">
        <w:rPr>
          <w:sz w:val="26"/>
          <w:szCs w:val="26"/>
        </w:rPr>
        <w:t>P-2012-2283641</w:t>
      </w:r>
      <w:r>
        <w:rPr>
          <w:sz w:val="26"/>
          <w:szCs w:val="26"/>
        </w:rPr>
        <w:t xml:space="preserve"> </w:t>
      </w:r>
      <w:r w:rsidRPr="00BA16B1">
        <w:rPr>
          <w:sz w:val="26"/>
          <w:szCs w:val="26"/>
        </w:rPr>
        <w:t>be</w:t>
      </w:r>
      <w:r>
        <w:rPr>
          <w:sz w:val="26"/>
          <w:szCs w:val="26"/>
        </w:rPr>
        <w:t xml:space="preserve"> </w:t>
      </w:r>
      <w:r w:rsidRPr="00BA16B1">
        <w:rPr>
          <w:sz w:val="26"/>
          <w:szCs w:val="26"/>
        </w:rPr>
        <w:t>closed.</w:t>
      </w:r>
    </w:p>
    <w:p w:rsidR="001A034E" w:rsidRPr="001A034E" w:rsidRDefault="001A034E" w:rsidP="001A034E">
      <w:pPr>
        <w:ind w:firstLine="5040"/>
        <w:rPr>
          <w:b/>
          <w:sz w:val="26"/>
          <w:szCs w:val="26"/>
        </w:rPr>
      </w:pPr>
    </w:p>
    <w:p w:rsidR="001A034E" w:rsidRPr="001A034E" w:rsidRDefault="009738D4" w:rsidP="001A034E">
      <w:pPr>
        <w:ind w:firstLine="5040"/>
        <w:rPr>
          <w:sz w:val="26"/>
          <w:szCs w:val="26"/>
        </w:rPr>
      </w:pPr>
      <w:r>
        <w:rPr>
          <w:noProof/>
        </w:rPr>
        <w:drawing>
          <wp:anchor distT="0" distB="0" distL="114300" distR="114300" simplePos="0" relativeHeight="251658240" behindDoc="1" locked="0" layoutInCell="1" allowOverlap="1" wp14:anchorId="3C54A5CB" wp14:editId="166942F3">
            <wp:simplePos x="0" y="0"/>
            <wp:positionH relativeFrom="column">
              <wp:posOffset>3200400</wp:posOffset>
            </wp:positionH>
            <wp:positionV relativeFrom="paragraph">
              <wp:posOffset>252730</wp:posOffset>
            </wp:positionV>
            <wp:extent cx="2200275" cy="838200"/>
            <wp:effectExtent l="0" t="0" r="9525" b="0"/>
            <wp:wrapNone/>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001A034E" w:rsidRPr="001A034E">
        <w:rPr>
          <w:b/>
          <w:sz w:val="26"/>
          <w:szCs w:val="26"/>
        </w:rPr>
        <w:t>BY THE COMMISSION,</w:t>
      </w:r>
    </w:p>
    <w:p w:rsidR="001A034E" w:rsidRPr="001A034E" w:rsidRDefault="001A034E" w:rsidP="001A034E">
      <w:pPr>
        <w:ind w:firstLine="5040"/>
        <w:rPr>
          <w:sz w:val="26"/>
          <w:szCs w:val="26"/>
        </w:rPr>
      </w:pPr>
    </w:p>
    <w:p w:rsidR="001A034E" w:rsidRPr="001A034E" w:rsidRDefault="001A034E" w:rsidP="001A034E">
      <w:pPr>
        <w:ind w:firstLine="5040"/>
        <w:rPr>
          <w:sz w:val="26"/>
          <w:szCs w:val="26"/>
        </w:rPr>
      </w:pPr>
    </w:p>
    <w:p w:rsidR="001A034E" w:rsidRPr="001A034E" w:rsidRDefault="001A034E" w:rsidP="001A034E">
      <w:pPr>
        <w:ind w:firstLine="5040"/>
        <w:rPr>
          <w:sz w:val="26"/>
          <w:szCs w:val="26"/>
        </w:rPr>
      </w:pPr>
    </w:p>
    <w:p w:rsidR="001A034E" w:rsidRPr="001A034E" w:rsidRDefault="001A034E" w:rsidP="006E733D">
      <w:pPr>
        <w:spacing w:line="240" w:lineRule="auto"/>
        <w:ind w:firstLine="5040"/>
        <w:rPr>
          <w:sz w:val="26"/>
          <w:szCs w:val="26"/>
        </w:rPr>
      </w:pPr>
      <w:r w:rsidRPr="001A034E">
        <w:rPr>
          <w:sz w:val="26"/>
          <w:szCs w:val="26"/>
        </w:rPr>
        <w:t>Rosemary Chiavetta</w:t>
      </w:r>
    </w:p>
    <w:p w:rsidR="001A034E" w:rsidRPr="001A034E" w:rsidRDefault="001A034E" w:rsidP="001A034E">
      <w:pPr>
        <w:ind w:firstLine="5040"/>
        <w:rPr>
          <w:sz w:val="26"/>
          <w:szCs w:val="26"/>
        </w:rPr>
      </w:pPr>
      <w:r w:rsidRPr="001A034E">
        <w:rPr>
          <w:sz w:val="26"/>
          <w:szCs w:val="26"/>
        </w:rPr>
        <w:t>Secretary</w:t>
      </w:r>
    </w:p>
    <w:p w:rsidR="001A034E" w:rsidRPr="001A034E" w:rsidRDefault="001A034E" w:rsidP="001A034E">
      <w:pPr>
        <w:ind w:firstLine="0"/>
        <w:rPr>
          <w:sz w:val="26"/>
          <w:szCs w:val="26"/>
        </w:rPr>
      </w:pPr>
    </w:p>
    <w:p w:rsidR="001A034E" w:rsidRPr="001A034E" w:rsidRDefault="001A034E" w:rsidP="001A034E">
      <w:pPr>
        <w:ind w:firstLine="0"/>
        <w:rPr>
          <w:sz w:val="26"/>
          <w:szCs w:val="26"/>
        </w:rPr>
      </w:pPr>
      <w:r w:rsidRPr="001A034E">
        <w:rPr>
          <w:sz w:val="26"/>
          <w:szCs w:val="26"/>
        </w:rPr>
        <w:t>(SEAL)</w:t>
      </w:r>
    </w:p>
    <w:p w:rsidR="001A034E" w:rsidRPr="001A034E" w:rsidRDefault="001A034E" w:rsidP="001A034E">
      <w:pPr>
        <w:ind w:firstLine="0"/>
        <w:rPr>
          <w:sz w:val="26"/>
          <w:szCs w:val="26"/>
        </w:rPr>
      </w:pPr>
    </w:p>
    <w:p w:rsidR="001A034E" w:rsidRPr="001A034E" w:rsidRDefault="003E583D" w:rsidP="001A034E">
      <w:pPr>
        <w:ind w:firstLine="0"/>
        <w:rPr>
          <w:sz w:val="26"/>
          <w:szCs w:val="26"/>
        </w:rPr>
      </w:pPr>
      <w:r>
        <w:rPr>
          <w:sz w:val="26"/>
          <w:szCs w:val="26"/>
        </w:rPr>
        <w:t xml:space="preserve">ORDER ADOPTED:  </w:t>
      </w:r>
      <w:r w:rsidR="00210430">
        <w:rPr>
          <w:sz w:val="26"/>
          <w:szCs w:val="26"/>
        </w:rPr>
        <w:t>June 13, 2013</w:t>
      </w:r>
    </w:p>
    <w:p w:rsidR="001A034E" w:rsidRPr="001A034E" w:rsidRDefault="001A034E" w:rsidP="001A034E">
      <w:pPr>
        <w:ind w:firstLine="0"/>
        <w:rPr>
          <w:b/>
          <w:sz w:val="26"/>
        </w:rPr>
      </w:pPr>
      <w:r w:rsidRPr="001A034E">
        <w:rPr>
          <w:sz w:val="26"/>
          <w:szCs w:val="26"/>
        </w:rPr>
        <w:t xml:space="preserve">ORDER ENTERED:  </w:t>
      </w:r>
      <w:r w:rsidR="009738D4">
        <w:rPr>
          <w:sz w:val="26"/>
          <w:szCs w:val="26"/>
        </w:rPr>
        <w:t>June 13, 2013</w:t>
      </w:r>
      <w:bookmarkStart w:id="7" w:name="_GoBack"/>
      <w:bookmarkEnd w:id="7"/>
    </w:p>
    <w:p w:rsidR="001A034E" w:rsidRDefault="001A034E" w:rsidP="00413488">
      <w:pPr>
        <w:widowControl/>
        <w:tabs>
          <w:tab w:val="left" w:pos="-720"/>
        </w:tabs>
        <w:suppressAutoHyphens/>
        <w:rPr>
          <w:sz w:val="26"/>
          <w:szCs w:val="26"/>
        </w:rPr>
      </w:pPr>
    </w:p>
    <w:p w:rsidR="000F1318" w:rsidRPr="00027664" w:rsidRDefault="000F1318" w:rsidP="000F1318">
      <w:pPr>
        <w:rPr>
          <w:sz w:val="26"/>
          <w:szCs w:val="26"/>
        </w:rPr>
      </w:pPr>
    </w:p>
    <w:sectPr w:rsidR="000F1318" w:rsidRPr="00027664" w:rsidSect="003742CF">
      <w:footerReference w:type="even"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6383" w:rsidRDefault="004A6383">
      <w:r>
        <w:separator/>
      </w:r>
    </w:p>
  </w:endnote>
  <w:endnote w:type="continuationSeparator" w:id="0">
    <w:p w:rsidR="004A6383" w:rsidRDefault="004A63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063" w:rsidRDefault="000C0063"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0C0063" w:rsidRDefault="000C006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0063" w:rsidRDefault="000C0063" w:rsidP="00FC757A">
    <w:pPr>
      <w:pStyle w:val="Footer"/>
      <w:spacing w:line="240" w:lineRule="auto"/>
      <w:ind w:firstLine="0"/>
      <w:jc w:val="cente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9738D4">
      <w:rPr>
        <w:rStyle w:val="PageNumber"/>
        <w:noProof/>
        <w:sz w:val="26"/>
      </w:rPr>
      <w:t>13</w:t>
    </w:r>
    <w:r w:rsidRPr="00C7667D">
      <w:rPr>
        <w:rStyle w:val="PageNumber"/>
        <w:sz w:val="2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6383" w:rsidRDefault="004A6383">
      <w:r>
        <w:separator/>
      </w:r>
    </w:p>
  </w:footnote>
  <w:footnote w:type="continuationSeparator" w:id="0">
    <w:p w:rsidR="004A6383" w:rsidRDefault="004A6383">
      <w:r>
        <w:continuationSeparator/>
      </w:r>
    </w:p>
  </w:footnote>
  <w:footnote w:id="1">
    <w:p w:rsidR="008B67A1" w:rsidRPr="008B67A1" w:rsidRDefault="008B67A1">
      <w:pPr>
        <w:pStyle w:val="FootnoteText"/>
      </w:pPr>
      <w:r>
        <w:rPr>
          <w:rStyle w:val="FootnoteReference"/>
        </w:rPr>
        <w:footnoteRef/>
      </w:r>
      <w:r>
        <w:t xml:space="preserve"> Opinion and Order, Entered February 14, 2013 at P-2102-2283641 to the Petition for </w:t>
      </w:r>
      <w:proofErr w:type="gramStart"/>
      <w:r>
        <w:t xml:space="preserve">Reconsideration  </w:t>
      </w:r>
      <w:proofErr w:type="spellStart"/>
      <w:r>
        <w:rPr>
          <w:i/>
        </w:rPr>
        <w:t>Nunc</w:t>
      </w:r>
      <w:proofErr w:type="spellEnd"/>
      <w:proofErr w:type="gramEnd"/>
      <w:r>
        <w:rPr>
          <w:i/>
        </w:rPr>
        <w:t xml:space="preserve"> Pro </w:t>
      </w:r>
      <w:proofErr w:type="spellStart"/>
      <w:r>
        <w:rPr>
          <w:i/>
        </w:rPr>
        <w:t>Tunc</w:t>
      </w:r>
      <w:proofErr w:type="spellEnd"/>
      <w:r>
        <w:rPr>
          <w:i/>
        </w:rPr>
        <w:t xml:space="preserve"> </w:t>
      </w:r>
      <w:r>
        <w:t>or Amendment of the Commission’s Opinion and Order of October 12, 2012.</w:t>
      </w:r>
    </w:p>
  </w:footnote>
  <w:footnote w:id="2">
    <w:p w:rsidR="00961A4F" w:rsidRPr="00204A26" w:rsidRDefault="00961A4F" w:rsidP="00961A4F">
      <w:pPr>
        <w:pStyle w:val="FootnoteText"/>
        <w:spacing w:line="240" w:lineRule="auto"/>
        <w:ind w:firstLine="720"/>
      </w:pPr>
      <w:r w:rsidRPr="00204A26">
        <w:rPr>
          <w:rStyle w:val="FootnoteReference"/>
        </w:rPr>
        <w:footnoteRef/>
      </w:r>
      <w:r w:rsidRPr="00204A26">
        <w:t xml:space="preserve"> </w:t>
      </w:r>
      <w:r w:rsidRPr="00204A26">
        <w:tab/>
        <w:t xml:space="preserve">The </w:t>
      </w:r>
      <w:r w:rsidRPr="00204A26">
        <w:rPr>
          <w:i/>
        </w:rPr>
        <w:t>Tentative Order</w:t>
      </w:r>
      <w:r w:rsidRPr="00204A26">
        <w:t xml:space="preserve"> was docketed at the above-captioned proceedings, as well as</w:t>
      </w:r>
      <w:r w:rsidR="00D31ACA" w:rsidRPr="00204A26">
        <w:t xml:space="preserve"> P-2011-2273650, </w:t>
      </w:r>
      <w:r w:rsidR="00D31ACA" w:rsidRPr="00204A26">
        <w:rPr>
          <w:i/>
        </w:rPr>
        <w:t>et al</w:t>
      </w:r>
      <w:r w:rsidR="0070010D" w:rsidRPr="00204A26">
        <w:rPr>
          <w:i/>
        </w:rPr>
        <w:t>.</w:t>
      </w:r>
      <w:r w:rsidR="00D31ACA" w:rsidRPr="00204A26">
        <w:t xml:space="preserve"> for the DSP proceeding for the FirstEnergy Companies</w:t>
      </w:r>
      <w:r w:rsidRPr="00204A26">
        <w:t>,</w:t>
      </w:r>
      <w:r w:rsidR="00204A26">
        <w:t xml:space="preserve"> </w:t>
      </w:r>
      <w:r w:rsidRPr="00204A26">
        <w:t xml:space="preserve">P-2012-2302074 for PPL Electric Utility Corporation’s DSP proceeding and P-2012-2301664 for Duquesne Light Company’s DSP proceeding.  </w:t>
      </w:r>
    </w:p>
  </w:footnote>
  <w:footnote w:id="3">
    <w:p w:rsidR="003E66A8" w:rsidRDefault="003E66A8">
      <w:pPr>
        <w:pStyle w:val="FootnoteText"/>
      </w:pPr>
      <w:r>
        <w:rPr>
          <w:rStyle w:val="FootnoteReference"/>
        </w:rPr>
        <w:footnoteRef/>
      </w:r>
      <w:r>
        <w:t xml:space="preserve"> Docket No. P-2012-2302074</w:t>
      </w:r>
    </w:p>
  </w:footnote>
  <w:footnote w:id="4">
    <w:p w:rsidR="003E66A8" w:rsidRDefault="003E66A8">
      <w:pPr>
        <w:pStyle w:val="FootnoteText"/>
      </w:pPr>
      <w:r>
        <w:rPr>
          <w:rStyle w:val="FootnoteReference"/>
        </w:rPr>
        <w:footnoteRef/>
      </w:r>
      <w:r>
        <w:t xml:space="preserve"> Docket No. P-2012-2301664</w:t>
      </w:r>
    </w:p>
  </w:footnote>
  <w:footnote w:id="5">
    <w:p w:rsidR="00A9358F" w:rsidRPr="00A9358F" w:rsidRDefault="00A9358F">
      <w:pPr>
        <w:pStyle w:val="FootnoteText"/>
      </w:pPr>
      <w:r>
        <w:rPr>
          <w:rStyle w:val="FootnoteReference"/>
        </w:rPr>
        <w:footnoteRef/>
      </w:r>
      <w:r>
        <w:t xml:space="preserve"> </w:t>
      </w:r>
      <w:r>
        <w:rPr>
          <w:i/>
        </w:rPr>
        <w:t xml:space="preserve">See </w:t>
      </w:r>
      <w:r>
        <w:t>PECO</w:t>
      </w:r>
      <w:r w:rsidR="009216C0">
        <w:t xml:space="preserve"> St. No. 5-R, p.2; PECO Exhibit ABC-4.</w:t>
      </w:r>
    </w:p>
  </w:footnote>
  <w:footnote w:id="6">
    <w:p w:rsidR="002C0D58" w:rsidRDefault="002C0D58">
      <w:pPr>
        <w:pStyle w:val="FootnoteText"/>
      </w:pPr>
      <w:r>
        <w:rPr>
          <w:rStyle w:val="FootnoteReference"/>
        </w:rPr>
        <w:footnoteRef/>
      </w:r>
      <w:r w:rsidR="00ED42E4">
        <w:t xml:space="preserve"> See February 14 </w:t>
      </w:r>
      <w:proofErr w:type="spellStart"/>
      <w:r w:rsidR="00ED42E4">
        <w:rPr>
          <w:i/>
        </w:rPr>
        <w:t>Nunc</w:t>
      </w:r>
      <w:proofErr w:type="spellEnd"/>
      <w:r w:rsidR="00ED42E4">
        <w:rPr>
          <w:i/>
        </w:rPr>
        <w:t xml:space="preserve"> Pro </w:t>
      </w:r>
      <w:proofErr w:type="spellStart"/>
      <w:r w:rsidR="00ED42E4">
        <w:rPr>
          <w:i/>
        </w:rPr>
        <w:t>Tunc</w:t>
      </w:r>
      <w:proofErr w:type="spellEnd"/>
      <w:r w:rsidR="00ED42E4">
        <w:rPr>
          <w:i/>
        </w:rPr>
        <w:t xml:space="preserve"> Order</w:t>
      </w:r>
      <w:r>
        <w:t xml:space="preserve"> p.3; February 14 DSP Order, pp. 19-20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1161C"/>
    <w:multiLevelType w:val="hybridMultilevel"/>
    <w:tmpl w:val="A0A8E2D4"/>
    <w:lvl w:ilvl="0" w:tplc="DAC656E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0DFA50CC"/>
    <w:multiLevelType w:val="hybridMultilevel"/>
    <w:tmpl w:val="E6D87F84"/>
    <w:lvl w:ilvl="0" w:tplc="6634692C">
      <w:start w:val="1"/>
      <w:numFmt w:val="upperRoman"/>
      <w:pStyle w:val="Heading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4">
    <w:nsid w:val="0FEB6958"/>
    <w:multiLevelType w:val="hybridMultilevel"/>
    <w:tmpl w:val="A4BA026C"/>
    <w:lvl w:ilvl="0" w:tplc="5088C0D8">
      <w:start w:val="2"/>
      <w:numFmt w:val="upp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
    <w:nsid w:val="104D0587"/>
    <w:multiLevelType w:val="hybridMultilevel"/>
    <w:tmpl w:val="1F708080"/>
    <w:lvl w:ilvl="0" w:tplc="E3E2E3B4">
      <w:start w:val="1"/>
      <w:numFmt w:val="decimal"/>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5FF058A"/>
    <w:multiLevelType w:val="hybridMultilevel"/>
    <w:tmpl w:val="58C02E9C"/>
    <w:lvl w:ilvl="0" w:tplc="7072491C">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44A496A"/>
    <w:multiLevelType w:val="hybridMultilevel"/>
    <w:tmpl w:val="49D6E69E"/>
    <w:lvl w:ilvl="0" w:tplc="2188D63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nsid w:val="473159BD"/>
    <w:multiLevelType w:val="hybridMultilevel"/>
    <w:tmpl w:val="071AE390"/>
    <w:lvl w:ilvl="0" w:tplc="300ED124">
      <w:start w:val="1"/>
      <w:numFmt w:val="lowerLetter"/>
      <w:lvlText w:val="%1."/>
      <w:lvlJc w:val="left"/>
      <w:pPr>
        <w:ind w:left="2160" w:hanging="360"/>
      </w:pPr>
      <w:rPr>
        <w:rFonts w:hint="default"/>
        <w:i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11">
    <w:nsid w:val="62C73F81"/>
    <w:multiLevelType w:val="hybridMultilevel"/>
    <w:tmpl w:val="EE582FE8"/>
    <w:lvl w:ilvl="0" w:tplc="D87EF790">
      <w:start w:val="3"/>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636D1C5A"/>
    <w:multiLevelType w:val="hybridMultilevel"/>
    <w:tmpl w:val="107E1BFE"/>
    <w:lvl w:ilvl="0" w:tplc="233E6C42">
      <w:start w:val="1"/>
      <w:numFmt w:val="decimal"/>
      <w:lvlText w:val="%1."/>
      <w:lvlJc w:val="left"/>
      <w:pPr>
        <w:ind w:left="1800" w:hanging="360"/>
      </w:pPr>
      <w:rPr>
        <w:rFonts w:hint="default"/>
        <w:i w:val="0"/>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68781313"/>
    <w:multiLevelType w:val="hybridMultilevel"/>
    <w:tmpl w:val="A136442C"/>
    <w:lvl w:ilvl="0" w:tplc="DE6A4B14">
      <w:start w:val="2"/>
      <w:numFmt w:val="upp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4">
    <w:nsid w:val="6E08665D"/>
    <w:multiLevelType w:val="hybridMultilevel"/>
    <w:tmpl w:val="54DCD14E"/>
    <w:lvl w:ilvl="0" w:tplc="AE06B2E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6">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0"/>
  </w:num>
  <w:num w:numId="2">
    <w:abstractNumId w:val="3"/>
  </w:num>
  <w:num w:numId="3">
    <w:abstractNumId w:val="6"/>
  </w:num>
  <w:num w:numId="4">
    <w:abstractNumId w:val="16"/>
  </w:num>
  <w:num w:numId="5">
    <w:abstractNumId w:val="15"/>
  </w:num>
  <w:num w:numId="6">
    <w:abstractNumId w:val="2"/>
  </w:num>
  <w:num w:numId="7">
    <w:abstractNumId w:val="1"/>
  </w:num>
  <w:num w:numId="8">
    <w:abstractNumId w:val="11"/>
  </w:num>
  <w:num w:numId="9">
    <w:abstractNumId w:val="7"/>
  </w:num>
  <w:num w:numId="10">
    <w:abstractNumId w:val="14"/>
  </w:num>
  <w:num w:numId="11">
    <w:abstractNumId w:val="12"/>
  </w:num>
  <w:num w:numId="12">
    <w:abstractNumId w:val="9"/>
  </w:num>
  <w:num w:numId="13">
    <w:abstractNumId w:val="0"/>
  </w:num>
  <w:num w:numId="14">
    <w:abstractNumId w:val="13"/>
  </w:num>
  <w:num w:numId="15">
    <w:abstractNumId w:val="5"/>
  </w:num>
  <w:num w:numId="16">
    <w:abstractNumId w:val="4"/>
  </w:num>
  <w:num w:numId="1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90"/>
    <w:rsid w:val="00000173"/>
    <w:rsid w:val="00001586"/>
    <w:rsid w:val="00002348"/>
    <w:rsid w:val="00002CE4"/>
    <w:rsid w:val="00002F2A"/>
    <w:rsid w:val="00002F49"/>
    <w:rsid w:val="000038D3"/>
    <w:rsid w:val="0000415E"/>
    <w:rsid w:val="00005EE1"/>
    <w:rsid w:val="00005F78"/>
    <w:rsid w:val="00007440"/>
    <w:rsid w:val="000074DC"/>
    <w:rsid w:val="00007597"/>
    <w:rsid w:val="00007888"/>
    <w:rsid w:val="0001099D"/>
    <w:rsid w:val="000122C4"/>
    <w:rsid w:val="00012D0C"/>
    <w:rsid w:val="000138C9"/>
    <w:rsid w:val="00013FDE"/>
    <w:rsid w:val="000158F2"/>
    <w:rsid w:val="00015A01"/>
    <w:rsid w:val="0001615E"/>
    <w:rsid w:val="00020552"/>
    <w:rsid w:val="00020E43"/>
    <w:rsid w:val="00022D45"/>
    <w:rsid w:val="00023536"/>
    <w:rsid w:val="0002355F"/>
    <w:rsid w:val="000310BE"/>
    <w:rsid w:val="000323A8"/>
    <w:rsid w:val="00033C9A"/>
    <w:rsid w:val="00033FEC"/>
    <w:rsid w:val="00034CD7"/>
    <w:rsid w:val="00036927"/>
    <w:rsid w:val="000369A9"/>
    <w:rsid w:val="000438A2"/>
    <w:rsid w:val="00045A7A"/>
    <w:rsid w:val="000505E5"/>
    <w:rsid w:val="00051647"/>
    <w:rsid w:val="00053CED"/>
    <w:rsid w:val="000549A7"/>
    <w:rsid w:val="00056968"/>
    <w:rsid w:val="00057057"/>
    <w:rsid w:val="00057859"/>
    <w:rsid w:val="000606AA"/>
    <w:rsid w:val="000610F9"/>
    <w:rsid w:val="00061850"/>
    <w:rsid w:val="000629CD"/>
    <w:rsid w:val="00063028"/>
    <w:rsid w:val="00065DB6"/>
    <w:rsid w:val="00067196"/>
    <w:rsid w:val="000673D1"/>
    <w:rsid w:val="00067A0D"/>
    <w:rsid w:val="00071064"/>
    <w:rsid w:val="00071A8A"/>
    <w:rsid w:val="00073870"/>
    <w:rsid w:val="00075210"/>
    <w:rsid w:val="00075F0C"/>
    <w:rsid w:val="00080CCC"/>
    <w:rsid w:val="0008320C"/>
    <w:rsid w:val="0008328F"/>
    <w:rsid w:val="00084DB9"/>
    <w:rsid w:val="00086D0B"/>
    <w:rsid w:val="00087D18"/>
    <w:rsid w:val="0009007E"/>
    <w:rsid w:val="00090AF0"/>
    <w:rsid w:val="00091989"/>
    <w:rsid w:val="0009269E"/>
    <w:rsid w:val="00092ABD"/>
    <w:rsid w:val="00093D3D"/>
    <w:rsid w:val="000940CD"/>
    <w:rsid w:val="0009466E"/>
    <w:rsid w:val="0009476C"/>
    <w:rsid w:val="00094F3D"/>
    <w:rsid w:val="00096F18"/>
    <w:rsid w:val="0009781B"/>
    <w:rsid w:val="000A0D32"/>
    <w:rsid w:val="000A1B73"/>
    <w:rsid w:val="000A1EF2"/>
    <w:rsid w:val="000A35F4"/>
    <w:rsid w:val="000A4770"/>
    <w:rsid w:val="000A748C"/>
    <w:rsid w:val="000A7DDC"/>
    <w:rsid w:val="000A7F96"/>
    <w:rsid w:val="000B2B80"/>
    <w:rsid w:val="000B465F"/>
    <w:rsid w:val="000B729D"/>
    <w:rsid w:val="000C0063"/>
    <w:rsid w:val="000C0702"/>
    <w:rsid w:val="000C742F"/>
    <w:rsid w:val="000D03DD"/>
    <w:rsid w:val="000D2456"/>
    <w:rsid w:val="000D7483"/>
    <w:rsid w:val="000E3D4C"/>
    <w:rsid w:val="000E4BED"/>
    <w:rsid w:val="000E515B"/>
    <w:rsid w:val="000E570C"/>
    <w:rsid w:val="000E5BCD"/>
    <w:rsid w:val="000F1318"/>
    <w:rsid w:val="000F22DA"/>
    <w:rsid w:val="000F2540"/>
    <w:rsid w:val="000F35E6"/>
    <w:rsid w:val="000F3795"/>
    <w:rsid w:val="000F3896"/>
    <w:rsid w:val="000F4467"/>
    <w:rsid w:val="000F4F95"/>
    <w:rsid w:val="000F63B6"/>
    <w:rsid w:val="000F6D5A"/>
    <w:rsid w:val="0010013C"/>
    <w:rsid w:val="001006F0"/>
    <w:rsid w:val="00100BA6"/>
    <w:rsid w:val="00101374"/>
    <w:rsid w:val="00101745"/>
    <w:rsid w:val="00102D03"/>
    <w:rsid w:val="00105084"/>
    <w:rsid w:val="00105193"/>
    <w:rsid w:val="00106537"/>
    <w:rsid w:val="00106BE0"/>
    <w:rsid w:val="00111A44"/>
    <w:rsid w:val="0011423D"/>
    <w:rsid w:val="00114D80"/>
    <w:rsid w:val="001170DB"/>
    <w:rsid w:val="00120FCD"/>
    <w:rsid w:val="00121111"/>
    <w:rsid w:val="00122941"/>
    <w:rsid w:val="00123375"/>
    <w:rsid w:val="0012378E"/>
    <w:rsid w:val="00123802"/>
    <w:rsid w:val="0012456C"/>
    <w:rsid w:val="001260A0"/>
    <w:rsid w:val="0012697D"/>
    <w:rsid w:val="00131517"/>
    <w:rsid w:val="00131A77"/>
    <w:rsid w:val="00131B43"/>
    <w:rsid w:val="00132C3A"/>
    <w:rsid w:val="00133684"/>
    <w:rsid w:val="001348B4"/>
    <w:rsid w:val="00134C35"/>
    <w:rsid w:val="00134D3A"/>
    <w:rsid w:val="00141760"/>
    <w:rsid w:val="001437B9"/>
    <w:rsid w:val="0014555F"/>
    <w:rsid w:val="00150989"/>
    <w:rsid w:val="00151166"/>
    <w:rsid w:val="00153234"/>
    <w:rsid w:val="00153B73"/>
    <w:rsid w:val="00154114"/>
    <w:rsid w:val="00156391"/>
    <w:rsid w:val="0015662E"/>
    <w:rsid w:val="0015669F"/>
    <w:rsid w:val="00156BE1"/>
    <w:rsid w:val="0015798E"/>
    <w:rsid w:val="00157A84"/>
    <w:rsid w:val="0016005F"/>
    <w:rsid w:val="00160565"/>
    <w:rsid w:val="001606BC"/>
    <w:rsid w:val="00160B7C"/>
    <w:rsid w:val="001620E4"/>
    <w:rsid w:val="00162338"/>
    <w:rsid w:val="00162420"/>
    <w:rsid w:val="00163AA3"/>
    <w:rsid w:val="00165945"/>
    <w:rsid w:val="001676B1"/>
    <w:rsid w:val="00167F11"/>
    <w:rsid w:val="00172C4A"/>
    <w:rsid w:val="001730AD"/>
    <w:rsid w:val="001738D5"/>
    <w:rsid w:val="00175B2F"/>
    <w:rsid w:val="00177A43"/>
    <w:rsid w:val="001827DB"/>
    <w:rsid w:val="00185B5E"/>
    <w:rsid w:val="00186183"/>
    <w:rsid w:val="00186887"/>
    <w:rsid w:val="001919B8"/>
    <w:rsid w:val="00192EBC"/>
    <w:rsid w:val="00193D64"/>
    <w:rsid w:val="00196484"/>
    <w:rsid w:val="001967BB"/>
    <w:rsid w:val="00196BDC"/>
    <w:rsid w:val="00197F3D"/>
    <w:rsid w:val="001A034E"/>
    <w:rsid w:val="001A29C7"/>
    <w:rsid w:val="001A4A0C"/>
    <w:rsid w:val="001A53C8"/>
    <w:rsid w:val="001A6370"/>
    <w:rsid w:val="001B1A49"/>
    <w:rsid w:val="001B4783"/>
    <w:rsid w:val="001B48DC"/>
    <w:rsid w:val="001B54B3"/>
    <w:rsid w:val="001B6B53"/>
    <w:rsid w:val="001B6C8E"/>
    <w:rsid w:val="001B757B"/>
    <w:rsid w:val="001B7E44"/>
    <w:rsid w:val="001C167C"/>
    <w:rsid w:val="001C3135"/>
    <w:rsid w:val="001C53B1"/>
    <w:rsid w:val="001C730F"/>
    <w:rsid w:val="001C7C12"/>
    <w:rsid w:val="001D11B8"/>
    <w:rsid w:val="001D266F"/>
    <w:rsid w:val="001D2BAD"/>
    <w:rsid w:val="001D6B9B"/>
    <w:rsid w:val="001D7EBD"/>
    <w:rsid w:val="001E05C6"/>
    <w:rsid w:val="001E2658"/>
    <w:rsid w:val="001E2CFB"/>
    <w:rsid w:val="001E342B"/>
    <w:rsid w:val="001E4C1C"/>
    <w:rsid w:val="001E51E9"/>
    <w:rsid w:val="001E5417"/>
    <w:rsid w:val="001E5511"/>
    <w:rsid w:val="001E6066"/>
    <w:rsid w:val="001E649F"/>
    <w:rsid w:val="001E73AB"/>
    <w:rsid w:val="001F0488"/>
    <w:rsid w:val="001F2321"/>
    <w:rsid w:val="001F2BD2"/>
    <w:rsid w:val="001F4060"/>
    <w:rsid w:val="001F4821"/>
    <w:rsid w:val="001F55D5"/>
    <w:rsid w:val="001F794B"/>
    <w:rsid w:val="001F7B55"/>
    <w:rsid w:val="002013B2"/>
    <w:rsid w:val="00201CF3"/>
    <w:rsid w:val="00201F63"/>
    <w:rsid w:val="00204A26"/>
    <w:rsid w:val="00205839"/>
    <w:rsid w:val="00206720"/>
    <w:rsid w:val="00206C74"/>
    <w:rsid w:val="00210430"/>
    <w:rsid w:val="00210B26"/>
    <w:rsid w:val="00211405"/>
    <w:rsid w:val="00211442"/>
    <w:rsid w:val="00211B98"/>
    <w:rsid w:val="00213024"/>
    <w:rsid w:val="00213B95"/>
    <w:rsid w:val="00214830"/>
    <w:rsid w:val="002158D0"/>
    <w:rsid w:val="0021645F"/>
    <w:rsid w:val="00216937"/>
    <w:rsid w:val="00217C4E"/>
    <w:rsid w:val="00217E3D"/>
    <w:rsid w:val="00220CE0"/>
    <w:rsid w:val="00221C10"/>
    <w:rsid w:val="002234B5"/>
    <w:rsid w:val="002235CE"/>
    <w:rsid w:val="002242F7"/>
    <w:rsid w:val="00224B35"/>
    <w:rsid w:val="00225BD2"/>
    <w:rsid w:val="0022734C"/>
    <w:rsid w:val="00230396"/>
    <w:rsid w:val="00230BAB"/>
    <w:rsid w:val="00233E2F"/>
    <w:rsid w:val="0023535F"/>
    <w:rsid w:val="00237CB3"/>
    <w:rsid w:val="00241B87"/>
    <w:rsid w:val="00241BA3"/>
    <w:rsid w:val="00247BB1"/>
    <w:rsid w:val="00252D9D"/>
    <w:rsid w:val="00252E14"/>
    <w:rsid w:val="00253F56"/>
    <w:rsid w:val="00253FD2"/>
    <w:rsid w:val="00255A6D"/>
    <w:rsid w:val="0025691E"/>
    <w:rsid w:val="00256A4C"/>
    <w:rsid w:val="00260041"/>
    <w:rsid w:val="00260547"/>
    <w:rsid w:val="00260A97"/>
    <w:rsid w:val="0026191C"/>
    <w:rsid w:val="00263EDB"/>
    <w:rsid w:val="00264ABB"/>
    <w:rsid w:val="00264FEB"/>
    <w:rsid w:val="00266827"/>
    <w:rsid w:val="00274284"/>
    <w:rsid w:val="00274861"/>
    <w:rsid w:val="00275124"/>
    <w:rsid w:val="002751AE"/>
    <w:rsid w:val="002753CE"/>
    <w:rsid w:val="00277004"/>
    <w:rsid w:val="00281D3B"/>
    <w:rsid w:val="00282D52"/>
    <w:rsid w:val="00283582"/>
    <w:rsid w:val="002836FA"/>
    <w:rsid w:val="002838E3"/>
    <w:rsid w:val="00285550"/>
    <w:rsid w:val="00285919"/>
    <w:rsid w:val="0028615A"/>
    <w:rsid w:val="00286F7C"/>
    <w:rsid w:val="00287BE6"/>
    <w:rsid w:val="0029085A"/>
    <w:rsid w:val="002931D9"/>
    <w:rsid w:val="002958B5"/>
    <w:rsid w:val="00295962"/>
    <w:rsid w:val="00296612"/>
    <w:rsid w:val="00297C2E"/>
    <w:rsid w:val="002A1C25"/>
    <w:rsid w:val="002A1E1B"/>
    <w:rsid w:val="002A2A68"/>
    <w:rsid w:val="002A3A6E"/>
    <w:rsid w:val="002A3AC8"/>
    <w:rsid w:val="002A4B76"/>
    <w:rsid w:val="002A53EA"/>
    <w:rsid w:val="002A5B9B"/>
    <w:rsid w:val="002A5CF3"/>
    <w:rsid w:val="002A63DE"/>
    <w:rsid w:val="002A6C1F"/>
    <w:rsid w:val="002A6F9C"/>
    <w:rsid w:val="002A71F9"/>
    <w:rsid w:val="002A740E"/>
    <w:rsid w:val="002B3767"/>
    <w:rsid w:val="002B3979"/>
    <w:rsid w:val="002B4B0D"/>
    <w:rsid w:val="002B574E"/>
    <w:rsid w:val="002C0012"/>
    <w:rsid w:val="002C011D"/>
    <w:rsid w:val="002C0D58"/>
    <w:rsid w:val="002C19D9"/>
    <w:rsid w:val="002C4BF6"/>
    <w:rsid w:val="002C5EE0"/>
    <w:rsid w:val="002C6BD7"/>
    <w:rsid w:val="002C6E17"/>
    <w:rsid w:val="002D1465"/>
    <w:rsid w:val="002D1892"/>
    <w:rsid w:val="002D2D30"/>
    <w:rsid w:val="002D43F8"/>
    <w:rsid w:val="002D5A50"/>
    <w:rsid w:val="002D5C5B"/>
    <w:rsid w:val="002D6210"/>
    <w:rsid w:val="002D650D"/>
    <w:rsid w:val="002E035D"/>
    <w:rsid w:val="002E0503"/>
    <w:rsid w:val="002E1177"/>
    <w:rsid w:val="002E16FC"/>
    <w:rsid w:val="002E1FC4"/>
    <w:rsid w:val="002E5790"/>
    <w:rsid w:val="002E6E40"/>
    <w:rsid w:val="002E6EE9"/>
    <w:rsid w:val="002F0636"/>
    <w:rsid w:val="002F0ADE"/>
    <w:rsid w:val="002F0CED"/>
    <w:rsid w:val="002F1870"/>
    <w:rsid w:val="002F2CEF"/>
    <w:rsid w:val="002F5424"/>
    <w:rsid w:val="002F5D1D"/>
    <w:rsid w:val="002F714D"/>
    <w:rsid w:val="00301039"/>
    <w:rsid w:val="00301857"/>
    <w:rsid w:val="00302000"/>
    <w:rsid w:val="00303C9B"/>
    <w:rsid w:val="00304ABF"/>
    <w:rsid w:val="00304E14"/>
    <w:rsid w:val="0030541E"/>
    <w:rsid w:val="0030758B"/>
    <w:rsid w:val="0031153E"/>
    <w:rsid w:val="00312E08"/>
    <w:rsid w:val="003143DF"/>
    <w:rsid w:val="003158CE"/>
    <w:rsid w:val="00316BFA"/>
    <w:rsid w:val="003177A0"/>
    <w:rsid w:val="003211A5"/>
    <w:rsid w:val="003218DD"/>
    <w:rsid w:val="00322A65"/>
    <w:rsid w:val="00322D23"/>
    <w:rsid w:val="00324FDF"/>
    <w:rsid w:val="003255BF"/>
    <w:rsid w:val="00326A17"/>
    <w:rsid w:val="003336F9"/>
    <w:rsid w:val="00335E31"/>
    <w:rsid w:val="00337DFD"/>
    <w:rsid w:val="00340C45"/>
    <w:rsid w:val="00343BD1"/>
    <w:rsid w:val="00345135"/>
    <w:rsid w:val="00350145"/>
    <w:rsid w:val="00353BD2"/>
    <w:rsid w:val="00353E07"/>
    <w:rsid w:val="003550FF"/>
    <w:rsid w:val="003551C4"/>
    <w:rsid w:val="0036013A"/>
    <w:rsid w:val="00360D84"/>
    <w:rsid w:val="0036428E"/>
    <w:rsid w:val="00364C2A"/>
    <w:rsid w:val="00365293"/>
    <w:rsid w:val="00366601"/>
    <w:rsid w:val="00366799"/>
    <w:rsid w:val="003669C8"/>
    <w:rsid w:val="00366C7B"/>
    <w:rsid w:val="00367C68"/>
    <w:rsid w:val="003704B1"/>
    <w:rsid w:val="003708CD"/>
    <w:rsid w:val="00373F74"/>
    <w:rsid w:val="003742CF"/>
    <w:rsid w:val="00374344"/>
    <w:rsid w:val="00375080"/>
    <w:rsid w:val="0037692B"/>
    <w:rsid w:val="003806A7"/>
    <w:rsid w:val="00380889"/>
    <w:rsid w:val="0038121C"/>
    <w:rsid w:val="003813B6"/>
    <w:rsid w:val="00381C7A"/>
    <w:rsid w:val="00382A4B"/>
    <w:rsid w:val="00383539"/>
    <w:rsid w:val="00383AEB"/>
    <w:rsid w:val="00383B8B"/>
    <w:rsid w:val="00384D26"/>
    <w:rsid w:val="00385595"/>
    <w:rsid w:val="00390845"/>
    <w:rsid w:val="00390901"/>
    <w:rsid w:val="00390FB3"/>
    <w:rsid w:val="00394901"/>
    <w:rsid w:val="00396E0C"/>
    <w:rsid w:val="00397A8B"/>
    <w:rsid w:val="00397DE1"/>
    <w:rsid w:val="003A0289"/>
    <w:rsid w:val="003A05A4"/>
    <w:rsid w:val="003A1BF7"/>
    <w:rsid w:val="003A3888"/>
    <w:rsid w:val="003A4F76"/>
    <w:rsid w:val="003A50AE"/>
    <w:rsid w:val="003A5385"/>
    <w:rsid w:val="003A79A7"/>
    <w:rsid w:val="003B1460"/>
    <w:rsid w:val="003B3893"/>
    <w:rsid w:val="003B3CEA"/>
    <w:rsid w:val="003B55BA"/>
    <w:rsid w:val="003B561F"/>
    <w:rsid w:val="003B6A0D"/>
    <w:rsid w:val="003B6F63"/>
    <w:rsid w:val="003C042A"/>
    <w:rsid w:val="003C0DCF"/>
    <w:rsid w:val="003C0F72"/>
    <w:rsid w:val="003C135E"/>
    <w:rsid w:val="003C4355"/>
    <w:rsid w:val="003C5CBD"/>
    <w:rsid w:val="003C61AD"/>
    <w:rsid w:val="003D0527"/>
    <w:rsid w:val="003D1299"/>
    <w:rsid w:val="003D234C"/>
    <w:rsid w:val="003D4436"/>
    <w:rsid w:val="003D4638"/>
    <w:rsid w:val="003D509A"/>
    <w:rsid w:val="003D7A8D"/>
    <w:rsid w:val="003E22CB"/>
    <w:rsid w:val="003E3836"/>
    <w:rsid w:val="003E583D"/>
    <w:rsid w:val="003E6544"/>
    <w:rsid w:val="003E66A8"/>
    <w:rsid w:val="003E771C"/>
    <w:rsid w:val="003E784C"/>
    <w:rsid w:val="003F07AF"/>
    <w:rsid w:val="003F08B3"/>
    <w:rsid w:val="003F27D1"/>
    <w:rsid w:val="003F287E"/>
    <w:rsid w:val="003F7000"/>
    <w:rsid w:val="00400A85"/>
    <w:rsid w:val="004023F4"/>
    <w:rsid w:val="00402479"/>
    <w:rsid w:val="00404D47"/>
    <w:rsid w:val="00406562"/>
    <w:rsid w:val="0041052A"/>
    <w:rsid w:val="004113DE"/>
    <w:rsid w:val="00411CC6"/>
    <w:rsid w:val="00412DCF"/>
    <w:rsid w:val="00413488"/>
    <w:rsid w:val="004144EE"/>
    <w:rsid w:val="004146BE"/>
    <w:rsid w:val="00414855"/>
    <w:rsid w:val="00415460"/>
    <w:rsid w:val="00415483"/>
    <w:rsid w:val="004170E4"/>
    <w:rsid w:val="00417166"/>
    <w:rsid w:val="00420B2F"/>
    <w:rsid w:val="004214D7"/>
    <w:rsid w:val="004217F6"/>
    <w:rsid w:val="0042446A"/>
    <w:rsid w:val="00426B65"/>
    <w:rsid w:val="00433069"/>
    <w:rsid w:val="004337A1"/>
    <w:rsid w:val="00437F57"/>
    <w:rsid w:val="004409D4"/>
    <w:rsid w:val="00442A6D"/>
    <w:rsid w:val="00442C04"/>
    <w:rsid w:val="00442CCD"/>
    <w:rsid w:val="004454B7"/>
    <w:rsid w:val="00445CA0"/>
    <w:rsid w:val="00446BF2"/>
    <w:rsid w:val="0044738E"/>
    <w:rsid w:val="00450B3B"/>
    <w:rsid w:val="0045283E"/>
    <w:rsid w:val="0045374A"/>
    <w:rsid w:val="00455DFC"/>
    <w:rsid w:val="00456DED"/>
    <w:rsid w:val="00456E6E"/>
    <w:rsid w:val="00457051"/>
    <w:rsid w:val="0045711B"/>
    <w:rsid w:val="0045730E"/>
    <w:rsid w:val="004600FF"/>
    <w:rsid w:val="00461C84"/>
    <w:rsid w:val="00462C58"/>
    <w:rsid w:val="004635D2"/>
    <w:rsid w:val="00464917"/>
    <w:rsid w:val="00464C0F"/>
    <w:rsid w:val="00465BFC"/>
    <w:rsid w:val="00467C2D"/>
    <w:rsid w:val="00470B07"/>
    <w:rsid w:val="00471CE8"/>
    <w:rsid w:val="00472342"/>
    <w:rsid w:val="004724DE"/>
    <w:rsid w:val="0047373F"/>
    <w:rsid w:val="00473CA5"/>
    <w:rsid w:val="00475D26"/>
    <w:rsid w:val="00476668"/>
    <w:rsid w:val="00477723"/>
    <w:rsid w:val="00477A9D"/>
    <w:rsid w:val="00482FDC"/>
    <w:rsid w:val="00483C56"/>
    <w:rsid w:val="004840C2"/>
    <w:rsid w:val="004870D9"/>
    <w:rsid w:val="0048747D"/>
    <w:rsid w:val="004920D8"/>
    <w:rsid w:val="004938FA"/>
    <w:rsid w:val="00493EA2"/>
    <w:rsid w:val="0049427A"/>
    <w:rsid w:val="004949D0"/>
    <w:rsid w:val="00496DAA"/>
    <w:rsid w:val="0049745E"/>
    <w:rsid w:val="0049771B"/>
    <w:rsid w:val="004A34D5"/>
    <w:rsid w:val="004A43F1"/>
    <w:rsid w:val="004A45DC"/>
    <w:rsid w:val="004A4D14"/>
    <w:rsid w:val="004A6383"/>
    <w:rsid w:val="004A6496"/>
    <w:rsid w:val="004A6520"/>
    <w:rsid w:val="004A7831"/>
    <w:rsid w:val="004A7E33"/>
    <w:rsid w:val="004B1E60"/>
    <w:rsid w:val="004B2FCC"/>
    <w:rsid w:val="004B3A7B"/>
    <w:rsid w:val="004B3BCD"/>
    <w:rsid w:val="004B430B"/>
    <w:rsid w:val="004B5F0B"/>
    <w:rsid w:val="004B60D3"/>
    <w:rsid w:val="004C1F63"/>
    <w:rsid w:val="004C39DE"/>
    <w:rsid w:val="004C40E8"/>
    <w:rsid w:val="004C4277"/>
    <w:rsid w:val="004C4F45"/>
    <w:rsid w:val="004C6AD8"/>
    <w:rsid w:val="004C749A"/>
    <w:rsid w:val="004D08F5"/>
    <w:rsid w:val="004D35E2"/>
    <w:rsid w:val="004D438D"/>
    <w:rsid w:val="004D5A16"/>
    <w:rsid w:val="004D5E02"/>
    <w:rsid w:val="004D5EB9"/>
    <w:rsid w:val="004D652F"/>
    <w:rsid w:val="004D667C"/>
    <w:rsid w:val="004D78EC"/>
    <w:rsid w:val="004E08D1"/>
    <w:rsid w:val="004E5323"/>
    <w:rsid w:val="004E58C3"/>
    <w:rsid w:val="004F2383"/>
    <w:rsid w:val="004F5854"/>
    <w:rsid w:val="004F59CD"/>
    <w:rsid w:val="004F7A65"/>
    <w:rsid w:val="00500B53"/>
    <w:rsid w:val="00501313"/>
    <w:rsid w:val="00505654"/>
    <w:rsid w:val="00505BA0"/>
    <w:rsid w:val="00505E50"/>
    <w:rsid w:val="00511A10"/>
    <w:rsid w:val="005121D5"/>
    <w:rsid w:val="005125C4"/>
    <w:rsid w:val="005129AA"/>
    <w:rsid w:val="00512BF6"/>
    <w:rsid w:val="00515F69"/>
    <w:rsid w:val="005175D0"/>
    <w:rsid w:val="00517E17"/>
    <w:rsid w:val="005201D8"/>
    <w:rsid w:val="00520BBC"/>
    <w:rsid w:val="0052172B"/>
    <w:rsid w:val="005229E8"/>
    <w:rsid w:val="00523347"/>
    <w:rsid w:val="005233D3"/>
    <w:rsid w:val="00524EF6"/>
    <w:rsid w:val="005265A2"/>
    <w:rsid w:val="00530F5B"/>
    <w:rsid w:val="0053101D"/>
    <w:rsid w:val="005321F4"/>
    <w:rsid w:val="005332F5"/>
    <w:rsid w:val="00534A1D"/>
    <w:rsid w:val="00536217"/>
    <w:rsid w:val="00536591"/>
    <w:rsid w:val="005406D3"/>
    <w:rsid w:val="005417B5"/>
    <w:rsid w:val="005429B4"/>
    <w:rsid w:val="00542BE8"/>
    <w:rsid w:val="00543E4D"/>
    <w:rsid w:val="00543FAE"/>
    <w:rsid w:val="00544F99"/>
    <w:rsid w:val="005455AB"/>
    <w:rsid w:val="00545FB5"/>
    <w:rsid w:val="0055088E"/>
    <w:rsid w:val="00552997"/>
    <w:rsid w:val="0055414F"/>
    <w:rsid w:val="00555069"/>
    <w:rsid w:val="005579ED"/>
    <w:rsid w:val="005579F7"/>
    <w:rsid w:val="005605A1"/>
    <w:rsid w:val="00560E96"/>
    <w:rsid w:val="0056119D"/>
    <w:rsid w:val="005621B2"/>
    <w:rsid w:val="005626BA"/>
    <w:rsid w:val="00562E63"/>
    <w:rsid w:val="00564E19"/>
    <w:rsid w:val="00567D40"/>
    <w:rsid w:val="005703A8"/>
    <w:rsid w:val="00574ED6"/>
    <w:rsid w:val="00575107"/>
    <w:rsid w:val="0057514C"/>
    <w:rsid w:val="0057789B"/>
    <w:rsid w:val="00577B05"/>
    <w:rsid w:val="005823D7"/>
    <w:rsid w:val="0058331B"/>
    <w:rsid w:val="00583807"/>
    <w:rsid w:val="00584BB2"/>
    <w:rsid w:val="0058529B"/>
    <w:rsid w:val="00591709"/>
    <w:rsid w:val="00592CAB"/>
    <w:rsid w:val="0059626E"/>
    <w:rsid w:val="0059707F"/>
    <w:rsid w:val="005A08BE"/>
    <w:rsid w:val="005A0CF6"/>
    <w:rsid w:val="005A2D70"/>
    <w:rsid w:val="005A4358"/>
    <w:rsid w:val="005A4418"/>
    <w:rsid w:val="005A4D2D"/>
    <w:rsid w:val="005A6378"/>
    <w:rsid w:val="005A6DEC"/>
    <w:rsid w:val="005B01F2"/>
    <w:rsid w:val="005B1396"/>
    <w:rsid w:val="005B1F31"/>
    <w:rsid w:val="005B4DDD"/>
    <w:rsid w:val="005B5F54"/>
    <w:rsid w:val="005C1FAF"/>
    <w:rsid w:val="005C27AF"/>
    <w:rsid w:val="005C4A52"/>
    <w:rsid w:val="005C78FA"/>
    <w:rsid w:val="005C7928"/>
    <w:rsid w:val="005D14A8"/>
    <w:rsid w:val="005D14FC"/>
    <w:rsid w:val="005D18D2"/>
    <w:rsid w:val="005D2D5F"/>
    <w:rsid w:val="005D353A"/>
    <w:rsid w:val="005D3582"/>
    <w:rsid w:val="005D482A"/>
    <w:rsid w:val="005D60FF"/>
    <w:rsid w:val="005D73C6"/>
    <w:rsid w:val="005E0114"/>
    <w:rsid w:val="005E0DB4"/>
    <w:rsid w:val="005E2082"/>
    <w:rsid w:val="005E29BC"/>
    <w:rsid w:val="005E6F70"/>
    <w:rsid w:val="005F37D2"/>
    <w:rsid w:val="005F389B"/>
    <w:rsid w:val="005F4E1B"/>
    <w:rsid w:val="005F5031"/>
    <w:rsid w:val="005F5398"/>
    <w:rsid w:val="005F6FFE"/>
    <w:rsid w:val="005F777A"/>
    <w:rsid w:val="005F7A1F"/>
    <w:rsid w:val="00600E98"/>
    <w:rsid w:val="00600F6F"/>
    <w:rsid w:val="0060108D"/>
    <w:rsid w:val="00601D83"/>
    <w:rsid w:val="0060382E"/>
    <w:rsid w:val="00604966"/>
    <w:rsid w:val="006049C5"/>
    <w:rsid w:val="006054D5"/>
    <w:rsid w:val="00605D8F"/>
    <w:rsid w:val="00605DED"/>
    <w:rsid w:val="00607554"/>
    <w:rsid w:val="00610A49"/>
    <w:rsid w:val="006114D8"/>
    <w:rsid w:val="00612783"/>
    <w:rsid w:val="00613C23"/>
    <w:rsid w:val="0061418D"/>
    <w:rsid w:val="006158BA"/>
    <w:rsid w:val="006161D8"/>
    <w:rsid w:val="00616EA7"/>
    <w:rsid w:val="00617175"/>
    <w:rsid w:val="0061739E"/>
    <w:rsid w:val="006209DD"/>
    <w:rsid w:val="0062143F"/>
    <w:rsid w:val="00624BBC"/>
    <w:rsid w:val="00625036"/>
    <w:rsid w:val="00625C7F"/>
    <w:rsid w:val="00626B97"/>
    <w:rsid w:val="00627095"/>
    <w:rsid w:val="006301EB"/>
    <w:rsid w:val="0063290C"/>
    <w:rsid w:val="00634133"/>
    <w:rsid w:val="0063425C"/>
    <w:rsid w:val="00634CD6"/>
    <w:rsid w:val="00635D6D"/>
    <w:rsid w:val="00636142"/>
    <w:rsid w:val="00636AAC"/>
    <w:rsid w:val="00637B98"/>
    <w:rsid w:val="00640329"/>
    <w:rsid w:val="006403CA"/>
    <w:rsid w:val="00640D08"/>
    <w:rsid w:val="00641F38"/>
    <w:rsid w:val="00642A8F"/>
    <w:rsid w:val="00643BA9"/>
    <w:rsid w:val="006464FE"/>
    <w:rsid w:val="00646EA4"/>
    <w:rsid w:val="006470F8"/>
    <w:rsid w:val="0064745B"/>
    <w:rsid w:val="0065242B"/>
    <w:rsid w:val="00652638"/>
    <w:rsid w:val="006526C1"/>
    <w:rsid w:val="0065707C"/>
    <w:rsid w:val="00657623"/>
    <w:rsid w:val="00657E57"/>
    <w:rsid w:val="006602D3"/>
    <w:rsid w:val="00660C81"/>
    <w:rsid w:val="00660EDC"/>
    <w:rsid w:val="006617A4"/>
    <w:rsid w:val="006622EF"/>
    <w:rsid w:val="006643E9"/>
    <w:rsid w:val="00664FE3"/>
    <w:rsid w:val="0066687D"/>
    <w:rsid w:val="00667DA0"/>
    <w:rsid w:val="0067116A"/>
    <w:rsid w:val="00675032"/>
    <w:rsid w:val="006757DB"/>
    <w:rsid w:val="00676B83"/>
    <w:rsid w:val="00677531"/>
    <w:rsid w:val="00677F26"/>
    <w:rsid w:val="006811E0"/>
    <w:rsid w:val="006812F2"/>
    <w:rsid w:val="006815AB"/>
    <w:rsid w:val="00681F8C"/>
    <w:rsid w:val="00682EFB"/>
    <w:rsid w:val="0068309C"/>
    <w:rsid w:val="0068393B"/>
    <w:rsid w:val="00685BC7"/>
    <w:rsid w:val="00685C47"/>
    <w:rsid w:val="00686D73"/>
    <w:rsid w:val="00686F6C"/>
    <w:rsid w:val="006873CB"/>
    <w:rsid w:val="006878D9"/>
    <w:rsid w:val="0069121A"/>
    <w:rsid w:val="00693AF4"/>
    <w:rsid w:val="00693B4A"/>
    <w:rsid w:val="00694612"/>
    <w:rsid w:val="006956F3"/>
    <w:rsid w:val="00696423"/>
    <w:rsid w:val="006A0106"/>
    <w:rsid w:val="006A0550"/>
    <w:rsid w:val="006A0B82"/>
    <w:rsid w:val="006A15A1"/>
    <w:rsid w:val="006A29BE"/>
    <w:rsid w:val="006A41E2"/>
    <w:rsid w:val="006A5D48"/>
    <w:rsid w:val="006A6BFA"/>
    <w:rsid w:val="006A780B"/>
    <w:rsid w:val="006A78FD"/>
    <w:rsid w:val="006B1632"/>
    <w:rsid w:val="006B2529"/>
    <w:rsid w:val="006B2CA4"/>
    <w:rsid w:val="006B2D7F"/>
    <w:rsid w:val="006B54BB"/>
    <w:rsid w:val="006B5A1A"/>
    <w:rsid w:val="006B6994"/>
    <w:rsid w:val="006B6F21"/>
    <w:rsid w:val="006B7130"/>
    <w:rsid w:val="006C2A53"/>
    <w:rsid w:val="006C48BC"/>
    <w:rsid w:val="006C4B3A"/>
    <w:rsid w:val="006C5BFF"/>
    <w:rsid w:val="006C5DAF"/>
    <w:rsid w:val="006C6AAB"/>
    <w:rsid w:val="006D16EE"/>
    <w:rsid w:val="006D1F59"/>
    <w:rsid w:val="006D20BC"/>
    <w:rsid w:val="006D3169"/>
    <w:rsid w:val="006D3F69"/>
    <w:rsid w:val="006D44CC"/>
    <w:rsid w:val="006D664F"/>
    <w:rsid w:val="006E05E8"/>
    <w:rsid w:val="006E0927"/>
    <w:rsid w:val="006E26F2"/>
    <w:rsid w:val="006E37C1"/>
    <w:rsid w:val="006E40D4"/>
    <w:rsid w:val="006E4730"/>
    <w:rsid w:val="006E4922"/>
    <w:rsid w:val="006E733D"/>
    <w:rsid w:val="006E7EAD"/>
    <w:rsid w:val="006F0316"/>
    <w:rsid w:val="006F1C0E"/>
    <w:rsid w:val="006F1FC8"/>
    <w:rsid w:val="006F35C0"/>
    <w:rsid w:val="006F381F"/>
    <w:rsid w:val="006F3A31"/>
    <w:rsid w:val="006F3BFD"/>
    <w:rsid w:val="006F4482"/>
    <w:rsid w:val="006F57F7"/>
    <w:rsid w:val="006F611E"/>
    <w:rsid w:val="006F7821"/>
    <w:rsid w:val="0070000C"/>
    <w:rsid w:val="0070010D"/>
    <w:rsid w:val="00702633"/>
    <w:rsid w:val="00702EF7"/>
    <w:rsid w:val="00707BC4"/>
    <w:rsid w:val="007104BC"/>
    <w:rsid w:val="00711101"/>
    <w:rsid w:val="00712E1A"/>
    <w:rsid w:val="00713260"/>
    <w:rsid w:val="007143E1"/>
    <w:rsid w:val="00714B3B"/>
    <w:rsid w:val="00714CF1"/>
    <w:rsid w:val="00715EC5"/>
    <w:rsid w:val="007161EE"/>
    <w:rsid w:val="00717887"/>
    <w:rsid w:val="00717AA6"/>
    <w:rsid w:val="007202D3"/>
    <w:rsid w:val="0072098C"/>
    <w:rsid w:val="00722821"/>
    <w:rsid w:val="007228F5"/>
    <w:rsid w:val="00725DC7"/>
    <w:rsid w:val="00727214"/>
    <w:rsid w:val="007272EB"/>
    <w:rsid w:val="0073214E"/>
    <w:rsid w:val="00733B06"/>
    <w:rsid w:val="00734D57"/>
    <w:rsid w:val="0073522D"/>
    <w:rsid w:val="00737F05"/>
    <w:rsid w:val="007417DE"/>
    <w:rsid w:val="0074182D"/>
    <w:rsid w:val="007446FC"/>
    <w:rsid w:val="00745184"/>
    <w:rsid w:val="00745908"/>
    <w:rsid w:val="007477F4"/>
    <w:rsid w:val="00752F02"/>
    <w:rsid w:val="007538C7"/>
    <w:rsid w:val="0075784D"/>
    <w:rsid w:val="00757B89"/>
    <w:rsid w:val="00757C4B"/>
    <w:rsid w:val="00760C68"/>
    <w:rsid w:val="007631E0"/>
    <w:rsid w:val="007655F8"/>
    <w:rsid w:val="00765FB5"/>
    <w:rsid w:val="0076670A"/>
    <w:rsid w:val="00766820"/>
    <w:rsid w:val="00767745"/>
    <w:rsid w:val="00772F48"/>
    <w:rsid w:val="007736BA"/>
    <w:rsid w:val="00774394"/>
    <w:rsid w:val="0077505E"/>
    <w:rsid w:val="00775F8A"/>
    <w:rsid w:val="00776AD2"/>
    <w:rsid w:val="007800E4"/>
    <w:rsid w:val="00780972"/>
    <w:rsid w:val="00780A9E"/>
    <w:rsid w:val="00780AA2"/>
    <w:rsid w:val="00781A9D"/>
    <w:rsid w:val="00781E30"/>
    <w:rsid w:val="00783778"/>
    <w:rsid w:val="00783E5A"/>
    <w:rsid w:val="007840BB"/>
    <w:rsid w:val="00785E2E"/>
    <w:rsid w:val="00790164"/>
    <w:rsid w:val="007908C5"/>
    <w:rsid w:val="00791772"/>
    <w:rsid w:val="00794A1F"/>
    <w:rsid w:val="00795F22"/>
    <w:rsid w:val="007A0ACE"/>
    <w:rsid w:val="007A1051"/>
    <w:rsid w:val="007A20AD"/>
    <w:rsid w:val="007A5539"/>
    <w:rsid w:val="007A61EC"/>
    <w:rsid w:val="007A6548"/>
    <w:rsid w:val="007A6E7E"/>
    <w:rsid w:val="007A7415"/>
    <w:rsid w:val="007A7CE5"/>
    <w:rsid w:val="007B00E1"/>
    <w:rsid w:val="007B1211"/>
    <w:rsid w:val="007B187C"/>
    <w:rsid w:val="007B1ECA"/>
    <w:rsid w:val="007B220F"/>
    <w:rsid w:val="007B3B0E"/>
    <w:rsid w:val="007B3DF4"/>
    <w:rsid w:val="007B6B1E"/>
    <w:rsid w:val="007B7CC9"/>
    <w:rsid w:val="007C2AD4"/>
    <w:rsid w:val="007C2DD4"/>
    <w:rsid w:val="007C3B06"/>
    <w:rsid w:val="007C3E46"/>
    <w:rsid w:val="007C4F78"/>
    <w:rsid w:val="007C5024"/>
    <w:rsid w:val="007C5CBD"/>
    <w:rsid w:val="007C73B8"/>
    <w:rsid w:val="007C7FBC"/>
    <w:rsid w:val="007D3420"/>
    <w:rsid w:val="007D3687"/>
    <w:rsid w:val="007D475D"/>
    <w:rsid w:val="007D4EA3"/>
    <w:rsid w:val="007D5362"/>
    <w:rsid w:val="007E000F"/>
    <w:rsid w:val="007E1135"/>
    <w:rsid w:val="007E1D38"/>
    <w:rsid w:val="007E29CF"/>
    <w:rsid w:val="007E35D8"/>
    <w:rsid w:val="007E496A"/>
    <w:rsid w:val="007E6661"/>
    <w:rsid w:val="007E6721"/>
    <w:rsid w:val="007F1668"/>
    <w:rsid w:val="007F297D"/>
    <w:rsid w:val="007F2E32"/>
    <w:rsid w:val="007F3880"/>
    <w:rsid w:val="007F3B8C"/>
    <w:rsid w:val="007F421B"/>
    <w:rsid w:val="00800A00"/>
    <w:rsid w:val="00804D26"/>
    <w:rsid w:val="00807623"/>
    <w:rsid w:val="00807B53"/>
    <w:rsid w:val="00810D34"/>
    <w:rsid w:val="00811503"/>
    <w:rsid w:val="00812EEE"/>
    <w:rsid w:val="00812F41"/>
    <w:rsid w:val="00814E45"/>
    <w:rsid w:val="0081620E"/>
    <w:rsid w:val="0081658F"/>
    <w:rsid w:val="0081739B"/>
    <w:rsid w:val="008179CF"/>
    <w:rsid w:val="00817F37"/>
    <w:rsid w:val="00820CE5"/>
    <w:rsid w:val="00820E00"/>
    <w:rsid w:val="008213F1"/>
    <w:rsid w:val="00825D43"/>
    <w:rsid w:val="00830148"/>
    <w:rsid w:val="008316AD"/>
    <w:rsid w:val="00833286"/>
    <w:rsid w:val="0083378E"/>
    <w:rsid w:val="00833C7E"/>
    <w:rsid w:val="00834FD5"/>
    <w:rsid w:val="008363A2"/>
    <w:rsid w:val="00837125"/>
    <w:rsid w:val="00841DAA"/>
    <w:rsid w:val="00842834"/>
    <w:rsid w:val="008445D4"/>
    <w:rsid w:val="008446F1"/>
    <w:rsid w:val="00846FF0"/>
    <w:rsid w:val="00847435"/>
    <w:rsid w:val="0085298A"/>
    <w:rsid w:val="008540D2"/>
    <w:rsid w:val="00855458"/>
    <w:rsid w:val="0085728C"/>
    <w:rsid w:val="0086134D"/>
    <w:rsid w:val="00861FD7"/>
    <w:rsid w:val="00862724"/>
    <w:rsid w:val="00862B6A"/>
    <w:rsid w:val="00865057"/>
    <w:rsid w:val="00865472"/>
    <w:rsid w:val="0087080C"/>
    <w:rsid w:val="00870E37"/>
    <w:rsid w:val="00874671"/>
    <w:rsid w:val="0087635E"/>
    <w:rsid w:val="00876921"/>
    <w:rsid w:val="00876B68"/>
    <w:rsid w:val="0088013C"/>
    <w:rsid w:val="00881F2C"/>
    <w:rsid w:val="008821C7"/>
    <w:rsid w:val="0088286F"/>
    <w:rsid w:val="00883EAF"/>
    <w:rsid w:val="00883FEF"/>
    <w:rsid w:val="00884452"/>
    <w:rsid w:val="008905D7"/>
    <w:rsid w:val="00890679"/>
    <w:rsid w:val="00890FC7"/>
    <w:rsid w:val="008926C3"/>
    <w:rsid w:val="00893951"/>
    <w:rsid w:val="00893FC1"/>
    <w:rsid w:val="008955C5"/>
    <w:rsid w:val="00895B87"/>
    <w:rsid w:val="00896511"/>
    <w:rsid w:val="00897763"/>
    <w:rsid w:val="00897A5A"/>
    <w:rsid w:val="008A08D2"/>
    <w:rsid w:val="008A26A7"/>
    <w:rsid w:val="008A2E7B"/>
    <w:rsid w:val="008A35E6"/>
    <w:rsid w:val="008A3A4A"/>
    <w:rsid w:val="008A4B8E"/>
    <w:rsid w:val="008A5C8E"/>
    <w:rsid w:val="008B1C95"/>
    <w:rsid w:val="008B30B7"/>
    <w:rsid w:val="008B562E"/>
    <w:rsid w:val="008B5748"/>
    <w:rsid w:val="008B5B9D"/>
    <w:rsid w:val="008B6355"/>
    <w:rsid w:val="008B67A1"/>
    <w:rsid w:val="008B6A22"/>
    <w:rsid w:val="008B6B0E"/>
    <w:rsid w:val="008B6E1A"/>
    <w:rsid w:val="008C1B0A"/>
    <w:rsid w:val="008C2078"/>
    <w:rsid w:val="008C4D02"/>
    <w:rsid w:val="008C520E"/>
    <w:rsid w:val="008C5CA5"/>
    <w:rsid w:val="008C7368"/>
    <w:rsid w:val="008C73D6"/>
    <w:rsid w:val="008D098A"/>
    <w:rsid w:val="008D0C62"/>
    <w:rsid w:val="008D2528"/>
    <w:rsid w:val="008D2CD6"/>
    <w:rsid w:val="008D39B0"/>
    <w:rsid w:val="008D462B"/>
    <w:rsid w:val="008D4939"/>
    <w:rsid w:val="008D4F0B"/>
    <w:rsid w:val="008E0465"/>
    <w:rsid w:val="008E1195"/>
    <w:rsid w:val="008E3AEA"/>
    <w:rsid w:val="008E3D60"/>
    <w:rsid w:val="008E6B68"/>
    <w:rsid w:val="008E7390"/>
    <w:rsid w:val="008E762D"/>
    <w:rsid w:val="008F000D"/>
    <w:rsid w:val="008F1F00"/>
    <w:rsid w:val="008F32A1"/>
    <w:rsid w:val="008F6E84"/>
    <w:rsid w:val="008F7EBB"/>
    <w:rsid w:val="0090056C"/>
    <w:rsid w:val="00900939"/>
    <w:rsid w:val="00900DF0"/>
    <w:rsid w:val="00903621"/>
    <w:rsid w:val="00905898"/>
    <w:rsid w:val="00907EE2"/>
    <w:rsid w:val="009113AE"/>
    <w:rsid w:val="00911F60"/>
    <w:rsid w:val="00914284"/>
    <w:rsid w:val="00914550"/>
    <w:rsid w:val="00914E36"/>
    <w:rsid w:val="00915300"/>
    <w:rsid w:val="009173B9"/>
    <w:rsid w:val="00917AE1"/>
    <w:rsid w:val="009202B1"/>
    <w:rsid w:val="0092042A"/>
    <w:rsid w:val="009216C0"/>
    <w:rsid w:val="009216CA"/>
    <w:rsid w:val="00922808"/>
    <w:rsid w:val="00922934"/>
    <w:rsid w:val="009231EB"/>
    <w:rsid w:val="00923CCF"/>
    <w:rsid w:val="009245CB"/>
    <w:rsid w:val="009259EF"/>
    <w:rsid w:val="00927725"/>
    <w:rsid w:val="00930782"/>
    <w:rsid w:val="00931452"/>
    <w:rsid w:val="009332EE"/>
    <w:rsid w:val="0093355A"/>
    <w:rsid w:val="009335BA"/>
    <w:rsid w:val="00934660"/>
    <w:rsid w:val="00934E21"/>
    <w:rsid w:val="00936B44"/>
    <w:rsid w:val="00936EC8"/>
    <w:rsid w:val="009416FE"/>
    <w:rsid w:val="009417E1"/>
    <w:rsid w:val="00942AE0"/>
    <w:rsid w:val="00945D12"/>
    <w:rsid w:val="00947F9D"/>
    <w:rsid w:val="00950381"/>
    <w:rsid w:val="00953C4E"/>
    <w:rsid w:val="00961A4F"/>
    <w:rsid w:val="00962287"/>
    <w:rsid w:val="00962690"/>
    <w:rsid w:val="00962A81"/>
    <w:rsid w:val="00964BBB"/>
    <w:rsid w:val="00971077"/>
    <w:rsid w:val="00971B25"/>
    <w:rsid w:val="009738D4"/>
    <w:rsid w:val="00973FD3"/>
    <w:rsid w:val="00973FE6"/>
    <w:rsid w:val="009740C4"/>
    <w:rsid w:val="00976F69"/>
    <w:rsid w:val="00981F79"/>
    <w:rsid w:val="009825C9"/>
    <w:rsid w:val="009850EF"/>
    <w:rsid w:val="00985278"/>
    <w:rsid w:val="009868FC"/>
    <w:rsid w:val="00990A70"/>
    <w:rsid w:val="00991558"/>
    <w:rsid w:val="00991A16"/>
    <w:rsid w:val="00992433"/>
    <w:rsid w:val="00992BE2"/>
    <w:rsid w:val="009941C2"/>
    <w:rsid w:val="0099562E"/>
    <w:rsid w:val="00996DDC"/>
    <w:rsid w:val="009A2E41"/>
    <w:rsid w:val="009A52C1"/>
    <w:rsid w:val="009A5EA7"/>
    <w:rsid w:val="009A6108"/>
    <w:rsid w:val="009B455D"/>
    <w:rsid w:val="009B4E8F"/>
    <w:rsid w:val="009B7769"/>
    <w:rsid w:val="009C2436"/>
    <w:rsid w:val="009C441C"/>
    <w:rsid w:val="009D0462"/>
    <w:rsid w:val="009D12AD"/>
    <w:rsid w:val="009D242A"/>
    <w:rsid w:val="009D2975"/>
    <w:rsid w:val="009D2D8D"/>
    <w:rsid w:val="009D2FBA"/>
    <w:rsid w:val="009D351E"/>
    <w:rsid w:val="009D3629"/>
    <w:rsid w:val="009D3B9B"/>
    <w:rsid w:val="009D3D9D"/>
    <w:rsid w:val="009D4172"/>
    <w:rsid w:val="009D42C8"/>
    <w:rsid w:val="009D58D1"/>
    <w:rsid w:val="009D7565"/>
    <w:rsid w:val="009D7787"/>
    <w:rsid w:val="009D7D9C"/>
    <w:rsid w:val="009D7DD7"/>
    <w:rsid w:val="009E02C9"/>
    <w:rsid w:val="009E121C"/>
    <w:rsid w:val="009E1B98"/>
    <w:rsid w:val="009E23CD"/>
    <w:rsid w:val="009E39DC"/>
    <w:rsid w:val="009E3D81"/>
    <w:rsid w:val="009E3E51"/>
    <w:rsid w:val="009E3FAC"/>
    <w:rsid w:val="009E5378"/>
    <w:rsid w:val="009E56B4"/>
    <w:rsid w:val="009E6D68"/>
    <w:rsid w:val="009F029A"/>
    <w:rsid w:val="009F0DA4"/>
    <w:rsid w:val="009F1187"/>
    <w:rsid w:val="009F28C9"/>
    <w:rsid w:val="009F43C3"/>
    <w:rsid w:val="009F4D28"/>
    <w:rsid w:val="009F6110"/>
    <w:rsid w:val="009F615E"/>
    <w:rsid w:val="009F6933"/>
    <w:rsid w:val="009F7233"/>
    <w:rsid w:val="009F7D43"/>
    <w:rsid w:val="00A012D0"/>
    <w:rsid w:val="00A043FE"/>
    <w:rsid w:val="00A05803"/>
    <w:rsid w:val="00A05916"/>
    <w:rsid w:val="00A06E1B"/>
    <w:rsid w:val="00A0794D"/>
    <w:rsid w:val="00A16741"/>
    <w:rsid w:val="00A2114F"/>
    <w:rsid w:val="00A218A7"/>
    <w:rsid w:val="00A2216E"/>
    <w:rsid w:val="00A22A96"/>
    <w:rsid w:val="00A2370B"/>
    <w:rsid w:val="00A24782"/>
    <w:rsid w:val="00A25885"/>
    <w:rsid w:val="00A265F3"/>
    <w:rsid w:val="00A26CAA"/>
    <w:rsid w:val="00A26CCB"/>
    <w:rsid w:val="00A27AFB"/>
    <w:rsid w:val="00A31536"/>
    <w:rsid w:val="00A31956"/>
    <w:rsid w:val="00A33C0B"/>
    <w:rsid w:val="00A33DC9"/>
    <w:rsid w:val="00A33F77"/>
    <w:rsid w:val="00A35831"/>
    <w:rsid w:val="00A36E14"/>
    <w:rsid w:val="00A3743F"/>
    <w:rsid w:val="00A412EF"/>
    <w:rsid w:val="00A42EF2"/>
    <w:rsid w:val="00A44D84"/>
    <w:rsid w:val="00A44DC3"/>
    <w:rsid w:val="00A45BD2"/>
    <w:rsid w:val="00A46F60"/>
    <w:rsid w:val="00A4716C"/>
    <w:rsid w:val="00A479EA"/>
    <w:rsid w:val="00A50436"/>
    <w:rsid w:val="00A51321"/>
    <w:rsid w:val="00A51BE1"/>
    <w:rsid w:val="00A5275D"/>
    <w:rsid w:val="00A52A12"/>
    <w:rsid w:val="00A52ED5"/>
    <w:rsid w:val="00A5372E"/>
    <w:rsid w:val="00A54194"/>
    <w:rsid w:val="00A54E6E"/>
    <w:rsid w:val="00A5515B"/>
    <w:rsid w:val="00A578D4"/>
    <w:rsid w:val="00A61015"/>
    <w:rsid w:val="00A61D6F"/>
    <w:rsid w:val="00A61D7A"/>
    <w:rsid w:val="00A64735"/>
    <w:rsid w:val="00A64A5F"/>
    <w:rsid w:val="00A653BF"/>
    <w:rsid w:val="00A654E5"/>
    <w:rsid w:val="00A659E2"/>
    <w:rsid w:val="00A72F5E"/>
    <w:rsid w:val="00A7322E"/>
    <w:rsid w:val="00A73FFB"/>
    <w:rsid w:val="00A7542E"/>
    <w:rsid w:val="00A766F9"/>
    <w:rsid w:val="00A81E2E"/>
    <w:rsid w:val="00A8265A"/>
    <w:rsid w:val="00A83F16"/>
    <w:rsid w:val="00A84303"/>
    <w:rsid w:val="00A84D22"/>
    <w:rsid w:val="00A8510A"/>
    <w:rsid w:val="00A860D4"/>
    <w:rsid w:val="00A8651D"/>
    <w:rsid w:val="00A91BFE"/>
    <w:rsid w:val="00A92240"/>
    <w:rsid w:val="00A931DE"/>
    <w:rsid w:val="00A9358F"/>
    <w:rsid w:val="00A93D89"/>
    <w:rsid w:val="00A95A99"/>
    <w:rsid w:val="00A95EB3"/>
    <w:rsid w:val="00A964C1"/>
    <w:rsid w:val="00AA1034"/>
    <w:rsid w:val="00AA2319"/>
    <w:rsid w:val="00AA4A4A"/>
    <w:rsid w:val="00AA548E"/>
    <w:rsid w:val="00AA5C5A"/>
    <w:rsid w:val="00AA6178"/>
    <w:rsid w:val="00AB2251"/>
    <w:rsid w:val="00AB2C4F"/>
    <w:rsid w:val="00AB4249"/>
    <w:rsid w:val="00AB5F73"/>
    <w:rsid w:val="00AB6968"/>
    <w:rsid w:val="00AC014D"/>
    <w:rsid w:val="00AC1B3F"/>
    <w:rsid w:val="00AC409E"/>
    <w:rsid w:val="00AC43E5"/>
    <w:rsid w:val="00AC4FFA"/>
    <w:rsid w:val="00AC7204"/>
    <w:rsid w:val="00AC7EA1"/>
    <w:rsid w:val="00AD07F3"/>
    <w:rsid w:val="00AD0B76"/>
    <w:rsid w:val="00AD12A0"/>
    <w:rsid w:val="00AD1F22"/>
    <w:rsid w:val="00AD3C01"/>
    <w:rsid w:val="00AD445A"/>
    <w:rsid w:val="00AD5E93"/>
    <w:rsid w:val="00AD646B"/>
    <w:rsid w:val="00AD6ADC"/>
    <w:rsid w:val="00AD7D0B"/>
    <w:rsid w:val="00AE0140"/>
    <w:rsid w:val="00AE1258"/>
    <w:rsid w:val="00AE14BE"/>
    <w:rsid w:val="00AE22A4"/>
    <w:rsid w:val="00AE32D0"/>
    <w:rsid w:val="00AE5BCC"/>
    <w:rsid w:val="00AE665F"/>
    <w:rsid w:val="00AE67D7"/>
    <w:rsid w:val="00AF03C9"/>
    <w:rsid w:val="00AF0428"/>
    <w:rsid w:val="00AF3BFA"/>
    <w:rsid w:val="00AF3E3E"/>
    <w:rsid w:val="00AF490E"/>
    <w:rsid w:val="00AF57F6"/>
    <w:rsid w:val="00AF615A"/>
    <w:rsid w:val="00AF629B"/>
    <w:rsid w:val="00B04D8B"/>
    <w:rsid w:val="00B068F4"/>
    <w:rsid w:val="00B075DE"/>
    <w:rsid w:val="00B07E37"/>
    <w:rsid w:val="00B11D1A"/>
    <w:rsid w:val="00B11E5B"/>
    <w:rsid w:val="00B12E10"/>
    <w:rsid w:val="00B146AF"/>
    <w:rsid w:val="00B17BF1"/>
    <w:rsid w:val="00B210A2"/>
    <w:rsid w:val="00B216E3"/>
    <w:rsid w:val="00B217E8"/>
    <w:rsid w:val="00B23540"/>
    <w:rsid w:val="00B24B12"/>
    <w:rsid w:val="00B258FE"/>
    <w:rsid w:val="00B26BB7"/>
    <w:rsid w:val="00B30888"/>
    <w:rsid w:val="00B3107C"/>
    <w:rsid w:val="00B32D74"/>
    <w:rsid w:val="00B35E0E"/>
    <w:rsid w:val="00B36C27"/>
    <w:rsid w:val="00B40231"/>
    <w:rsid w:val="00B41911"/>
    <w:rsid w:val="00B46787"/>
    <w:rsid w:val="00B501B5"/>
    <w:rsid w:val="00B508E9"/>
    <w:rsid w:val="00B50A32"/>
    <w:rsid w:val="00B51417"/>
    <w:rsid w:val="00B52B1B"/>
    <w:rsid w:val="00B531F1"/>
    <w:rsid w:val="00B54027"/>
    <w:rsid w:val="00B55F29"/>
    <w:rsid w:val="00B562F0"/>
    <w:rsid w:val="00B56E5D"/>
    <w:rsid w:val="00B60468"/>
    <w:rsid w:val="00B60F8C"/>
    <w:rsid w:val="00B6365C"/>
    <w:rsid w:val="00B64BF2"/>
    <w:rsid w:val="00B70517"/>
    <w:rsid w:val="00B715C6"/>
    <w:rsid w:val="00B75272"/>
    <w:rsid w:val="00B75BB3"/>
    <w:rsid w:val="00B76878"/>
    <w:rsid w:val="00B76BFB"/>
    <w:rsid w:val="00B7768E"/>
    <w:rsid w:val="00B802C9"/>
    <w:rsid w:val="00B8045B"/>
    <w:rsid w:val="00B8210E"/>
    <w:rsid w:val="00B831D5"/>
    <w:rsid w:val="00B8325D"/>
    <w:rsid w:val="00B84B13"/>
    <w:rsid w:val="00B852C0"/>
    <w:rsid w:val="00B8546D"/>
    <w:rsid w:val="00B85E95"/>
    <w:rsid w:val="00B85EED"/>
    <w:rsid w:val="00B875C0"/>
    <w:rsid w:val="00B87D26"/>
    <w:rsid w:val="00B9185F"/>
    <w:rsid w:val="00B922CA"/>
    <w:rsid w:val="00B95925"/>
    <w:rsid w:val="00B96A3D"/>
    <w:rsid w:val="00BA24D2"/>
    <w:rsid w:val="00BA293F"/>
    <w:rsid w:val="00BA29F9"/>
    <w:rsid w:val="00BA3102"/>
    <w:rsid w:val="00BA3B2B"/>
    <w:rsid w:val="00BA4EA6"/>
    <w:rsid w:val="00BA657A"/>
    <w:rsid w:val="00BA698B"/>
    <w:rsid w:val="00BB0534"/>
    <w:rsid w:val="00BB0DB8"/>
    <w:rsid w:val="00BB0F8F"/>
    <w:rsid w:val="00BB13D7"/>
    <w:rsid w:val="00BB1979"/>
    <w:rsid w:val="00BB1F54"/>
    <w:rsid w:val="00BB2C8C"/>
    <w:rsid w:val="00BB2CA3"/>
    <w:rsid w:val="00BB348E"/>
    <w:rsid w:val="00BB354F"/>
    <w:rsid w:val="00BB36A8"/>
    <w:rsid w:val="00BB4777"/>
    <w:rsid w:val="00BB4EEB"/>
    <w:rsid w:val="00BB5B0A"/>
    <w:rsid w:val="00BB5CE3"/>
    <w:rsid w:val="00BC06C3"/>
    <w:rsid w:val="00BC4B1E"/>
    <w:rsid w:val="00BC55DE"/>
    <w:rsid w:val="00BC5C7E"/>
    <w:rsid w:val="00BD0BDE"/>
    <w:rsid w:val="00BD1988"/>
    <w:rsid w:val="00BD4AA6"/>
    <w:rsid w:val="00BD4FD8"/>
    <w:rsid w:val="00BE17D6"/>
    <w:rsid w:val="00BE1981"/>
    <w:rsid w:val="00BE25C9"/>
    <w:rsid w:val="00BE37E1"/>
    <w:rsid w:val="00BE6BBF"/>
    <w:rsid w:val="00BE7453"/>
    <w:rsid w:val="00BE78A4"/>
    <w:rsid w:val="00BF1182"/>
    <w:rsid w:val="00BF4C43"/>
    <w:rsid w:val="00BF778F"/>
    <w:rsid w:val="00BF7D4A"/>
    <w:rsid w:val="00C017BF"/>
    <w:rsid w:val="00C02983"/>
    <w:rsid w:val="00C02CA2"/>
    <w:rsid w:val="00C03981"/>
    <w:rsid w:val="00C04218"/>
    <w:rsid w:val="00C0680D"/>
    <w:rsid w:val="00C07042"/>
    <w:rsid w:val="00C0704F"/>
    <w:rsid w:val="00C07844"/>
    <w:rsid w:val="00C10C95"/>
    <w:rsid w:val="00C11B45"/>
    <w:rsid w:val="00C11E3E"/>
    <w:rsid w:val="00C12406"/>
    <w:rsid w:val="00C14AB0"/>
    <w:rsid w:val="00C15225"/>
    <w:rsid w:val="00C15CEE"/>
    <w:rsid w:val="00C15E9D"/>
    <w:rsid w:val="00C167D1"/>
    <w:rsid w:val="00C17D3D"/>
    <w:rsid w:val="00C212AB"/>
    <w:rsid w:val="00C214F0"/>
    <w:rsid w:val="00C26422"/>
    <w:rsid w:val="00C26C7C"/>
    <w:rsid w:val="00C3269F"/>
    <w:rsid w:val="00C3288D"/>
    <w:rsid w:val="00C342DB"/>
    <w:rsid w:val="00C361E3"/>
    <w:rsid w:val="00C378DE"/>
    <w:rsid w:val="00C40EF8"/>
    <w:rsid w:val="00C42785"/>
    <w:rsid w:val="00C45174"/>
    <w:rsid w:val="00C45243"/>
    <w:rsid w:val="00C4681F"/>
    <w:rsid w:val="00C52184"/>
    <w:rsid w:val="00C5255F"/>
    <w:rsid w:val="00C53234"/>
    <w:rsid w:val="00C53989"/>
    <w:rsid w:val="00C53E83"/>
    <w:rsid w:val="00C54F52"/>
    <w:rsid w:val="00C553B7"/>
    <w:rsid w:val="00C5798E"/>
    <w:rsid w:val="00C57D4A"/>
    <w:rsid w:val="00C60A09"/>
    <w:rsid w:val="00C65356"/>
    <w:rsid w:val="00C65A41"/>
    <w:rsid w:val="00C67C95"/>
    <w:rsid w:val="00C67EE6"/>
    <w:rsid w:val="00C70497"/>
    <w:rsid w:val="00C70D5A"/>
    <w:rsid w:val="00C70F46"/>
    <w:rsid w:val="00C71284"/>
    <w:rsid w:val="00C72121"/>
    <w:rsid w:val="00C72DC6"/>
    <w:rsid w:val="00C7307F"/>
    <w:rsid w:val="00C7375E"/>
    <w:rsid w:val="00C7463A"/>
    <w:rsid w:val="00C74CA2"/>
    <w:rsid w:val="00C756E0"/>
    <w:rsid w:val="00C7667D"/>
    <w:rsid w:val="00C76BBF"/>
    <w:rsid w:val="00C77E8A"/>
    <w:rsid w:val="00C81F24"/>
    <w:rsid w:val="00C869F3"/>
    <w:rsid w:val="00C87B7D"/>
    <w:rsid w:val="00C91119"/>
    <w:rsid w:val="00C91249"/>
    <w:rsid w:val="00C948F7"/>
    <w:rsid w:val="00C9495E"/>
    <w:rsid w:val="00C94E7E"/>
    <w:rsid w:val="00C97C9B"/>
    <w:rsid w:val="00CA0008"/>
    <w:rsid w:val="00CA08AE"/>
    <w:rsid w:val="00CA0E3A"/>
    <w:rsid w:val="00CA12F4"/>
    <w:rsid w:val="00CA1C47"/>
    <w:rsid w:val="00CA3333"/>
    <w:rsid w:val="00CA6A22"/>
    <w:rsid w:val="00CA6E12"/>
    <w:rsid w:val="00CB004D"/>
    <w:rsid w:val="00CB08D8"/>
    <w:rsid w:val="00CB0B66"/>
    <w:rsid w:val="00CB34CC"/>
    <w:rsid w:val="00CB42F2"/>
    <w:rsid w:val="00CB4618"/>
    <w:rsid w:val="00CC04CB"/>
    <w:rsid w:val="00CC14C4"/>
    <w:rsid w:val="00CC4EAB"/>
    <w:rsid w:val="00CC5527"/>
    <w:rsid w:val="00CD1C68"/>
    <w:rsid w:val="00CD32A8"/>
    <w:rsid w:val="00CD682B"/>
    <w:rsid w:val="00CD7494"/>
    <w:rsid w:val="00CD754D"/>
    <w:rsid w:val="00CD7F80"/>
    <w:rsid w:val="00CE02AD"/>
    <w:rsid w:val="00CE053C"/>
    <w:rsid w:val="00CE080E"/>
    <w:rsid w:val="00CE10E3"/>
    <w:rsid w:val="00CE186F"/>
    <w:rsid w:val="00CE23AA"/>
    <w:rsid w:val="00CE2B42"/>
    <w:rsid w:val="00CE319B"/>
    <w:rsid w:val="00CE40E3"/>
    <w:rsid w:val="00CE4A86"/>
    <w:rsid w:val="00CE4CAE"/>
    <w:rsid w:val="00CE55DA"/>
    <w:rsid w:val="00CE69C0"/>
    <w:rsid w:val="00CF38F4"/>
    <w:rsid w:val="00CF3B09"/>
    <w:rsid w:val="00CF44B5"/>
    <w:rsid w:val="00CF5879"/>
    <w:rsid w:val="00D00375"/>
    <w:rsid w:val="00D022DC"/>
    <w:rsid w:val="00D0253C"/>
    <w:rsid w:val="00D046C9"/>
    <w:rsid w:val="00D05183"/>
    <w:rsid w:val="00D05704"/>
    <w:rsid w:val="00D06BC9"/>
    <w:rsid w:val="00D12493"/>
    <w:rsid w:val="00D12C7A"/>
    <w:rsid w:val="00D1404B"/>
    <w:rsid w:val="00D14EF9"/>
    <w:rsid w:val="00D15416"/>
    <w:rsid w:val="00D17BB1"/>
    <w:rsid w:val="00D2066E"/>
    <w:rsid w:val="00D20F4F"/>
    <w:rsid w:val="00D214F7"/>
    <w:rsid w:val="00D22C5B"/>
    <w:rsid w:val="00D23D51"/>
    <w:rsid w:val="00D250CE"/>
    <w:rsid w:val="00D276A4"/>
    <w:rsid w:val="00D30181"/>
    <w:rsid w:val="00D30B29"/>
    <w:rsid w:val="00D31ACA"/>
    <w:rsid w:val="00D3464C"/>
    <w:rsid w:val="00D3501F"/>
    <w:rsid w:val="00D36224"/>
    <w:rsid w:val="00D3657A"/>
    <w:rsid w:val="00D41625"/>
    <w:rsid w:val="00D416AA"/>
    <w:rsid w:val="00D416F5"/>
    <w:rsid w:val="00D44111"/>
    <w:rsid w:val="00D444A1"/>
    <w:rsid w:val="00D4655A"/>
    <w:rsid w:val="00D46A93"/>
    <w:rsid w:val="00D50EE4"/>
    <w:rsid w:val="00D51945"/>
    <w:rsid w:val="00D522BB"/>
    <w:rsid w:val="00D53045"/>
    <w:rsid w:val="00D5474F"/>
    <w:rsid w:val="00D55056"/>
    <w:rsid w:val="00D5724D"/>
    <w:rsid w:val="00D61635"/>
    <w:rsid w:val="00D626A9"/>
    <w:rsid w:val="00D628C5"/>
    <w:rsid w:val="00D63DB5"/>
    <w:rsid w:val="00D7066E"/>
    <w:rsid w:val="00D7078F"/>
    <w:rsid w:val="00D72BC6"/>
    <w:rsid w:val="00D74447"/>
    <w:rsid w:val="00D75DD0"/>
    <w:rsid w:val="00D76EF3"/>
    <w:rsid w:val="00D77FB0"/>
    <w:rsid w:val="00D80DD7"/>
    <w:rsid w:val="00D82050"/>
    <w:rsid w:val="00D838FD"/>
    <w:rsid w:val="00D83927"/>
    <w:rsid w:val="00D84E23"/>
    <w:rsid w:val="00D8588C"/>
    <w:rsid w:val="00D85A63"/>
    <w:rsid w:val="00D86245"/>
    <w:rsid w:val="00D87378"/>
    <w:rsid w:val="00D8761C"/>
    <w:rsid w:val="00D87CCB"/>
    <w:rsid w:val="00D9043F"/>
    <w:rsid w:val="00D91604"/>
    <w:rsid w:val="00D91C87"/>
    <w:rsid w:val="00D92E74"/>
    <w:rsid w:val="00D93DA1"/>
    <w:rsid w:val="00D94CBE"/>
    <w:rsid w:val="00D9594F"/>
    <w:rsid w:val="00D97AB4"/>
    <w:rsid w:val="00DA38BA"/>
    <w:rsid w:val="00DA3E5A"/>
    <w:rsid w:val="00DA3FEA"/>
    <w:rsid w:val="00DA5B39"/>
    <w:rsid w:val="00DA7199"/>
    <w:rsid w:val="00DA7D4E"/>
    <w:rsid w:val="00DB07BF"/>
    <w:rsid w:val="00DC0B04"/>
    <w:rsid w:val="00DC262C"/>
    <w:rsid w:val="00DC2DC4"/>
    <w:rsid w:val="00DC3D25"/>
    <w:rsid w:val="00DC4FD4"/>
    <w:rsid w:val="00DC5F21"/>
    <w:rsid w:val="00DC6174"/>
    <w:rsid w:val="00DC6E87"/>
    <w:rsid w:val="00DC72ED"/>
    <w:rsid w:val="00DC7506"/>
    <w:rsid w:val="00DD035E"/>
    <w:rsid w:val="00DD0FBB"/>
    <w:rsid w:val="00DD1C92"/>
    <w:rsid w:val="00DD3486"/>
    <w:rsid w:val="00DD461A"/>
    <w:rsid w:val="00DD58FD"/>
    <w:rsid w:val="00DD6697"/>
    <w:rsid w:val="00DD75E5"/>
    <w:rsid w:val="00DD7963"/>
    <w:rsid w:val="00DE04DD"/>
    <w:rsid w:val="00DE1E03"/>
    <w:rsid w:val="00DE252A"/>
    <w:rsid w:val="00DE49C0"/>
    <w:rsid w:val="00DE5402"/>
    <w:rsid w:val="00DE7564"/>
    <w:rsid w:val="00DE7AB3"/>
    <w:rsid w:val="00DE7F24"/>
    <w:rsid w:val="00DF0036"/>
    <w:rsid w:val="00DF013F"/>
    <w:rsid w:val="00DF0724"/>
    <w:rsid w:val="00DF1C9D"/>
    <w:rsid w:val="00DF4709"/>
    <w:rsid w:val="00DF5DEB"/>
    <w:rsid w:val="00DF7501"/>
    <w:rsid w:val="00DF788A"/>
    <w:rsid w:val="00E0081B"/>
    <w:rsid w:val="00E01BE5"/>
    <w:rsid w:val="00E01FDB"/>
    <w:rsid w:val="00E03674"/>
    <w:rsid w:val="00E04231"/>
    <w:rsid w:val="00E0486D"/>
    <w:rsid w:val="00E05419"/>
    <w:rsid w:val="00E05C7D"/>
    <w:rsid w:val="00E05EB1"/>
    <w:rsid w:val="00E064FC"/>
    <w:rsid w:val="00E10031"/>
    <w:rsid w:val="00E1129F"/>
    <w:rsid w:val="00E12301"/>
    <w:rsid w:val="00E12B86"/>
    <w:rsid w:val="00E13CEA"/>
    <w:rsid w:val="00E14272"/>
    <w:rsid w:val="00E16CC8"/>
    <w:rsid w:val="00E21838"/>
    <w:rsid w:val="00E21C8C"/>
    <w:rsid w:val="00E22360"/>
    <w:rsid w:val="00E23BB7"/>
    <w:rsid w:val="00E25274"/>
    <w:rsid w:val="00E2573D"/>
    <w:rsid w:val="00E266C1"/>
    <w:rsid w:val="00E26E0C"/>
    <w:rsid w:val="00E27C7F"/>
    <w:rsid w:val="00E302B8"/>
    <w:rsid w:val="00E31C09"/>
    <w:rsid w:val="00E327D9"/>
    <w:rsid w:val="00E338C6"/>
    <w:rsid w:val="00E33FA7"/>
    <w:rsid w:val="00E34E03"/>
    <w:rsid w:val="00E36AE9"/>
    <w:rsid w:val="00E375EE"/>
    <w:rsid w:val="00E40018"/>
    <w:rsid w:val="00E40854"/>
    <w:rsid w:val="00E40F9B"/>
    <w:rsid w:val="00E412C8"/>
    <w:rsid w:val="00E41345"/>
    <w:rsid w:val="00E42464"/>
    <w:rsid w:val="00E42CB1"/>
    <w:rsid w:val="00E4428D"/>
    <w:rsid w:val="00E45397"/>
    <w:rsid w:val="00E46C3A"/>
    <w:rsid w:val="00E47ACF"/>
    <w:rsid w:val="00E47FDD"/>
    <w:rsid w:val="00E5134F"/>
    <w:rsid w:val="00E522D2"/>
    <w:rsid w:val="00E538F0"/>
    <w:rsid w:val="00E53E02"/>
    <w:rsid w:val="00E5492C"/>
    <w:rsid w:val="00E549E2"/>
    <w:rsid w:val="00E54B68"/>
    <w:rsid w:val="00E55021"/>
    <w:rsid w:val="00E55136"/>
    <w:rsid w:val="00E5535D"/>
    <w:rsid w:val="00E55595"/>
    <w:rsid w:val="00E57269"/>
    <w:rsid w:val="00E5737B"/>
    <w:rsid w:val="00E57957"/>
    <w:rsid w:val="00E579E8"/>
    <w:rsid w:val="00E60082"/>
    <w:rsid w:val="00E6065B"/>
    <w:rsid w:val="00E606C0"/>
    <w:rsid w:val="00E626BD"/>
    <w:rsid w:val="00E627A0"/>
    <w:rsid w:val="00E66A5E"/>
    <w:rsid w:val="00E743CA"/>
    <w:rsid w:val="00E7534B"/>
    <w:rsid w:val="00E77401"/>
    <w:rsid w:val="00E80FAC"/>
    <w:rsid w:val="00E83822"/>
    <w:rsid w:val="00E8400B"/>
    <w:rsid w:val="00E84422"/>
    <w:rsid w:val="00E8461C"/>
    <w:rsid w:val="00E84665"/>
    <w:rsid w:val="00E84CC7"/>
    <w:rsid w:val="00E8564D"/>
    <w:rsid w:val="00E85DC4"/>
    <w:rsid w:val="00E86E77"/>
    <w:rsid w:val="00E907C3"/>
    <w:rsid w:val="00E9272A"/>
    <w:rsid w:val="00E94526"/>
    <w:rsid w:val="00E94FED"/>
    <w:rsid w:val="00E952A1"/>
    <w:rsid w:val="00E95F0D"/>
    <w:rsid w:val="00E966E3"/>
    <w:rsid w:val="00E968B2"/>
    <w:rsid w:val="00E96FC9"/>
    <w:rsid w:val="00EA12AE"/>
    <w:rsid w:val="00EA12CE"/>
    <w:rsid w:val="00EA1B47"/>
    <w:rsid w:val="00EA1C91"/>
    <w:rsid w:val="00EA4B71"/>
    <w:rsid w:val="00EA4EBA"/>
    <w:rsid w:val="00EA6567"/>
    <w:rsid w:val="00EA79E3"/>
    <w:rsid w:val="00EB24BD"/>
    <w:rsid w:val="00EB40AE"/>
    <w:rsid w:val="00EB51CF"/>
    <w:rsid w:val="00EC0156"/>
    <w:rsid w:val="00EC18D0"/>
    <w:rsid w:val="00EC4AB0"/>
    <w:rsid w:val="00EC56D6"/>
    <w:rsid w:val="00EC5EF0"/>
    <w:rsid w:val="00EC7841"/>
    <w:rsid w:val="00ED1ED0"/>
    <w:rsid w:val="00ED250C"/>
    <w:rsid w:val="00ED3C7F"/>
    <w:rsid w:val="00ED42E4"/>
    <w:rsid w:val="00ED46F3"/>
    <w:rsid w:val="00ED76C6"/>
    <w:rsid w:val="00ED785A"/>
    <w:rsid w:val="00ED7D8E"/>
    <w:rsid w:val="00ED7F27"/>
    <w:rsid w:val="00EE32A7"/>
    <w:rsid w:val="00EE7916"/>
    <w:rsid w:val="00EE7A1F"/>
    <w:rsid w:val="00EE7F74"/>
    <w:rsid w:val="00EF1579"/>
    <w:rsid w:val="00EF25C0"/>
    <w:rsid w:val="00EF311A"/>
    <w:rsid w:val="00EF41B6"/>
    <w:rsid w:val="00EF56AC"/>
    <w:rsid w:val="00EF67D7"/>
    <w:rsid w:val="00EF70EB"/>
    <w:rsid w:val="00EF77F3"/>
    <w:rsid w:val="00F014A8"/>
    <w:rsid w:val="00F02BCC"/>
    <w:rsid w:val="00F04BBF"/>
    <w:rsid w:val="00F05A99"/>
    <w:rsid w:val="00F05B65"/>
    <w:rsid w:val="00F06A94"/>
    <w:rsid w:val="00F07004"/>
    <w:rsid w:val="00F07424"/>
    <w:rsid w:val="00F079B7"/>
    <w:rsid w:val="00F10C02"/>
    <w:rsid w:val="00F10EEE"/>
    <w:rsid w:val="00F12B19"/>
    <w:rsid w:val="00F147F9"/>
    <w:rsid w:val="00F15724"/>
    <w:rsid w:val="00F15A5B"/>
    <w:rsid w:val="00F167D4"/>
    <w:rsid w:val="00F167EB"/>
    <w:rsid w:val="00F16A42"/>
    <w:rsid w:val="00F16E62"/>
    <w:rsid w:val="00F175F4"/>
    <w:rsid w:val="00F177E3"/>
    <w:rsid w:val="00F17AE8"/>
    <w:rsid w:val="00F20CC9"/>
    <w:rsid w:val="00F2234E"/>
    <w:rsid w:val="00F22901"/>
    <w:rsid w:val="00F24356"/>
    <w:rsid w:val="00F248A4"/>
    <w:rsid w:val="00F25509"/>
    <w:rsid w:val="00F25E7F"/>
    <w:rsid w:val="00F25EDD"/>
    <w:rsid w:val="00F272E7"/>
    <w:rsid w:val="00F27BAE"/>
    <w:rsid w:val="00F312BE"/>
    <w:rsid w:val="00F313CD"/>
    <w:rsid w:val="00F32049"/>
    <w:rsid w:val="00F32B4B"/>
    <w:rsid w:val="00F332CF"/>
    <w:rsid w:val="00F35B05"/>
    <w:rsid w:val="00F3684A"/>
    <w:rsid w:val="00F36ED1"/>
    <w:rsid w:val="00F378C1"/>
    <w:rsid w:val="00F408A7"/>
    <w:rsid w:val="00F409F0"/>
    <w:rsid w:val="00F43B25"/>
    <w:rsid w:val="00F4477B"/>
    <w:rsid w:val="00F50C10"/>
    <w:rsid w:val="00F52C7E"/>
    <w:rsid w:val="00F53844"/>
    <w:rsid w:val="00F5537D"/>
    <w:rsid w:val="00F55602"/>
    <w:rsid w:val="00F55C05"/>
    <w:rsid w:val="00F566AF"/>
    <w:rsid w:val="00F5729E"/>
    <w:rsid w:val="00F622E2"/>
    <w:rsid w:val="00F6311D"/>
    <w:rsid w:val="00F63B9D"/>
    <w:rsid w:val="00F64418"/>
    <w:rsid w:val="00F64FAE"/>
    <w:rsid w:val="00F65F60"/>
    <w:rsid w:val="00F67F35"/>
    <w:rsid w:val="00F7068C"/>
    <w:rsid w:val="00F72200"/>
    <w:rsid w:val="00F755DA"/>
    <w:rsid w:val="00F80010"/>
    <w:rsid w:val="00F805B1"/>
    <w:rsid w:val="00F814EE"/>
    <w:rsid w:val="00F8156C"/>
    <w:rsid w:val="00F83471"/>
    <w:rsid w:val="00F8487F"/>
    <w:rsid w:val="00F85C31"/>
    <w:rsid w:val="00F86AFF"/>
    <w:rsid w:val="00F86D8F"/>
    <w:rsid w:val="00F9099C"/>
    <w:rsid w:val="00F9223A"/>
    <w:rsid w:val="00F93027"/>
    <w:rsid w:val="00F9451F"/>
    <w:rsid w:val="00F96208"/>
    <w:rsid w:val="00F9654A"/>
    <w:rsid w:val="00F979DB"/>
    <w:rsid w:val="00FA0211"/>
    <w:rsid w:val="00FA0F1C"/>
    <w:rsid w:val="00FA1671"/>
    <w:rsid w:val="00FA1E4A"/>
    <w:rsid w:val="00FA2770"/>
    <w:rsid w:val="00FA4180"/>
    <w:rsid w:val="00FA4F12"/>
    <w:rsid w:val="00FA5D6D"/>
    <w:rsid w:val="00FB0722"/>
    <w:rsid w:val="00FB434F"/>
    <w:rsid w:val="00FB4C38"/>
    <w:rsid w:val="00FB65AC"/>
    <w:rsid w:val="00FB7B78"/>
    <w:rsid w:val="00FC14C8"/>
    <w:rsid w:val="00FC196D"/>
    <w:rsid w:val="00FC3DEB"/>
    <w:rsid w:val="00FC45C9"/>
    <w:rsid w:val="00FC4BD9"/>
    <w:rsid w:val="00FC4D9A"/>
    <w:rsid w:val="00FC50D2"/>
    <w:rsid w:val="00FC5243"/>
    <w:rsid w:val="00FC620D"/>
    <w:rsid w:val="00FC695B"/>
    <w:rsid w:val="00FC71E8"/>
    <w:rsid w:val="00FC757A"/>
    <w:rsid w:val="00FD0540"/>
    <w:rsid w:val="00FD1C3A"/>
    <w:rsid w:val="00FD2521"/>
    <w:rsid w:val="00FD2638"/>
    <w:rsid w:val="00FD2B91"/>
    <w:rsid w:val="00FD4FB3"/>
    <w:rsid w:val="00FD5776"/>
    <w:rsid w:val="00FD5B47"/>
    <w:rsid w:val="00FD5BB3"/>
    <w:rsid w:val="00FD79E5"/>
    <w:rsid w:val="00FE0C89"/>
    <w:rsid w:val="00FE3446"/>
    <w:rsid w:val="00FE4072"/>
    <w:rsid w:val="00FE4AD9"/>
    <w:rsid w:val="00FF0555"/>
    <w:rsid w:val="00FF1289"/>
    <w:rsid w:val="00FF1D20"/>
    <w:rsid w:val="00FF2A96"/>
    <w:rsid w:val="00FF4CF7"/>
    <w:rsid w:val="00FF4F7F"/>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57A"/>
    <w:pPr>
      <w:widowControl w:val="0"/>
      <w:spacing w:line="360" w:lineRule="auto"/>
      <w:ind w:firstLine="1440"/>
    </w:pPr>
  </w:style>
  <w:style w:type="paragraph" w:styleId="Heading1">
    <w:name w:val="heading 1"/>
    <w:basedOn w:val="Normal"/>
    <w:next w:val="Normal"/>
    <w:link w:val="Heading1Char"/>
    <w:qFormat/>
    <w:rsid w:val="00A44DC3"/>
    <w:pPr>
      <w:keepNext/>
      <w:keepLines/>
      <w:numPr>
        <w:numId w:val="7"/>
      </w:numPr>
      <w:ind w:left="0" w:firstLine="0"/>
      <w:outlineLvl w:val="0"/>
    </w:pPr>
    <w:rPr>
      <w:rFonts w:eastAsiaTheme="majorEastAsia" w:cstheme="majorBidi"/>
      <w:b/>
      <w:bCs/>
      <w:sz w:val="26"/>
      <w:szCs w:val="28"/>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o,fr,Style 13,Style 12,Style 28,(NECG) Footnote Reference,Style 11,Style 9,Style 16,Style 15,Style 17,Style 20,o1,fr1,o2,fr2,o3,fr3,Style 8,Style 7,Style 19"/>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A44DC3"/>
    <w:rPr>
      <w:rFonts w:eastAsiaTheme="majorEastAsia" w:cstheme="majorBidi"/>
      <w:b/>
      <w:bCs/>
      <w:sz w:val="26"/>
      <w:szCs w:val="28"/>
    </w:rPr>
  </w:style>
  <w:style w:type="paragraph" w:styleId="BodyText2">
    <w:name w:val="Body Text 2"/>
    <w:basedOn w:val="Normal"/>
    <w:link w:val="BodyText2Char"/>
    <w:uiPriority w:val="99"/>
    <w:unhideWhenUsed/>
    <w:rsid w:val="00FC757A"/>
    <w:pPr>
      <w:widowControl/>
      <w:autoSpaceDE w:val="0"/>
      <w:autoSpaceDN w:val="0"/>
      <w:spacing w:after="120" w:line="480" w:lineRule="auto"/>
    </w:pPr>
    <w:rPr>
      <w:rFonts w:ascii="CG Times" w:hAnsi="CG Times" w:cs="CG Times"/>
      <w:sz w:val="24"/>
      <w:szCs w:val="24"/>
    </w:rPr>
  </w:style>
  <w:style w:type="character" w:customStyle="1" w:styleId="BodyText2Char">
    <w:name w:val="Body Text 2 Char"/>
    <w:basedOn w:val="DefaultParagraphFont"/>
    <w:link w:val="BodyText2"/>
    <w:uiPriority w:val="99"/>
    <w:rsid w:val="00FC757A"/>
    <w:rPr>
      <w:rFonts w:ascii="CG Times" w:hAnsi="CG Times" w:cs="CG Times"/>
      <w:sz w:val="24"/>
      <w:szCs w:val="24"/>
    </w:rPr>
  </w:style>
  <w:style w:type="paragraph" w:styleId="ListParagraph">
    <w:name w:val="List Paragraph"/>
    <w:basedOn w:val="Normal"/>
    <w:uiPriority w:val="34"/>
    <w:qFormat/>
    <w:rsid w:val="00C70F4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footnote reference" w:uiPriority="99"/>
    <w:lsdException w:name="Title" w:qFormat="1"/>
    <w:lsdException w:name="Subtitle" w:qFormat="1"/>
    <w:lsdException w:name="Body Text 2" w:uiPriority="99"/>
    <w:lsdException w:name="Strong" w:qFormat="1"/>
    <w:lsdException w:name="Emphasis" w:qFormat="1"/>
    <w:lsdException w:name="Plai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757A"/>
    <w:pPr>
      <w:widowControl w:val="0"/>
      <w:spacing w:line="360" w:lineRule="auto"/>
      <w:ind w:firstLine="1440"/>
    </w:pPr>
  </w:style>
  <w:style w:type="paragraph" w:styleId="Heading1">
    <w:name w:val="heading 1"/>
    <w:basedOn w:val="Normal"/>
    <w:next w:val="Normal"/>
    <w:link w:val="Heading1Char"/>
    <w:qFormat/>
    <w:rsid w:val="00A44DC3"/>
    <w:pPr>
      <w:keepNext/>
      <w:keepLines/>
      <w:numPr>
        <w:numId w:val="7"/>
      </w:numPr>
      <w:ind w:left="0" w:firstLine="0"/>
      <w:outlineLvl w:val="0"/>
    </w:pPr>
    <w:rPr>
      <w:rFonts w:eastAsiaTheme="majorEastAsia" w:cstheme="majorBidi"/>
      <w:b/>
      <w:bCs/>
      <w:sz w:val="26"/>
      <w:szCs w:val="28"/>
    </w:r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aliases w:val="o,fr,Style 13,Style 12,Style 28,(NECG) Footnote Reference,Style 11,Style 9,Style 16,Style 15,Style 17,Style 20,o1,fr1,o2,fr2,o3,fr3,Style 8,Style 7,Style 19"/>
    <w:uiPriority w:val="99"/>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customStyle="1" w:styleId="Heading1Char">
    <w:name w:val="Heading 1 Char"/>
    <w:basedOn w:val="DefaultParagraphFont"/>
    <w:link w:val="Heading1"/>
    <w:rsid w:val="00A44DC3"/>
    <w:rPr>
      <w:rFonts w:eastAsiaTheme="majorEastAsia" w:cstheme="majorBidi"/>
      <w:b/>
      <w:bCs/>
      <w:sz w:val="26"/>
      <w:szCs w:val="28"/>
    </w:rPr>
  </w:style>
  <w:style w:type="paragraph" w:styleId="BodyText2">
    <w:name w:val="Body Text 2"/>
    <w:basedOn w:val="Normal"/>
    <w:link w:val="BodyText2Char"/>
    <w:uiPriority w:val="99"/>
    <w:unhideWhenUsed/>
    <w:rsid w:val="00FC757A"/>
    <w:pPr>
      <w:widowControl/>
      <w:autoSpaceDE w:val="0"/>
      <w:autoSpaceDN w:val="0"/>
      <w:spacing w:after="120" w:line="480" w:lineRule="auto"/>
    </w:pPr>
    <w:rPr>
      <w:rFonts w:ascii="CG Times" w:hAnsi="CG Times" w:cs="CG Times"/>
      <w:sz w:val="24"/>
      <w:szCs w:val="24"/>
    </w:rPr>
  </w:style>
  <w:style w:type="character" w:customStyle="1" w:styleId="BodyText2Char">
    <w:name w:val="Body Text 2 Char"/>
    <w:basedOn w:val="DefaultParagraphFont"/>
    <w:link w:val="BodyText2"/>
    <w:uiPriority w:val="99"/>
    <w:rsid w:val="00FC757A"/>
    <w:rPr>
      <w:rFonts w:ascii="CG Times" w:hAnsi="CG Times" w:cs="CG Times"/>
      <w:sz w:val="24"/>
      <w:szCs w:val="24"/>
    </w:rPr>
  </w:style>
  <w:style w:type="paragraph" w:styleId="ListParagraph">
    <w:name w:val="List Paragraph"/>
    <w:basedOn w:val="Normal"/>
    <w:uiPriority w:val="34"/>
    <w:qFormat/>
    <w:rsid w:val="00C70F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705C9F-5119-4F95-BA48-107C7A7A81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13</Pages>
  <Words>2898</Words>
  <Characters>16523</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19383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Hinds, Margaret</cp:lastModifiedBy>
  <cp:revision>10</cp:revision>
  <cp:lastPrinted>2013-06-13T11:28:00Z</cp:lastPrinted>
  <dcterms:created xsi:type="dcterms:W3CDTF">2013-06-04T15:31:00Z</dcterms:created>
  <dcterms:modified xsi:type="dcterms:W3CDTF">2013-06-13T11:28:00Z</dcterms:modified>
</cp:coreProperties>
</file>