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514FB">
      <w:pPr>
        <w:tabs>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E871F2">
            <w:pPr>
              <w:rPr>
                <w:sz w:val="26"/>
                <w:szCs w:val="26"/>
              </w:rPr>
            </w:pPr>
          </w:p>
        </w:tc>
        <w:tc>
          <w:tcPr>
            <w:tcW w:w="4428" w:type="dxa"/>
          </w:tcPr>
          <w:p w:rsidR="00F514FB" w:rsidRPr="00F514FB" w:rsidRDefault="00F514FB" w:rsidP="00E871F2">
            <w:pPr>
              <w:jc w:val="right"/>
              <w:rPr>
                <w:sz w:val="26"/>
                <w:szCs w:val="26"/>
              </w:rPr>
            </w:pPr>
            <w:r w:rsidRPr="00F514FB">
              <w:rPr>
                <w:sz w:val="26"/>
                <w:szCs w:val="26"/>
              </w:rPr>
              <w:t xml:space="preserve">Public Meeting held </w:t>
            </w:r>
            <w:r w:rsidR="00B952A5">
              <w:rPr>
                <w:sz w:val="26"/>
                <w:szCs w:val="26"/>
              </w:rPr>
              <w:t>June 13</w:t>
            </w:r>
            <w:r w:rsidR="003D1F5A">
              <w:rPr>
                <w:sz w:val="26"/>
                <w:szCs w:val="26"/>
              </w:rPr>
              <w:t>, 2013</w:t>
            </w:r>
          </w:p>
          <w:p w:rsidR="00F514FB" w:rsidRPr="00F514FB" w:rsidRDefault="00F514FB" w:rsidP="00E871F2">
            <w:pPr>
              <w:jc w:val="right"/>
              <w:rPr>
                <w:sz w:val="26"/>
                <w:szCs w:val="26"/>
              </w:rPr>
            </w:pPr>
          </w:p>
          <w:p w:rsidR="00F514FB" w:rsidRPr="00F514FB" w:rsidRDefault="00F514FB" w:rsidP="00E871F2">
            <w:pPr>
              <w:jc w:val="right"/>
              <w:rPr>
                <w:sz w:val="26"/>
                <w:szCs w:val="26"/>
              </w:rPr>
            </w:pPr>
          </w:p>
        </w:tc>
      </w:tr>
      <w:tr w:rsidR="00F514FB" w:rsidRPr="00F514FB" w:rsidTr="00E871F2">
        <w:tc>
          <w:tcPr>
            <w:tcW w:w="5058" w:type="dxa"/>
          </w:tcPr>
          <w:p w:rsidR="00F514FB" w:rsidRPr="00F514FB" w:rsidRDefault="00F514FB" w:rsidP="00E871F2">
            <w:pPr>
              <w:rPr>
                <w:sz w:val="26"/>
                <w:szCs w:val="26"/>
              </w:rPr>
            </w:pPr>
            <w:r w:rsidRPr="00F514FB">
              <w:rPr>
                <w:sz w:val="26"/>
                <w:szCs w:val="26"/>
              </w:rPr>
              <w:t>Commissioners Present:</w:t>
            </w:r>
          </w:p>
          <w:p w:rsidR="00F514FB" w:rsidRPr="00F514FB" w:rsidRDefault="00F514FB" w:rsidP="00E871F2">
            <w:pPr>
              <w:rPr>
                <w:sz w:val="26"/>
                <w:szCs w:val="26"/>
              </w:rPr>
            </w:pPr>
          </w:p>
          <w:p w:rsidR="00F514FB" w:rsidRPr="00F514FB" w:rsidRDefault="00F514FB" w:rsidP="00E871F2">
            <w:pPr>
              <w:tabs>
                <w:tab w:val="left" w:pos="705"/>
              </w:tabs>
              <w:ind w:firstLine="720"/>
              <w:rPr>
                <w:sz w:val="26"/>
                <w:szCs w:val="26"/>
              </w:rPr>
            </w:pPr>
            <w:r w:rsidRPr="00F514FB">
              <w:rPr>
                <w:sz w:val="26"/>
                <w:szCs w:val="26"/>
              </w:rPr>
              <w:t>Robert F. Powelson, Chairman</w:t>
            </w:r>
          </w:p>
          <w:p w:rsidR="00F514FB" w:rsidRPr="00F514FB" w:rsidRDefault="00F514FB" w:rsidP="00E871F2">
            <w:pPr>
              <w:tabs>
                <w:tab w:val="left" w:pos="705"/>
              </w:tabs>
              <w:ind w:firstLine="720"/>
              <w:rPr>
                <w:sz w:val="26"/>
                <w:szCs w:val="26"/>
              </w:rPr>
            </w:pPr>
            <w:r w:rsidRPr="00F514FB">
              <w:rPr>
                <w:sz w:val="26"/>
                <w:szCs w:val="26"/>
              </w:rPr>
              <w:t>John F. Coleman, Jr., Vice Chairman</w:t>
            </w:r>
          </w:p>
          <w:p w:rsidR="00F514FB" w:rsidRPr="00F514FB" w:rsidRDefault="00F514FB" w:rsidP="00E871F2">
            <w:pPr>
              <w:tabs>
                <w:tab w:val="left" w:pos="705"/>
              </w:tabs>
              <w:ind w:firstLine="720"/>
              <w:rPr>
                <w:sz w:val="26"/>
                <w:szCs w:val="26"/>
              </w:rPr>
            </w:pPr>
            <w:r w:rsidRPr="00F514FB">
              <w:rPr>
                <w:sz w:val="26"/>
                <w:szCs w:val="26"/>
              </w:rPr>
              <w:t>Wayne E. Gardner</w:t>
            </w:r>
          </w:p>
          <w:p w:rsidR="00F514FB" w:rsidRPr="00F514FB" w:rsidRDefault="00F514FB" w:rsidP="00E871F2">
            <w:pPr>
              <w:tabs>
                <w:tab w:val="left" w:pos="705"/>
              </w:tabs>
              <w:ind w:firstLine="720"/>
              <w:rPr>
                <w:sz w:val="26"/>
                <w:szCs w:val="26"/>
              </w:rPr>
            </w:pPr>
            <w:r w:rsidRPr="00F514FB">
              <w:rPr>
                <w:sz w:val="26"/>
                <w:szCs w:val="26"/>
              </w:rPr>
              <w:t>James H. Cawley</w:t>
            </w:r>
          </w:p>
          <w:p w:rsidR="00F514FB" w:rsidRPr="00F514FB" w:rsidRDefault="00F514FB" w:rsidP="00E871F2">
            <w:pPr>
              <w:tabs>
                <w:tab w:val="left" w:pos="705"/>
              </w:tabs>
              <w:ind w:firstLine="720"/>
              <w:rPr>
                <w:sz w:val="26"/>
                <w:szCs w:val="26"/>
              </w:rPr>
            </w:pPr>
            <w:r w:rsidRPr="00F514FB">
              <w:rPr>
                <w:sz w:val="26"/>
                <w:szCs w:val="26"/>
              </w:rPr>
              <w:t>Pamela A. Witmer</w:t>
            </w:r>
          </w:p>
          <w:p w:rsidR="00F514FB" w:rsidRPr="00F514FB" w:rsidRDefault="00F514FB" w:rsidP="00E871F2">
            <w:pPr>
              <w:rPr>
                <w:sz w:val="26"/>
                <w:szCs w:val="26"/>
              </w:rPr>
            </w:pPr>
          </w:p>
          <w:p w:rsidR="00F514FB" w:rsidRPr="00F514FB" w:rsidRDefault="00F514FB" w:rsidP="00E871F2">
            <w:pPr>
              <w:rPr>
                <w:sz w:val="26"/>
                <w:szCs w:val="26"/>
              </w:rPr>
            </w:pPr>
          </w:p>
        </w:tc>
        <w:tc>
          <w:tcPr>
            <w:tcW w:w="4428" w:type="dxa"/>
          </w:tcPr>
          <w:p w:rsidR="00F514FB" w:rsidRPr="00F514FB" w:rsidRDefault="00F514FB" w:rsidP="00E871F2">
            <w:pPr>
              <w:jc w:val="right"/>
              <w:rPr>
                <w:sz w:val="26"/>
                <w:szCs w:val="26"/>
              </w:rPr>
            </w:pPr>
          </w:p>
          <w:p w:rsidR="00F514FB" w:rsidRPr="00F514FB" w:rsidRDefault="00F514FB" w:rsidP="00E871F2">
            <w:pPr>
              <w:jc w:val="right"/>
              <w:rPr>
                <w:sz w:val="26"/>
                <w:szCs w:val="26"/>
              </w:rPr>
            </w:pPr>
          </w:p>
        </w:tc>
      </w:tr>
      <w:tr w:rsidR="00F514FB" w:rsidRPr="00F514FB" w:rsidTr="00DE25AC">
        <w:tc>
          <w:tcPr>
            <w:tcW w:w="5058" w:type="dxa"/>
          </w:tcPr>
          <w:p w:rsidR="00F514FB" w:rsidRPr="00F514FB" w:rsidRDefault="00B952A5" w:rsidP="00E871F2">
            <w:pPr>
              <w:rPr>
                <w:sz w:val="26"/>
                <w:szCs w:val="26"/>
              </w:rPr>
            </w:pPr>
            <w:r>
              <w:rPr>
                <w:sz w:val="26"/>
                <w:szCs w:val="26"/>
              </w:rPr>
              <w:t>George W. Kopf, Jr.</w:t>
            </w:r>
            <w:r w:rsidR="00940BD4">
              <w:rPr>
                <w:sz w:val="26"/>
                <w:szCs w:val="26"/>
              </w:rPr>
              <w:t xml:space="preserve">  </w:t>
            </w:r>
          </w:p>
          <w:p w:rsidR="00F514FB" w:rsidRPr="00F514FB" w:rsidRDefault="00F514FB" w:rsidP="00E871F2">
            <w:pPr>
              <w:rPr>
                <w:sz w:val="26"/>
                <w:szCs w:val="26"/>
              </w:rPr>
            </w:pPr>
          </w:p>
        </w:tc>
        <w:tc>
          <w:tcPr>
            <w:tcW w:w="4428" w:type="dxa"/>
          </w:tcPr>
          <w:p w:rsidR="00F514FB" w:rsidRPr="00F514FB" w:rsidRDefault="00B952A5" w:rsidP="00B952A5">
            <w:pPr>
              <w:jc w:val="right"/>
              <w:rPr>
                <w:sz w:val="26"/>
                <w:szCs w:val="26"/>
              </w:rPr>
            </w:pPr>
            <w:r>
              <w:rPr>
                <w:sz w:val="26"/>
                <w:szCs w:val="26"/>
              </w:rPr>
              <w:t>C</w:t>
            </w:r>
            <w:r w:rsidR="003D1F5A">
              <w:rPr>
                <w:sz w:val="26"/>
                <w:szCs w:val="26"/>
              </w:rPr>
              <w:t>-2012-23</w:t>
            </w:r>
            <w:r>
              <w:rPr>
                <w:sz w:val="26"/>
                <w:szCs w:val="26"/>
              </w:rPr>
              <w:t>32993</w:t>
            </w:r>
            <w:r w:rsidR="00940BD4">
              <w:rPr>
                <w:sz w:val="26"/>
                <w:szCs w:val="26"/>
              </w:rPr>
              <w:t xml:space="preserve"> </w:t>
            </w:r>
          </w:p>
        </w:tc>
      </w:tr>
      <w:tr w:rsidR="00F514FB" w:rsidRPr="00F514FB" w:rsidTr="00DE25AC">
        <w:tc>
          <w:tcPr>
            <w:tcW w:w="5058" w:type="dxa"/>
          </w:tcPr>
          <w:p w:rsidR="00F514FB" w:rsidRPr="00F514FB" w:rsidRDefault="00F514FB" w:rsidP="00940BD4">
            <w:pPr>
              <w:ind w:firstLine="720"/>
              <w:rPr>
                <w:sz w:val="26"/>
                <w:szCs w:val="26"/>
              </w:rPr>
            </w:pPr>
            <w:r w:rsidRPr="00F514FB">
              <w:rPr>
                <w:sz w:val="26"/>
                <w:szCs w:val="26"/>
              </w:rPr>
              <w:t>v.</w:t>
            </w:r>
          </w:p>
          <w:p w:rsidR="00F514FB" w:rsidRPr="00F514FB" w:rsidRDefault="00F514FB" w:rsidP="00E871F2">
            <w:pPr>
              <w:ind w:firstLine="1440"/>
              <w:rPr>
                <w:sz w:val="26"/>
                <w:szCs w:val="26"/>
              </w:rPr>
            </w:pPr>
          </w:p>
        </w:tc>
        <w:tc>
          <w:tcPr>
            <w:tcW w:w="4428" w:type="dxa"/>
          </w:tcPr>
          <w:p w:rsidR="00F514FB" w:rsidRPr="00F514FB" w:rsidRDefault="00F514FB" w:rsidP="00E871F2">
            <w:pPr>
              <w:rPr>
                <w:sz w:val="26"/>
                <w:szCs w:val="26"/>
              </w:rPr>
            </w:pPr>
          </w:p>
        </w:tc>
      </w:tr>
      <w:tr w:rsidR="00F514FB" w:rsidRPr="00F514FB" w:rsidTr="00E871F2">
        <w:tc>
          <w:tcPr>
            <w:tcW w:w="5058" w:type="dxa"/>
          </w:tcPr>
          <w:p w:rsidR="00F514FB" w:rsidRPr="00F514FB" w:rsidRDefault="00B952A5" w:rsidP="00E871F2">
            <w:pPr>
              <w:rPr>
                <w:sz w:val="26"/>
                <w:szCs w:val="26"/>
              </w:rPr>
            </w:pPr>
            <w:r>
              <w:rPr>
                <w:sz w:val="26"/>
                <w:szCs w:val="26"/>
              </w:rPr>
              <w:t>PECO Energy Company</w:t>
            </w:r>
            <w:r w:rsidR="00940BD4">
              <w:rPr>
                <w:sz w:val="26"/>
                <w:szCs w:val="26"/>
              </w:rPr>
              <w:t xml:space="preserve"> </w:t>
            </w:r>
          </w:p>
        </w:tc>
        <w:tc>
          <w:tcPr>
            <w:tcW w:w="4428" w:type="dxa"/>
          </w:tcPr>
          <w:p w:rsidR="00F514FB" w:rsidRPr="00F514FB" w:rsidRDefault="00F514FB" w:rsidP="00E871F2">
            <w:pPr>
              <w:rPr>
                <w:sz w:val="26"/>
                <w:szCs w:val="26"/>
              </w:rPr>
            </w:pPr>
          </w:p>
        </w:tc>
      </w:tr>
    </w:tbl>
    <w:p w:rsidR="00F514FB" w:rsidRPr="00F514FB" w:rsidRDefault="00F514FB" w:rsidP="00F514FB">
      <w:pPr>
        <w:rPr>
          <w:sz w:val="26"/>
          <w:szCs w:val="26"/>
        </w:rPr>
      </w:pPr>
    </w:p>
    <w:p w:rsidR="00F514FB" w:rsidRPr="00F514FB" w:rsidRDefault="00F514FB" w:rsidP="00F514FB">
      <w:pPr>
        <w:rPr>
          <w:sz w:val="26"/>
          <w:szCs w:val="26"/>
        </w:rPr>
      </w:pPr>
    </w:p>
    <w:p w:rsidR="00F514FB" w:rsidRPr="00F514FB" w:rsidRDefault="00F514FB" w:rsidP="00F514FB">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CA43A5" w:rsidRPr="00CA43A5" w:rsidRDefault="00CA43A5" w:rsidP="00F34B2F">
      <w:pPr>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 xml:space="preserve">are the Exceptions (Exceptions) of </w:t>
      </w:r>
      <w:r w:rsidR="00DC739E">
        <w:rPr>
          <w:color w:val="000000"/>
          <w:sz w:val="26"/>
        </w:rPr>
        <w:t>George W. Kopf, Jr.</w:t>
      </w:r>
      <w:r w:rsidR="00671E4C">
        <w:rPr>
          <w:color w:val="000000"/>
          <w:sz w:val="26"/>
        </w:rPr>
        <w:t xml:space="preserve"> (</w:t>
      </w:r>
      <w:r w:rsidR="000F0AD9">
        <w:rPr>
          <w:color w:val="000000"/>
          <w:sz w:val="26"/>
        </w:rPr>
        <w:t>Complainant</w:t>
      </w:r>
      <w:r w:rsidR="003D1F5A">
        <w:rPr>
          <w:color w:val="000000"/>
          <w:sz w:val="26"/>
        </w:rPr>
        <w:t xml:space="preserve"> or Mr. </w:t>
      </w:r>
      <w:r w:rsidR="00DC739E">
        <w:rPr>
          <w:color w:val="000000"/>
          <w:sz w:val="26"/>
        </w:rPr>
        <w:t>Kopf</w:t>
      </w:r>
      <w:r w:rsidR="00671E4C">
        <w:rPr>
          <w:color w:val="000000"/>
          <w:sz w:val="26"/>
        </w:rPr>
        <w:t xml:space="preserve">) filed on </w:t>
      </w:r>
      <w:r w:rsidR="00DC739E">
        <w:rPr>
          <w:color w:val="000000"/>
          <w:sz w:val="26"/>
        </w:rPr>
        <w:t>December 15, 2012</w:t>
      </w:r>
      <w:r w:rsidR="00CB4762">
        <w:rPr>
          <w:color w:val="000000"/>
          <w:sz w:val="26"/>
        </w:rPr>
        <w:t>,</w:t>
      </w:r>
      <w:r w:rsidR="00671E4C">
        <w:rPr>
          <w:color w:val="000000"/>
          <w:sz w:val="26"/>
        </w:rPr>
        <w:t xml:space="preserve"> to the Initial Decision (I.D.) of Administrative Law Judge (ALJ) </w:t>
      </w:r>
      <w:r w:rsidR="003D1F5A">
        <w:rPr>
          <w:color w:val="000000"/>
          <w:sz w:val="26"/>
        </w:rPr>
        <w:t>David A. Salapa</w:t>
      </w:r>
      <w:r w:rsidR="00671E4C">
        <w:rPr>
          <w:color w:val="000000"/>
          <w:sz w:val="26"/>
        </w:rPr>
        <w:t>, which was issued on</w:t>
      </w:r>
      <w:r w:rsidR="003D1F5A">
        <w:rPr>
          <w:color w:val="000000"/>
          <w:sz w:val="26"/>
        </w:rPr>
        <w:t xml:space="preserve"> </w:t>
      </w:r>
      <w:r w:rsidR="00DC739E">
        <w:rPr>
          <w:color w:val="000000"/>
          <w:sz w:val="26"/>
        </w:rPr>
        <w:t>December 6, 2012</w:t>
      </w:r>
      <w:r w:rsidR="00671E4C">
        <w:rPr>
          <w:color w:val="000000"/>
          <w:sz w:val="26"/>
        </w:rPr>
        <w:t xml:space="preserve">, in the above-captioned proceeding.  </w:t>
      </w:r>
      <w:r w:rsidR="00DC739E">
        <w:rPr>
          <w:color w:val="000000"/>
          <w:sz w:val="26"/>
        </w:rPr>
        <w:t>On December 18, 2012, PECO Energy Company (Respondent or PECO</w:t>
      </w:r>
      <w:r w:rsidR="003D1F5A">
        <w:rPr>
          <w:color w:val="000000"/>
          <w:sz w:val="26"/>
        </w:rPr>
        <w:t>) file</w:t>
      </w:r>
      <w:r w:rsidR="00DC739E">
        <w:rPr>
          <w:color w:val="000000"/>
          <w:sz w:val="26"/>
        </w:rPr>
        <w:t>d</w:t>
      </w:r>
      <w:r w:rsidR="003D1F5A">
        <w:rPr>
          <w:color w:val="000000"/>
          <w:sz w:val="26"/>
        </w:rPr>
        <w:t xml:space="preserve"> </w:t>
      </w:r>
      <w:r w:rsidR="00671E4C">
        <w:rPr>
          <w:color w:val="000000"/>
          <w:sz w:val="26"/>
        </w:rPr>
        <w:t>Replies to Exceptions</w:t>
      </w:r>
      <w:r w:rsidR="00255FEC">
        <w:rPr>
          <w:color w:val="000000"/>
          <w:sz w:val="26"/>
        </w:rPr>
        <w:t xml:space="preserve"> and on December 19, 2012, filed Revised Replies to Exceptions</w:t>
      </w:r>
      <w:r w:rsidR="00671E4C">
        <w:rPr>
          <w:color w:val="000000"/>
          <w:sz w:val="26"/>
        </w:rPr>
        <w:t xml:space="preserve">.  </w:t>
      </w:r>
      <w:r w:rsidR="001B28AE">
        <w:rPr>
          <w:color w:val="000000"/>
          <w:sz w:val="26"/>
        </w:rPr>
        <w:t xml:space="preserve">The Complainant filed a response to the Revised Replies to Exceptions on December 26, 2012.  </w:t>
      </w:r>
      <w:r w:rsidRPr="00CA43A5">
        <w:rPr>
          <w:sz w:val="26"/>
          <w:szCs w:val="26"/>
        </w:rPr>
        <w:t xml:space="preserve">For the reasons stated below, we </w:t>
      </w:r>
      <w:r w:rsidR="006A224F">
        <w:rPr>
          <w:sz w:val="26"/>
          <w:szCs w:val="26"/>
        </w:rPr>
        <w:t>shall deny the Exceptions and adopt the Initial Decision</w:t>
      </w:r>
      <w:r w:rsidRPr="00CA43A5">
        <w:rPr>
          <w:sz w:val="26"/>
          <w:szCs w:val="26"/>
        </w:rPr>
        <w:t>.</w:t>
      </w:r>
    </w:p>
    <w:p w:rsidR="00CA43A5" w:rsidRPr="00CA43A5" w:rsidRDefault="00CA43A5" w:rsidP="00CA43A5">
      <w:pPr>
        <w:spacing w:line="360" w:lineRule="auto"/>
        <w:jc w:val="center"/>
        <w:rPr>
          <w:b/>
          <w:sz w:val="26"/>
          <w:szCs w:val="26"/>
        </w:rPr>
      </w:pPr>
      <w:bookmarkStart w:id="0" w:name="OLE_LINK1"/>
      <w:bookmarkStart w:id="1" w:name="OLE_LINK2"/>
      <w:r w:rsidRPr="00CA43A5">
        <w:rPr>
          <w:b/>
          <w:sz w:val="26"/>
          <w:szCs w:val="26"/>
        </w:rPr>
        <w:lastRenderedPageBreak/>
        <w:t>History of the Proceeding</w:t>
      </w:r>
    </w:p>
    <w:bookmarkEnd w:id="0"/>
    <w:bookmarkEnd w:id="1"/>
    <w:p w:rsidR="00CA43A5" w:rsidRPr="00CA43A5" w:rsidRDefault="00CA43A5" w:rsidP="00CA43A5">
      <w:pPr>
        <w:spacing w:line="360" w:lineRule="auto"/>
        <w:jc w:val="center"/>
        <w:rPr>
          <w:b/>
          <w:sz w:val="26"/>
          <w:szCs w:val="26"/>
          <w:u w:val="single"/>
        </w:rPr>
      </w:pPr>
    </w:p>
    <w:p w:rsidR="003D1F5A" w:rsidRDefault="00636A5D" w:rsidP="0051475B">
      <w:pPr>
        <w:widowControl/>
        <w:spacing w:line="360" w:lineRule="auto"/>
        <w:ind w:firstLine="1440"/>
        <w:rPr>
          <w:sz w:val="26"/>
          <w:szCs w:val="24"/>
        </w:rPr>
      </w:pPr>
      <w:r>
        <w:rPr>
          <w:sz w:val="26"/>
          <w:szCs w:val="24"/>
        </w:rPr>
        <w:t xml:space="preserve">This matter involves a challenge to the transfer of a utility account from a tenant to a property owner after the discovery of </w:t>
      </w:r>
      <w:r w:rsidR="00CE2831">
        <w:rPr>
          <w:sz w:val="26"/>
          <w:szCs w:val="24"/>
        </w:rPr>
        <w:t xml:space="preserve">a </w:t>
      </w:r>
      <w:r>
        <w:rPr>
          <w:sz w:val="26"/>
          <w:szCs w:val="24"/>
        </w:rPr>
        <w:t xml:space="preserve">foreign </w:t>
      </w:r>
      <w:r w:rsidR="00B60A62">
        <w:rPr>
          <w:sz w:val="26"/>
          <w:szCs w:val="24"/>
        </w:rPr>
        <w:t>load</w:t>
      </w:r>
      <w:r w:rsidR="006E1E68">
        <w:rPr>
          <w:rStyle w:val="FootnoteReference"/>
          <w:sz w:val="26"/>
          <w:szCs w:val="24"/>
        </w:rPr>
        <w:footnoteReference w:id="1"/>
      </w:r>
      <w:r>
        <w:rPr>
          <w:sz w:val="26"/>
          <w:szCs w:val="24"/>
        </w:rPr>
        <w:t xml:space="preserve"> situation on the rental property.  </w:t>
      </w:r>
    </w:p>
    <w:p w:rsidR="003D1F5A" w:rsidRDefault="003D1F5A" w:rsidP="0051475B">
      <w:pPr>
        <w:widowControl/>
        <w:spacing w:line="360" w:lineRule="auto"/>
        <w:ind w:firstLine="1440"/>
        <w:rPr>
          <w:sz w:val="26"/>
          <w:szCs w:val="24"/>
        </w:rPr>
      </w:pPr>
    </w:p>
    <w:p w:rsidR="00192094" w:rsidRDefault="0051475B" w:rsidP="0051475B">
      <w:pPr>
        <w:widowControl/>
        <w:spacing w:line="360" w:lineRule="auto"/>
        <w:ind w:firstLine="1440"/>
        <w:rPr>
          <w:sz w:val="26"/>
          <w:szCs w:val="24"/>
        </w:rPr>
      </w:pPr>
      <w:r w:rsidRPr="0051475B">
        <w:rPr>
          <w:sz w:val="26"/>
          <w:szCs w:val="24"/>
        </w:rPr>
        <w:t xml:space="preserve">On </w:t>
      </w:r>
      <w:r w:rsidR="00DC739E">
        <w:rPr>
          <w:sz w:val="26"/>
          <w:szCs w:val="24"/>
        </w:rPr>
        <w:t>October 24, 2012</w:t>
      </w:r>
      <w:r w:rsidR="00636A5D">
        <w:rPr>
          <w:sz w:val="26"/>
          <w:szCs w:val="24"/>
        </w:rPr>
        <w:t xml:space="preserve">, Mr. </w:t>
      </w:r>
      <w:r w:rsidR="00DC739E">
        <w:rPr>
          <w:sz w:val="26"/>
          <w:szCs w:val="24"/>
        </w:rPr>
        <w:t>Kopf</w:t>
      </w:r>
      <w:r w:rsidR="00636A5D">
        <w:rPr>
          <w:sz w:val="26"/>
          <w:szCs w:val="24"/>
        </w:rPr>
        <w:t xml:space="preserve"> filed a Formal Complaint against </w:t>
      </w:r>
      <w:r w:rsidR="00DC739E">
        <w:rPr>
          <w:sz w:val="26"/>
          <w:szCs w:val="24"/>
        </w:rPr>
        <w:t>PECO</w:t>
      </w:r>
      <w:r w:rsidR="00636A5D">
        <w:rPr>
          <w:sz w:val="26"/>
          <w:szCs w:val="24"/>
        </w:rPr>
        <w:t xml:space="preserve"> </w:t>
      </w:r>
      <w:r w:rsidR="006841DE">
        <w:rPr>
          <w:sz w:val="26"/>
          <w:szCs w:val="24"/>
        </w:rPr>
        <w:t>protesting the finding that his rental property at 226 Green Street, 2</w:t>
      </w:r>
      <w:r w:rsidR="006841DE" w:rsidRPr="006841DE">
        <w:rPr>
          <w:sz w:val="26"/>
          <w:szCs w:val="24"/>
          <w:vertAlign w:val="superscript"/>
        </w:rPr>
        <w:t>nd</w:t>
      </w:r>
      <w:r w:rsidR="006841DE">
        <w:rPr>
          <w:sz w:val="26"/>
          <w:szCs w:val="24"/>
        </w:rPr>
        <w:t xml:space="preserve"> Floor, Holmes, PA 19043 (“Service Address”) contained foreign wiring in </w:t>
      </w:r>
      <w:r w:rsidR="00B60A62">
        <w:rPr>
          <w:sz w:val="26"/>
          <w:szCs w:val="24"/>
        </w:rPr>
        <w:t xml:space="preserve">violation of Section 1529.1 of the </w:t>
      </w:r>
      <w:r w:rsidR="0036316A">
        <w:rPr>
          <w:sz w:val="26"/>
          <w:szCs w:val="24"/>
        </w:rPr>
        <w:t>Public Utility Code (</w:t>
      </w:r>
      <w:r w:rsidR="00B60A62">
        <w:rPr>
          <w:sz w:val="26"/>
          <w:szCs w:val="24"/>
        </w:rPr>
        <w:t>Code</w:t>
      </w:r>
      <w:r w:rsidR="0036316A">
        <w:rPr>
          <w:sz w:val="26"/>
          <w:szCs w:val="24"/>
        </w:rPr>
        <w:t>)</w:t>
      </w:r>
      <w:r w:rsidR="00B60A62">
        <w:rPr>
          <w:sz w:val="26"/>
          <w:szCs w:val="24"/>
        </w:rPr>
        <w:t>, 66 Pa. C.S. § 1529.1</w:t>
      </w:r>
      <w:r w:rsidR="006841DE">
        <w:rPr>
          <w:sz w:val="26"/>
          <w:szCs w:val="24"/>
        </w:rPr>
        <w:t xml:space="preserve">.  </w:t>
      </w:r>
      <w:r w:rsidR="00192094">
        <w:rPr>
          <w:sz w:val="26"/>
          <w:szCs w:val="24"/>
        </w:rPr>
        <w:t xml:space="preserve">The foreign wiring condition related to electric service to common areas in a second floor hallway, basement and outside light.  </w:t>
      </w:r>
      <w:r w:rsidR="00E74F79">
        <w:rPr>
          <w:sz w:val="26"/>
          <w:szCs w:val="24"/>
        </w:rPr>
        <w:t xml:space="preserve">The Complainant averred that </w:t>
      </w:r>
      <w:r w:rsidR="006841DE">
        <w:rPr>
          <w:sz w:val="26"/>
          <w:szCs w:val="24"/>
        </w:rPr>
        <w:t>his tenant, Allesandra DelRaso (Ms. DelRaso), by her lease dated March 15, 2006, agreed to pay for all utili</w:t>
      </w:r>
      <w:r w:rsidR="00192094">
        <w:rPr>
          <w:sz w:val="26"/>
          <w:szCs w:val="24"/>
        </w:rPr>
        <w:t>ties to the common areas.  Complaint at 5-6.</w:t>
      </w:r>
      <w:r w:rsidR="00192094">
        <w:rPr>
          <w:rStyle w:val="FootnoteReference"/>
          <w:sz w:val="26"/>
          <w:szCs w:val="24"/>
        </w:rPr>
        <w:footnoteReference w:id="2"/>
      </w:r>
      <w:r w:rsidR="00192094">
        <w:rPr>
          <w:sz w:val="26"/>
          <w:szCs w:val="24"/>
        </w:rPr>
        <w:t xml:space="preserve">  </w:t>
      </w:r>
      <w:r w:rsidR="006841DE">
        <w:rPr>
          <w:sz w:val="26"/>
          <w:szCs w:val="24"/>
        </w:rPr>
        <w:t xml:space="preserve"> </w:t>
      </w:r>
    </w:p>
    <w:p w:rsidR="0096697B" w:rsidRDefault="0096697B" w:rsidP="0051475B">
      <w:pPr>
        <w:widowControl/>
        <w:spacing w:line="360" w:lineRule="auto"/>
        <w:ind w:firstLine="1440"/>
        <w:rPr>
          <w:sz w:val="26"/>
          <w:szCs w:val="24"/>
        </w:rPr>
      </w:pPr>
    </w:p>
    <w:p w:rsidR="0096697B" w:rsidRPr="00F32A7B" w:rsidRDefault="0096697B" w:rsidP="0096697B">
      <w:pPr>
        <w:widowControl/>
        <w:spacing w:line="360" w:lineRule="auto"/>
        <w:ind w:firstLine="1440"/>
        <w:rPr>
          <w:sz w:val="26"/>
          <w:szCs w:val="24"/>
        </w:rPr>
      </w:pPr>
      <w:r>
        <w:rPr>
          <w:sz w:val="26"/>
          <w:szCs w:val="24"/>
        </w:rPr>
        <w:lastRenderedPageBreak/>
        <w:t xml:space="preserve">For relief, Mr. Kopf requested the dismissal of the high bill complaint which prompted PECO’s determination of foreign wiring </w:t>
      </w:r>
      <w:r w:rsidR="00F01949">
        <w:rPr>
          <w:sz w:val="26"/>
          <w:szCs w:val="24"/>
        </w:rPr>
        <w:t xml:space="preserve">at the Service Address </w:t>
      </w:r>
      <w:r>
        <w:rPr>
          <w:sz w:val="26"/>
          <w:szCs w:val="24"/>
        </w:rPr>
        <w:t xml:space="preserve">and for the Commission to rule that </w:t>
      </w:r>
      <w:r w:rsidR="006B4DA1">
        <w:rPr>
          <w:sz w:val="26"/>
          <w:szCs w:val="24"/>
        </w:rPr>
        <w:t>he</w:t>
      </w:r>
      <w:r>
        <w:rPr>
          <w:sz w:val="26"/>
          <w:szCs w:val="24"/>
        </w:rPr>
        <w:t xml:space="preserve"> does not have to install an additional electric meter for the service to the common areas.  </w:t>
      </w:r>
      <w:r>
        <w:rPr>
          <w:i/>
          <w:sz w:val="26"/>
          <w:szCs w:val="24"/>
        </w:rPr>
        <w:t xml:space="preserve">Id. </w:t>
      </w:r>
      <w:r>
        <w:rPr>
          <w:sz w:val="26"/>
          <w:szCs w:val="24"/>
        </w:rPr>
        <w:t>at 7.</w:t>
      </w:r>
    </w:p>
    <w:p w:rsidR="0096697B" w:rsidRDefault="0096697B" w:rsidP="0051475B">
      <w:pPr>
        <w:widowControl/>
        <w:spacing w:line="360" w:lineRule="auto"/>
        <w:ind w:firstLine="1440"/>
        <w:rPr>
          <w:sz w:val="26"/>
          <w:szCs w:val="24"/>
        </w:rPr>
      </w:pPr>
    </w:p>
    <w:p w:rsidR="00192094" w:rsidRDefault="00F01949" w:rsidP="0051475B">
      <w:pPr>
        <w:widowControl/>
        <w:spacing w:line="360" w:lineRule="auto"/>
        <w:ind w:firstLine="1440"/>
        <w:rPr>
          <w:sz w:val="26"/>
          <w:szCs w:val="24"/>
        </w:rPr>
      </w:pPr>
      <w:r>
        <w:rPr>
          <w:sz w:val="26"/>
          <w:szCs w:val="24"/>
        </w:rPr>
        <w:t>On November 13, 2012, the Respondent filed an Answer and New Matter</w:t>
      </w:r>
      <w:r w:rsidR="003F1B1F">
        <w:rPr>
          <w:sz w:val="26"/>
          <w:szCs w:val="24"/>
        </w:rPr>
        <w:t xml:space="preserve"> in which it admitted to conducting an investigation of the Service Address after receiving a high bill complaint from Ms. DelRaso.  PECO </w:t>
      </w:r>
      <w:r w:rsidR="006B4DA1">
        <w:rPr>
          <w:sz w:val="26"/>
          <w:szCs w:val="24"/>
        </w:rPr>
        <w:t xml:space="preserve">also </w:t>
      </w:r>
      <w:r w:rsidR="003F1B1F">
        <w:rPr>
          <w:sz w:val="26"/>
          <w:szCs w:val="24"/>
        </w:rPr>
        <w:t xml:space="preserve">admitted that after it discovered the hallway and outdoor lights </w:t>
      </w:r>
      <w:r w:rsidR="006B4DA1">
        <w:rPr>
          <w:sz w:val="26"/>
          <w:szCs w:val="24"/>
        </w:rPr>
        <w:t>were</w:t>
      </w:r>
      <w:r w:rsidR="003F1B1F">
        <w:rPr>
          <w:sz w:val="26"/>
          <w:szCs w:val="24"/>
        </w:rPr>
        <w:t xml:space="preserve"> connected to Ms. DelRaso’s meter, it established an account in the Complainant’s</w:t>
      </w:r>
      <w:r w:rsidR="006B4DA1">
        <w:rPr>
          <w:sz w:val="26"/>
          <w:szCs w:val="24"/>
        </w:rPr>
        <w:t xml:space="preserve"> name for the Service Address.  The Respondent aver</w:t>
      </w:r>
      <w:r w:rsidR="00070D5C">
        <w:rPr>
          <w:sz w:val="26"/>
          <w:szCs w:val="24"/>
        </w:rPr>
        <w:t>red that</w:t>
      </w:r>
      <w:r w:rsidR="006B4DA1">
        <w:rPr>
          <w:sz w:val="26"/>
          <w:szCs w:val="24"/>
        </w:rPr>
        <w:t xml:space="preserve"> it acted properly in determining the foreign wiring condition and transferring the service and charges to the Complainant’s name pursuant to Section 1529.1, and Commission Orders.  Further, the Respondent asserted that Mr. Kopf has failed to notify PECO that the foreign wiring has been repaired.  Answer at 3-4.  </w:t>
      </w:r>
    </w:p>
    <w:p w:rsidR="006B4DA1" w:rsidRDefault="006B4DA1" w:rsidP="0051475B">
      <w:pPr>
        <w:widowControl/>
        <w:spacing w:line="360" w:lineRule="auto"/>
        <w:ind w:firstLine="1440"/>
        <w:rPr>
          <w:sz w:val="26"/>
          <w:szCs w:val="24"/>
        </w:rPr>
      </w:pPr>
    </w:p>
    <w:p w:rsidR="006B4DA1" w:rsidRDefault="00A21932" w:rsidP="0051475B">
      <w:pPr>
        <w:widowControl/>
        <w:spacing w:line="360" w:lineRule="auto"/>
        <w:ind w:firstLine="1440"/>
        <w:rPr>
          <w:sz w:val="26"/>
          <w:szCs w:val="24"/>
        </w:rPr>
      </w:pPr>
      <w:r>
        <w:rPr>
          <w:sz w:val="26"/>
          <w:szCs w:val="24"/>
        </w:rPr>
        <w:t>Also o</w:t>
      </w:r>
      <w:r w:rsidR="006B4DA1">
        <w:rPr>
          <w:sz w:val="26"/>
          <w:szCs w:val="24"/>
        </w:rPr>
        <w:t>n November 13, 2012, the Respondent filed Preliminary Objections</w:t>
      </w:r>
      <w:r w:rsidR="00A069D6">
        <w:rPr>
          <w:sz w:val="26"/>
          <w:szCs w:val="24"/>
        </w:rPr>
        <w:t xml:space="preserve"> contending the Complaint was legally insufficient under </w:t>
      </w:r>
      <w:r w:rsidR="00070D5C">
        <w:rPr>
          <w:sz w:val="26"/>
          <w:szCs w:val="24"/>
        </w:rPr>
        <w:t xml:space="preserve">Section </w:t>
      </w:r>
      <w:r w:rsidR="00A069D6">
        <w:rPr>
          <w:sz w:val="26"/>
          <w:szCs w:val="24"/>
        </w:rPr>
        <w:t xml:space="preserve"> 5.101(a)(4)</w:t>
      </w:r>
      <w:r w:rsidR="00070D5C">
        <w:rPr>
          <w:sz w:val="26"/>
          <w:szCs w:val="24"/>
        </w:rPr>
        <w:t xml:space="preserve"> of the Commission’s Regulations</w:t>
      </w:r>
      <w:r w:rsidR="00A069D6">
        <w:rPr>
          <w:sz w:val="26"/>
          <w:szCs w:val="24"/>
        </w:rPr>
        <w:t xml:space="preserve">, 52 Pa. Code § 5.101(a)(4).  </w:t>
      </w:r>
      <w:r w:rsidR="00937780">
        <w:rPr>
          <w:sz w:val="26"/>
          <w:szCs w:val="24"/>
        </w:rPr>
        <w:t xml:space="preserve">PECO argued that the Complaint </w:t>
      </w:r>
      <w:r w:rsidR="009A39E6">
        <w:rPr>
          <w:sz w:val="26"/>
          <w:szCs w:val="24"/>
        </w:rPr>
        <w:t xml:space="preserve">did not allege a violation of the Code, </w:t>
      </w:r>
      <w:r w:rsidR="002F13A0">
        <w:rPr>
          <w:sz w:val="26"/>
          <w:szCs w:val="24"/>
        </w:rPr>
        <w:t>Regulations or C</w:t>
      </w:r>
      <w:r w:rsidR="00937780">
        <w:rPr>
          <w:sz w:val="26"/>
          <w:szCs w:val="24"/>
        </w:rPr>
        <w:t xml:space="preserve">ommission Orders </w:t>
      </w:r>
      <w:r w:rsidR="009A39E6">
        <w:rPr>
          <w:sz w:val="26"/>
          <w:szCs w:val="24"/>
        </w:rPr>
        <w:t xml:space="preserve">and that it should be dismissed for failure to state a claim upon which relief could be granted.  Preliminary Objections at </w:t>
      </w:r>
      <w:r w:rsidR="00933DB5">
        <w:rPr>
          <w:sz w:val="26"/>
          <w:szCs w:val="24"/>
        </w:rPr>
        <w:t>3-5.</w:t>
      </w:r>
    </w:p>
    <w:p w:rsidR="009A39E6" w:rsidRDefault="009A39E6" w:rsidP="0051475B">
      <w:pPr>
        <w:widowControl/>
        <w:spacing w:line="360" w:lineRule="auto"/>
        <w:ind w:firstLine="1440"/>
        <w:rPr>
          <w:sz w:val="26"/>
          <w:szCs w:val="24"/>
        </w:rPr>
      </w:pPr>
    </w:p>
    <w:p w:rsidR="009A39E6" w:rsidRPr="00DF6455" w:rsidRDefault="009A39E6" w:rsidP="0051475B">
      <w:pPr>
        <w:widowControl/>
        <w:spacing w:line="360" w:lineRule="auto"/>
        <w:ind w:firstLine="1440"/>
        <w:rPr>
          <w:sz w:val="26"/>
          <w:szCs w:val="24"/>
        </w:rPr>
      </w:pPr>
      <w:r>
        <w:rPr>
          <w:sz w:val="26"/>
          <w:szCs w:val="24"/>
        </w:rPr>
        <w:t xml:space="preserve">On November 26, </w:t>
      </w:r>
      <w:r w:rsidR="00DF6455">
        <w:rPr>
          <w:sz w:val="26"/>
          <w:szCs w:val="24"/>
        </w:rPr>
        <w:t xml:space="preserve">2012, the Complainant filed a Reply </w:t>
      </w:r>
      <w:r w:rsidR="00933DB5">
        <w:rPr>
          <w:sz w:val="26"/>
          <w:szCs w:val="24"/>
        </w:rPr>
        <w:t xml:space="preserve">to the Preliminary Objections in which he argued there is an exception to the requirements of Section 1529.1 of the Code if a tenant informs a utility he is willing to accept financial responsibility for foreign load service.  </w:t>
      </w:r>
      <w:r w:rsidR="00DF6455">
        <w:rPr>
          <w:sz w:val="26"/>
          <w:szCs w:val="24"/>
        </w:rPr>
        <w:t xml:space="preserve">R. to Preliminary Objections. </w:t>
      </w:r>
      <w:r w:rsidR="00933DB5">
        <w:rPr>
          <w:sz w:val="26"/>
          <w:szCs w:val="24"/>
        </w:rPr>
        <w:t xml:space="preserve"> </w:t>
      </w:r>
      <w:r w:rsidR="00DF6455">
        <w:rPr>
          <w:sz w:val="26"/>
          <w:szCs w:val="24"/>
        </w:rPr>
        <w:t xml:space="preserve">Attached to the reply is the Commission’s proposed policy statement from 1998 pertaining to resolution of complaints involving Section 1529.1.  </w:t>
      </w:r>
      <w:r w:rsidR="00DF6455">
        <w:rPr>
          <w:i/>
          <w:sz w:val="26"/>
          <w:szCs w:val="24"/>
        </w:rPr>
        <w:t xml:space="preserve">Proposed Policy Statement Re: Resolution of Issues Common to Complaints Involving 66 Pa. C.S. § 1529.1 (relating to duty of owners </w:t>
      </w:r>
      <w:r w:rsidR="00DF6455">
        <w:rPr>
          <w:i/>
          <w:sz w:val="26"/>
          <w:szCs w:val="24"/>
        </w:rPr>
        <w:lastRenderedPageBreak/>
        <w:t>of rental property)</w:t>
      </w:r>
      <w:r w:rsidR="00DF6455">
        <w:rPr>
          <w:sz w:val="26"/>
          <w:szCs w:val="24"/>
        </w:rPr>
        <w:t xml:space="preserve">, Docket No. L-00980137 (Order entered September 23, 1998), 28 </w:t>
      </w:r>
      <w:r w:rsidR="00DF6455">
        <w:rPr>
          <w:i/>
          <w:sz w:val="26"/>
          <w:szCs w:val="24"/>
        </w:rPr>
        <w:t>Pa. B.</w:t>
      </w:r>
      <w:r w:rsidR="00DF6455">
        <w:rPr>
          <w:sz w:val="26"/>
          <w:szCs w:val="24"/>
        </w:rPr>
        <w:t xml:space="preserve"> 5497 (October 31, 1998)(</w:t>
      </w:r>
      <w:r w:rsidR="00DF6455">
        <w:rPr>
          <w:i/>
          <w:sz w:val="26"/>
          <w:szCs w:val="24"/>
        </w:rPr>
        <w:t>1998 Proposed Policy Statement</w:t>
      </w:r>
      <w:r w:rsidR="00A21932">
        <w:rPr>
          <w:sz w:val="26"/>
          <w:szCs w:val="24"/>
        </w:rPr>
        <w:t>)</w:t>
      </w:r>
      <w:r w:rsidR="00DF6455">
        <w:rPr>
          <w:sz w:val="26"/>
          <w:szCs w:val="24"/>
        </w:rPr>
        <w:t xml:space="preserve">.  </w:t>
      </w:r>
    </w:p>
    <w:p w:rsidR="006B4DA1" w:rsidRDefault="006B4DA1" w:rsidP="0051475B">
      <w:pPr>
        <w:widowControl/>
        <w:spacing w:line="360" w:lineRule="auto"/>
        <w:ind w:firstLine="1440"/>
        <w:rPr>
          <w:sz w:val="26"/>
          <w:szCs w:val="24"/>
        </w:rPr>
      </w:pPr>
    </w:p>
    <w:p w:rsidR="00B32CC5" w:rsidRDefault="00B32CC5" w:rsidP="0051475B">
      <w:pPr>
        <w:widowControl/>
        <w:spacing w:line="360" w:lineRule="auto"/>
        <w:ind w:firstLine="1440"/>
        <w:rPr>
          <w:sz w:val="26"/>
          <w:szCs w:val="24"/>
        </w:rPr>
      </w:pPr>
      <w:r>
        <w:rPr>
          <w:sz w:val="26"/>
          <w:szCs w:val="24"/>
        </w:rPr>
        <w:t xml:space="preserve">On December 6, 2012, the Complainant filed a general response to PECO’s New Matter.  </w:t>
      </w:r>
    </w:p>
    <w:p w:rsidR="00B32CC5" w:rsidRDefault="00B32CC5" w:rsidP="0051475B">
      <w:pPr>
        <w:widowControl/>
        <w:spacing w:line="360" w:lineRule="auto"/>
        <w:ind w:firstLine="1440"/>
        <w:rPr>
          <w:sz w:val="26"/>
          <w:szCs w:val="24"/>
        </w:rPr>
      </w:pPr>
    </w:p>
    <w:p w:rsidR="00655657" w:rsidRDefault="00A21932" w:rsidP="002F13A0">
      <w:pPr>
        <w:widowControl/>
        <w:spacing w:line="360" w:lineRule="auto"/>
        <w:ind w:firstLine="1440"/>
        <w:rPr>
          <w:sz w:val="26"/>
          <w:szCs w:val="24"/>
        </w:rPr>
      </w:pPr>
      <w:r>
        <w:rPr>
          <w:sz w:val="26"/>
          <w:szCs w:val="24"/>
        </w:rPr>
        <w:t>In the Initial Decision, issued o</w:t>
      </w:r>
      <w:r w:rsidR="00B32CC5">
        <w:rPr>
          <w:sz w:val="26"/>
          <w:szCs w:val="24"/>
        </w:rPr>
        <w:t xml:space="preserve">n </w:t>
      </w:r>
      <w:r w:rsidR="00325BB3">
        <w:rPr>
          <w:sz w:val="26"/>
          <w:szCs w:val="24"/>
        </w:rPr>
        <w:t xml:space="preserve">December 6, 2012, the ALJ </w:t>
      </w:r>
      <w:r>
        <w:rPr>
          <w:sz w:val="26"/>
          <w:szCs w:val="24"/>
        </w:rPr>
        <w:t>sustained</w:t>
      </w:r>
      <w:r w:rsidR="00325BB3">
        <w:rPr>
          <w:sz w:val="26"/>
          <w:szCs w:val="24"/>
        </w:rPr>
        <w:t xml:space="preserve"> the Preli</w:t>
      </w:r>
      <w:r>
        <w:rPr>
          <w:sz w:val="26"/>
          <w:szCs w:val="24"/>
        </w:rPr>
        <w:t>minary Objections and dismissed</w:t>
      </w:r>
      <w:r w:rsidR="00325BB3">
        <w:rPr>
          <w:sz w:val="26"/>
          <w:szCs w:val="24"/>
        </w:rPr>
        <w:t xml:space="preserve"> the Complaint</w:t>
      </w:r>
      <w:r>
        <w:rPr>
          <w:sz w:val="26"/>
          <w:szCs w:val="24"/>
        </w:rPr>
        <w:t xml:space="preserve"> for failure to state a claim upon which relief can be granted.  </w:t>
      </w:r>
      <w:r w:rsidR="00655657">
        <w:rPr>
          <w:sz w:val="26"/>
          <w:szCs w:val="24"/>
        </w:rPr>
        <w:t xml:space="preserve">As previously indicated, the Complainant filed Exceptions on </w:t>
      </w:r>
      <w:r w:rsidR="002F13A0">
        <w:rPr>
          <w:sz w:val="26"/>
          <w:szCs w:val="24"/>
        </w:rPr>
        <w:t>December 15, 2012</w:t>
      </w:r>
      <w:r w:rsidR="00655657">
        <w:rPr>
          <w:sz w:val="26"/>
          <w:szCs w:val="24"/>
        </w:rPr>
        <w:t>.</w:t>
      </w:r>
      <w:r w:rsidR="00655657">
        <w:rPr>
          <w:rStyle w:val="FootnoteReference"/>
          <w:sz w:val="26"/>
          <w:szCs w:val="24"/>
        </w:rPr>
        <w:footnoteReference w:id="3"/>
      </w:r>
      <w:r w:rsidR="00A030DD">
        <w:rPr>
          <w:sz w:val="26"/>
          <w:szCs w:val="24"/>
        </w:rPr>
        <w:t xml:space="preserve">  </w:t>
      </w:r>
      <w:r w:rsidR="002F13A0">
        <w:rPr>
          <w:sz w:val="26"/>
          <w:szCs w:val="24"/>
        </w:rPr>
        <w:t xml:space="preserve">PECO filed Replies </w:t>
      </w:r>
      <w:r w:rsidR="00A030DD">
        <w:rPr>
          <w:sz w:val="26"/>
          <w:szCs w:val="24"/>
        </w:rPr>
        <w:t>to Exceptions</w:t>
      </w:r>
      <w:r w:rsidR="002F13A0">
        <w:rPr>
          <w:sz w:val="26"/>
          <w:szCs w:val="24"/>
        </w:rPr>
        <w:t xml:space="preserve"> on December 18, 2012, and Revised Replies to</w:t>
      </w:r>
      <w:r w:rsidR="0039381B">
        <w:rPr>
          <w:sz w:val="26"/>
          <w:szCs w:val="24"/>
        </w:rPr>
        <w:t xml:space="preserve"> Exceptions on December 19, 2012</w:t>
      </w:r>
      <w:r w:rsidR="00A030DD">
        <w:rPr>
          <w:sz w:val="26"/>
          <w:szCs w:val="24"/>
        </w:rPr>
        <w:t xml:space="preserve">. </w:t>
      </w:r>
      <w:r w:rsidR="002F13A0">
        <w:rPr>
          <w:sz w:val="26"/>
          <w:szCs w:val="24"/>
        </w:rPr>
        <w:t xml:space="preserve">  </w:t>
      </w:r>
      <w:r w:rsidR="00280033">
        <w:rPr>
          <w:sz w:val="26"/>
          <w:szCs w:val="24"/>
        </w:rPr>
        <w:t>Thereafter, on December 26, 2012, the Complainant filed a response to PECO’s Revised Replies to Exceptions.</w:t>
      </w:r>
      <w:r w:rsidR="00280033">
        <w:rPr>
          <w:rStyle w:val="FootnoteReference"/>
          <w:sz w:val="26"/>
          <w:szCs w:val="24"/>
        </w:rPr>
        <w:footnoteReference w:id="4"/>
      </w:r>
      <w:r w:rsidR="00A030DD">
        <w:rPr>
          <w:sz w:val="26"/>
          <w:szCs w:val="24"/>
        </w:rPr>
        <w:t xml:space="preserve"> </w:t>
      </w:r>
    </w:p>
    <w:p w:rsidR="009C41C8" w:rsidRPr="009C41C8" w:rsidRDefault="009C41C8" w:rsidP="009C41C8">
      <w:pPr>
        <w:widowControl/>
        <w:spacing w:line="360" w:lineRule="auto"/>
        <w:rPr>
          <w:sz w:val="26"/>
          <w:szCs w:val="24"/>
        </w:rPr>
      </w:pPr>
    </w:p>
    <w:p w:rsidR="00CA43A5" w:rsidRDefault="00CA43A5" w:rsidP="008F2510">
      <w:pPr>
        <w:widowControl/>
        <w:spacing w:line="360" w:lineRule="auto"/>
        <w:jc w:val="center"/>
        <w:rPr>
          <w:b/>
          <w:sz w:val="26"/>
          <w:szCs w:val="26"/>
        </w:rPr>
      </w:pPr>
      <w:r w:rsidRPr="00CA43A5">
        <w:rPr>
          <w:b/>
          <w:sz w:val="26"/>
          <w:szCs w:val="26"/>
        </w:rPr>
        <w:t>Discussion</w:t>
      </w:r>
    </w:p>
    <w:p w:rsidR="000D5232" w:rsidRPr="00CA43A5" w:rsidRDefault="000D5232" w:rsidP="008F2510">
      <w:pPr>
        <w:widowControl/>
        <w:spacing w:line="360" w:lineRule="auto"/>
        <w:jc w:val="center"/>
        <w:rPr>
          <w:sz w:val="26"/>
          <w:szCs w:val="26"/>
        </w:rPr>
      </w:pPr>
    </w:p>
    <w:p w:rsidR="00B952A5" w:rsidRPr="00B952A5" w:rsidRDefault="00B952A5" w:rsidP="00B952A5">
      <w:pPr>
        <w:widowControl/>
        <w:tabs>
          <w:tab w:val="left" w:pos="0"/>
        </w:tabs>
        <w:spacing w:line="360" w:lineRule="auto"/>
        <w:ind w:firstLine="1440"/>
        <w:rPr>
          <w:sz w:val="26"/>
          <w:szCs w:val="24"/>
        </w:rPr>
      </w:pPr>
      <w:r w:rsidRPr="00843202">
        <w:rPr>
          <w:sz w:val="26"/>
          <w:szCs w:val="26"/>
        </w:rPr>
        <w:t>Th</w:t>
      </w:r>
      <w:r>
        <w:rPr>
          <w:sz w:val="26"/>
          <w:szCs w:val="26"/>
        </w:rPr>
        <w:t xml:space="preserve">is case is before us on preliminary objections.  </w:t>
      </w:r>
      <w:r w:rsidRPr="00B952A5">
        <w:rPr>
          <w:sz w:val="26"/>
          <w:szCs w:val="24"/>
        </w:rPr>
        <w:t xml:space="preserve">Section 5.101 of the Commission’s Regulations, 52 Pa. Code § 5.101, sets forth the grounds for granting preliminary objections.  That section provides as follows: </w:t>
      </w:r>
    </w:p>
    <w:p w:rsidR="00B952A5" w:rsidRPr="00B952A5" w:rsidRDefault="00B952A5" w:rsidP="00B952A5">
      <w:pPr>
        <w:widowControl/>
        <w:ind w:left="1440" w:right="1440"/>
        <w:rPr>
          <w:b/>
          <w:sz w:val="26"/>
          <w:szCs w:val="24"/>
        </w:rPr>
      </w:pPr>
    </w:p>
    <w:p w:rsidR="00B952A5" w:rsidRPr="00B952A5" w:rsidRDefault="00B952A5" w:rsidP="0039381B">
      <w:pPr>
        <w:keepNext/>
        <w:widowControl/>
        <w:ind w:left="1440" w:right="1440"/>
        <w:rPr>
          <w:b/>
          <w:sz w:val="26"/>
          <w:szCs w:val="24"/>
        </w:rPr>
      </w:pPr>
      <w:r w:rsidRPr="00B952A5">
        <w:rPr>
          <w:b/>
          <w:sz w:val="26"/>
          <w:szCs w:val="24"/>
        </w:rPr>
        <w:lastRenderedPageBreak/>
        <w:t>§ 5.101.  Preliminary objections.</w:t>
      </w:r>
    </w:p>
    <w:p w:rsidR="00B952A5" w:rsidRPr="00B952A5" w:rsidRDefault="00B952A5" w:rsidP="00B952A5">
      <w:pPr>
        <w:widowControl/>
        <w:ind w:left="1440" w:right="1440"/>
        <w:rPr>
          <w:b/>
          <w:sz w:val="26"/>
          <w:szCs w:val="24"/>
        </w:rPr>
      </w:pPr>
    </w:p>
    <w:p w:rsidR="00B952A5" w:rsidRPr="00B952A5" w:rsidRDefault="00B952A5" w:rsidP="00B952A5">
      <w:pPr>
        <w:widowControl/>
        <w:ind w:left="1440" w:right="1440"/>
        <w:contextualSpacing/>
        <w:rPr>
          <w:sz w:val="26"/>
          <w:szCs w:val="24"/>
        </w:rPr>
      </w:pPr>
      <w:r w:rsidRPr="00B952A5">
        <w:rPr>
          <w:sz w:val="26"/>
          <w:szCs w:val="24"/>
        </w:rPr>
        <w:t>(a)</w:t>
      </w:r>
      <w:r w:rsidRPr="00B952A5">
        <w:rPr>
          <w:sz w:val="26"/>
          <w:szCs w:val="24"/>
        </w:rPr>
        <w:tab/>
      </w:r>
      <w:r w:rsidRPr="00B952A5">
        <w:rPr>
          <w:i/>
          <w:sz w:val="26"/>
          <w:szCs w:val="24"/>
        </w:rPr>
        <w:t>Grounds.</w:t>
      </w:r>
      <w:r w:rsidRPr="00B952A5">
        <w:rPr>
          <w:sz w:val="26"/>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B952A5" w:rsidRPr="00B952A5" w:rsidRDefault="00B952A5" w:rsidP="00B952A5">
      <w:pPr>
        <w:widowControl/>
        <w:spacing w:before="100" w:beforeAutospacing="1" w:after="100" w:afterAutospacing="1"/>
        <w:ind w:left="1440" w:right="1440"/>
        <w:rPr>
          <w:sz w:val="26"/>
          <w:szCs w:val="24"/>
        </w:rPr>
      </w:pPr>
      <w:bookmarkStart w:id="2" w:name="5.101."/>
      <w:r w:rsidRPr="00B952A5">
        <w:rPr>
          <w:sz w:val="26"/>
          <w:szCs w:val="24"/>
        </w:rPr>
        <w:t> </w:t>
      </w:r>
      <w:r w:rsidRPr="00B952A5">
        <w:rPr>
          <w:sz w:val="26"/>
          <w:szCs w:val="24"/>
        </w:rPr>
        <w:tab/>
        <w:t>(1)</w:t>
      </w:r>
      <w:r w:rsidRPr="00B952A5">
        <w:rPr>
          <w:sz w:val="26"/>
          <w:szCs w:val="24"/>
        </w:rPr>
        <w:tab/>
        <w:t xml:space="preserve">Lack of Commission jurisdiction or improper service of the pleading initiating the proceeding. </w:t>
      </w:r>
    </w:p>
    <w:p w:rsidR="00B952A5" w:rsidRPr="00B952A5" w:rsidRDefault="00B952A5" w:rsidP="00B952A5">
      <w:pPr>
        <w:widowControl/>
        <w:spacing w:before="100" w:beforeAutospacing="1" w:after="100" w:afterAutospacing="1"/>
        <w:ind w:left="1440" w:right="1440"/>
        <w:rPr>
          <w:sz w:val="26"/>
          <w:szCs w:val="24"/>
        </w:rPr>
      </w:pPr>
      <w:r w:rsidRPr="00B952A5">
        <w:rPr>
          <w:sz w:val="26"/>
          <w:szCs w:val="24"/>
        </w:rPr>
        <w:t>   </w:t>
      </w:r>
      <w:r w:rsidRPr="00B952A5">
        <w:rPr>
          <w:sz w:val="26"/>
          <w:szCs w:val="24"/>
        </w:rPr>
        <w:tab/>
        <w:t>(2)</w:t>
      </w:r>
      <w:r w:rsidRPr="00B952A5">
        <w:rPr>
          <w:sz w:val="26"/>
          <w:szCs w:val="24"/>
        </w:rPr>
        <w:tab/>
        <w:t xml:space="preserve">Failure of a pleading to conform to this chapter or the inclusion of scandalous or impertinent matter. </w:t>
      </w:r>
    </w:p>
    <w:p w:rsidR="00B952A5" w:rsidRPr="00B952A5" w:rsidRDefault="00B952A5" w:rsidP="00B952A5">
      <w:pPr>
        <w:widowControl/>
        <w:spacing w:before="100" w:beforeAutospacing="1" w:after="100" w:afterAutospacing="1"/>
        <w:ind w:left="1440" w:right="1440"/>
        <w:rPr>
          <w:sz w:val="26"/>
          <w:szCs w:val="24"/>
        </w:rPr>
      </w:pPr>
      <w:r w:rsidRPr="00B952A5">
        <w:rPr>
          <w:sz w:val="26"/>
          <w:szCs w:val="24"/>
        </w:rPr>
        <w:t>   </w:t>
      </w:r>
      <w:r w:rsidRPr="00B952A5">
        <w:rPr>
          <w:sz w:val="26"/>
          <w:szCs w:val="24"/>
        </w:rPr>
        <w:tab/>
        <w:t>(3)</w:t>
      </w:r>
      <w:r w:rsidRPr="00B952A5">
        <w:rPr>
          <w:sz w:val="26"/>
          <w:szCs w:val="24"/>
        </w:rPr>
        <w:tab/>
        <w:t xml:space="preserve">Insufficient specificity of a pleading. </w:t>
      </w:r>
    </w:p>
    <w:p w:rsidR="00B952A5" w:rsidRPr="00B952A5" w:rsidRDefault="00B952A5" w:rsidP="00B952A5">
      <w:pPr>
        <w:widowControl/>
        <w:spacing w:before="100" w:beforeAutospacing="1" w:after="100" w:afterAutospacing="1"/>
        <w:ind w:left="1440" w:right="1440"/>
        <w:rPr>
          <w:sz w:val="26"/>
          <w:szCs w:val="24"/>
        </w:rPr>
      </w:pPr>
      <w:r w:rsidRPr="00B952A5">
        <w:rPr>
          <w:sz w:val="26"/>
          <w:szCs w:val="24"/>
        </w:rPr>
        <w:t>   </w:t>
      </w:r>
      <w:r w:rsidRPr="00B952A5">
        <w:rPr>
          <w:sz w:val="26"/>
          <w:szCs w:val="24"/>
        </w:rPr>
        <w:tab/>
        <w:t>(4)</w:t>
      </w:r>
      <w:r w:rsidRPr="00B952A5">
        <w:rPr>
          <w:sz w:val="26"/>
          <w:szCs w:val="24"/>
        </w:rPr>
        <w:tab/>
        <w:t xml:space="preserve">Legal insufficiency of a pleading. </w:t>
      </w:r>
    </w:p>
    <w:p w:rsidR="00B952A5" w:rsidRPr="00B952A5" w:rsidRDefault="00B952A5" w:rsidP="00B952A5">
      <w:pPr>
        <w:widowControl/>
        <w:spacing w:before="100" w:beforeAutospacing="1" w:after="100" w:afterAutospacing="1"/>
        <w:ind w:left="1440" w:right="1440"/>
        <w:rPr>
          <w:sz w:val="26"/>
          <w:szCs w:val="24"/>
        </w:rPr>
      </w:pPr>
      <w:r w:rsidRPr="00B952A5">
        <w:rPr>
          <w:sz w:val="26"/>
          <w:szCs w:val="24"/>
        </w:rPr>
        <w:t>   </w:t>
      </w:r>
      <w:r w:rsidRPr="00B952A5">
        <w:rPr>
          <w:sz w:val="26"/>
          <w:szCs w:val="24"/>
        </w:rPr>
        <w:tab/>
        <w:t>(5)</w:t>
      </w:r>
      <w:r w:rsidRPr="00B952A5">
        <w:rPr>
          <w:sz w:val="26"/>
          <w:szCs w:val="24"/>
        </w:rPr>
        <w:tab/>
        <w:t xml:space="preserve">Lack of capacity to sue, nonjoinder of a necessary party or misjoinder of a cause of action. </w:t>
      </w:r>
    </w:p>
    <w:bookmarkEnd w:id="2"/>
    <w:p w:rsidR="00B952A5" w:rsidRPr="00B952A5" w:rsidRDefault="00B952A5" w:rsidP="00B952A5">
      <w:pPr>
        <w:widowControl/>
        <w:ind w:left="1440" w:right="1440"/>
        <w:contextualSpacing/>
        <w:rPr>
          <w:sz w:val="26"/>
          <w:szCs w:val="24"/>
        </w:rPr>
      </w:pPr>
      <w:r w:rsidRPr="00B952A5">
        <w:rPr>
          <w:sz w:val="26"/>
          <w:szCs w:val="24"/>
        </w:rPr>
        <w:tab/>
        <w:t>(6)</w:t>
      </w:r>
      <w:r w:rsidRPr="00B952A5">
        <w:rPr>
          <w:sz w:val="26"/>
          <w:szCs w:val="24"/>
        </w:rPr>
        <w:tab/>
        <w:t>Pendency of a prior proceeding or agreement for alternative dispute resolution.</w:t>
      </w:r>
    </w:p>
    <w:p w:rsidR="00B952A5" w:rsidRPr="00B952A5" w:rsidRDefault="00B952A5" w:rsidP="00B952A5">
      <w:pPr>
        <w:widowControl/>
        <w:spacing w:line="360" w:lineRule="auto"/>
        <w:ind w:left="1440" w:right="1440" w:hanging="1440"/>
        <w:contextualSpacing/>
        <w:rPr>
          <w:sz w:val="26"/>
          <w:szCs w:val="24"/>
        </w:rPr>
      </w:pPr>
    </w:p>
    <w:p w:rsidR="00B952A5" w:rsidRPr="00B952A5" w:rsidRDefault="00B952A5" w:rsidP="00B952A5">
      <w:pPr>
        <w:widowControl/>
        <w:spacing w:line="360" w:lineRule="auto"/>
        <w:ind w:left="1440" w:right="1440" w:hanging="1440"/>
        <w:contextualSpacing/>
        <w:rPr>
          <w:sz w:val="26"/>
          <w:szCs w:val="24"/>
        </w:rPr>
      </w:pPr>
      <w:r w:rsidRPr="00B952A5">
        <w:rPr>
          <w:sz w:val="26"/>
          <w:szCs w:val="24"/>
        </w:rPr>
        <w:t>52 Pa. Code § 5.101(a).</w:t>
      </w:r>
    </w:p>
    <w:p w:rsidR="00B952A5" w:rsidRPr="00B952A5" w:rsidRDefault="00B952A5" w:rsidP="00B952A5">
      <w:pPr>
        <w:widowControl/>
        <w:spacing w:line="360" w:lineRule="auto"/>
        <w:ind w:left="1440" w:right="1440" w:hanging="1440"/>
        <w:contextualSpacing/>
        <w:rPr>
          <w:sz w:val="26"/>
          <w:szCs w:val="24"/>
        </w:rPr>
      </w:pPr>
    </w:p>
    <w:p w:rsidR="00B952A5" w:rsidRDefault="00B952A5" w:rsidP="00B952A5">
      <w:pPr>
        <w:spacing w:line="360" w:lineRule="auto"/>
        <w:ind w:firstLine="1440"/>
        <w:rPr>
          <w:sz w:val="26"/>
          <w:szCs w:val="26"/>
        </w:rPr>
      </w:pPr>
      <w:r w:rsidRPr="00B952A5">
        <w:rPr>
          <w:color w:val="000000"/>
          <w:sz w:val="26"/>
          <w:szCs w:val="26"/>
        </w:rPr>
        <w:t xml:space="preserve">Commission procedure </w:t>
      </w:r>
      <w:r w:rsidRPr="00B952A5">
        <w:rPr>
          <w:sz w:val="26"/>
          <w:szCs w:val="26"/>
        </w:rPr>
        <w:t xml:space="preserve">regarding the disposition of preliminary objections is similar to the procedure utilized in Pennsylvania civil practice.  A preliminary objection in civil practice seeking dismissal of a pleading will be granted only where relief is clearly warranted and free from doubt.  </w:t>
      </w:r>
      <w:r w:rsidRPr="00B952A5">
        <w:rPr>
          <w:i/>
          <w:sz w:val="26"/>
          <w:szCs w:val="26"/>
        </w:rPr>
        <w:t>Interstate Traveller Services, Inc. v. Pa. Dep’t of Environmental Resources</w:t>
      </w:r>
      <w:r w:rsidRPr="00B952A5">
        <w:rPr>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B952A5">
        <w:rPr>
          <w:i/>
          <w:sz w:val="26"/>
          <w:szCs w:val="26"/>
        </w:rPr>
        <w:t>County of Allegheny v. Commonwealth</w:t>
      </w:r>
      <w:r w:rsidRPr="00B952A5">
        <w:rPr>
          <w:sz w:val="26"/>
          <w:szCs w:val="26"/>
        </w:rPr>
        <w:t xml:space="preserve"> </w:t>
      </w:r>
      <w:r w:rsidRPr="00B952A5">
        <w:rPr>
          <w:i/>
          <w:sz w:val="26"/>
          <w:szCs w:val="26"/>
        </w:rPr>
        <w:t>of Pa.</w:t>
      </w:r>
      <w:r w:rsidRPr="00B952A5">
        <w:rPr>
          <w:sz w:val="26"/>
          <w:szCs w:val="26"/>
        </w:rPr>
        <w:t xml:space="preserve">, 507 Pa. 360, 490 A.2d 402 (1985).  The preliminary objection may be granted only if the moving party prevails as a matter of law.  </w:t>
      </w:r>
      <w:r w:rsidRPr="00B952A5">
        <w:rPr>
          <w:i/>
          <w:sz w:val="26"/>
          <w:szCs w:val="26"/>
        </w:rPr>
        <w:t>Rok v. Flaherty</w:t>
      </w:r>
      <w:r w:rsidRPr="00B952A5">
        <w:rPr>
          <w:sz w:val="26"/>
          <w:szCs w:val="26"/>
        </w:rPr>
        <w:t xml:space="preserve">, 527 </w:t>
      </w:r>
      <w:r w:rsidRPr="00B952A5">
        <w:rPr>
          <w:sz w:val="26"/>
          <w:szCs w:val="26"/>
        </w:rPr>
        <w:lastRenderedPageBreak/>
        <w:t xml:space="preserve">A.2d 211 (Pa. Cmwlth. 1987).  Any doubt must be resolved in favor of the non-moving party by refusing to sustain the preliminary objections.  </w:t>
      </w:r>
      <w:r w:rsidRPr="00B952A5">
        <w:rPr>
          <w:i/>
          <w:sz w:val="26"/>
          <w:szCs w:val="26"/>
        </w:rPr>
        <w:t>Dep’t of Auditor General, et al. v. State Employees’ Retirement System, et al.</w:t>
      </w:r>
      <w:r w:rsidRPr="00B952A5">
        <w:rPr>
          <w:sz w:val="26"/>
          <w:szCs w:val="26"/>
        </w:rPr>
        <w:t>, 836 A.2d 1053, 1064 (Pa. Cmwlth. 2003) (citing</w:t>
      </w:r>
      <w:r w:rsidRPr="00B952A5">
        <w:rPr>
          <w:i/>
          <w:sz w:val="26"/>
          <w:szCs w:val="26"/>
        </w:rPr>
        <w:t xml:space="preserve"> Boyd v. Ward</w:t>
      </w:r>
      <w:r w:rsidRPr="00B952A5">
        <w:rPr>
          <w:sz w:val="26"/>
          <w:szCs w:val="26"/>
        </w:rPr>
        <w:t>, 802 A.2d 705 (Pa. Cmwlth. 2002)).</w:t>
      </w:r>
    </w:p>
    <w:p w:rsidR="00154CB6" w:rsidRPr="00CA43A5" w:rsidRDefault="00154CB6" w:rsidP="00DA1566">
      <w:pPr>
        <w:rPr>
          <w:i/>
          <w:sz w:val="26"/>
          <w:szCs w:val="26"/>
        </w:rPr>
      </w:pPr>
    </w:p>
    <w:p w:rsidR="00CA43A5" w:rsidRDefault="00CA43A5" w:rsidP="00F34B2F">
      <w:pPr>
        <w:spacing w:line="360" w:lineRule="auto"/>
        <w:ind w:firstLine="1440"/>
        <w:rPr>
          <w:sz w:val="26"/>
          <w:szCs w:val="26"/>
        </w:rPr>
      </w:pPr>
      <w:r w:rsidRPr="00CA43A5">
        <w:rPr>
          <w:sz w:val="26"/>
          <w:szCs w:val="26"/>
        </w:rPr>
        <w:t xml:space="preserve">ALJ </w:t>
      </w:r>
      <w:r w:rsidR="006879DE">
        <w:rPr>
          <w:sz w:val="26"/>
          <w:szCs w:val="26"/>
        </w:rPr>
        <w:t xml:space="preserve">Salapa </w:t>
      </w:r>
      <w:r w:rsidRPr="00CA43A5">
        <w:rPr>
          <w:sz w:val="26"/>
          <w:szCs w:val="26"/>
        </w:rPr>
        <w:t xml:space="preserve">made </w:t>
      </w:r>
      <w:r w:rsidR="00B61C7E">
        <w:rPr>
          <w:sz w:val="26"/>
          <w:szCs w:val="26"/>
        </w:rPr>
        <w:t>six</w:t>
      </w:r>
      <w:r w:rsidRPr="00CA43A5">
        <w:rPr>
          <w:sz w:val="26"/>
          <w:szCs w:val="26"/>
        </w:rPr>
        <w:t xml:space="preserve"> Findings of Fact and reached </w:t>
      </w:r>
      <w:r w:rsidR="006879DE">
        <w:rPr>
          <w:sz w:val="26"/>
          <w:szCs w:val="26"/>
        </w:rPr>
        <w:t>four</w:t>
      </w:r>
      <w:r w:rsidR="002E23A4">
        <w:rPr>
          <w:sz w:val="26"/>
          <w:szCs w:val="26"/>
        </w:rPr>
        <w:t xml:space="preserve"> </w:t>
      </w:r>
      <w:r w:rsidRPr="00CA43A5">
        <w:rPr>
          <w:sz w:val="26"/>
          <w:szCs w:val="26"/>
        </w:rPr>
        <w:t xml:space="preserve">Conclusions of Law.  </w:t>
      </w:r>
      <w:r w:rsidR="002E23A4">
        <w:rPr>
          <w:sz w:val="26"/>
          <w:szCs w:val="26"/>
        </w:rPr>
        <w:t xml:space="preserve">I.D. at </w:t>
      </w:r>
      <w:r w:rsidR="00B61C7E">
        <w:rPr>
          <w:sz w:val="26"/>
          <w:szCs w:val="26"/>
        </w:rPr>
        <w:t>4</w:t>
      </w:r>
      <w:r w:rsidR="002E23A4">
        <w:rPr>
          <w:sz w:val="26"/>
          <w:szCs w:val="26"/>
        </w:rPr>
        <w:t xml:space="preserve">, </w:t>
      </w:r>
      <w:r w:rsidR="006879DE">
        <w:rPr>
          <w:sz w:val="26"/>
          <w:szCs w:val="26"/>
        </w:rPr>
        <w:t>1</w:t>
      </w:r>
      <w:r w:rsidR="00B61C7E">
        <w:rPr>
          <w:sz w:val="26"/>
          <w:szCs w:val="26"/>
        </w:rPr>
        <w:t>0</w:t>
      </w:r>
      <w:r w:rsidR="002E23A4">
        <w:rPr>
          <w:sz w:val="26"/>
          <w:szCs w:val="26"/>
        </w:rPr>
        <w:t xml:space="preserve">.  </w:t>
      </w:r>
      <w:r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rsidR="00CC2A06" w:rsidRPr="00CA43A5" w:rsidRDefault="00CC2A06" w:rsidP="00F34B2F">
      <w:pPr>
        <w:spacing w:line="360" w:lineRule="auto"/>
        <w:ind w:firstLine="1440"/>
        <w:rPr>
          <w:sz w:val="26"/>
          <w:szCs w:val="26"/>
        </w:rPr>
      </w:pPr>
    </w:p>
    <w:p w:rsidR="00214B3E" w:rsidRPr="002A6750" w:rsidRDefault="00006F35" w:rsidP="00CC2A06">
      <w:pPr>
        <w:widowControl/>
        <w:spacing w:line="360" w:lineRule="auto"/>
        <w:ind w:firstLine="1440"/>
        <w:rPr>
          <w:sz w:val="26"/>
          <w:szCs w:val="26"/>
        </w:rPr>
      </w:pPr>
      <w:r w:rsidRPr="002A6750">
        <w:rPr>
          <w:sz w:val="26"/>
          <w:szCs w:val="26"/>
        </w:rPr>
        <w:t xml:space="preserve">Before addressing the Exceptions, we note that any issue or Exception that we do not specifically </w:t>
      </w:r>
      <w:r w:rsidR="00D21327">
        <w:rPr>
          <w:sz w:val="26"/>
          <w:szCs w:val="26"/>
        </w:rPr>
        <w:t>address</w:t>
      </w:r>
      <w:r w:rsidRPr="002A6750">
        <w:rPr>
          <w:sz w:val="26"/>
          <w:szCs w:val="26"/>
        </w:rPr>
        <w:t xml:space="preserve"> shall be deemed to have been duly considered and denied without further discussion.  The Commission is not required to consider expressly or at length each contention or argument raised by the parties</w:t>
      </w:r>
      <w:r w:rsidR="002A6750" w:rsidRPr="002A6750">
        <w:rPr>
          <w:sz w:val="26"/>
          <w:szCs w:val="26"/>
        </w:rPr>
        <w:t xml:space="preserve">.  </w:t>
      </w:r>
      <w:hyperlink r:id="rId9" w:history="1">
        <w:r w:rsidR="002A6750" w:rsidRPr="002A6750">
          <w:rPr>
            <w:rStyle w:val="Emphasis"/>
            <w:color w:val="000000"/>
            <w:sz w:val="26"/>
            <w:szCs w:val="26"/>
          </w:rPr>
          <w:t xml:space="preserve">Consolidated Rail Corp. v. </w:t>
        </w:r>
        <w:r w:rsidR="007B5F19">
          <w:rPr>
            <w:rStyle w:val="Emphasis"/>
            <w:color w:val="000000"/>
            <w:sz w:val="26"/>
            <w:szCs w:val="26"/>
          </w:rPr>
          <w:t xml:space="preserve">  </w:t>
        </w:r>
        <w:r w:rsidR="002A6750" w:rsidRPr="002A6750">
          <w:rPr>
            <w:rStyle w:val="Emphasis"/>
            <w:color w:val="000000"/>
            <w:sz w:val="26"/>
            <w:szCs w:val="26"/>
          </w:rPr>
          <w:t xml:space="preserve">Pa. PUC, </w:t>
        </w:r>
        <w:r w:rsidR="002A6750" w:rsidRPr="002A6750">
          <w:rPr>
            <w:rStyle w:val="Hyperlink"/>
            <w:color w:val="000000"/>
            <w:sz w:val="26"/>
            <w:szCs w:val="26"/>
            <w:u w:val="none"/>
          </w:rPr>
          <w:t>625 A.2d 741 (Pa. Cmwlth.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0" w:history="1">
        <w:r w:rsidR="002A6750" w:rsidRPr="002A6750">
          <w:rPr>
            <w:rStyle w:val="Emphasis"/>
            <w:color w:val="000000"/>
            <w:sz w:val="26"/>
            <w:szCs w:val="26"/>
          </w:rPr>
          <w:t>University of Pennsylvania v. Pa. PUC</w:t>
        </w:r>
        <w:r w:rsidR="002A6750" w:rsidRPr="002A6750">
          <w:rPr>
            <w:rStyle w:val="Hyperlink"/>
            <w:color w:val="000000"/>
            <w:sz w:val="26"/>
            <w:szCs w:val="26"/>
            <w:u w:val="none"/>
          </w:rPr>
          <w:t>, 485 A.2d 1217 (Pa. Cmwlth. 1984).</w:t>
        </w:r>
      </w:hyperlink>
      <w:r w:rsidR="00214B3E" w:rsidRPr="002A6750">
        <w:rPr>
          <w:sz w:val="26"/>
          <w:szCs w:val="26"/>
        </w:rPr>
        <w:t xml:space="preserve"> </w:t>
      </w:r>
    </w:p>
    <w:p w:rsidR="00006F35" w:rsidRDefault="00006F35" w:rsidP="00DA1566">
      <w:pPr>
        <w:ind w:firstLine="1440"/>
        <w:rPr>
          <w:sz w:val="26"/>
          <w:szCs w:val="26"/>
        </w:rPr>
      </w:pPr>
    </w:p>
    <w:p w:rsidR="00006F35" w:rsidRDefault="00006F35" w:rsidP="00D21327">
      <w:pPr>
        <w:spacing w:line="360" w:lineRule="auto"/>
        <w:rPr>
          <w:b/>
          <w:sz w:val="26"/>
          <w:szCs w:val="26"/>
        </w:rPr>
      </w:pPr>
      <w:r>
        <w:rPr>
          <w:b/>
          <w:sz w:val="26"/>
          <w:szCs w:val="26"/>
        </w:rPr>
        <w:t>ALJ’s Recommendation</w:t>
      </w:r>
    </w:p>
    <w:p w:rsidR="00AD2726" w:rsidRDefault="00FC5E92" w:rsidP="00CC2A06">
      <w:pPr>
        <w:spacing w:before="240" w:line="360" w:lineRule="auto"/>
        <w:ind w:firstLine="1440"/>
        <w:rPr>
          <w:sz w:val="26"/>
          <w:szCs w:val="26"/>
        </w:rPr>
      </w:pPr>
      <w:r>
        <w:rPr>
          <w:sz w:val="26"/>
          <w:szCs w:val="26"/>
        </w:rPr>
        <w:t xml:space="preserve">In the Initial Decision, ALJ </w:t>
      </w:r>
      <w:r w:rsidR="006879DE">
        <w:rPr>
          <w:sz w:val="26"/>
          <w:szCs w:val="26"/>
        </w:rPr>
        <w:t>Salapa</w:t>
      </w:r>
      <w:r>
        <w:rPr>
          <w:sz w:val="26"/>
          <w:szCs w:val="26"/>
        </w:rPr>
        <w:t xml:space="preserve"> </w:t>
      </w:r>
      <w:r w:rsidR="00EB1383">
        <w:rPr>
          <w:sz w:val="26"/>
          <w:szCs w:val="26"/>
        </w:rPr>
        <w:t>determined</w:t>
      </w:r>
      <w:r>
        <w:rPr>
          <w:sz w:val="26"/>
          <w:szCs w:val="26"/>
        </w:rPr>
        <w:t xml:space="preserve"> that</w:t>
      </w:r>
      <w:r w:rsidR="00584C5F">
        <w:rPr>
          <w:sz w:val="26"/>
          <w:szCs w:val="26"/>
        </w:rPr>
        <w:t xml:space="preserve"> the </w:t>
      </w:r>
      <w:r w:rsidR="000D6B37">
        <w:rPr>
          <w:sz w:val="26"/>
          <w:szCs w:val="26"/>
        </w:rPr>
        <w:t xml:space="preserve">Respondent – by transferring the account for the Service Address from Ms. DelRaso to the Complainant – did not violate any statute, regulation or order </w:t>
      </w:r>
      <w:r w:rsidR="00707CCB">
        <w:rPr>
          <w:sz w:val="26"/>
          <w:szCs w:val="26"/>
        </w:rPr>
        <w:t xml:space="preserve">over </w:t>
      </w:r>
      <w:r w:rsidR="000D6B37">
        <w:rPr>
          <w:sz w:val="26"/>
          <w:szCs w:val="26"/>
        </w:rPr>
        <w:t xml:space="preserve">which the Commission has jurisdiction.  </w:t>
      </w:r>
      <w:r w:rsidR="00707CCB">
        <w:rPr>
          <w:sz w:val="26"/>
          <w:szCs w:val="26"/>
        </w:rPr>
        <w:t>After</w:t>
      </w:r>
      <w:r w:rsidR="000D6B37">
        <w:rPr>
          <w:sz w:val="26"/>
          <w:szCs w:val="26"/>
        </w:rPr>
        <w:t xml:space="preserve"> acce</w:t>
      </w:r>
      <w:r w:rsidR="00707CCB">
        <w:rPr>
          <w:sz w:val="26"/>
          <w:szCs w:val="26"/>
        </w:rPr>
        <w:t>pting the facts alleged in the C</w:t>
      </w:r>
      <w:r w:rsidR="000D6B37">
        <w:rPr>
          <w:sz w:val="26"/>
          <w:szCs w:val="26"/>
        </w:rPr>
        <w:t xml:space="preserve">omplaint as true for purposes of the Preliminary Objections, the </w:t>
      </w:r>
      <w:r w:rsidR="00707CCB">
        <w:rPr>
          <w:sz w:val="26"/>
          <w:szCs w:val="26"/>
        </w:rPr>
        <w:t xml:space="preserve">ALJ determined the </w:t>
      </w:r>
      <w:r w:rsidR="000D6B37">
        <w:rPr>
          <w:sz w:val="26"/>
          <w:szCs w:val="26"/>
        </w:rPr>
        <w:t xml:space="preserve">Complaint </w:t>
      </w:r>
      <w:r w:rsidR="00707CCB">
        <w:rPr>
          <w:sz w:val="26"/>
          <w:szCs w:val="26"/>
        </w:rPr>
        <w:t>failed</w:t>
      </w:r>
      <w:r w:rsidR="000D6B37">
        <w:rPr>
          <w:sz w:val="26"/>
          <w:szCs w:val="26"/>
        </w:rPr>
        <w:t xml:space="preserve"> to sta</w:t>
      </w:r>
      <w:r w:rsidR="00707CCB">
        <w:rPr>
          <w:sz w:val="26"/>
          <w:szCs w:val="26"/>
        </w:rPr>
        <w:t>te a claim upon which relief could be granted and dismissed it.</w:t>
      </w:r>
      <w:r w:rsidR="004B07B9">
        <w:rPr>
          <w:rStyle w:val="FootnoteReference"/>
          <w:sz w:val="26"/>
          <w:szCs w:val="26"/>
        </w:rPr>
        <w:footnoteReference w:id="5"/>
      </w:r>
      <w:r>
        <w:rPr>
          <w:sz w:val="26"/>
          <w:szCs w:val="26"/>
        </w:rPr>
        <w:t xml:space="preserve"> </w:t>
      </w:r>
      <w:r w:rsidR="00707CCB">
        <w:rPr>
          <w:sz w:val="26"/>
          <w:szCs w:val="26"/>
        </w:rPr>
        <w:t xml:space="preserve"> I.D. 7-10.  </w:t>
      </w:r>
    </w:p>
    <w:p w:rsidR="00707CCB" w:rsidRPr="009F16E4" w:rsidRDefault="00707CCB" w:rsidP="00B61C7E">
      <w:pPr>
        <w:spacing w:line="360" w:lineRule="auto"/>
        <w:ind w:firstLine="1440"/>
        <w:rPr>
          <w:sz w:val="26"/>
          <w:szCs w:val="26"/>
        </w:rPr>
      </w:pPr>
      <w:r>
        <w:rPr>
          <w:sz w:val="26"/>
          <w:szCs w:val="26"/>
        </w:rPr>
        <w:lastRenderedPageBreak/>
        <w:t>In addition, the ALJ explained that the Code does not authorize the Respondent to collect foreign load charges from a tenant.  He determined that the Complainant is responsible for Ms. DelRaso’s account balance and arrearages as of the date of discovery of the foreign load</w:t>
      </w:r>
      <w:r w:rsidR="009F16E4">
        <w:rPr>
          <w:sz w:val="26"/>
          <w:szCs w:val="26"/>
        </w:rPr>
        <w:t xml:space="preserve"> until the Complainant removes the foreign load and the Respondent verifies its removal.  Also, the ALJ found that Ms. DelRaso’s lease does not supersede and has no effect on the Respondent’s obligation to comply with Section 1529.1 of the Code.  </w:t>
      </w:r>
      <w:r w:rsidR="009F16E4">
        <w:rPr>
          <w:i/>
          <w:sz w:val="26"/>
          <w:szCs w:val="26"/>
        </w:rPr>
        <w:t xml:space="preserve">Id. </w:t>
      </w:r>
      <w:r w:rsidR="009F16E4">
        <w:rPr>
          <w:sz w:val="26"/>
          <w:szCs w:val="26"/>
        </w:rPr>
        <w:t xml:space="preserve">at 9.  </w:t>
      </w:r>
    </w:p>
    <w:p w:rsidR="009C41C8" w:rsidRPr="009C41C8" w:rsidRDefault="009C41C8" w:rsidP="004B07B9">
      <w:pPr>
        <w:spacing w:line="360" w:lineRule="auto"/>
        <w:rPr>
          <w:b/>
          <w:sz w:val="26"/>
          <w:szCs w:val="26"/>
        </w:rPr>
      </w:pPr>
      <w:r>
        <w:rPr>
          <w:sz w:val="26"/>
          <w:szCs w:val="26"/>
        </w:rPr>
        <w:tab/>
      </w:r>
      <w:r>
        <w:rPr>
          <w:sz w:val="26"/>
          <w:szCs w:val="26"/>
        </w:rPr>
        <w:tab/>
      </w:r>
    </w:p>
    <w:p w:rsidR="00006F35" w:rsidRPr="00006F35" w:rsidRDefault="00006F35" w:rsidP="00D21327">
      <w:pPr>
        <w:spacing w:line="360" w:lineRule="auto"/>
        <w:rPr>
          <w:b/>
          <w:sz w:val="26"/>
          <w:szCs w:val="26"/>
        </w:rPr>
      </w:pPr>
      <w:r>
        <w:rPr>
          <w:b/>
          <w:sz w:val="26"/>
          <w:szCs w:val="26"/>
        </w:rPr>
        <w:t>Positions of the Parties</w:t>
      </w:r>
    </w:p>
    <w:p w:rsidR="00024D5A" w:rsidRDefault="00024D5A" w:rsidP="00CA43A5">
      <w:pPr>
        <w:spacing w:line="360" w:lineRule="auto"/>
        <w:ind w:firstLine="1440"/>
        <w:rPr>
          <w:sz w:val="26"/>
          <w:szCs w:val="26"/>
        </w:rPr>
      </w:pPr>
    </w:p>
    <w:p w:rsidR="009F16E4" w:rsidRDefault="00024D5A" w:rsidP="009F16E4">
      <w:pPr>
        <w:spacing w:line="360" w:lineRule="auto"/>
        <w:ind w:firstLine="1440"/>
        <w:rPr>
          <w:sz w:val="26"/>
          <w:szCs w:val="24"/>
        </w:rPr>
      </w:pPr>
      <w:r>
        <w:rPr>
          <w:sz w:val="26"/>
          <w:szCs w:val="26"/>
        </w:rPr>
        <w:t>In his Exceptions, the Complainant</w:t>
      </w:r>
      <w:r w:rsidR="00D07302">
        <w:rPr>
          <w:sz w:val="26"/>
          <w:szCs w:val="26"/>
        </w:rPr>
        <w:t xml:space="preserve"> reiterates the arguments from his Reply to the Preliminary Objections in which he argued the Commission created an exception to the foreign load transfer requirements of Section 1529.</w:t>
      </w:r>
      <w:r w:rsidR="00CC2A06">
        <w:rPr>
          <w:sz w:val="26"/>
          <w:szCs w:val="26"/>
        </w:rPr>
        <w:t>1 of the Code.  In support, Mr. </w:t>
      </w:r>
      <w:r w:rsidR="00D07302">
        <w:rPr>
          <w:sz w:val="26"/>
          <w:szCs w:val="26"/>
        </w:rPr>
        <w:t xml:space="preserve">Kopf argues that the Commission’s </w:t>
      </w:r>
      <w:r w:rsidR="00D07302">
        <w:rPr>
          <w:i/>
          <w:sz w:val="26"/>
          <w:szCs w:val="24"/>
        </w:rPr>
        <w:t xml:space="preserve">1998 Proposed Policy Statement </w:t>
      </w:r>
      <w:r w:rsidR="00D07302">
        <w:rPr>
          <w:sz w:val="26"/>
          <w:szCs w:val="24"/>
        </w:rPr>
        <w:t>provides that a tenant’s willingness to accept financial responsibility for a utility account – even if charges for foreign load are billed to the account –</w:t>
      </w:r>
      <w:r w:rsidR="00F20D07">
        <w:rPr>
          <w:sz w:val="26"/>
          <w:szCs w:val="24"/>
        </w:rPr>
        <w:t xml:space="preserve"> provides an exception to the Section 1529.1 requirements.  </w:t>
      </w:r>
      <w:r w:rsidR="00224CFA">
        <w:rPr>
          <w:sz w:val="26"/>
          <w:szCs w:val="24"/>
        </w:rPr>
        <w:t xml:space="preserve">Exc. </w:t>
      </w:r>
    </w:p>
    <w:p w:rsidR="00F20D07" w:rsidRDefault="00F20D07" w:rsidP="009F16E4">
      <w:pPr>
        <w:spacing w:line="360" w:lineRule="auto"/>
        <w:ind w:firstLine="1440"/>
        <w:rPr>
          <w:sz w:val="26"/>
          <w:szCs w:val="24"/>
        </w:rPr>
      </w:pPr>
    </w:p>
    <w:p w:rsidR="00F20D07" w:rsidRDefault="00D92AA6" w:rsidP="009F16E4">
      <w:pPr>
        <w:spacing w:line="360" w:lineRule="auto"/>
        <w:ind w:firstLine="1440"/>
        <w:rPr>
          <w:sz w:val="26"/>
          <w:szCs w:val="24"/>
        </w:rPr>
      </w:pPr>
      <w:r>
        <w:rPr>
          <w:sz w:val="26"/>
          <w:szCs w:val="26"/>
        </w:rPr>
        <w:t xml:space="preserve">In its Revised Replies to Exceptions, PECO argues that the Commission has withdrawn the </w:t>
      </w:r>
      <w:r>
        <w:rPr>
          <w:i/>
          <w:sz w:val="26"/>
          <w:szCs w:val="24"/>
        </w:rPr>
        <w:t xml:space="preserve">1998 Proposed Policy Statement </w:t>
      </w:r>
      <w:r>
        <w:rPr>
          <w:sz w:val="26"/>
          <w:szCs w:val="24"/>
        </w:rPr>
        <w:t>and that ALJ Salapa properly applied recent Commission decisions in dismissing the Complaint.</w:t>
      </w:r>
      <w:r w:rsidR="00FA6905">
        <w:rPr>
          <w:rStyle w:val="FootnoteReference"/>
          <w:sz w:val="26"/>
          <w:szCs w:val="24"/>
        </w:rPr>
        <w:footnoteReference w:id="6"/>
      </w:r>
      <w:r>
        <w:rPr>
          <w:sz w:val="26"/>
          <w:szCs w:val="24"/>
        </w:rPr>
        <w:t xml:space="preserve">  </w:t>
      </w:r>
      <w:r w:rsidR="00224CFA">
        <w:rPr>
          <w:sz w:val="26"/>
          <w:szCs w:val="24"/>
        </w:rPr>
        <w:t xml:space="preserve">Rev. R. Exc. at 3-5. </w:t>
      </w:r>
    </w:p>
    <w:p w:rsidR="00E9115C" w:rsidRDefault="00E9115C" w:rsidP="00685105">
      <w:pPr>
        <w:spacing w:line="360" w:lineRule="auto"/>
        <w:rPr>
          <w:sz w:val="26"/>
          <w:szCs w:val="24"/>
        </w:rPr>
      </w:pPr>
    </w:p>
    <w:p w:rsidR="00DA1566" w:rsidRDefault="00DA1566" w:rsidP="00685105">
      <w:pPr>
        <w:spacing w:line="360" w:lineRule="auto"/>
        <w:rPr>
          <w:sz w:val="26"/>
          <w:szCs w:val="24"/>
        </w:rPr>
      </w:pPr>
    </w:p>
    <w:p w:rsidR="00006F35" w:rsidRPr="00006F35" w:rsidRDefault="00006F35" w:rsidP="00DA1566">
      <w:pPr>
        <w:keepNext/>
        <w:spacing w:line="360" w:lineRule="auto"/>
        <w:rPr>
          <w:b/>
          <w:sz w:val="26"/>
          <w:szCs w:val="26"/>
        </w:rPr>
      </w:pPr>
      <w:r w:rsidRPr="00006F35">
        <w:rPr>
          <w:b/>
          <w:sz w:val="26"/>
          <w:szCs w:val="26"/>
        </w:rPr>
        <w:lastRenderedPageBreak/>
        <w:t>Disposition</w:t>
      </w:r>
    </w:p>
    <w:p w:rsidR="00006F35" w:rsidRDefault="00181F6E" w:rsidP="00DA1566">
      <w:pPr>
        <w:keepNext/>
        <w:spacing w:line="360" w:lineRule="auto"/>
        <w:rPr>
          <w:b/>
          <w:sz w:val="26"/>
          <w:szCs w:val="26"/>
        </w:rPr>
      </w:pPr>
      <w:r>
        <w:rPr>
          <w:b/>
          <w:sz w:val="26"/>
          <w:szCs w:val="26"/>
        </w:rPr>
        <w:tab/>
      </w:r>
      <w:r>
        <w:rPr>
          <w:b/>
          <w:sz w:val="26"/>
          <w:szCs w:val="26"/>
        </w:rPr>
        <w:tab/>
      </w:r>
    </w:p>
    <w:p w:rsidR="006B22C2" w:rsidRDefault="00A030DD" w:rsidP="00DA1566">
      <w:pPr>
        <w:keepNext/>
        <w:spacing w:line="360" w:lineRule="auto"/>
        <w:ind w:firstLine="1440"/>
        <w:rPr>
          <w:sz w:val="26"/>
          <w:szCs w:val="26"/>
        </w:rPr>
      </w:pPr>
      <w:r>
        <w:rPr>
          <w:sz w:val="26"/>
          <w:szCs w:val="26"/>
        </w:rPr>
        <w:t>We agree with the ALJ’s determination that</w:t>
      </w:r>
      <w:r w:rsidR="00F86C22">
        <w:rPr>
          <w:sz w:val="26"/>
          <w:szCs w:val="26"/>
        </w:rPr>
        <w:t xml:space="preserve"> the</w:t>
      </w:r>
      <w:r w:rsidR="005F0C02">
        <w:rPr>
          <w:sz w:val="26"/>
          <w:szCs w:val="26"/>
        </w:rPr>
        <w:t xml:space="preserve"> Complainant did not set forth a legally sufficient Complaint.  </w:t>
      </w:r>
      <w:r w:rsidR="006B22C2">
        <w:rPr>
          <w:sz w:val="26"/>
          <w:szCs w:val="26"/>
        </w:rPr>
        <w:t>Section 1529.1 of the Code, 66 Pa.</w:t>
      </w:r>
      <w:r w:rsidR="0024419F">
        <w:rPr>
          <w:sz w:val="26"/>
          <w:szCs w:val="26"/>
        </w:rPr>
        <w:t xml:space="preserve"> </w:t>
      </w:r>
      <w:r w:rsidR="006B22C2">
        <w:rPr>
          <w:sz w:val="26"/>
          <w:szCs w:val="26"/>
        </w:rPr>
        <w:t>C.S.</w:t>
      </w:r>
      <w:r w:rsidR="006B22C2" w:rsidRPr="006B22C2">
        <w:rPr>
          <w:sz w:val="26"/>
          <w:szCs w:val="26"/>
        </w:rPr>
        <w:t xml:space="preserve"> </w:t>
      </w:r>
      <w:r w:rsidR="006B22C2">
        <w:rPr>
          <w:sz w:val="26"/>
          <w:szCs w:val="26"/>
        </w:rPr>
        <w:t>§ 1529.1</w:t>
      </w:r>
      <w:r w:rsidR="00685105">
        <w:rPr>
          <w:sz w:val="26"/>
          <w:szCs w:val="26"/>
        </w:rPr>
        <w:t>,</w:t>
      </w:r>
      <w:r w:rsidR="006B22C2">
        <w:rPr>
          <w:sz w:val="26"/>
          <w:szCs w:val="26"/>
        </w:rPr>
        <w:t xml:space="preserve"> s</w:t>
      </w:r>
      <w:r w:rsidR="00B378C2">
        <w:rPr>
          <w:sz w:val="26"/>
          <w:szCs w:val="26"/>
        </w:rPr>
        <w:t>tates</w:t>
      </w:r>
      <w:r w:rsidR="006B22C2">
        <w:rPr>
          <w:sz w:val="26"/>
          <w:szCs w:val="26"/>
        </w:rPr>
        <w:t xml:space="preserve"> the following:  </w:t>
      </w:r>
    </w:p>
    <w:p w:rsidR="006B22C2" w:rsidRDefault="006B22C2" w:rsidP="00A030DD">
      <w:pPr>
        <w:spacing w:line="360" w:lineRule="auto"/>
        <w:ind w:firstLine="1440"/>
        <w:rPr>
          <w:sz w:val="26"/>
          <w:szCs w:val="26"/>
        </w:rPr>
      </w:pPr>
    </w:p>
    <w:p w:rsidR="006B22C2" w:rsidRPr="0074786E" w:rsidRDefault="006B22C2" w:rsidP="006B22C2">
      <w:pPr>
        <w:autoSpaceDE w:val="0"/>
        <w:autoSpaceDN w:val="0"/>
        <w:adjustRightInd w:val="0"/>
        <w:ind w:left="1440" w:right="1440"/>
        <w:rPr>
          <w:b/>
          <w:bCs/>
          <w:color w:val="000000"/>
          <w:sz w:val="26"/>
          <w:szCs w:val="26"/>
        </w:rPr>
      </w:pPr>
      <w:r w:rsidRPr="0074786E">
        <w:rPr>
          <w:b/>
          <w:bCs/>
          <w:color w:val="000000"/>
          <w:sz w:val="26"/>
          <w:szCs w:val="26"/>
        </w:rPr>
        <w:t>§ 1529.1.</w:t>
      </w:r>
      <w:r>
        <w:rPr>
          <w:b/>
          <w:bCs/>
          <w:color w:val="000000"/>
          <w:sz w:val="26"/>
          <w:szCs w:val="26"/>
        </w:rPr>
        <w:t xml:space="preserve">  </w:t>
      </w:r>
      <w:r w:rsidRPr="0074786E">
        <w:rPr>
          <w:b/>
          <w:bCs/>
          <w:color w:val="000000"/>
          <w:sz w:val="26"/>
          <w:szCs w:val="26"/>
        </w:rPr>
        <w:t>Duty of owners of rental property.</w:t>
      </w:r>
    </w:p>
    <w:p w:rsidR="006B22C2" w:rsidRDefault="006B22C2" w:rsidP="006B22C2">
      <w:pPr>
        <w:autoSpaceDE w:val="0"/>
        <w:autoSpaceDN w:val="0"/>
        <w:adjustRightInd w:val="0"/>
        <w:ind w:left="1440" w:right="1440"/>
        <w:rPr>
          <w:b/>
          <w:bCs/>
          <w:color w:val="000000"/>
          <w:sz w:val="26"/>
          <w:szCs w:val="26"/>
        </w:rPr>
      </w:pPr>
    </w:p>
    <w:p w:rsidR="006B22C2" w:rsidRPr="0074786E" w:rsidRDefault="006B22C2" w:rsidP="006B22C2">
      <w:pPr>
        <w:autoSpaceDE w:val="0"/>
        <w:autoSpaceDN w:val="0"/>
        <w:adjustRightInd w:val="0"/>
        <w:ind w:left="1440" w:right="1440" w:firstLine="720"/>
        <w:rPr>
          <w:color w:val="000000"/>
          <w:sz w:val="26"/>
          <w:szCs w:val="26"/>
        </w:rPr>
      </w:pPr>
      <w:r w:rsidRPr="0074786E">
        <w:rPr>
          <w:b/>
          <w:bCs/>
          <w:color w:val="000000"/>
          <w:sz w:val="26"/>
          <w:szCs w:val="26"/>
        </w:rPr>
        <w:t xml:space="preserve">(a) </w:t>
      </w:r>
      <w:r>
        <w:rPr>
          <w:b/>
          <w:bCs/>
          <w:color w:val="000000"/>
          <w:sz w:val="26"/>
          <w:szCs w:val="26"/>
        </w:rPr>
        <w:t xml:space="preserve"> </w:t>
      </w:r>
      <w:r w:rsidRPr="0074786E">
        <w:rPr>
          <w:b/>
          <w:bCs/>
          <w:color w:val="000000"/>
          <w:sz w:val="26"/>
          <w:szCs w:val="26"/>
        </w:rPr>
        <w:t>Notice to public utility.</w:t>
      </w:r>
      <w:r>
        <w:rPr>
          <w:b/>
          <w:bCs/>
          <w:color w:val="000000"/>
          <w:sz w:val="26"/>
          <w:szCs w:val="26"/>
        </w:rPr>
        <w:t>—</w:t>
      </w:r>
      <w:r w:rsidRPr="0074786E">
        <w:rPr>
          <w:color w:val="000000"/>
          <w:sz w:val="26"/>
          <w:szCs w:val="26"/>
        </w:rPr>
        <w:t>It</w:t>
      </w:r>
      <w:r w:rsidR="00D051BD">
        <w:rPr>
          <w:color w:val="000000"/>
          <w:sz w:val="26"/>
          <w:szCs w:val="26"/>
        </w:rPr>
        <w:t xml:space="preserve"> </w:t>
      </w:r>
      <w:r w:rsidRPr="0074786E">
        <w:rPr>
          <w:color w:val="000000"/>
          <w:sz w:val="26"/>
          <w:szCs w:val="26"/>
        </w:rPr>
        <w:t>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bookmarkStart w:id="3" w:name="IN;3"/>
      <w:bookmarkStart w:id="4" w:name="SP;a83b000018c76"/>
      <w:bookmarkEnd w:id="3"/>
      <w:bookmarkEnd w:id="4"/>
    </w:p>
    <w:p w:rsidR="006B22C2" w:rsidRPr="0074786E" w:rsidRDefault="006B22C2" w:rsidP="006B22C2">
      <w:pPr>
        <w:autoSpaceDE w:val="0"/>
        <w:autoSpaceDN w:val="0"/>
        <w:adjustRightInd w:val="0"/>
        <w:ind w:left="1440" w:right="1440"/>
        <w:rPr>
          <w:b/>
          <w:bCs/>
          <w:color w:val="000000"/>
          <w:sz w:val="26"/>
          <w:szCs w:val="26"/>
        </w:rPr>
      </w:pPr>
    </w:p>
    <w:p w:rsidR="006B22C2" w:rsidRPr="0074786E" w:rsidRDefault="006B22C2" w:rsidP="006B22C2">
      <w:pPr>
        <w:ind w:left="1440" w:right="1440" w:firstLine="720"/>
        <w:rPr>
          <w:color w:val="000000"/>
          <w:sz w:val="26"/>
          <w:szCs w:val="26"/>
        </w:rPr>
      </w:pPr>
      <w:r w:rsidRPr="0074786E">
        <w:rPr>
          <w:b/>
          <w:bCs/>
          <w:color w:val="000000"/>
          <w:sz w:val="26"/>
          <w:szCs w:val="26"/>
        </w:rPr>
        <w:t xml:space="preserve">(b) </w:t>
      </w:r>
      <w:r>
        <w:rPr>
          <w:b/>
          <w:bCs/>
          <w:color w:val="000000"/>
          <w:sz w:val="26"/>
          <w:szCs w:val="26"/>
        </w:rPr>
        <w:t xml:space="preserve"> </w:t>
      </w:r>
      <w:r w:rsidRPr="0074786E">
        <w:rPr>
          <w:b/>
          <w:bCs/>
          <w:color w:val="000000"/>
          <w:sz w:val="26"/>
          <w:szCs w:val="26"/>
        </w:rPr>
        <w:t>History of account.</w:t>
      </w:r>
      <w:r>
        <w:rPr>
          <w:b/>
          <w:bCs/>
          <w:color w:val="000000"/>
          <w:sz w:val="26"/>
          <w:szCs w:val="26"/>
        </w:rPr>
        <w:t>—</w:t>
      </w:r>
      <w:r w:rsidRPr="0074786E">
        <w:rPr>
          <w:color w:val="000000"/>
          <w:sz w:val="26"/>
          <w:szCs w:val="26"/>
        </w:rPr>
        <w:t xml:space="preserve">Upon receipt of the notice provided in this section, if the mobile home park or residential building contains one or more dwelling </w:t>
      </w:r>
      <w:bookmarkStart w:id="5" w:name="SDU_2"/>
      <w:bookmarkEnd w:id="5"/>
      <w:r w:rsidRPr="0074786E">
        <w:rPr>
          <w:color w:val="000000"/>
          <w:sz w:val="26"/>
          <w:szCs w:val="26"/>
        </w:rPr>
        <w:t xml:space="preserve">units not individually metered, an affected public utility shall forthwith list the account for the premises in question in the name of the owner, and the owner shall thereafter be responsible for the payment for the utility services rendered thereunto. </w:t>
      </w:r>
      <w:r>
        <w:rPr>
          <w:color w:val="000000"/>
          <w:sz w:val="26"/>
          <w:szCs w:val="26"/>
        </w:rPr>
        <w:t xml:space="preserve"> </w:t>
      </w:r>
      <w:r w:rsidRPr="0074786E">
        <w:rPr>
          <w:color w:val="000000"/>
          <w:sz w:val="26"/>
          <w:szCs w:val="26"/>
        </w:rPr>
        <w:t>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bookmarkStart w:id="6" w:name="IN;4"/>
      <w:bookmarkStart w:id="7" w:name="SP;4b24000003ba5"/>
      <w:bookmarkEnd w:id="6"/>
      <w:bookmarkEnd w:id="7"/>
    </w:p>
    <w:p w:rsidR="006B22C2" w:rsidRPr="0074786E" w:rsidRDefault="006B22C2" w:rsidP="006B22C2">
      <w:pPr>
        <w:ind w:left="1440" w:right="1440"/>
        <w:rPr>
          <w:b/>
          <w:bCs/>
          <w:color w:val="000000"/>
          <w:sz w:val="26"/>
          <w:szCs w:val="26"/>
        </w:rPr>
      </w:pPr>
    </w:p>
    <w:p w:rsidR="006B22C2" w:rsidRDefault="006B22C2" w:rsidP="00723FB6">
      <w:pPr>
        <w:ind w:left="1440" w:right="1440" w:firstLine="720"/>
        <w:rPr>
          <w:color w:val="000000"/>
          <w:sz w:val="26"/>
          <w:szCs w:val="26"/>
        </w:rPr>
      </w:pPr>
      <w:r w:rsidRPr="0074786E">
        <w:rPr>
          <w:b/>
          <w:bCs/>
          <w:color w:val="000000"/>
          <w:sz w:val="26"/>
          <w:szCs w:val="26"/>
        </w:rPr>
        <w:t xml:space="preserve">(c) </w:t>
      </w:r>
      <w:r w:rsidR="002916C2">
        <w:rPr>
          <w:b/>
          <w:bCs/>
          <w:color w:val="000000"/>
          <w:sz w:val="26"/>
          <w:szCs w:val="26"/>
        </w:rPr>
        <w:t xml:space="preserve"> </w:t>
      </w:r>
      <w:r w:rsidRPr="0074786E">
        <w:rPr>
          <w:b/>
          <w:bCs/>
          <w:color w:val="000000"/>
          <w:sz w:val="26"/>
          <w:szCs w:val="26"/>
        </w:rPr>
        <w:t>Failure to give notice.</w:t>
      </w:r>
      <w:r w:rsidR="00723FB6">
        <w:rPr>
          <w:b/>
          <w:bCs/>
          <w:color w:val="000000"/>
          <w:sz w:val="26"/>
          <w:szCs w:val="26"/>
        </w:rPr>
        <w:t>—</w:t>
      </w:r>
      <w:r w:rsidRPr="0074786E">
        <w:rPr>
          <w:color w:val="000000"/>
          <w:sz w:val="26"/>
          <w:szCs w:val="26"/>
        </w:rPr>
        <w:t>Any owner of a residential building or mobile home park failing to notify affected public utilities as required by this section shall nonetheless be responsible for payment of the utility services as if the required notice had been given.</w:t>
      </w:r>
    </w:p>
    <w:p w:rsidR="007655D8" w:rsidRPr="0074786E" w:rsidRDefault="007655D8" w:rsidP="00723FB6">
      <w:pPr>
        <w:ind w:left="1440" w:right="1440" w:firstLine="720"/>
        <w:rPr>
          <w:rFonts w:eastAsia="Calibri"/>
          <w:sz w:val="26"/>
          <w:szCs w:val="26"/>
        </w:rPr>
      </w:pPr>
    </w:p>
    <w:p w:rsidR="00770A31" w:rsidRDefault="00B102A9" w:rsidP="00CC2A06">
      <w:pPr>
        <w:widowControl/>
        <w:spacing w:line="360" w:lineRule="auto"/>
        <w:rPr>
          <w:sz w:val="26"/>
          <w:szCs w:val="26"/>
        </w:rPr>
      </w:pPr>
      <w:r>
        <w:rPr>
          <w:sz w:val="26"/>
          <w:szCs w:val="26"/>
        </w:rPr>
        <w:t>T</w:t>
      </w:r>
      <w:r w:rsidR="00C51056">
        <w:rPr>
          <w:sz w:val="26"/>
          <w:szCs w:val="26"/>
        </w:rPr>
        <w:t xml:space="preserve">his statutory provision </w:t>
      </w:r>
      <w:r w:rsidR="00B378C2">
        <w:rPr>
          <w:sz w:val="26"/>
          <w:szCs w:val="26"/>
        </w:rPr>
        <w:t>provides</w:t>
      </w:r>
      <w:r w:rsidR="00C51056">
        <w:rPr>
          <w:sz w:val="26"/>
          <w:szCs w:val="26"/>
        </w:rPr>
        <w:t xml:space="preserve"> that the owner of </w:t>
      </w:r>
      <w:r>
        <w:rPr>
          <w:sz w:val="26"/>
          <w:szCs w:val="26"/>
        </w:rPr>
        <w:t>a</w:t>
      </w:r>
      <w:r w:rsidR="00C51056">
        <w:rPr>
          <w:sz w:val="26"/>
          <w:szCs w:val="26"/>
        </w:rPr>
        <w:t xml:space="preserve"> rental property is responsible for the payment o</w:t>
      </w:r>
      <w:r w:rsidR="00B378C2">
        <w:rPr>
          <w:sz w:val="26"/>
          <w:szCs w:val="26"/>
        </w:rPr>
        <w:t>f</w:t>
      </w:r>
      <w:r w:rsidR="00C51056">
        <w:rPr>
          <w:sz w:val="26"/>
          <w:szCs w:val="26"/>
        </w:rPr>
        <w:t xml:space="preserve"> all utility services provided to the property when the usage of </w:t>
      </w:r>
      <w:r w:rsidR="00770A31">
        <w:rPr>
          <w:sz w:val="26"/>
          <w:szCs w:val="26"/>
        </w:rPr>
        <w:t>s</w:t>
      </w:r>
      <w:r w:rsidR="00C51056">
        <w:rPr>
          <w:sz w:val="26"/>
          <w:szCs w:val="26"/>
        </w:rPr>
        <w:t>e</w:t>
      </w:r>
      <w:r w:rsidR="00770A31">
        <w:rPr>
          <w:sz w:val="26"/>
          <w:szCs w:val="26"/>
        </w:rPr>
        <w:t xml:space="preserve">veral tenants </w:t>
      </w:r>
      <w:r w:rsidR="00770A31">
        <w:rPr>
          <w:sz w:val="26"/>
          <w:szCs w:val="26"/>
        </w:rPr>
        <w:lastRenderedPageBreak/>
        <w:t xml:space="preserve">is recorded on one meter, regardless of whether or not the owner has notified the utility providing the service.  </w:t>
      </w:r>
    </w:p>
    <w:p w:rsidR="00770A31" w:rsidRDefault="00770A31" w:rsidP="00D051BD">
      <w:pPr>
        <w:spacing w:line="360" w:lineRule="auto"/>
        <w:rPr>
          <w:sz w:val="26"/>
          <w:szCs w:val="26"/>
        </w:rPr>
      </w:pPr>
    </w:p>
    <w:p w:rsidR="00332DA2" w:rsidRDefault="00770A31" w:rsidP="00240E6F">
      <w:pPr>
        <w:spacing w:line="360" w:lineRule="auto"/>
        <w:rPr>
          <w:sz w:val="26"/>
          <w:szCs w:val="26"/>
        </w:rPr>
      </w:pPr>
      <w:r>
        <w:rPr>
          <w:sz w:val="26"/>
          <w:szCs w:val="26"/>
        </w:rPr>
        <w:tab/>
      </w:r>
      <w:r>
        <w:rPr>
          <w:sz w:val="26"/>
          <w:szCs w:val="26"/>
        </w:rPr>
        <w:tab/>
      </w:r>
      <w:r w:rsidR="00F42418">
        <w:rPr>
          <w:sz w:val="26"/>
          <w:szCs w:val="26"/>
        </w:rPr>
        <w:t xml:space="preserve">In interpreting this provision, the Commission has determined that </w:t>
      </w:r>
      <w:r w:rsidR="00CE3EC9">
        <w:rPr>
          <w:sz w:val="26"/>
          <w:szCs w:val="26"/>
        </w:rPr>
        <w:t>well-established precedent “hol</w:t>
      </w:r>
      <w:r w:rsidR="00B311F2">
        <w:rPr>
          <w:sz w:val="26"/>
          <w:szCs w:val="26"/>
        </w:rPr>
        <w:t xml:space="preserve">ds </w:t>
      </w:r>
      <w:r w:rsidR="00CE3EC9">
        <w:rPr>
          <w:sz w:val="26"/>
          <w:szCs w:val="26"/>
        </w:rPr>
        <w:t>the</w:t>
      </w:r>
      <w:r w:rsidR="00B311F2">
        <w:rPr>
          <w:sz w:val="26"/>
          <w:szCs w:val="26"/>
        </w:rPr>
        <w:t xml:space="preserve"> property owner financially responsible for a tenant’s entire account, once foreign load is </w:t>
      </w:r>
      <w:r w:rsidR="00CE3EC9">
        <w:rPr>
          <w:sz w:val="26"/>
          <w:szCs w:val="26"/>
        </w:rPr>
        <w:t xml:space="preserve">verified on the tenant’s service.”  </w:t>
      </w:r>
      <w:r w:rsidR="00CE3EC9">
        <w:rPr>
          <w:i/>
          <w:sz w:val="26"/>
          <w:szCs w:val="26"/>
        </w:rPr>
        <w:t>Ace Check Cashing</w:t>
      </w:r>
      <w:r w:rsidR="0024419F">
        <w:rPr>
          <w:i/>
          <w:sz w:val="26"/>
          <w:szCs w:val="26"/>
        </w:rPr>
        <w:t>,</w:t>
      </w:r>
      <w:r w:rsidR="00CE3EC9">
        <w:rPr>
          <w:i/>
          <w:sz w:val="26"/>
          <w:szCs w:val="26"/>
        </w:rPr>
        <w:t xml:space="preserve"> Inc. v. Philadelphia Gas Works</w:t>
      </w:r>
      <w:r w:rsidR="00CE3EC9">
        <w:rPr>
          <w:sz w:val="26"/>
          <w:szCs w:val="26"/>
        </w:rPr>
        <w:t>, Docket No. C-2008-2056428 (Order entered May 21, 2010)</w:t>
      </w:r>
      <w:r w:rsidR="004E41CC">
        <w:rPr>
          <w:sz w:val="26"/>
          <w:szCs w:val="26"/>
        </w:rPr>
        <w:t xml:space="preserve"> at 6</w:t>
      </w:r>
      <w:r w:rsidR="00B102A9">
        <w:rPr>
          <w:sz w:val="26"/>
          <w:szCs w:val="26"/>
        </w:rPr>
        <w:t>; s</w:t>
      </w:r>
      <w:r w:rsidR="006B346F">
        <w:rPr>
          <w:i/>
          <w:sz w:val="26"/>
          <w:szCs w:val="26"/>
        </w:rPr>
        <w:t xml:space="preserve">ee also, </w:t>
      </w:r>
      <w:r w:rsidR="006C3CB9">
        <w:rPr>
          <w:i/>
          <w:sz w:val="26"/>
          <w:szCs w:val="26"/>
        </w:rPr>
        <w:t>Santos v. Metropolitan Edison Co.</w:t>
      </w:r>
      <w:r w:rsidR="006C3CB9">
        <w:rPr>
          <w:sz w:val="26"/>
          <w:szCs w:val="26"/>
        </w:rPr>
        <w:t xml:space="preserve">, </w:t>
      </w:r>
      <w:r w:rsidR="00B102A9">
        <w:rPr>
          <w:sz w:val="26"/>
          <w:szCs w:val="26"/>
        </w:rPr>
        <w:t xml:space="preserve">Docket No. </w:t>
      </w:r>
      <w:r w:rsidR="00CC2A06">
        <w:rPr>
          <w:sz w:val="26"/>
          <w:szCs w:val="26"/>
        </w:rPr>
        <w:t>C</w:t>
      </w:r>
      <w:r w:rsidR="00CC2A06">
        <w:rPr>
          <w:sz w:val="26"/>
          <w:szCs w:val="26"/>
        </w:rPr>
        <w:noBreakHyphen/>
      </w:r>
      <w:r w:rsidR="00B102A9">
        <w:rPr>
          <w:sz w:val="26"/>
          <w:szCs w:val="26"/>
        </w:rPr>
        <w:t>00967757 (Order entered August 7, 1997).</w:t>
      </w:r>
      <w:r w:rsidR="00B102A9" w:rsidRPr="004B07B9">
        <w:rPr>
          <w:sz w:val="26"/>
        </w:rPr>
        <w:t xml:space="preserve"> </w:t>
      </w:r>
      <w:r w:rsidR="007C455B">
        <w:rPr>
          <w:sz w:val="26"/>
          <w:szCs w:val="26"/>
        </w:rPr>
        <w:t xml:space="preserve"> The Commission’s foreign load policy was explained in detail in </w:t>
      </w:r>
      <w:r w:rsidR="007C455B" w:rsidRPr="007C455B">
        <w:rPr>
          <w:i/>
          <w:sz w:val="26"/>
          <w:szCs w:val="26"/>
        </w:rPr>
        <w:t>Ace Check Cashing</w:t>
      </w:r>
      <w:r w:rsidR="007C455B">
        <w:rPr>
          <w:sz w:val="26"/>
          <w:szCs w:val="26"/>
        </w:rPr>
        <w:t xml:space="preserve">, </w:t>
      </w:r>
      <w:r w:rsidR="007C455B" w:rsidRPr="007C455B">
        <w:rPr>
          <w:i/>
          <w:sz w:val="26"/>
          <w:szCs w:val="26"/>
        </w:rPr>
        <w:t>supra</w:t>
      </w:r>
      <w:r w:rsidR="00240E6F">
        <w:rPr>
          <w:sz w:val="26"/>
          <w:szCs w:val="26"/>
        </w:rPr>
        <w:t xml:space="preserve">.  </w:t>
      </w:r>
      <w:r w:rsidR="00240E6F" w:rsidRPr="00667954">
        <w:rPr>
          <w:sz w:val="26"/>
          <w:szCs w:val="26"/>
        </w:rPr>
        <w:t xml:space="preserve">Upon finding foreign load, the utility </w:t>
      </w:r>
      <w:r w:rsidR="00240E6F">
        <w:rPr>
          <w:sz w:val="26"/>
          <w:szCs w:val="26"/>
        </w:rPr>
        <w:t>must</w:t>
      </w:r>
      <w:r w:rsidR="00240E6F" w:rsidRPr="00667954">
        <w:rPr>
          <w:sz w:val="26"/>
          <w:szCs w:val="26"/>
        </w:rPr>
        <w:t xml:space="preserve"> list the account, including any arrearages, in the landlord</w:t>
      </w:r>
      <w:r w:rsidR="00240E6F">
        <w:rPr>
          <w:sz w:val="26"/>
          <w:szCs w:val="26"/>
        </w:rPr>
        <w:t>’s name</w:t>
      </w:r>
      <w:r w:rsidR="00240E6F" w:rsidRPr="00667954">
        <w:rPr>
          <w:sz w:val="26"/>
          <w:szCs w:val="26"/>
        </w:rPr>
        <w:t xml:space="preserve">.  The landlord </w:t>
      </w:r>
      <w:r w:rsidR="00240E6F">
        <w:rPr>
          <w:sz w:val="26"/>
          <w:szCs w:val="26"/>
        </w:rPr>
        <w:t>is</w:t>
      </w:r>
      <w:r w:rsidR="00240E6F" w:rsidRPr="00667954">
        <w:rPr>
          <w:sz w:val="26"/>
          <w:szCs w:val="26"/>
        </w:rPr>
        <w:t xml:space="preserve"> responsibl</w:t>
      </w:r>
      <w:r w:rsidR="00240E6F">
        <w:rPr>
          <w:sz w:val="26"/>
          <w:szCs w:val="26"/>
        </w:rPr>
        <w:t>e</w:t>
      </w:r>
      <w:r w:rsidR="00240E6F" w:rsidRPr="00667954">
        <w:rPr>
          <w:sz w:val="26"/>
          <w:szCs w:val="26"/>
        </w:rPr>
        <w:t xml:space="preserve"> </w:t>
      </w:r>
      <w:r w:rsidR="00240E6F">
        <w:rPr>
          <w:sz w:val="26"/>
          <w:szCs w:val="26"/>
        </w:rPr>
        <w:t>f</w:t>
      </w:r>
      <w:r w:rsidR="00240E6F" w:rsidRPr="00667954">
        <w:rPr>
          <w:sz w:val="26"/>
          <w:szCs w:val="26"/>
        </w:rPr>
        <w:t>o</w:t>
      </w:r>
      <w:r w:rsidR="00240E6F">
        <w:rPr>
          <w:sz w:val="26"/>
          <w:szCs w:val="26"/>
        </w:rPr>
        <w:t>r</w:t>
      </w:r>
      <w:r w:rsidR="00240E6F" w:rsidRPr="00667954">
        <w:rPr>
          <w:sz w:val="26"/>
          <w:szCs w:val="26"/>
        </w:rPr>
        <w:t xml:space="preserve"> pay</w:t>
      </w:r>
      <w:r w:rsidR="00240E6F">
        <w:rPr>
          <w:sz w:val="26"/>
          <w:szCs w:val="26"/>
        </w:rPr>
        <w:t>ing</w:t>
      </w:r>
      <w:r w:rsidR="00240E6F" w:rsidRPr="00667954">
        <w:rPr>
          <w:sz w:val="26"/>
          <w:szCs w:val="26"/>
        </w:rPr>
        <w:t xml:space="preserve"> the utility bills until the foreign load </w:t>
      </w:r>
      <w:r w:rsidR="00240E6F">
        <w:rPr>
          <w:sz w:val="26"/>
          <w:szCs w:val="26"/>
        </w:rPr>
        <w:t>i</w:t>
      </w:r>
      <w:r w:rsidR="00240E6F" w:rsidRPr="00667954">
        <w:rPr>
          <w:sz w:val="26"/>
          <w:szCs w:val="26"/>
        </w:rPr>
        <w:t xml:space="preserve">s corrected.  </w:t>
      </w:r>
      <w:r w:rsidR="00240E6F">
        <w:rPr>
          <w:sz w:val="26"/>
          <w:szCs w:val="26"/>
        </w:rPr>
        <w:t xml:space="preserve">After the foreign load is </w:t>
      </w:r>
      <w:r w:rsidR="00240E6F" w:rsidRPr="00667954">
        <w:rPr>
          <w:sz w:val="26"/>
          <w:szCs w:val="26"/>
        </w:rPr>
        <w:t xml:space="preserve">corrected by the landlord and verified by the utility, the utility </w:t>
      </w:r>
      <w:r w:rsidR="00240E6F">
        <w:rPr>
          <w:sz w:val="26"/>
          <w:szCs w:val="26"/>
        </w:rPr>
        <w:t>is to</w:t>
      </w:r>
      <w:r w:rsidR="00240E6F" w:rsidRPr="00667954">
        <w:rPr>
          <w:sz w:val="26"/>
          <w:szCs w:val="26"/>
        </w:rPr>
        <w:t xml:space="preserve"> place the account back in</w:t>
      </w:r>
      <w:r w:rsidR="00240E6F">
        <w:rPr>
          <w:sz w:val="26"/>
          <w:szCs w:val="26"/>
        </w:rPr>
        <w:t>to</w:t>
      </w:r>
      <w:r w:rsidR="00240E6F" w:rsidRPr="00667954">
        <w:rPr>
          <w:sz w:val="26"/>
          <w:szCs w:val="26"/>
        </w:rPr>
        <w:t xml:space="preserve"> the tenant</w:t>
      </w:r>
      <w:r w:rsidR="00240E6F">
        <w:rPr>
          <w:sz w:val="26"/>
          <w:szCs w:val="26"/>
        </w:rPr>
        <w:t>’s name</w:t>
      </w:r>
      <w:r w:rsidR="00701370">
        <w:rPr>
          <w:sz w:val="26"/>
          <w:szCs w:val="26"/>
        </w:rPr>
        <w:t xml:space="preserve">.  </w:t>
      </w:r>
      <w:r w:rsidR="00701370" w:rsidRPr="00701370">
        <w:rPr>
          <w:i/>
          <w:sz w:val="26"/>
          <w:szCs w:val="26"/>
        </w:rPr>
        <w:t>Id</w:t>
      </w:r>
      <w:r w:rsidR="00701370">
        <w:rPr>
          <w:sz w:val="26"/>
          <w:szCs w:val="26"/>
        </w:rPr>
        <w:t>. at 7.  H</w:t>
      </w:r>
      <w:r w:rsidR="00240E6F">
        <w:rPr>
          <w:sz w:val="26"/>
          <w:szCs w:val="26"/>
        </w:rPr>
        <w:t>owever</w:t>
      </w:r>
      <w:r w:rsidR="002E1460">
        <w:rPr>
          <w:sz w:val="26"/>
          <w:szCs w:val="26"/>
        </w:rPr>
        <w:t>,</w:t>
      </w:r>
      <w:r w:rsidR="00240E6F">
        <w:rPr>
          <w:sz w:val="26"/>
          <w:szCs w:val="26"/>
        </w:rPr>
        <w:t xml:space="preserve"> </w:t>
      </w:r>
      <w:r w:rsidR="00701370">
        <w:rPr>
          <w:sz w:val="26"/>
          <w:szCs w:val="26"/>
        </w:rPr>
        <w:t xml:space="preserve">the landlord remains responsible for </w:t>
      </w:r>
      <w:r w:rsidR="00240E6F">
        <w:rPr>
          <w:sz w:val="26"/>
          <w:szCs w:val="26"/>
        </w:rPr>
        <w:t>any arrearages on the tenant’s account</w:t>
      </w:r>
      <w:r w:rsidR="00240E6F" w:rsidRPr="00667954">
        <w:rPr>
          <w:sz w:val="26"/>
          <w:szCs w:val="26"/>
        </w:rPr>
        <w:t xml:space="preserve">.  </w:t>
      </w:r>
      <w:r w:rsidR="00701370" w:rsidRPr="00701370">
        <w:rPr>
          <w:i/>
          <w:sz w:val="26"/>
          <w:szCs w:val="26"/>
        </w:rPr>
        <w:t>Id</w:t>
      </w:r>
      <w:r w:rsidR="00701370">
        <w:rPr>
          <w:sz w:val="26"/>
          <w:szCs w:val="26"/>
        </w:rPr>
        <w:t xml:space="preserve">. at 7-8.  This rule applies even if the amount </w:t>
      </w:r>
      <w:r w:rsidR="009356E6">
        <w:rPr>
          <w:sz w:val="26"/>
          <w:szCs w:val="26"/>
        </w:rPr>
        <w:t>of usage attributable</w:t>
      </w:r>
      <w:r w:rsidR="00701370">
        <w:rPr>
          <w:sz w:val="26"/>
          <w:szCs w:val="26"/>
        </w:rPr>
        <w:t xml:space="preserve"> to foreign load is considered </w:t>
      </w:r>
      <w:r w:rsidR="00701370">
        <w:rPr>
          <w:i/>
          <w:sz w:val="26"/>
          <w:szCs w:val="26"/>
        </w:rPr>
        <w:t xml:space="preserve">de </w:t>
      </w:r>
      <w:r w:rsidR="00701370" w:rsidRPr="00701370">
        <w:rPr>
          <w:i/>
          <w:sz w:val="26"/>
          <w:szCs w:val="26"/>
        </w:rPr>
        <w:t>minimus</w:t>
      </w:r>
      <w:r w:rsidR="00701370">
        <w:rPr>
          <w:sz w:val="26"/>
          <w:szCs w:val="26"/>
        </w:rPr>
        <w:t xml:space="preserve">.  </w:t>
      </w:r>
      <w:r w:rsidR="00240E6F" w:rsidRPr="00701370">
        <w:rPr>
          <w:sz w:val="26"/>
          <w:szCs w:val="26"/>
        </w:rPr>
        <w:t>The</w:t>
      </w:r>
      <w:r w:rsidR="00240E6F">
        <w:rPr>
          <w:sz w:val="26"/>
          <w:szCs w:val="26"/>
        </w:rPr>
        <w:t xml:space="preserve"> Commission does not have jurisdiction over </w:t>
      </w:r>
      <w:r w:rsidR="00240E6F" w:rsidRPr="00667954">
        <w:rPr>
          <w:sz w:val="26"/>
          <w:szCs w:val="26"/>
        </w:rPr>
        <w:t>dispute</w:t>
      </w:r>
      <w:r w:rsidR="00240E6F">
        <w:rPr>
          <w:sz w:val="26"/>
          <w:szCs w:val="26"/>
        </w:rPr>
        <w:t>s</w:t>
      </w:r>
      <w:r w:rsidR="00240E6F" w:rsidRPr="00667954">
        <w:rPr>
          <w:sz w:val="26"/>
          <w:szCs w:val="26"/>
        </w:rPr>
        <w:t xml:space="preserve"> </w:t>
      </w:r>
      <w:r w:rsidR="00240E6F">
        <w:rPr>
          <w:sz w:val="26"/>
          <w:szCs w:val="26"/>
        </w:rPr>
        <w:t>concerning</w:t>
      </w:r>
      <w:r w:rsidR="00240E6F" w:rsidRPr="00667954">
        <w:rPr>
          <w:sz w:val="26"/>
          <w:szCs w:val="26"/>
        </w:rPr>
        <w:t xml:space="preserve"> the financial responsibilities of </w:t>
      </w:r>
      <w:r w:rsidR="00240E6F">
        <w:rPr>
          <w:sz w:val="26"/>
          <w:szCs w:val="26"/>
        </w:rPr>
        <w:t xml:space="preserve">private </w:t>
      </w:r>
      <w:r w:rsidR="00240E6F" w:rsidRPr="00667954">
        <w:rPr>
          <w:sz w:val="26"/>
          <w:szCs w:val="26"/>
        </w:rPr>
        <w:t>parties</w:t>
      </w:r>
      <w:r w:rsidR="00240E6F">
        <w:rPr>
          <w:sz w:val="26"/>
          <w:szCs w:val="26"/>
        </w:rPr>
        <w:t xml:space="preserve">, </w:t>
      </w:r>
      <w:r w:rsidR="006556A7">
        <w:rPr>
          <w:sz w:val="26"/>
          <w:szCs w:val="26"/>
        </w:rPr>
        <w:t xml:space="preserve">such as the landlord and tenant, </w:t>
      </w:r>
      <w:r w:rsidR="00240E6F">
        <w:rPr>
          <w:sz w:val="26"/>
          <w:szCs w:val="26"/>
        </w:rPr>
        <w:t>and such</w:t>
      </w:r>
      <w:r w:rsidR="00240E6F" w:rsidRPr="00667954">
        <w:rPr>
          <w:sz w:val="26"/>
          <w:szCs w:val="26"/>
        </w:rPr>
        <w:t xml:space="preserve"> </w:t>
      </w:r>
      <w:r w:rsidR="00240E6F">
        <w:rPr>
          <w:sz w:val="26"/>
          <w:szCs w:val="26"/>
        </w:rPr>
        <w:t xml:space="preserve">matters are </w:t>
      </w:r>
      <w:r w:rsidR="00240E6F" w:rsidRPr="00667954">
        <w:rPr>
          <w:sz w:val="26"/>
          <w:szCs w:val="26"/>
        </w:rPr>
        <w:t>to be resolved in the Court</w:t>
      </w:r>
      <w:r w:rsidR="00B102A9">
        <w:rPr>
          <w:sz w:val="26"/>
          <w:szCs w:val="26"/>
        </w:rPr>
        <w:t>s</w:t>
      </w:r>
      <w:r w:rsidR="00240E6F" w:rsidRPr="00667954">
        <w:rPr>
          <w:sz w:val="26"/>
          <w:szCs w:val="26"/>
        </w:rPr>
        <w:t xml:space="preserve"> of Common Pleas.</w:t>
      </w:r>
      <w:r w:rsidR="00701370">
        <w:rPr>
          <w:sz w:val="26"/>
          <w:szCs w:val="26"/>
        </w:rPr>
        <w:t xml:space="preserve">  </w:t>
      </w:r>
      <w:r w:rsidR="00701370" w:rsidRPr="00701370">
        <w:rPr>
          <w:i/>
          <w:sz w:val="26"/>
          <w:szCs w:val="26"/>
        </w:rPr>
        <w:t>Id</w:t>
      </w:r>
      <w:r w:rsidR="00701370">
        <w:rPr>
          <w:sz w:val="26"/>
          <w:szCs w:val="26"/>
        </w:rPr>
        <w:t>. at 8.</w:t>
      </w:r>
      <w:r w:rsidR="009356E6">
        <w:rPr>
          <w:sz w:val="26"/>
          <w:szCs w:val="26"/>
        </w:rPr>
        <w:t xml:space="preserve">  </w:t>
      </w:r>
    </w:p>
    <w:p w:rsidR="000676B7" w:rsidRDefault="000676B7" w:rsidP="00240E6F">
      <w:pPr>
        <w:spacing w:line="360" w:lineRule="auto"/>
        <w:rPr>
          <w:sz w:val="26"/>
          <w:szCs w:val="26"/>
        </w:rPr>
      </w:pPr>
    </w:p>
    <w:p w:rsidR="00B102A9" w:rsidRDefault="000676B7" w:rsidP="00240E6F">
      <w:pPr>
        <w:spacing w:line="360" w:lineRule="auto"/>
        <w:rPr>
          <w:sz w:val="26"/>
        </w:rPr>
      </w:pPr>
      <w:r>
        <w:rPr>
          <w:sz w:val="26"/>
          <w:szCs w:val="26"/>
        </w:rPr>
        <w:tab/>
      </w:r>
      <w:r>
        <w:rPr>
          <w:sz w:val="26"/>
          <w:szCs w:val="26"/>
        </w:rPr>
        <w:tab/>
        <w:t xml:space="preserve">Recently, the Commonwealth Court upheld </w:t>
      </w:r>
      <w:r w:rsidR="00C1785A">
        <w:rPr>
          <w:sz w:val="26"/>
          <w:szCs w:val="26"/>
        </w:rPr>
        <w:t>a similar Commission</w:t>
      </w:r>
      <w:r>
        <w:rPr>
          <w:sz w:val="26"/>
          <w:szCs w:val="26"/>
        </w:rPr>
        <w:t xml:space="preserve"> decision involving foreign load.  </w:t>
      </w:r>
      <w:r>
        <w:rPr>
          <w:i/>
          <w:sz w:val="26"/>
        </w:rPr>
        <w:t>1-A Realty v. PPL Electric Utilities Corp</w:t>
      </w:r>
      <w:r w:rsidR="008907C4">
        <w:rPr>
          <w:i/>
          <w:sz w:val="26"/>
        </w:rPr>
        <w:t>.</w:t>
      </w:r>
      <w:r>
        <w:rPr>
          <w:i/>
          <w:sz w:val="26"/>
        </w:rPr>
        <w:t xml:space="preserve">, </w:t>
      </w:r>
      <w:r>
        <w:rPr>
          <w:sz w:val="26"/>
        </w:rPr>
        <w:t xml:space="preserve">Docket Nos. </w:t>
      </w:r>
    </w:p>
    <w:p w:rsidR="000676B7" w:rsidRDefault="000676B7" w:rsidP="00240E6F">
      <w:pPr>
        <w:spacing w:line="360" w:lineRule="auto"/>
        <w:rPr>
          <w:sz w:val="26"/>
        </w:rPr>
      </w:pPr>
      <w:r>
        <w:rPr>
          <w:sz w:val="26"/>
        </w:rPr>
        <w:t>F-2010-2166554 and F-2010-2166976 (Order entered April 12, 2012),</w:t>
      </w:r>
      <w:r w:rsidRPr="000676B7">
        <w:rPr>
          <w:i/>
          <w:sz w:val="26"/>
        </w:rPr>
        <w:t xml:space="preserve"> </w:t>
      </w:r>
      <w:r w:rsidR="00C1785A">
        <w:rPr>
          <w:i/>
          <w:sz w:val="26"/>
        </w:rPr>
        <w:t xml:space="preserve">aff’d, </w:t>
      </w:r>
      <w:r>
        <w:rPr>
          <w:i/>
          <w:sz w:val="26"/>
        </w:rPr>
        <w:t xml:space="preserve">1-A Realty v. Pa. PUC, </w:t>
      </w:r>
      <w:r w:rsidR="00064AF0">
        <w:rPr>
          <w:sz w:val="26"/>
        </w:rPr>
        <w:t>63 A.3d 480</w:t>
      </w:r>
      <w:r>
        <w:rPr>
          <w:sz w:val="26"/>
        </w:rPr>
        <w:t xml:space="preserve"> (Pa. Cmwlth.  2013)</w:t>
      </w:r>
      <w:r w:rsidR="00C1785A">
        <w:rPr>
          <w:sz w:val="26"/>
        </w:rPr>
        <w:t xml:space="preserve">.  In </w:t>
      </w:r>
      <w:r w:rsidR="00C1785A">
        <w:rPr>
          <w:i/>
          <w:sz w:val="26"/>
        </w:rPr>
        <w:t xml:space="preserve">1-A Realty, </w:t>
      </w:r>
      <w:r w:rsidR="00975572">
        <w:rPr>
          <w:sz w:val="26"/>
        </w:rPr>
        <w:t xml:space="preserve">PPL transferred two tenant accounts to the owner </w:t>
      </w:r>
      <w:r w:rsidR="00B102A9">
        <w:rPr>
          <w:sz w:val="26"/>
        </w:rPr>
        <w:t xml:space="preserve">of a mobile park </w:t>
      </w:r>
      <w:r w:rsidR="00975572">
        <w:rPr>
          <w:sz w:val="26"/>
        </w:rPr>
        <w:t>af</w:t>
      </w:r>
      <w:r w:rsidR="00B102A9">
        <w:rPr>
          <w:sz w:val="26"/>
        </w:rPr>
        <w:t>ter determining that the tenant</w:t>
      </w:r>
      <w:r w:rsidR="00975572">
        <w:rPr>
          <w:sz w:val="26"/>
        </w:rPr>
        <w:t>s</w:t>
      </w:r>
      <w:r w:rsidR="00B102A9">
        <w:rPr>
          <w:sz w:val="26"/>
        </w:rPr>
        <w:t>’</w:t>
      </w:r>
      <w:r w:rsidR="00975572">
        <w:rPr>
          <w:sz w:val="26"/>
        </w:rPr>
        <w:t xml:space="preserve"> electric meters were </w:t>
      </w:r>
      <w:r w:rsidR="00B102A9">
        <w:rPr>
          <w:sz w:val="26"/>
        </w:rPr>
        <w:t>registering</w:t>
      </w:r>
      <w:r w:rsidR="00975572">
        <w:rPr>
          <w:sz w:val="26"/>
        </w:rPr>
        <w:t xml:space="preserve"> foreign loads from communal street lights</w:t>
      </w:r>
      <w:r w:rsidR="001404B2">
        <w:rPr>
          <w:sz w:val="26"/>
        </w:rPr>
        <w:t xml:space="preserve"> under a private agreement between the </w:t>
      </w:r>
      <w:r w:rsidR="0057699D">
        <w:rPr>
          <w:sz w:val="26"/>
        </w:rPr>
        <w:t>tenants and the owner</w:t>
      </w:r>
      <w:r w:rsidR="00975572">
        <w:rPr>
          <w:sz w:val="26"/>
        </w:rPr>
        <w:t xml:space="preserve">.  The owner challenged the determination and the ALJ issued an initial decision denying the owner’s complaint.  </w:t>
      </w:r>
      <w:r w:rsidR="00476257">
        <w:rPr>
          <w:sz w:val="26"/>
        </w:rPr>
        <w:t>We adopted the ALJ’s decision</w:t>
      </w:r>
      <w:r w:rsidR="00B102A9">
        <w:rPr>
          <w:sz w:val="26"/>
        </w:rPr>
        <w:t>,</w:t>
      </w:r>
      <w:r w:rsidR="00476257">
        <w:rPr>
          <w:sz w:val="26"/>
        </w:rPr>
        <w:t xml:space="preserve"> concluding that Section 1529.1 requires a utility to list an account in the name </w:t>
      </w:r>
      <w:r w:rsidR="00476257">
        <w:rPr>
          <w:sz w:val="26"/>
        </w:rPr>
        <w:lastRenderedPageBreak/>
        <w:t>of the owner of the premises upon learning of the existence of foreign load</w:t>
      </w:r>
      <w:r w:rsidR="00B102A9">
        <w:rPr>
          <w:sz w:val="26"/>
        </w:rPr>
        <w:t>,</w:t>
      </w:r>
      <w:r w:rsidR="00476257">
        <w:rPr>
          <w:sz w:val="26"/>
        </w:rPr>
        <w:t xml:space="preserve"> and </w:t>
      </w:r>
      <w:r w:rsidR="00B102A9">
        <w:rPr>
          <w:sz w:val="26"/>
        </w:rPr>
        <w:t xml:space="preserve">that </w:t>
      </w:r>
      <w:r w:rsidR="00476257">
        <w:rPr>
          <w:sz w:val="26"/>
        </w:rPr>
        <w:t xml:space="preserve">the statutory requirement imposed on utilities is mandatory rather than discretionary.  </w:t>
      </w:r>
      <w:r w:rsidR="00CC2A06">
        <w:rPr>
          <w:i/>
          <w:sz w:val="26"/>
        </w:rPr>
        <w:t>1</w:t>
      </w:r>
      <w:r w:rsidR="00CC2A06">
        <w:rPr>
          <w:i/>
          <w:sz w:val="26"/>
        </w:rPr>
        <w:noBreakHyphen/>
        <w:t>A </w:t>
      </w:r>
      <w:r w:rsidR="00476257">
        <w:rPr>
          <w:i/>
          <w:sz w:val="26"/>
        </w:rPr>
        <w:t>Realty v. PPL Electric Utilities Corp</w:t>
      </w:r>
      <w:r w:rsidR="008907C4">
        <w:rPr>
          <w:i/>
          <w:sz w:val="26"/>
        </w:rPr>
        <w:t>.</w:t>
      </w:r>
      <w:r w:rsidR="00476257">
        <w:rPr>
          <w:i/>
          <w:sz w:val="26"/>
        </w:rPr>
        <w:t xml:space="preserve">, </w:t>
      </w:r>
      <w:r w:rsidR="00476257">
        <w:rPr>
          <w:sz w:val="26"/>
        </w:rPr>
        <w:t>D</w:t>
      </w:r>
      <w:r w:rsidR="00CC2A06">
        <w:rPr>
          <w:sz w:val="26"/>
        </w:rPr>
        <w:t>ocket Nos. F-2010-2166554 and F</w:t>
      </w:r>
      <w:r w:rsidR="00CC2A06">
        <w:rPr>
          <w:sz w:val="26"/>
        </w:rPr>
        <w:noBreakHyphen/>
      </w:r>
      <w:r w:rsidR="00476257">
        <w:rPr>
          <w:sz w:val="26"/>
        </w:rPr>
        <w:t>2010</w:t>
      </w:r>
      <w:r w:rsidR="00CC2A06">
        <w:rPr>
          <w:sz w:val="26"/>
        </w:rPr>
        <w:noBreakHyphen/>
      </w:r>
      <w:r w:rsidR="00476257">
        <w:rPr>
          <w:sz w:val="26"/>
        </w:rPr>
        <w:t>2166976 (Order entered April 12, 2012)</w:t>
      </w:r>
      <w:r w:rsidR="001404B2">
        <w:rPr>
          <w:sz w:val="26"/>
        </w:rPr>
        <w:t>, at 20</w:t>
      </w:r>
      <w:r w:rsidR="00CC2A06">
        <w:rPr>
          <w:sz w:val="26"/>
        </w:rPr>
        <w:t xml:space="preserve">.  </w:t>
      </w:r>
      <w:r w:rsidR="00476257">
        <w:rPr>
          <w:sz w:val="26"/>
        </w:rPr>
        <w:t xml:space="preserve">Further, </w:t>
      </w:r>
      <w:r w:rsidR="002A7BED">
        <w:rPr>
          <w:sz w:val="26"/>
        </w:rPr>
        <w:t>we determined that a tenant could not waive rights pertaining to foreign load charges</w:t>
      </w:r>
      <w:r w:rsidR="00B102A9">
        <w:rPr>
          <w:sz w:val="26"/>
        </w:rPr>
        <w:t>,</w:t>
      </w:r>
      <w:r w:rsidR="002A7BED">
        <w:rPr>
          <w:sz w:val="26"/>
        </w:rPr>
        <w:t xml:space="preserve"> and that there is no exception to the requirements of Section 1529.1 based on private agreements between landlords and tenants.  </w:t>
      </w:r>
      <w:r w:rsidR="001404B2">
        <w:rPr>
          <w:i/>
          <w:sz w:val="26"/>
        </w:rPr>
        <w:t>Id.</w:t>
      </w:r>
      <w:r w:rsidR="001404B2">
        <w:rPr>
          <w:sz w:val="26"/>
        </w:rPr>
        <w:t xml:space="preserve">  The Commonwealth Court affirmed our decision and concluded that tenants are not permitted to accept utility service which is not exclusive to their homes.  </w:t>
      </w:r>
      <w:r w:rsidR="001404B2">
        <w:rPr>
          <w:i/>
          <w:sz w:val="26"/>
        </w:rPr>
        <w:t xml:space="preserve">1-A Realty, supra, </w:t>
      </w:r>
      <w:r w:rsidR="003E324F">
        <w:rPr>
          <w:sz w:val="26"/>
        </w:rPr>
        <w:t>63 A.3d at 484</w:t>
      </w:r>
      <w:r w:rsidR="001404B2">
        <w:rPr>
          <w:sz w:val="26"/>
        </w:rPr>
        <w:t xml:space="preserve">.  </w:t>
      </w:r>
    </w:p>
    <w:p w:rsidR="000C346C" w:rsidRDefault="000C346C" w:rsidP="00240E6F">
      <w:pPr>
        <w:spacing w:line="360" w:lineRule="auto"/>
        <w:rPr>
          <w:sz w:val="26"/>
        </w:rPr>
      </w:pPr>
    </w:p>
    <w:p w:rsidR="009F1F02" w:rsidRDefault="000C346C" w:rsidP="00240E6F">
      <w:pPr>
        <w:spacing w:line="360" w:lineRule="auto"/>
        <w:rPr>
          <w:sz w:val="26"/>
        </w:rPr>
      </w:pPr>
      <w:r>
        <w:rPr>
          <w:sz w:val="26"/>
        </w:rPr>
        <w:tab/>
      </w:r>
      <w:r>
        <w:rPr>
          <w:sz w:val="26"/>
        </w:rPr>
        <w:tab/>
      </w:r>
      <w:r w:rsidR="00224CFA">
        <w:rPr>
          <w:sz w:val="26"/>
        </w:rPr>
        <w:t>Furthermore, a</w:t>
      </w:r>
      <w:r w:rsidR="0023353B">
        <w:rPr>
          <w:sz w:val="26"/>
        </w:rPr>
        <w:t xml:space="preserve"> utility has an affirmative duty to investigate a foreign load complaint.  If, after investigation, the utility </w:t>
      </w:r>
      <w:r w:rsidR="00923DEF">
        <w:rPr>
          <w:sz w:val="26"/>
        </w:rPr>
        <w:t>suspects a foreign load situation</w:t>
      </w:r>
      <w:r w:rsidR="0023353B">
        <w:rPr>
          <w:sz w:val="26"/>
        </w:rPr>
        <w:t xml:space="preserve">, the utility </w:t>
      </w:r>
      <w:r w:rsidR="00923DEF">
        <w:rPr>
          <w:sz w:val="26"/>
        </w:rPr>
        <w:t xml:space="preserve">is required to </w:t>
      </w:r>
      <w:r w:rsidR="0023353B">
        <w:rPr>
          <w:sz w:val="26"/>
        </w:rPr>
        <w:t xml:space="preserve">transfer the account to the name of the owner. </w:t>
      </w:r>
      <w:r w:rsidR="00923DEF">
        <w:rPr>
          <w:sz w:val="26"/>
        </w:rPr>
        <w:t xml:space="preserve"> </w:t>
      </w:r>
      <w:r w:rsidR="00923DEF">
        <w:rPr>
          <w:i/>
          <w:sz w:val="26"/>
        </w:rPr>
        <w:t xml:space="preserve">Franckowiak v. PPL Electric Utilities Corp., </w:t>
      </w:r>
      <w:r w:rsidR="00B102A9">
        <w:rPr>
          <w:sz w:val="26"/>
        </w:rPr>
        <w:t xml:space="preserve">101 Pa. P.U.C. 630 </w:t>
      </w:r>
      <w:r w:rsidR="00923DEF">
        <w:rPr>
          <w:sz w:val="26"/>
        </w:rPr>
        <w:t>(Order entered July 3, 2006</w:t>
      </w:r>
      <w:r w:rsidR="00B102A9">
        <w:rPr>
          <w:sz w:val="26"/>
        </w:rPr>
        <w:t>)</w:t>
      </w:r>
      <w:r w:rsidR="009F1F02">
        <w:rPr>
          <w:sz w:val="26"/>
        </w:rPr>
        <w:t xml:space="preserve">.  </w:t>
      </w:r>
    </w:p>
    <w:p w:rsidR="005F0C02" w:rsidRDefault="005F0C02" w:rsidP="00240E6F">
      <w:pPr>
        <w:spacing w:line="360" w:lineRule="auto"/>
        <w:rPr>
          <w:i/>
          <w:sz w:val="26"/>
        </w:rPr>
      </w:pPr>
    </w:p>
    <w:p w:rsidR="00FA6905" w:rsidRDefault="00602089" w:rsidP="003E324F">
      <w:pPr>
        <w:spacing w:line="360" w:lineRule="auto"/>
        <w:rPr>
          <w:sz w:val="26"/>
          <w:szCs w:val="24"/>
        </w:rPr>
      </w:pPr>
      <w:r>
        <w:rPr>
          <w:sz w:val="26"/>
          <w:szCs w:val="26"/>
        </w:rPr>
        <w:tab/>
      </w:r>
      <w:r>
        <w:rPr>
          <w:sz w:val="26"/>
          <w:szCs w:val="26"/>
        </w:rPr>
        <w:tab/>
      </w:r>
      <w:r w:rsidR="00A82CA8">
        <w:rPr>
          <w:sz w:val="26"/>
          <w:szCs w:val="26"/>
        </w:rPr>
        <w:t xml:space="preserve"> </w:t>
      </w:r>
      <w:r w:rsidR="005F0C02">
        <w:rPr>
          <w:sz w:val="26"/>
          <w:szCs w:val="26"/>
        </w:rPr>
        <w:t xml:space="preserve">In this matter the Complainant does not challenge </w:t>
      </w:r>
      <w:r w:rsidR="00A21932">
        <w:rPr>
          <w:sz w:val="26"/>
          <w:szCs w:val="24"/>
        </w:rPr>
        <w:t>PECO</w:t>
      </w:r>
      <w:r w:rsidR="005F0C02">
        <w:rPr>
          <w:sz w:val="26"/>
          <w:szCs w:val="24"/>
        </w:rPr>
        <w:t xml:space="preserve">’s determination of the presence of a foreign load at the Service Address.  Rather, Mr. Kopf argues that </w:t>
      </w:r>
      <w:r w:rsidR="00FA6905">
        <w:rPr>
          <w:sz w:val="26"/>
          <w:szCs w:val="24"/>
        </w:rPr>
        <w:t>the Respondent should not have transferred the account to the Complainant because his tenant agreed to assume payments for the foreign load service.  In support of his argument, Mr. Kopf cited to the Commission’s</w:t>
      </w:r>
      <w:r w:rsidR="005F0C02">
        <w:rPr>
          <w:sz w:val="26"/>
          <w:szCs w:val="24"/>
        </w:rPr>
        <w:t xml:space="preserve"> </w:t>
      </w:r>
      <w:r w:rsidR="00FA6905">
        <w:rPr>
          <w:i/>
          <w:sz w:val="26"/>
          <w:szCs w:val="24"/>
        </w:rPr>
        <w:t>1998 Proposed Policy Statement</w:t>
      </w:r>
      <w:r w:rsidR="00FA6905">
        <w:rPr>
          <w:sz w:val="26"/>
          <w:szCs w:val="24"/>
        </w:rPr>
        <w:t xml:space="preserve"> and a </w:t>
      </w:r>
      <w:r w:rsidR="00A00AC6">
        <w:rPr>
          <w:sz w:val="26"/>
          <w:szCs w:val="24"/>
        </w:rPr>
        <w:t>complaint filed with the Commission</w:t>
      </w:r>
      <w:r w:rsidR="00FA6905">
        <w:rPr>
          <w:sz w:val="26"/>
          <w:szCs w:val="24"/>
        </w:rPr>
        <w:t xml:space="preserve">, </w:t>
      </w:r>
      <w:r w:rsidR="00FA6905">
        <w:rPr>
          <w:i/>
          <w:sz w:val="26"/>
          <w:szCs w:val="24"/>
        </w:rPr>
        <w:t xml:space="preserve">Colgan v. PECO, </w:t>
      </w:r>
      <w:r w:rsidR="00A00AC6">
        <w:rPr>
          <w:sz w:val="26"/>
          <w:szCs w:val="24"/>
        </w:rPr>
        <w:t>Docket No. C-2010-2163186 (Complaint filed February 24, 2010).</w:t>
      </w:r>
      <w:r w:rsidR="00A00AC6">
        <w:rPr>
          <w:rStyle w:val="FootnoteReference"/>
          <w:sz w:val="26"/>
          <w:szCs w:val="24"/>
        </w:rPr>
        <w:footnoteReference w:id="7"/>
      </w:r>
      <w:r w:rsidR="00A21932">
        <w:rPr>
          <w:sz w:val="26"/>
          <w:szCs w:val="24"/>
        </w:rPr>
        <w:t xml:space="preserve"> </w:t>
      </w:r>
    </w:p>
    <w:p w:rsidR="00575BBD" w:rsidRDefault="00575BBD" w:rsidP="003E324F">
      <w:pPr>
        <w:spacing w:line="360" w:lineRule="auto"/>
        <w:rPr>
          <w:sz w:val="26"/>
          <w:szCs w:val="24"/>
        </w:rPr>
      </w:pPr>
    </w:p>
    <w:p w:rsidR="00575BBD" w:rsidRDefault="00575BBD" w:rsidP="00E21AF1">
      <w:pPr>
        <w:widowControl/>
        <w:spacing w:line="360" w:lineRule="auto"/>
        <w:rPr>
          <w:sz w:val="26"/>
          <w:szCs w:val="24"/>
        </w:rPr>
      </w:pPr>
      <w:r>
        <w:rPr>
          <w:sz w:val="26"/>
          <w:szCs w:val="24"/>
        </w:rPr>
        <w:tab/>
      </w:r>
      <w:r>
        <w:rPr>
          <w:sz w:val="26"/>
          <w:szCs w:val="24"/>
        </w:rPr>
        <w:tab/>
        <w:t xml:space="preserve">The Respondent correctly notes that the Commission withdrew the </w:t>
      </w:r>
      <w:r w:rsidR="00E21AF1">
        <w:rPr>
          <w:i/>
          <w:sz w:val="26"/>
          <w:szCs w:val="24"/>
        </w:rPr>
        <w:t>1998 </w:t>
      </w:r>
      <w:r>
        <w:rPr>
          <w:i/>
          <w:sz w:val="26"/>
          <w:szCs w:val="24"/>
        </w:rPr>
        <w:t>Proposed Policy Statement</w:t>
      </w:r>
      <w:r>
        <w:rPr>
          <w:sz w:val="26"/>
          <w:szCs w:val="24"/>
        </w:rPr>
        <w:t xml:space="preserve"> and that our recent decisions support the ALJ’s Initial </w:t>
      </w:r>
      <w:r>
        <w:rPr>
          <w:sz w:val="26"/>
          <w:szCs w:val="24"/>
        </w:rPr>
        <w:lastRenderedPageBreak/>
        <w:t xml:space="preserve">Decision.  </w:t>
      </w:r>
      <w:r w:rsidR="00E238D4">
        <w:rPr>
          <w:sz w:val="26"/>
          <w:szCs w:val="24"/>
        </w:rPr>
        <w:t xml:space="preserve">In our Opinion in </w:t>
      </w:r>
      <w:r w:rsidR="00E238D4">
        <w:rPr>
          <w:i/>
          <w:sz w:val="26"/>
          <w:szCs w:val="24"/>
        </w:rPr>
        <w:t>1-A Realty</w:t>
      </w:r>
      <w:r w:rsidR="00E238D4">
        <w:rPr>
          <w:sz w:val="26"/>
          <w:szCs w:val="24"/>
        </w:rPr>
        <w:t xml:space="preserve">, </w:t>
      </w:r>
      <w:r w:rsidR="00E238D4">
        <w:rPr>
          <w:i/>
          <w:sz w:val="26"/>
          <w:szCs w:val="24"/>
        </w:rPr>
        <w:t xml:space="preserve">supra, </w:t>
      </w:r>
      <w:r w:rsidR="00E238D4">
        <w:rPr>
          <w:sz w:val="26"/>
          <w:szCs w:val="24"/>
        </w:rPr>
        <w:t xml:space="preserve">we discussed the withdrawal of the </w:t>
      </w:r>
      <w:r w:rsidR="00E238D4">
        <w:rPr>
          <w:i/>
          <w:sz w:val="26"/>
          <w:szCs w:val="24"/>
        </w:rPr>
        <w:t>1998 Proposed Policy Statement</w:t>
      </w:r>
      <w:r w:rsidR="00E238D4">
        <w:rPr>
          <w:sz w:val="26"/>
          <w:szCs w:val="24"/>
        </w:rPr>
        <w:t>:</w:t>
      </w:r>
    </w:p>
    <w:p w:rsidR="00AB364C" w:rsidRDefault="00AB364C" w:rsidP="003E324F">
      <w:pPr>
        <w:spacing w:line="360" w:lineRule="auto"/>
        <w:rPr>
          <w:sz w:val="26"/>
          <w:szCs w:val="24"/>
        </w:rPr>
      </w:pPr>
    </w:p>
    <w:p w:rsidR="00E238D4" w:rsidRPr="00E238D4" w:rsidRDefault="00E238D4" w:rsidP="00BF6A24">
      <w:pPr>
        <w:widowControl/>
        <w:autoSpaceDE w:val="0"/>
        <w:autoSpaceDN w:val="0"/>
        <w:adjustRightInd w:val="0"/>
        <w:ind w:left="1440" w:right="1440"/>
        <w:rPr>
          <w:sz w:val="26"/>
          <w:szCs w:val="26"/>
        </w:rPr>
      </w:pPr>
      <w:r w:rsidRPr="00E238D4">
        <w:rPr>
          <w:sz w:val="26"/>
          <w:szCs w:val="26"/>
        </w:rPr>
        <w:t xml:space="preserve">In 1998, the Commission issued a proposed policy statement to implement Act 54 </w:t>
      </w:r>
      <w:r>
        <w:rPr>
          <w:sz w:val="26"/>
          <w:szCs w:val="26"/>
        </w:rPr>
        <w:t>[66 Pa. C.S. § 15</w:t>
      </w:r>
      <w:r w:rsidR="00224CFA">
        <w:rPr>
          <w:sz w:val="26"/>
          <w:szCs w:val="26"/>
        </w:rPr>
        <w:t xml:space="preserve">29.1] </w:t>
      </w:r>
      <w:r w:rsidRPr="00E238D4">
        <w:rPr>
          <w:sz w:val="26"/>
          <w:szCs w:val="26"/>
        </w:rPr>
        <w:t xml:space="preserve">that, </w:t>
      </w:r>
      <w:r w:rsidRPr="00E238D4">
        <w:rPr>
          <w:i/>
          <w:sz w:val="26"/>
          <w:szCs w:val="26"/>
        </w:rPr>
        <w:t>inter alia</w:t>
      </w:r>
      <w:r w:rsidRPr="00E238D4">
        <w:rPr>
          <w:sz w:val="26"/>
          <w:szCs w:val="26"/>
        </w:rPr>
        <w:t xml:space="preserve">, allowed “acceptable foreign load,” which was defined as foreign load that had been disclosed in writing to the tenant and for which the tenant had notified the utility that he or she would accept responsibility.”  </w:t>
      </w:r>
      <w:r>
        <w:rPr>
          <w:sz w:val="26"/>
          <w:szCs w:val="26"/>
        </w:rPr>
        <w:t>[</w:t>
      </w:r>
      <w:r w:rsidRPr="00E238D4">
        <w:rPr>
          <w:i/>
          <w:sz w:val="26"/>
          <w:szCs w:val="26"/>
        </w:rPr>
        <w:t>1998</w:t>
      </w:r>
      <w:r w:rsidRPr="00E238D4">
        <w:rPr>
          <w:sz w:val="26"/>
          <w:szCs w:val="26"/>
        </w:rPr>
        <w:t xml:space="preserve"> </w:t>
      </w:r>
      <w:r w:rsidRPr="00E238D4">
        <w:rPr>
          <w:i/>
          <w:sz w:val="26"/>
          <w:szCs w:val="26"/>
        </w:rPr>
        <w:t>Proposed Policy Statement</w:t>
      </w:r>
      <w:r>
        <w:rPr>
          <w:sz w:val="26"/>
          <w:szCs w:val="26"/>
        </w:rPr>
        <w:t>]</w:t>
      </w:r>
      <w:r w:rsidRPr="00E238D4">
        <w:rPr>
          <w:sz w:val="26"/>
          <w:szCs w:val="26"/>
        </w:rPr>
        <w:t xml:space="preserve">.  However, the </w:t>
      </w:r>
      <w:r w:rsidRPr="00E238D4">
        <w:rPr>
          <w:i/>
          <w:sz w:val="26"/>
          <w:szCs w:val="26"/>
        </w:rPr>
        <w:t>1998 Proposed Policy Statement</w:t>
      </w:r>
      <w:r w:rsidRPr="00E238D4">
        <w:rPr>
          <w:sz w:val="26"/>
          <w:szCs w:val="26"/>
        </w:rPr>
        <w:t xml:space="preserve"> was never finalized by the Commission, and instead was withdrawn and replaced by proposed regulations in 1999.  </w:t>
      </w:r>
      <w:r w:rsidRPr="00E238D4">
        <w:rPr>
          <w:i/>
          <w:sz w:val="26"/>
          <w:szCs w:val="26"/>
        </w:rPr>
        <w:t>Proposed Rulemaking Order Re: Residential Accounts Containing Charges for Foreign Load</w:t>
      </w:r>
      <w:r w:rsidR="00E21AF1">
        <w:rPr>
          <w:sz w:val="26"/>
          <w:szCs w:val="26"/>
        </w:rPr>
        <w:t>, Docket No. L</w:t>
      </w:r>
      <w:r w:rsidR="00E21AF1">
        <w:rPr>
          <w:sz w:val="26"/>
          <w:szCs w:val="26"/>
        </w:rPr>
        <w:noBreakHyphen/>
      </w:r>
      <w:r w:rsidRPr="00E238D4">
        <w:rPr>
          <w:sz w:val="26"/>
          <w:szCs w:val="26"/>
        </w:rPr>
        <w:t>00990142 (Order entered August 13, 1999) (</w:t>
      </w:r>
      <w:r w:rsidRPr="00E238D4">
        <w:rPr>
          <w:i/>
          <w:sz w:val="26"/>
          <w:szCs w:val="26"/>
        </w:rPr>
        <w:t>1999 Proposed Rulemaking</w:t>
      </w:r>
      <w:r w:rsidRPr="00E238D4">
        <w:rPr>
          <w:sz w:val="26"/>
          <w:szCs w:val="26"/>
        </w:rPr>
        <w:t xml:space="preserve">).  The Commission again proposed to allow foreign load where there was prior disclosure and a tenant agreed to pay for it; however, a proposed caveat was added requiring a Commission finding, after notice and an opportunity to be heard, that the tenant had agreed to accept foreign load.  The </w:t>
      </w:r>
      <w:r w:rsidRPr="00E238D4">
        <w:rPr>
          <w:i/>
          <w:sz w:val="26"/>
          <w:szCs w:val="26"/>
        </w:rPr>
        <w:t>1999 Proposed Rulemaking</w:t>
      </w:r>
      <w:r w:rsidRPr="00E238D4">
        <w:rPr>
          <w:sz w:val="26"/>
          <w:szCs w:val="26"/>
        </w:rPr>
        <w:t xml:space="preserve"> in turn was never finalized, and was discontinued in 2005.  </w:t>
      </w:r>
      <w:r w:rsidRPr="00E238D4">
        <w:rPr>
          <w:i/>
          <w:sz w:val="26"/>
          <w:szCs w:val="26"/>
        </w:rPr>
        <w:t>Discontinuance of Proposed Rulemaking Regarding Residential Accounts Containing Charges for Foreign Load</w:t>
      </w:r>
      <w:r w:rsidRPr="00E238D4">
        <w:rPr>
          <w:sz w:val="26"/>
          <w:szCs w:val="26"/>
        </w:rPr>
        <w:t xml:space="preserve">, Docket No. L-00990142 (Order entered October 7, 2005).  The basis for the discontinuance of the </w:t>
      </w:r>
      <w:r w:rsidRPr="00E238D4">
        <w:rPr>
          <w:i/>
          <w:sz w:val="26"/>
          <w:szCs w:val="26"/>
        </w:rPr>
        <w:t>1999 Proposed Rulemaking</w:t>
      </w:r>
      <w:r w:rsidRPr="00E238D4">
        <w:rPr>
          <w:sz w:val="26"/>
          <w:szCs w:val="26"/>
        </w:rPr>
        <w:t xml:space="preserve"> was the fact that the Commission’s adjudication of several foreign load complaints had resolved a number of foreign load issues and rendered a rulemaking unnecessary.  Accordingly, neither the </w:t>
      </w:r>
      <w:r w:rsidRPr="00E238D4">
        <w:rPr>
          <w:i/>
          <w:sz w:val="26"/>
          <w:szCs w:val="26"/>
        </w:rPr>
        <w:t>1998 Proposed Policy Statement</w:t>
      </w:r>
      <w:r w:rsidRPr="00E238D4">
        <w:rPr>
          <w:sz w:val="26"/>
          <w:szCs w:val="26"/>
        </w:rPr>
        <w:t xml:space="preserve">, which has been cited frequently by the Complainant, nor the </w:t>
      </w:r>
      <w:r w:rsidRPr="00E238D4">
        <w:rPr>
          <w:i/>
          <w:sz w:val="26"/>
          <w:szCs w:val="26"/>
        </w:rPr>
        <w:t>1999 Proposed Rulemaking</w:t>
      </w:r>
      <w:r w:rsidRPr="00E238D4">
        <w:rPr>
          <w:sz w:val="26"/>
          <w:szCs w:val="26"/>
        </w:rPr>
        <w:t xml:space="preserve"> has any relevance to this proceeding, since neither was adopted in final form by the Commission. </w:t>
      </w:r>
    </w:p>
    <w:p w:rsidR="00E238D4" w:rsidRPr="00E238D4" w:rsidRDefault="00E238D4" w:rsidP="00BF6A24">
      <w:pPr>
        <w:spacing w:line="360" w:lineRule="auto"/>
        <w:ind w:right="1440"/>
        <w:rPr>
          <w:sz w:val="26"/>
          <w:szCs w:val="24"/>
        </w:rPr>
      </w:pPr>
    </w:p>
    <w:p w:rsidR="00FA6905" w:rsidRDefault="00E238D4" w:rsidP="003E324F">
      <w:pPr>
        <w:spacing w:line="360" w:lineRule="auto"/>
        <w:rPr>
          <w:sz w:val="26"/>
        </w:rPr>
      </w:pPr>
      <w:r>
        <w:rPr>
          <w:i/>
          <w:sz w:val="26"/>
        </w:rPr>
        <w:t xml:space="preserve">1-A Realty v. PPL Electric Utilities Corp, </w:t>
      </w:r>
      <w:r>
        <w:rPr>
          <w:sz w:val="26"/>
        </w:rPr>
        <w:t>Docket</w:t>
      </w:r>
      <w:r w:rsidR="00E21AF1">
        <w:rPr>
          <w:sz w:val="26"/>
        </w:rPr>
        <w:t xml:space="preserve"> Nos. F-2010-2166554 and F</w:t>
      </w:r>
      <w:r w:rsidR="00E21AF1">
        <w:rPr>
          <w:sz w:val="26"/>
        </w:rPr>
        <w:noBreakHyphen/>
        <w:t>2010</w:t>
      </w:r>
      <w:r w:rsidR="00E21AF1">
        <w:rPr>
          <w:sz w:val="26"/>
        </w:rPr>
        <w:noBreakHyphen/>
      </w:r>
      <w:r>
        <w:rPr>
          <w:sz w:val="26"/>
        </w:rPr>
        <w:t xml:space="preserve">2166976 (Order entered April 12, 2012), at 18-19.  </w:t>
      </w:r>
    </w:p>
    <w:p w:rsidR="00E238D4" w:rsidRDefault="00E238D4" w:rsidP="003E324F">
      <w:pPr>
        <w:spacing w:line="360" w:lineRule="auto"/>
        <w:rPr>
          <w:sz w:val="26"/>
        </w:rPr>
      </w:pPr>
    </w:p>
    <w:p w:rsidR="00E238D4" w:rsidRPr="00336DA6" w:rsidRDefault="00E238D4" w:rsidP="00E21AF1">
      <w:pPr>
        <w:widowControl/>
        <w:spacing w:line="360" w:lineRule="auto"/>
        <w:rPr>
          <w:sz w:val="26"/>
          <w:szCs w:val="24"/>
        </w:rPr>
      </w:pPr>
      <w:r>
        <w:rPr>
          <w:sz w:val="26"/>
        </w:rPr>
        <w:lastRenderedPageBreak/>
        <w:tab/>
      </w:r>
      <w:r>
        <w:rPr>
          <w:sz w:val="26"/>
        </w:rPr>
        <w:tab/>
      </w:r>
      <w:r w:rsidR="00336DA6">
        <w:rPr>
          <w:sz w:val="26"/>
        </w:rPr>
        <w:t xml:space="preserve">In </w:t>
      </w:r>
      <w:r w:rsidR="00336DA6">
        <w:rPr>
          <w:i/>
          <w:sz w:val="26"/>
        </w:rPr>
        <w:t>1-A Realty</w:t>
      </w:r>
      <w:r w:rsidR="00336DA6">
        <w:rPr>
          <w:sz w:val="26"/>
        </w:rPr>
        <w:t xml:space="preserve">, we also noted that reliance on the prior proposed rulemaking was contrary to the law.  </w:t>
      </w:r>
      <w:r w:rsidR="00336DA6">
        <w:rPr>
          <w:i/>
          <w:sz w:val="26"/>
        </w:rPr>
        <w:t xml:space="preserve">Id. </w:t>
      </w:r>
      <w:r w:rsidR="00336DA6">
        <w:rPr>
          <w:sz w:val="26"/>
        </w:rPr>
        <w:t xml:space="preserve">(citing </w:t>
      </w:r>
      <w:r w:rsidR="00336DA6" w:rsidRPr="006F262D">
        <w:rPr>
          <w:i/>
          <w:sz w:val="26"/>
          <w:szCs w:val="26"/>
        </w:rPr>
        <w:t>Tasker v</w:t>
      </w:r>
      <w:r w:rsidR="00336DA6">
        <w:rPr>
          <w:i/>
          <w:sz w:val="26"/>
          <w:szCs w:val="26"/>
        </w:rPr>
        <w:t>.</w:t>
      </w:r>
      <w:r w:rsidR="00336DA6" w:rsidRPr="006F262D">
        <w:rPr>
          <w:i/>
          <w:sz w:val="26"/>
          <w:szCs w:val="26"/>
        </w:rPr>
        <w:t xml:space="preserve"> PP&amp;L, Inc.</w:t>
      </w:r>
      <w:r w:rsidR="00336DA6" w:rsidRPr="006F262D">
        <w:rPr>
          <w:sz w:val="26"/>
          <w:szCs w:val="26"/>
        </w:rPr>
        <w:t>, Docket No. C-00003249 (</w:t>
      </w:r>
      <w:r w:rsidR="00336DA6">
        <w:rPr>
          <w:sz w:val="26"/>
          <w:szCs w:val="26"/>
        </w:rPr>
        <w:t xml:space="preserve">Initial Decision of ALJ Weismandel issued July 18, 2000, Commission Final Order entered </w:t>
      </w:r>
      <w:r w:rsidR="00336DA6" w:rsidRPr="006F262D">
        <w:rPr>
          <w:sz w:val="26"/>
          <w:szCs w:val="26"/>
        </w:rPr>
        <w:t>August 29, 2000</w:t>
      </w:r>
      <w:r w:rsidR="00336DA6">
        <w:rPr>
          <w:sz w:val="26"/>
          <w:szCs w:val="26"/>
        </w:rPr>
        <w:t>) at 13, n. 2 (</w:t>
      </w:r>
      <w:r w:rsidR="00336DA6" w:rsidRPr="006F262D">
        <w:rPr>
          <w:sz w:val="26"/>
          <w:szCs w:val="26"/>
        </w:rPr>
        <w:t>unless and until proposed regulations are adopted in accordance with applicable statutory requirements they are a nullity)</w:t>
      </w:r>
      <w:r w:rsidR="00336DA6">
        <w:rPr>
          <w:sz w:val="26"/>
          <w:szCs w:val="26"/>
        </w:rPr>
        <w:t>).</w:t>
      </w:r>
    </w:p>
    <w:p w:rsidR="00FA6905" w:rsidRDefault="00FA6905" w:rsidP="003E324F">
      <w:pPr>
        <w:spacing w:line="360" w:lineRule="auto"/>
        <w:rPr>
          <w:sz w:val="26"/>
          <w:szCs w:val="24"/>
        </w:rPr>
      </w:pPr>
    </w:p>
    <w:p w:rsidR="00224CFA" w:rsidRDefault="00336DA6" w:rsidP="00980205">
      <w:pPr>
        <w:spacing w:line="360" w:lineRule="auto"/>
        <w:rPr>
          <w:sz w:val="26"/>
          <w:szCs w:val="24"/>
        </w:rPr>
      </w:pPr>
      <w:r>
        <w:rPr>
          <w:sz w:val="26"/>
          <w:szCs w:val="24"/>
        </w:rPr>
        <w:tab/>
      </w:r>
      <w:r>
        <w:rPr>
          <w:sz w:val="26"/>
          <w:szCs w:val="24"/>
        </w:rPr>
        <w:tab/>
        <w:t xml:space="preserve">Under Section 1529.1 of the Code, </w:t>
      </w:r>
      <w:r w:rsidR="000020EC">
        <w:rPr>
          <w:sz w:val="26"/>
          <w:szCs w:val="24"/>
        </w:rPr>
        <w:t xml:space="preserve">the Commission’s rulings related to it, and the Commonwealth Court’s decision in </w:t>
      </w:r>
      <w:r w:rsidR="000020EC" w:rsidRPr="000020EC">
        <w:rPr>
          <w:i/>
          <w:sz w:val="26"/>
          <w:szCs w:val="24"/>
        </w:rPr>
        <w:t>1-A Realty</w:t>
      </w:r>
      <w:r w:rsidR="000020EC">
        <w:rPr>
          <w:sz w:val="26"/>
          <w:szCs w:val="24"/>
        </w:rPr>
        <w:t xml:space="preserve">, it is clear that tenants are not permitted to consent to having foreign load charges attributed to them.  </w:t>
      </w:r>
      <w:r w:rsidR="00E21AF1">
        <w:rPr>
          <w:sz w:val="26"/>
          <w:szCs w:val="24"/>
        </w:rPr>
        <w:t>In this case, Ms. </w:t>
      </w:r>
      <w:r w:rsidR="00224CFA">
        <w:rPr>
          <w:sz w:val="26"/>
          <w:szCs w:val="24"/>
        </w:rPr>
        <w:t xml:space="preserve">DelRaso could not accept utility service that was not exclusive to her rented apartment.  </w:t>
      </w:r>
    </w:p>
    <w:p w:rsidR="00224CFA" w:rsidRDefault="00224CFA" w:rsidP="00980205">
      <w:pPr>
        <w:spacing w:line="360" w:lineRule="auto"/>
        <w:rPr>
          <w:sz w:val="26"/>
          <w:szCs w:val="24"/>
        </w:rPr>
      </w:pPr>
    </w:p>
    <w:p w:rsidR="00425F32" w:rsidRDefault="000020EC" w:rsidP="00425F32">
      <w:pPr>
        <w:tabs>
          <w:tab w:val="left" w:pos="-720"/>
        </w:tabs>
        <w:suppressAutoHyphens/>
        <w:spacing w:line="360" w:lineRule="auto"/>
        <w:ind w:firstLine="1440"/>
        <w:rPr>
          <w:sz w:val="26"/>
          <w:szCs w:val="24"/>
        </w:rPr>
      </w:pPr>
      <w:r>
        <w:rPr>
          <w:sz w:val="26"/>
          <w:szCs w:val="24"/>
        </w:rPr>
        <w:t>Therefore, we shall deny the Complainant’s Exceptions.</w:t>
      </w:r>
      <w:r w:rsidR="00224CFA">
        <w:rPr>
          <w:rStyle w:val="FootnoteReference"/>
          <w:sz w:val="26"/>
          <w:szCs w:val="24"/>
        </w:rPr>
        <w:footnoteReference w:id="8"/>
      </w:r>
      <w:r>
        <w:rPr>
          <w:sz w:val="26"/>
          <w:szCs w:val="24"/>
        </w:rPr>
        <w:t xml:space="preserve">  </w:t>
      </w:r>
    </w:p>
    <w:p w:rsidR="00425F32" w:rsidRDefault="00425F32" w:rsidP="00425F32">
      <w:pPr>
        <w:tabs>
          <w:tab w:val="left" w:pos="-720"/>
        </w:tabs>
        <w:suppressAutoHyphens/>
        <w:spacing w:line="360" w:lineRule="auto"/>
        <w:ind w:firstLine="1440"/>
        <w:rPr>
          <w:sz w:val="26"/>
          <w:szCs w:val="24"/>
        </w:rPr>
      </w:pPr>
    </w:p>
    <w:p w:rsidR="00425F32" w:rsidRPr="00C14570" w:rsidRDefault="00425F32" w:rsidP="00B76B0A">
      <w:pPr>
        <w:widowControl/>
        <w:tabs>
          <w:tab w:val="left" w:pos="-720"/>
        </w:tabs>
        <w:suppressAutoHyphens/>
        <w:spacing w:line="360" w:lineRule="auto"/>
        <w:ind w:firstLine="1440"/>
        <w:rPr>
          <w:sz w:val="26"/>
          <w:szCs w:val="26"/>
        </w:rPr>
      </w:pPr>
      <w:r>
        <w:rPr>
          <w:sz w:val="26"/>
          <w:szCs w:val="26"/>
        </w:rPr>
        <w:t>Furthermore</w:t>
      </w:r>
      <w:r w:rsidRPr="00C14570">
        <w:rPr>
          <w:sz w:val="26"/>
          <w:szCs w:val="26"/>
        </w:rPr>
        <w:t xml:space="preserve">, we find that </w:t>
      </w:r>
      <w:r>
        <w:rPr>
          <w:sz w:val="26"/>
          <w:szCs w:val="26"/>
        </w:rPr>
        <w:t xml:space="preserve">the ALJ’s granting of </w:t>
      </w:r>
      <w:r>
        <w:rPr>
          <w:sz w:val="26"/>
          <w:szCs w:val="26"/>
        </w:rPr>
        <w:softHyphen/>
      </w:r>
      <w:r>
        <w:rPr>
          <w:sz w:val="26"/>
          <w:szCs w:val="26"/>
        </w:rPr>
        <w:softHyphen/>
      </w:r>
      <w:r>
        <w:rPr>
          <w:sz w:val="26"/>
          <w:szCs w:val="26"/>
        </w:rPr>
        <w:softHyphen/>
      </w:r>
      <w:r>
        <w:rPr>
          <w:sz w:val="26"/>
          <w:szCs w:val="26"/>
        </w:rPr>
        <w:softHyphen/>
      </w:r>
      <w:r>
        <w:rPr>
          <w:sz w:val="26"/>
          <w:szCs w:val="26"/>
        </w:rPr>
        <w:softHyphen/>
        <w:t>the Respondent</w:t>
      </w:r>
      <w:r w:rsidRPr="00C14570">
        <w:rPr>
          <w:sz w:val="26"/>
          <w:szCs w:val="26"/>
        </w:rPr>
        <w:t xml:space="preserve">’s Preliminary Objections was correct even though </w:t>
      </w:r>
      <w:r>
        <w:rPr>
          <w:sz w:val="26"/>
          <w:szCs w:val="26"/>
        </w:rPr>
        <w:t xml:space="preserve">Mr. Kopf </w:t>
      </w:r>
      <w:r w:rsidRPr="00C14570">
        <w:rPr>
          <w:sz w:val="26"/>
          <w:szCs w:val="26"/>
        </w:rPr>
        <w:t xml:space="preserve">is a </w:t>
      </w:r>
      <w:r w:rsidRPr="00C14570">
        <w:rPr>
          <w:i/>
          <w:sz w:val="26"/>
          <w:szCs w:val="26"/>
        </w:rPr>
        <w:t>pro se</w:t>
      </w:r>
      <w:r w:rsidRPr="00C14570">
        <w:rPr>
          <w:sz w:val="26"/>
          <w:szCs w:val="26"/>
        </w:rPr>
        <w:t xml:space="preserve"> Complainant.  In </w:t>
      </w:r>
      <w:r w:rsidRPr="00C14570">
        <w:rPr>
          <w:i/>
          <w:sz w:val="26"/>
          <w:szCs w:val="26"/>
        </w:rPr>
        <w:t>Carlock v. The United Telephone Company of Pennsylvania</w:t>
      </w:r>
      <w:r w:rsidRPr="00C14570">
        <w:rPr>
          <w:sz w:val="26"/>
          <w:szCs w:val="26"/>
        </w:rPr>
        <w:t xml:space="preserve">, Docket No. F-00163617 (Order entered July 14, 1993), we held that, in the normal course, we would not dismiss a </w:t>
      </w:r>
      <w:r w:rsidRPr="00C14570">
        <w:rPr>
          <w:i/>
          <w:sz w:val="26"/>
          <w:szCs w:val="26"/>
        </w:rPr>
        <w:t>pro se</w:t>
      </w:r>
      <w:r w:rsidRPr="00C14570">
        <w:rPr>
          <w:sz w:val="26"/>
          <w:szCs w:val="26"/>
        </w:rPr>
        <w:t xml:space="preserve"> complaint without first providing a hearing during which the </w:t>
      </w:r>
      <w:r w:rsidRPr="00C14570">
        <w:rPr>
          <w:i/>
          <w:sz w:val="26"/>
          <w:szCs w:val="26"/>
        </w:rPr>
        <w:t>pro se</w:t>
      </w:r>
      <w:r w:rsidRPr="00C14570">
        <w:rPr>
          <w:sz w:val="26"/>
          <w:szCs w:val="26"/>
        </w:rPr>
        <w:t xml:space="preserve"> complainant could further explain his or her position and the factual basis for the complaint.  The concern was expressed that, in general, </w:t>
      </w:r>
      <w:r w:rsidRPr="00C14570">
        <w:rPr>
          <w:i/>
          <w:sz w:val="26"/>
          <w:szCs w:val="26"/>
        </w:rPr>
        <w:t>pro se</w:t>
      </w:r>
      <w:r w:rsidRPr="00C14570">
        <w:rPr>
          <w:sz w:val="26"/>
          <w:szCs w:val="26"/>
        </w:rPr>
        <w:t xml:space="preserve"> complainants may find it difficult to navigate through pre-hearing motions and should be given the chance to orally describe their basic issue and supporting facts.  There are some cases, such as this </w:t>
      </w:r>
      <w:r w:rsidR="00B76B0A">
        <w:rPr>
          <w:sz w:val="26"/>
          <w:szCs w:val="26"/>
        </w:rPr>
        <w:t>proceeding</w:t>
      </w:r>
      <w:r w:rsidRPr="00C14570">
        <w:rPr>
          <w:sz w:val="26"/>
          <w:szCs w:val="26"/>
        </w:rPr>
        <w:t xml:space="preserve">, where a hearing would not alter the inevitable conclusion that this Commission </w:t>
      </w:r>
      <w:r w:rsidR="00B76B0A">
        <w:rPr>
          <w:sz w:val="26"/>
          <w:szCs w:val="26"/>
        </w:rPr>
        <w:t xml:space="preserve">cannot provide </w:t>
      </w:r>
      <w:r w:rsidRPr="00C14570">
        <w:rPr>
          <w:sz w:val="26"/>
          <w:szCs w:val="26"/>
        </w:rPr>
        <w:t>the Compl</w:t>
      </w:r>
      <w:r w:rsidR="00B76B0A">
        <w:rPr>
          <w:sz w:val="26"/>
          <w:szCs w:val="26"/>
        </w:rPr>
        <w:t>ainant</w:t>
      </w:r>
      <w:r w:rsidRPr="00C14570">
        <w:rPr>
          <w:sz w:val="26"/>
          <w:szCs w:val="26"/>
        </w:rPr>
        <w:t xml:space="preserve"> </w:t>
      </w:r>
      <w:r w:rsidR="00B76B0A">
        <w:rPr>
          <w:sz w:val="26"/>
          <w:szCs w:val="26"/>
        </w:rPr>
        <w:t xml:space="preserve">with the requested relief.  </w:t>
      </w:r>
      <w:r w:rsidRPr="00C14570">
        <w:rPr>
          <w:i/>
          <w:sz w:val="26"/>
          <w:szCs w:val="26"/>
        </w:rPr>
        <w:t xml:space="preserve">See, </w:t>
      </w:r>
      <w:r w:rsidR="00B76B0A">
        <w:rPr>
          <w:i/>
          <w:sz w:val="26"/>
          <w:szCs w:val="26"/>
        </w:rPr>
        <w:t xml:space="preserve">Floyd v. Verizon Pennsylvania </w:t>
      </w:r>
      <w:r w:rsidR="00B76B0A">
        <w:rPr>
          <w:i/>
          <w:sz w:val="26"/>
          <w:szCs w:val="26"/>
        </w:rPr>
        <w:lastRenderedPageBreak/>
        <w:t>LLC</w:t>
      </w:r>
      <w:r w:rsidRPr="00C14570">
        <w:rPr>
          <w:sz w:val="26"/>
          <w:szCs w:val="26"/>
        </w:rPr>
        <w:t>, Docket No. C-20</w:t>
      </w:r>
      <w:r w:rsidR="00B76B0A">
        <w:rPr>
          <w:sz w:val="26"/>
          <w:szCs w:val="26"/>
        </w:rPr>
        <w:t>12</w:t>
      </w:r>
      <w:r w:rsidRPr="00C14570">
        <w:rPr>
          <w:sz w:val="26"/>
          <w:szCs w:val="26"/>
        </w:rPr>
        <w:t>-</w:t>
      </w:r>
      <w:r w:rsidR="00B76B0A">
        <w:rPr>
          <w:sz w:val="26"/>
          <w:szCs w:val="26"/>
        </w:rPr>
        <w:t>2333157</w:t>
      </w:r>
      <w:r w:rsidRPr="00C14570">
        <w:rPr>
          <w:sz w:val="26"/>
          <w:szCs w:val="26"/>
        </w:rPr>
        <w:t xml:space="preserve"> (Order entered A</w:t>
      </w:r>
      <w:r w:rsidR="00B76B0A">
        <w:rPr>
          <w:sz w:val="26"/>
          <w:szCs w:val="26"/>
        </w:rPr>
        <w:t xml:space="preserve">pril </w:t>
      </w:r>
      <w:r w:rsidRPr="00C14570">
        <w:rPr>
          <w:sz w:val="26"/>
          <w:szCs w:val="26"/>
        </w:rPr>
        <w:t>4, 201</w:t>
      </w:r>
      <w:r w:rsidR="00B76B0A">
        <w:rPr>
          <w:sz w:val="26"/>
          <w:szCs w:val="26"/>
        </w:rPr>
        <w:t>3</w:t>
      </w:r>
      <w:r w:rsidRPr="00C14570">
        <w:rPr>
          <w:sz w:val="26"/>
          <w:szCs w:val="26"/>
        </w:rPr>
        <w:t xml:space="preserve">).  On this basis, we distinguish </w:t>
      </w:r>
      <w:r w:rsidRPr="00C14570">
        <w:rPr>
          <w:i/>
          <w:sz w:val="26"/>
          <w:szCs w:val="26"/>
        </w:rPr>
        <w:t>Carlock</w:t>
      </w:r>
      <w:r w:rsidRPr="00C14570">
        <w:rPr>
          <w:sz w:val="26"/>
          <w:szCs w:val="26"/>
        </w:rPr>
        <w:t xml:space="preserve"> from the case now before us.</w:t>
      </w:r>
    </w:p>
    <w:p w:rsidR="000020EC" w:rsidRDefault="000020EC" w:rsidP="00980205">
      <w:pPr>
        <w:spacing w:line="360" w:lineRule="auto"/>
        <w:rPr>
          <w:sz w:val="26"/>
        </w:rPr>
      </w:pPr>
    </w:p>
    <w:p w:rsidR="00A66D9E" w:rsidRDefault="00A66D9E" w:rsidP="00980205">
      <w:pPr>
        <w:spacing w:line="360" w:lineRule="auto"/>
        <w:rPr>
          <w:sz w:val="26"/>
          <w:szCs w:val="26"/>
        </w:rPr>
      </w:pPr>
      <w:r>
        <w:rPr>
          <w:sz w:val="26"/>
        </w:rPr>
        <w:tab/>
      </w:r>
      <w:r>
        <w:rPr>
          <w:sz w:val="26"/>
        </w:rPr>
        <w:tab/>
        <w:t xml:space="preserve">Accordingly, we affirm the ALJ’s determination that the Complainant failed to meet his burden of proof and to show that the Respondent violated any provisions of the Code.  </w:t>
      </w:r>
    </w:p>
    <w:p w:rsidR="00240E6F" w:rsidRPr="00667954" w:rsidRDefault="009D4C89" w:rsidP="00980205">
      <w:pPr>
        <w:spacing w:line="360" w:lineRule="auto"/>
        <w:rPr>
          <w:sz w:val="26"/>
          <w:szCs w:val="26"/>
        </w:rPr>
      </w:pPr>
      <w:r>
        <w:rPr>
          <w:sz w:val="26"/>
          <w:szCs w:val="26"/>
        </w:rPr>
        <w:t xml:space="preserve">  </w:t>
      </w:r>
      <w:r w:rsidR="006E4254">
        <w:rPr>
          <w:sz w:val="26"/>
          <w:szCs w:val="26"/>
        </w:rPr>
        <w:t xml:space="preserve"> </w:t>
      </w:r>
    </w:p>
    <w:p w:rsidR="00CA43A5" w:rsidRPr="00CA43A5" w:rsidRDefault="00CA43A5" w:rsidP="0008598C">
      <w:pPr>
        <w:spacing w:line="360" w:lineRule="auto"/>
        <w:jc w:val="center"/>
        <w:rPr>
          <w:b/>
          <w:sz w:val="26"/>
          <w:szCs w:val="26"/>
        </w:rPr>
      </w:pPr>
      <w:r w:rsidRPr="00CA43A5">
        <w:rPr>
          <w:b/>
          <w:sz w:val="26"/>
          <w:szCs w:val="26"/>
        </w:rPr>
        <w:t>Conclusion</w:t>
      </w:r>
    </w:p>
    <w:p w:rsidR="00CA43A5" w:rsidRPr="00CA43A5" w:rsidRDefault="00CA43A5" w:rsidP="00CA43A5">
      <w:pPr>
        <w:spacing w:line="360" w:lineRule="auto"/>
        <w:ind w:firstLine="1440"/>
        <w:rPr>
          <w:sz w:val="26"/>
          <w:szCs w:val="26"/>
        </w:rPr>
      </w:pPr>
    </w:p>
    <w:p w:rsidR="00CA43A5" w:rsidRPr="00CA43A5" w:rsidRDefault="00CA43A5" w:rsidP="00CA43A5">
      <w:pPr>
        <w:spacing w:line="360" w:lineRule="auto"/>
        <w:ind w:firstLine="1440"/>
        <w:rPr>
          <w:sz w:val="26"/>
          <w:szCs w:val="26"/>
        </w:rPr>
      </w:pPr>
      <w:r w:rsidRPr="00CA43A5">
        <w:rPr>
          <w:sz w:val="26"/>
          <w:szCs w:val="26"/>
        </w:rPr>
        <w:t xml:space="preserve">Based upon the foregoing discussion, we shall </w:t>
      </w:r>
      <w:r w:rsidR="006E4254">
        <w:rPr>
          <w:sz w:val="26"/>
          <w:szCs w:val="26"/>
        </w:rPr>
        <w:t>deny the Complainant’s Exceptions</w:t>
      </w:r>
      <w:r w:rsidR="009D4C89">
        <w:rPr>
          <w:sz w:val="26"/>
          <w:szCs w:val="26"/>
        </w:rPr>
        <w:t xml:space="preserve"> and adopt the Initial Decision</w:t>
      </w:r>
      <w:r w:rsidRPr="00CA43A5">
        <w:rPr>
          <w:sz w:val="26"/>
          <w:szCs w:val="26"/>
        </w:rPr>
        <w:t>, consistent with th</w:t>
      </w:r>
      <w:r w:rsidR="0008598C">
        <w:rPr>
          <w:sz w:val="26"/>
          <w:szCs w:val="26"/>
        </w:rPr>
        <w:t>is Opinion and Order</w:t>
      </w:r>
      <w:r w:rsidRPr="00CA43A5">
        <w:rPr>
          <w:sz w:val="26"/>
          <w:szCs w:val="26"/>
        </w:rPr>
        <w:t xml:space="preserve">; </w:t>
      </w:r>
      <w:r w:rsidRPr="00CA43A5">
        <w:rPr>
          <w:b/>
          <w:sz w:val="26"/>
          <w:szCs w:val="26"/>
        </w:rPr>
        <w:t>THEREFORE,</w:t>
      </w:r>
      <w:r w:rsidRPr="00CA43A5">
        <w:rPr>
          <w:sz w:val="26"/>
          <w:szCs w:val="26"/>
        </w:rPr>
        <w:t xml:space="preserve"> </w:t>
      </w:r>
    </w:p>
    <w:p w:rsidR="00CA43A5" w:rsidRPr="00CA43A5" w:rsidRDefault="00CA43A5" w:rsidP="00CA43A5">
      <w:pPr>
        <w:rPr>
          <w:sz w:val="26"/>
          <w:szCs w:val="26"/>
        </w:rPr>
      </w:pPr>
    </w:p>
    <w:p w:rsidR="00CA43A5" w:rsidRPr="00CA43A5" w:rsidRDefault="00CA43A5" w:rsidP="00CA43A5">
      <w:pPr>
        <w:ind w:firstLine="1440"/>
        <w:rPr>
          <w:b/>
          <w:sz w:val="26"/>
          <w:szCs w:val="26"/>
        </w:rPr>
      </w:pPr>
      <w:r w:rsidRPr="00CA43A5">
        <w:rPr>
          <w:b/>
          <w:sz w:val="26"/>
          <w:szCs w:val="26"/>
        </w:rPr>
        <w:t>IT IS ORDERED:</w:t>
      </w:r>
    </w:p>
    <w:p w:rsidR="00CA43A5" w:rsidRPr="00CA43A5" w:rsidRDefault="00CA43A5" w:rsidP="00CA43A5">
      <w:pPr>
        <w:rPr>
          <w:sz w:val="26"/>
          <w:szCs w:val="26"/>
        </w:rPr>
      </w:pPr>
    </w:p>
    <w:p w:rsidR="009155F7" w:rsidRDefault="009155F7" w:rsidP="00B80C43">
      <w:pPr>
        <w:numPr>
          <w:ilvl w:val="0"/>
          <w:numId w:val="1"/>
        </w:numPr>
        <w:tabs>
          <w:tab w:val="clear" w:pos="2160"/>
          <w:tab w:val="num" w:pos="0"/>
        </w:tabs>
        <w:spacing w:line="360" w:lineRule="auto"/>
        <w:ind w:left="0" w:firstLine="1440"/>
        <w:rPr>
          <w:sz w:val="26"/>
          <w:szCs w:val="26"/>
        </w:rPr>
      </w:pPr>
      <w:r>
        <w:rPr>
          <w:sz w:val="26"/>
          <w:szCs w:val="26"/>
        </w:rPr>
        <w:t>That the Exceptions of</w:t>
      </w:r>
      <w:r w:rsidR="009D4C89">
        <w:rPr>
          <w:sz w:val="26"/>
          <w:szCs w:val="26"/>
        </w:rPr>
        <w:t xml:space="preserve"> </w:t>
      </w:r>
      <w:r w:rsidR="00425F32">
        <w:rPr>
          <w:sz w:val="26"/>
          <w:szCs w:val="26"/>
        </w:rPr>
        <w:t>George W. Kopf, Jr.,</w:t>
      </w:r>
      <w:r w:rsidR="009D4C89">
        <w:rPr>
          <w:sz w:val="26"/>
          <w:szCs w:val="26"/>
        </w:rPr>
        <w:t xml:space="preserve"> filed on </w:t>
      </w:r>
      <w:r w:rsidR="00425F32">
        <w:rPr>
          <w:sz w:val="26"/>
          <w:szCs w:val="26"/>
        </w:rPr>
        <w:t>December 15, 2013</w:t>
      </w:r>
      <w:r w:rsidR="009D4C89">
        <w:rPr>
          <w:sz w:val="26"/>
          <w:szCs w:val="26"/>
        </w:rPr>
        <w:t xml:space="preserve">, </w:t>
      </w:r>
      <w:r>
        <w:rPr>
          <w:sz w:val="26"/>
          <w:szCs w:val="26"/>
        </w:rPr>
        <w:t xml:space="preserve">are </w:t>
      </w:r>
      <w:r w:rsidR="009D4C89">
        <w:rPr>
          <w:sz w:val="26"/>
          <w:szCs w:val="26"/>
        </w:rPr>
        <w:t>denied</w:t>
      </w:r>
      <w:r w:rsidR="003F51F4">
        <w:rPr>
          <w:sz w:val="26"/>
          <w:szCs w:val="26"/>
        </w:rPr>
        <w:t xml:space="preserve">, consistent with this Opinion </w:t>
      </w:r>
      <w:r w:rsidR="00B80C43">
        <w:rPr>
          <w:sz w:val="26"/>
          <w:szCs w:val="26"/>
        </w:rPr>
        <w:t>and Order</w:t>
      </w:r>
      <w:r>
        <w:rPr>
          <w:sz w:val="26"/>
          <w:szCs w:val="26"/>
        </w:rPr>
        <w:t>.</w:t>
      </w:r>
    </w:p>
    <w:p w:rsidR="0008598C" w:rsidRDefault="0008598C" w:rsidP="0008598C">
      <w:pPr>
        <w:spacing w:line="360" w:lineRule="auto"/>
        <w:ind w:left="1440"/>
        <w:rPr>
          <w:sz w:val="26"/>
          <w:szCs w:val="26"/>
        </w:rPr>
      </w:pPr>
    </w:p>
    <w:p w:rsidR="003F51F4" w:rsidRPr="009D4C89" w:rsidRDefault="009D4C89" w:rsidP="009D4C89">
      <w:pPr>
        <w:spacing w:line="360" w:lineRule="auto"/>
        <w:ind w:firstLine="1440"/>
        <w:rPr>
          <w:sz w:val="26"/>
          <w:szCs w:val="26"/>
        </w:rPr>
      </w:pPr>
      <w:r>
        <w:rPr>
          <w:sz w:val="26"/>
          <w:szCs w:val="26"/>
        </w:rPr>
        <w:t>2.</w:t>
      </w:r>
      <w:r>
        <w:rPr>
          <w:sz w:val="26"/>
          <w:szCs w:val="26"/>
        </w:rPr>
        <w:tab/>
      </w:r>
      <w:r w:rsidR="00CA43A5" w:rsidRPr="009D4C89">
        <w:rPr>
          <w:sz w:val="26"/>
          <w:szCs w:val="26"/>
        </w:rPr>
        <w:t xml:space="preserve">That the Initial Decision of Administrative Law Judge </w:t>
      </w:r>
      <w:r w:rsidR="002709CD">
        <w:rPr>
          <w:sz w:val="26"/>
          <w:szCs w:val="26"/>
        </w:rPr>
        <w:t xml:space="preserve">                 </w:t>
      </w:r>
      <w:r w:rsidR="00B56D48">
        <w:rPr>
          <w:color w:val="000000"/>
          <w:sz w:val="26"/>
        </w:rPr>
        <w:t xml:space="preserve">David A. Salapa, </w:t>
      </w:r>
      <w:r w:rsidRPr="009D4C89">
        <w:rPr>
          <w:color w:val="000000"/>
          <w:sz w:val="26"/>
        </w:rPr>
        <w:t xml:space="preserve">issued on </w:t>
      </w:r>
      <w:r w:rsidR="00425F32">
        <w:rPr>
          <w:color w:val="000000"/>
          <w:sz w:val="26"/>
        </w:rPr>
        <w:t>December 6, 2012</w:t>
      </w:r>
      <w:r w:rsidRPr="009D4C89">
        <w:rPr>
          <w:color w:val="000000"/>
          <w:sz w:val="26"/>
        </w:rPr>
        <w:t>,</w:t>
      </w:r>
      <w:r w:rsidR="00CA43A5" w:rsidRPr="009D4C89">
        <w:rPr>
          <w:sz w:val="26"/>
          <w:szCs w:val="26"/>
        </w:rPr>
        <w:t xml:space="preserve"> is </w:t>
      </w:r>
      <w:r w:rsidRPr="009D4C89">
        <w:rPr>
          <w:sz w:val="26"/>
          <w:szCs w:val="26"/>
        </w:rPr>
        <w:t>adopted</w:t>
      </w:r>
      <w:r w:rsidR="00CA43A5" w:rsidRPr="009D4C89">
        <w:rPr>
          <w:sz w:val="26"/>
          <w:szCs w:val="26"/>
        </w:rPr>
        <w:t>, consistent with this Opinion and Order.</w:t>
      </w:r>
    </w:p>
    <w:p w:rsidR="00CA43A5" w:rsidRDefault="00CA43A5" w:rsidP="00CA43A5">
      <w:pPr>
        <w:spacing w:line="360" w:lineRule="auto"/>
        <w:ind w:firstLine="1440"/>
        <w:rPr>
          <w:sz w:val="26"/>
          <w:szCs w:val="26"/>
        </w:rPr>
      </w:pPr>
    </w:p>
    <w:p w:rsidR="009D4C89" w:rsidRDefault="009D4C89" w:rsidP="00CA43A5">
      <w:pPr>
        <w:spacing w:line="360" w:lineRule="auto"/>
        <w:ind w:firstLine="1440"/>
        <w:rPr>
          <w:sz w:val="26"/>
          <w:szCs w:val="26"/>
        </w:rPr>
      </w:pPr>
      <w:r>
        <w:rPr>
          <w:sz w:val="26"/>
          <w:szCs w:val="26"/>
        </w:rPr>
        <w:t>3.</w:t>
      </w:r>
      <w:r>
        <w:rPr>
          <w:sz w:val="26"/>
          <w:szCs w:val="26"/>
        </w:rPr>
        <w:tab/>
        <w:t xml:space="preserve">That the Complaint of </w:t>
      </w:r>
      <w:r w:rsidR="00425F32">
        <w:rPr>
          <w:sz w:val="26"/>
          <w:szCs w:val="26"/>
        </w:rPr>
        <w:t xml:space="preserve">George W. Kopf, Jr., </w:t>
      </w:r>
      <w:r>
        <w:rPr>
          <w:sz w:val="26"/>
          <w:szCs w:val="26"/>
        </w:rPr>
        <w:t xml:space="preserve">against </w:t>
      </w:r>
      <w:r w:rsidR="00425F32">
        <w:rPr>
          <w:sz w:val="26"/>
          <w:szCs w:val="26"/>
        </w:rPr>
        <w:t>PECO Energy Company</w:t>
      </w:r>
      <w:r w:rsidR="0008598C">
        <w:rPr>
          <w:sz w:val="26"/>
          <w:szCs w:val="26"/>
        </w:rPr>
        <w:t>,</w:t>
      </w:r>
      <w:r>
        <w:rPr>
          <w:sz w:val="26"/>
          <w:szCs w:val="26"/>
        </w:rPr>
        <w:t xml:space="preserve"> at Docket No. </w:t>
      </w:r>
      <w:r w:rsidR="00425F32">
        <w:rPr>
          <w:sz w:val="26"/>
          <w:szCs w:val="26"/>
        </w:rPr>
        <w:t>C-2012-2332993</w:t>
      </w:r>
      <w:r w:rsidR="0008598C">
        <w:rPr>
          <w:sz w:val="26"/>
          <w:szCs w:val="26"/>
        </w:rPr>
        <w:t>,</w:t>
      </w:r>
      <w:r>
        <w:rPr>
          <w:sz w:val="26"/>
          <w:szCs w:val="26"/>
        </w:rPr>
        <w:t xml:space="preserve"> is </w:t>
      </w:r>
      <w:r w:rsidR="000E33AF">
        <w:rPr>
          <w:sz w:val="26"/>
          <w:szCs w:val="26"/>
        </w:rPr>
        <w:t>dismissed</w:t>
      </w:r>
      <w:r>
        <w:rPr>
          <w:sz w:val="26"/>
          <w:szCs w:val="26"/>
        </w:rPr>
        <w:t xml:space="preserve">. </w:t>
      </w:r>
    </w:p>
    <w:p w:rsidR="009D7D01" w:rsidRDefault="009D7D01">
      <w:pPr>
        <w:widowControl/>
        <w:spacing w:after="200" w:line="276" w:lineRule="auto"/>
        <w:rPr>
          <w:sz w:val="26"/>
          <w:szCs w:val="26"/>
        </w:rPr>
      </w:pPr>
      <w:r>
        <w:rPr>
          <w:sz w:val="26"/>
          <w:szCs w:val="26"/>
        </w:rPr>
        <w:br w:type="page"/>
      </w:r>
    </w:p>
    <w:p w:rsidR="00372487" w:rsidRPr="00CA43A5" w:rsidRDefault="00372487" w:rsidP="00CA43A5">
      <w:pPr>
        <w:spacing w:line="360" w:lineRule="auto"/>
        <w:ind w:firstLine="1440"/>
        <w:rPr>
          <w:sz w:val="26"/>
          <w:szCs w:val="26"/>
        </w:rPr>
      </w:pPr>
      <w:r>
        <w:rPr>
          <w:sz w:val="26"/>
          <w:szCs w:val="26"/>
        </w:rPr>
        <w:lastRenderedPageBreak/>
        <w:t>4.</w:t>
      </w:r>
      <w:r>
        <w:rPr>
          <w:sz w:val="26"/>
          <w:szCs w:val="26"/>
        </w:rPr>
        <w:tab/>
      </w:r>
      <w:r w:rsidR="008855BB">
        <w:rPr>
          <w:sz w:val="26"/>
          <w:szCs w:val="26"/>
        </w:rPr>
        <w:t>That this proceeding shall be marked closed.</w:t>
      </w:r>
    </w:p>
    <w:p w:rsidR="00CA43A5" w:rsidRPr="00CA43A5" w:rsidRDefault="00CA43A5" w:rsidP="00CA43A5">
      <w:pPr>
        <w:rPr>
          <w:sz w:val="26"/>
          <w:szCs w:val="26"/>
        </w:rPr>
      </w:pPr>
    </w:p>
    <w:p w:rsidR="00CA43A5" w:rsidRPr="00CA43A5" w:rsidRDefault="00C35F2F" w:rsidP="00CA43A5">
      <w:pPr>
        <w:rPr>
          <w:sz w:val="26"/>
          <w:szCs w:val="26"/>
        </w:rPr>
      </w:pPr>
      <w:bookmarkStart w:id="8" w:name="_GoBack"/>
      <w:r>
        <w:rPr>
          <w:noProof/>
        </w:rPr>
        <w:drawing>
          <wp:anchor distT="0" distB="0" distL="114300" distR="114300" simplePos="0" relativeHeight="251659264" behindDoc="1" locked="0" layoutInCell="1" allowOverlap="1" wp14:anchorId="5676F6C9" wp14:editId="2CE65B5B">
            <wp:simplePos x="0" y="0"/>
            <wp:positionH relativeFrom="column">
              <wp:posOffset>2933700</wp:posOffset>
            </wp:positionH>
            <wp:positionV relativeFrom="paragraph">
              <wp:posOffset>173355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8"/>
    </w:p>
    <w:p w:rsidR="00CA43A5" w:rsidRPr="00CA43A5" w:rsidRDefault="00CA43A5" w:rsidP="00857172">
      <w:pPr>
        <w:tabs>
          <w:tab w:val="left" w:pos="-720"/>
        </w:tabs>
        <w:ind w:firstLine="5040"/>
        <w:rPr>
          <w:sz w:val="26"/>
          <w:szCs w:val="26"/>
        </w:rPr>
      </w:pPr>
      <w:r w:rsidRPr="00CA43A5">
        <w:rPr>
          <w:b/>
          <w:sz w:val="26"/>
          <w:szCs w:val="26"/>
        </w:rPr>
        <w:t>BY THE COMMISSION,</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564565" w:rsidP="00857172">
      <w:pPr>
        <w:tabs>
          <w:tab w:val="left" w:pos="-720"/>
        </w:tabs>
        <w:ind w:firstLine="5040"/>
        <w:rPr>
          <w:b/>
          <w:sz w:val="26"/>
          <w:szCs w:val="26"/>
        </w:rPr>
      </w:pPr>
      <w:r>
        <w:rPr>
          <w:sz w:val="26"/>
          <w:szCs w:val="26"/>
        </w:rPr>
        <w:t>Rosemary Chiavetta</w:t>
      </w:r>
    </w:p>
    <w:p w:rsidR="00CA43A5" w:rsidRPr="00CA43A5" w:rsidRDefault="00CA43A5" w:rsidP="00857172">
      <w:pPr>
        <w:tabs>
          <w:tab w:val="left" w:pos="-720"/>
        </w:tabs>
        <w:ind w:firstLine="5040"/>
        <w:rPr>
          <w:sz w:val="26"/>
          <w:szCs w:val="26"/>
        </w:rPr>
      </w:pPr>
      <w:r w:rsidRPr="00CA43A5">
        <w:rPr>
          <w:sz w:val="26"/>
          <w:szCs w:val="26"/>
        </w:rPr>
        <w:t>Secretary</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(SEAL)</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ORDER ADOPTED:</w:t>
      </w:r>
      <w:r w:rsidR="009D4C89">
        <w:rPr>
          <w:sz w:val="26"/>
          <w:szCs w:val="26"/>
        </w:rPr>
        <w:t xml:space="preserve">  </w:t>
      </w:r>
      <w:r w:rsidR="00425F32">
        <w:rPr>
          <w:sz w:val="26"/>
          <w:szCs w:val="26"/>
        </w:rPr>
        <w:t>June 13</w:t>
      </w:r>
      <w:r w:rsidR="002A60F5">
        <w:rPr>
          <w:sz w:val="26"/>
          <w:szCs w:val="26"/>
        </w:rPr>
        <w:t>, 2013</w:t>
      </w:r>
      <w:r w:rsidRPr="00CA43A5">
        <w:rPr>
          <w:sz w:val="26"/>
          <w:szCs w:val="26"/>
        </w:rPr>
        <w:t xml:space="preserve"> </w:t>
      </w:r>
    </w:p>
    <w:p w:rsidR="00857172" w:rsidRDefault="00857172"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 xml:space="preserve">ORDER ENTERED:  </w:t>
      </w:r>
      <w:r w:rsidR="00C35F2F">
        <w:rPr>
          <w:sz w:val="26"/>
          <w:szCs w:val="26"/>
        </w:rPr>
        <w:t xml:space="preserve"> June 13, 2013</w:t>
      </w:r>
    </w:p>
    <w:p w:rsidR="00344804" w:rsidRPr="00CA43A5" w:rsidRDefault="00344804" w:rsidP="00344804">
      <w:pPr>
        <w:ind w:right="360"/>
        <w:rPr>
          <w:sz w:val="26"/>
          <w:szCs w:val="26"/>
        </w:rPr>
      </w:pPr>
    </w:p>
    <w:sectPr w:rsidR="00344804" w:rsidRPr="00CA43A5" w:rsidSect="00F9641D">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075" w:rsidRDefault="004E1075" w:rsidP="001B7DA2">
      <w:r>
        <w:separator/>
      </w:r>
    </w:p>
  </w:endnote>
  <w:endnote w:type="continuationSeparator" w:id="0">
    <w:p w:rsidR="004E1075" w:rsidRDefault="004E1075" w:rsidP="001B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71551"/>
      <w:docPartObj>
        <w:docPartGallery w:val="Page Numbers (Bottom of Page)"/>
        <w:docPartUnique/>
      </w:docPartObj>
    </w:sdtPr>
    <w:sdtEndPr>
      <w:rPr>
        <w:noProof/>
      </w:rPr>
    </w:sdtEndPr>
    <w:sdtContent>
      <w:p w:rsidR="00F9641D" w:rsidRDefault="00F9641D">
        <w:pPr>
          <w:pStyle w:val="Footer"/>
          <w:jc w:val="center"/>
        </w:pPr>
        <w:r w:rsidRPr="0049396D">
          <w:rPr>
            <w:sz w:val="26"/>
            <w:szCs w:val="26"/>
          </w:rPr>
          <w:fldChar w:fldCharType="begin"/>
        </w:r>
        <w:r w:rsidRPr="0049396D">
          <w:rPr>
            <w:sz w:val="26"/>
            <w:szCs w:val="26"/>
          </w:rPr>
          <w:instrText xml:space="preserve"> PAGE   \* MERGEFORMAT </w:instrText>
        </w:r>
        <w:r w:rsidRPr="0049396D">
          <w:rPr>
            <w:sz w:val="26"/>
            <w:szCs w:val="26"/>
          </w:rPr>
          <w:fldChar w:fldCharType="separate"/>
        </w:r>
        <w:r w:rsidR="00C35F2F">
          <w:rPr>
            <w:noProof/>
            <w:sz w:val="26"/>
            <w:szCs w:val="26"/>
          </w:rPr>
          <w:t>14</w:t>
        </w:r>
        <w:r w:rsidRPr="0049396D">
          <w:rPr>
            <w:noProof/>
            <w:sz w:val="26"/>
            <w:szCs w:val="26"/>
          </w:rPr>
          <w:fldChar w:fldCharType="end"/>
        </w:r>
      </w:p>
    </w:sdtContent>
  </w:sdt>
  <w:p w:rsidR="00F9641D" w:rsidRDefault="00F96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075" w:rsidRDefault="004E1075" w:rsidP="001B7DA2">
      <w:r>
        <w:separator/>
      </w:r>
    </w:p>
  </w:footnote>
  <w:footnote w:type="continuationSeparator" w:id="0">
    <w:p w:rsidR="004E1075" w:rsidRDefault="004E1075" w:rsidP="001B7DA2">
      <w:r>
        <w:continuationSeparator/>
      </w:r>
    </w:p>
  </w:footnote>
  <w:footnote w:id="1">
    <w:p w:rsidR="006E1E68" w:rsidRDefault="006E1E68" w:rsidP="00224CFA">
      <w:pPr>
        <w:pStyle w:val="FootnoteText"/>
        <w:ind w:firstLine="720"/>
        <w:rPr>
          <w:sz w:val="26"/>
          <w:szCs w:val="26"/>
        </w:rPr>
      </w:pPr>
      <w:r w:rsidRPr="006E1E68">
        <w:rPr>
          <w:rStyle w:val="FootnoteReference"/>
          <w:sz w:val="26"/>
          <w:szCs w:val="26"/>
        </w:rPr>
        <w:footnoteRef/>
      </w:r>
      <w:r w:rsidRPr="006E1E68">
        <w:rPr>
          <w:sz w:val="26"/>
          <w:szCs w:val="26"/>
        </w:rPr>
        <w:t xml:space="preserve"> </w:t>
      </w:r>
      <w:r>
        <w:rPr>
          <w:sz w:val="26"/>
          <w:szCs w:val="26"/>
        </w:rPr>
        <w:tab/>
      </w:r>
      <w:r w:rsidR="00224CFA">
        <w:rPr>
          <w:sz w:val="26"/>
          <w:szCs w:val="26"/>
        </w:rPr>
        <w:t>“F</w:t>
      </w:r>
      <w:r w:rsidR="00EA5DEB">
        <w:rPr>
          <w:sz w:val="26"/>
          <w:szCs w:val="26"/>
        </w:rPr>
        <w:t>oreign load</w:t>
      </w:r>
      <w:r w:rsidR="00224CFA">
        <w:rPr>
          <w:sz w:val="26"/>
          <w:szCs w:val="26"/>
        </w:rPr>
        <w:t>”</w:t>
      </w:r>
      <w:r w:rsidR="00EA5DEB">
        <w:rPr>
          <w:sz w:val="26"/>
          <w:szCs w:val="26"/>
        </w:rPr>
        <w:t xml:space="preserve"> </w:t>
      </w:r>
      <w:r w:rsidR="00224CFA">
        <w:rPr>
          <w:sz w:val="26"/>
          <w:szCs w:val="26"/>
        </w:rPr>
        <w:t xml:space="preserve">refers to </w:t>
      </w:r>
      <w:r w:rsidR="00EA5DEB">
        <w:rPr>
          <w:sz w:val="26"/>
          <w:szCs w:val="26"/>
        </w:rPr>
        <w:t xml:space="preserve">utility service which is not related to serving a tenant, but for which the tenant is being billed.  </w:t>
      </w:r>
      <w:r w:rsidR="00EA5DEB" w:rsidRPr="00B378C2">
        <w:rPr>
          <w:i/>
          <w:sz w:val="26"/>
        </w:rPr>
        <w:t>S</w:t>
      </w:r>
      <w:r w:rsidR="00EA5DEB" w:rsidRPr="004B07B9">
        <w:rPr>
          <w:i/>
          <w:sz w:val="26"/>
        </w:rPr>
        <w:t>antos v. Metropolitan Edison</w:t>
      </w:r>
      <w:r w:rsidR="00EA5DEB">
        <w:rPr>
          <w:i/>
          <w:sz w:val="26"/>
        </w:rPr>
        <w:t xml:space="preserve"> Co.</w:t>
      </w:r>
      <w:r w:rsidR="00EA5DEB" w:rsidRPr="004B07B9">
        <w:rPr>
          <w:sz w:val="26"/>
        </w:rPr>
        <w:t xml:space="preserve">, </w:t>
      </w:r>
      <w:r w:rsidR="00EA5DEB">
        <w:rPr>
          <w:sz w:val="26"/>
          <w:szCs w:val="26"/>
        </w:rPr>
        <w:t xml:space="preserve">Docket No. C-00967757 (Order entered August 7, 1997).  </w:t>
      </w:r>
      <w:r w:rsidR="00224CFA">
        <w:rPr>
          <w:sz w:val="26"/>
          <w:szCs w:val="26"/>
        </w:rPr>
        <w:t xml:space="preserve">It occurs when a tenant’s meter registers usage for utility service provided to a dwelling unit or units other than the tenant’s or to a common area of a building such as hallway lighting or to communal laundry room appliances.  </w:t>
      </w:r>
      <w:r w:rsidR="00B60A62">
        <w:rPr>
          <w:sz w:val="26"/>
          <w:szCs w:val="26"/>
        </w:rPr>
        <w:t xml:space="preserve">  </w:t>
      </w:r>
    </w:p>
    <w:p w:rsidR="003F1B1F" w:rsidRPr="006E1E68" w:rsidRDefault="003F1B1F" w:rsidP="00EE6EBC">
      <w:pPr>
        <w:pStyle w:val="FootnoteText"/>
        <w:rPr>
          <w:sz w:val="26"/>
          <w:szCs w:val="26"/>
        </w:rPr>
      </w:pPr>
    </w:p>
  </w:footnote>
  <w:footnote w:id="2">
    <w:p w:rsidR="00192094" w:rsidRPr="00192094" w:rsidRDefault="00192094" w:rsidP="00192094">
      <w:pPr>
        <w:pStyle w:val="FootnoteText"/>
        <w:ind w:firstLine="720"/>
        <w:rPr>
          <w:sz w:val="26"/>
          <w:szCs w:val="26"/>
        </w:rPr>
      </w:pPr>
      <w:r w:rsidRPr="00192094">
        <w:rPr>
          <w:rStyle w:val="FootnoteReference"/>
          <w:sz w:val="26"/>
          <w:szCs w:val="26"/>
        </w:rPr>
        <w:footnoteRef/>
      </w:r>
      <w:r w:rsidRPr="00192094">
        <w:rPr>
          <w:sz w:val="26"/>
          <w:szCs w:val="26"/>
        </w:rPr>
        <w:t xml:space="preserve"> </w:t>
      </w:r>
      <w:r>
        <w:rPr>
          <w:sz w:val="26"/>
          <w:szCs w:val="26"/>
        </w:rPr>
        <w:tab/>
        <w:t xml:space="preserve">Attached to the Complaint are the lease to the Service Address and a letter from Ms. DelRaso dated </w:t>
      </w:r>
      <w:r>
        <w:rPr>
          <w:sz w:val="26"/>
          <w:szCs w:val="24"/>
        </w:rPr>
        <w:t xml:space="preserve">October 21, 2012, stating she has always been responsible for the electricity service to the hallway and outdoor lights and that she </w:t>
      </w:r>
      <w:r w:rsidR="0096697B">
        <w:rPr>
          <w:sz w:val="26"/>
          <w:szCs w:val="24"/>
        </w:rPr>
        <w:t>a</w:t>
      </w:r>
      <w:r>
        <w:rPr>
          <w:sz w:val="26"/>
          <w:szCs w:val="24"/>
        </w:rPr>
        <w:t xml:space="preserve">grees to continue payment for the electric service.  </w:t>
      </w:r>
      <w:r w:rsidR="003F1B1F">
        <w:rPr>
          <w:sz w:val="26"/>
          <w:szCs w:val="24"/>
        </w:rPr>
        <w:t xml:space="preserve">Also attached is a letter from the Respondent to the Complainant dated October 15, 2012, pertaining to a PECO inspection on October 10, 2012, in response to a high bill complaint.  The letter stated that the Respondent’s field technician discovered the presence of foreign wiring for electric service to an outdoor light and lights in a common hall on the second floor.  According to the letter, Section 1529.1 of the Code requires PECO to transfer the account for the </w:t>
      </w:r>
      <w:r w:rsidR="006B4DA1">
        <w:rPr>
          <w:sz w:val="26"/>
          <w:szCs w:val="24"/>
        </w:rPr>
        <w:t>Service A</w:t>
      </w:r>
      <w:r w:rsidR="003F1B1F">
        <w:rPr>
          <w:sz w:val="26"/>
          <w:szCs w:val="24"/>
        </w:rPr>
        <w:t xml:space="preserve">ddress from </w:t>
      </w:r>
      <w:r w:rsidR="00390F18">
        <w:rPr>
          <w:sz w:val="26"/>
          <w:szCs w:val="24"/>
        </w:rPr>
        <w:t xml:space="preserve">the tenant to the Complainant. </w:t>
      </w:r>
      <w:r w:rsidR="003F1B1F">
        <w:rPr>
          <w:sz w:val="26"/>
          <w:szCs w:val="24"/>
        </w:rPr>
        <w:t xml:space="preserve"> Further, the letter explained that the account could be transferred back to the tenant after an electrician corrected the wiring for the apartment.  </w:t>
      </w:r>
      <w:r>
        <w:rPr>
          <w:i/>
          <w:sz w:val="26"/>
          <w:szCs w:val="24"/>
        </w:rPr>
        <w:t>Id.</w:t>
      </w:r>
      <w:r>
        <w:rPr>
          <w:sz w:val="26"/>
          <w:szCs w:val="24"/>
        </w:rPr>
        <w:t>; Complaint Exhs.</w:t>
      </w:r>
    </w:p>
  </w:footnote>
  <w:footnote w:id="3">
    <w:p w:rsidR="00F17CF1" w:rsidRDefault="00655657" w:rsidP="00C16E76">
      <w:pPr>
        <w:pStyle w:val="FootnoteText"/>
        <w:tabs>
          <w:tab w:val="left" w:pos="720"/>
          <w:tab w:val="left" w:pos="1440"/>
        </w:tabs>
        <w:rPr>
          <w:sz w:val="26"/>
        </w:rPr>
      </w:pPr>
      <w:r>
        <w:tab/>
      </w:r>
      <w:r w:rsidRPr="0039381B">
        <w:rPr>
          <w:rStyle w:val="FootnoteReference"/>
          <w:sz w:val="26"/>
          <w:szCs w:val="26"/>
        </w:rPr>
        <w:footnoteRef/>
      </w:r>
      <w:r w:rsidRPr="0039381B">
        <w:rPr>
          <w:sz w:val="26"/>
          <w:szCs w:val="26"/>
        </w:rPr>
        <w:t xml:space="preserve"> </w:t>
      </w:r>
      <w:r>
        <w:tab/>
      </w:r>
      <w:r w:rsidRPr="00655657">
        <w:rPr>
          <w:sz w:val="26"/>
        </w:rPr>
        <w:t>We acknowledge that the format of the Complainant’s Exceptions does not strictly comply with Section 5.533(b) of our Regulations, 52 Pa. Code § 5.533(b), which requires that exceptions be numbered, identify the finding of fact and conclusion</w:t>
      </w:r>
      <w:r w:rsidR="006626F6">
        <w:rPr>
          <w:sz w:val="26"/>
        </w:rPr>
        <w:t>s</w:t>
      </w:r>
      <w:r w:rsidRPr="00655657">
        <w:rPr>
          <w:sz w:val="26"/>
        </w:rPr>
        <w:t xml:space="preserve"> of law to which exception is taken, and cite to the relevant pages of the Initial Decision.  Nevertheless, particularly because the Complainant is appearing </w:t>
      </w:r>
      <w:r w:rsidRPr="00655657">
        <w:rPr>
          <w:i/>
          <w:sz w:val="26"/>
        </w:rPr>
        <w:t>pro se</w:t>
      </w:r>
      <w:r w:rsidRPr="00655657">
        <w:rPr>
          <w:sz w:val="26"/>
        </w:rPr>
        <w:t>, we will accept the Exceptions as filed pursuant to Section 1.2(</w:t>
      </w:r>
      <w:r>
        <w:rPr>
          <w:sz w:val="26"/>
        </w:rPr>
        <w:t>a</w:t>
      </w:r>
      <w:r w:rsidRPr="00655657">
        <w:rPr>
          <w:sz w:val="26"/>
        </w:rPr>
        <w:t>) of our Regulations, 52 Pa.</w:t>
      </w:r>
      <w:r w:rsidR="007B5F19">
        <w:rPr>
          <w:sz w:val="26"/>
        </w:rPr>
        <w:t xml:space="preserve"> </w:t>
      </w:r>
      <w:r w:rsidRPr="00655657">
        <w:rPr>
          <w:sz w:val="26"/>
        </w:rPr>
        <w:t xml:space="preserve">Code </w:t>
      </w:r>
    </w:p>
    <w:p w:rsidR="00655657" w:rsidRPr="00655657" w:rsidRDefault="00655657" w:rsidP="00C16E76">
      <w:pPr>
        <w:pStyle w:val="FootnoteText"/>
        <w:tabs>
          <w:tab w:val="left" w:pos="720"/>
          <w:tab w:val="left" w:pos="1440"/>
        </w:tabs>
      </w:pPr>
      <w:r w:rsidRPr="00655657">
        <w:rPr>
          <w:sz w:val="26"/>
        </w:rPr>
        <w:t>§ 1.2(</w:t>
      </w:r>
      <w:r w:rsidR="001117FF">
        <w:rPr>
          <w:sz w:val="26"/>
        </w:rPr>
        <w:t>a</w:t>
      </w:r>
      <w:r w:rsidRPr="00655657">
        <w:rPr>
          <w:sz w:val="26"/>
        </w:rPr>
        <w:t>)</w:t>
      </w:r>
      <w:r>
        <w:rPr>
          <w:sz w:val="26"/>
        </w:rPr>
        <w:t>, in order to secure a just, speedy, and inexpensive determination</w:t>
      </w:r>
      <w:r w:rsidRPr="00655657">
        <w:rPr>
          <w:sz w:val="26"/>
        </w:rPr>
        <w:t>.</w:t>
      </w:r>
      <w:r w:rsidR="00515B78">
        <w:rPr>
          <w:sz w:val="26"/>
        </w:rPr>
        <w:t xml:space="preserve">  </w:t>
      </w:r>
      <w:r w:rsidRPr="00655657">
        <w:rPr>
          <w:sz w:val="26"/>
        </w:rPr>
        <w:t xml:space="preserve">  </w:t>
      </w:r>
    </w:p>
    <w:p w:rsidR="00655657" w:rsidRDefault="00655657" w:rsidP="00655657">
      <w:pPr>
        <w:pStyle w:val="FootnoteText"/>
        <w:ind w:firstLine="720"/>
      </w:pPr>
    </w:p>
  </w:footnote>
  <w:footnote w:id="4">
    <w:p w:rsidR="00280033" w:rsidRPr="00280033" w:rsidRDefault="00280033" w:rsidP="00280033">
      <w:pPr>
        <w:pStyle w:val="FootnoteText"/>
        <w:ind w:firstLine="720"/>
        <w:rPr>
          <w:sz w:val="26"/>
          <w:szCs w:val="26"/>
        </w:rPr>
      </w:pPr>
      <w:r w:rsidRPr="00280033">
        <w:rPr>
          <w:rStyle w:val="FootnoteReference"/>
          <w:sz w:val="26"/>
          <w:szCs w:val="26"/>
        </w:rPr>
        <w:footnoteRef/>
      </w:r>
      <w:r w:rsidRPr="00280033">
        <w:rPr>
          <w:sz w:val="26"/>
          <w:szCs w:val="26"/>
        </w:rPr>
        <w:t xml:space="preserve"> </w:t>
      </w:r>
      <w:r>
        <w:rPr>
          <w:sz w:val="26"/>
          <w:szCs w:val="26"/>
        </w:rPr>
        <w:tab/>
        <w:t>In addition, the Complainant on April 15, 2013, filed a letter</w:t>
      </w:r>
      <w:r w:rsidR="00B61C7E">
        <w:rPr>
          <w:sz w:val="26"/>
          <w:szCs w:val="26"/>
        </w:rPr>
        <w:t xml:space="preserve"> with the Commission</w:t>
      </w:r>
      <w:r>
        <w:rPr>
          <w:sz w:val="26"/>
          <w:szCs w:val="26"/>
        </w:rPr>
        <w:t xml:space="preserve"> stating that Ms. DelRaso’s lease expired on April 15, 2013, and that she will be moving from the Service Address. </w:t>
      </w:r>
      <w:r w:rsidR="00B61C7E">
        <w:rPr>
          <w:sz w:val="26"/>
          <w:szCs w:val="26"/>
        </w:rPr>
        <w:t xml:space="preserve"> As a result of the lease termination, Mr. Kopf states: “I feel this should dismiss the case as she will no longer have a complaint.”  Complainant’s Letter dated April, 12, 2013.  </w:t>
      </w:r>
    </w:p>
  </w:footnote>
  <w:footnote w:id="5">
    <w:p w:rsidR="004B07B9" w:rsidRDefault="004B07B9" w:rsidP="00685105">
      <w:pPr>
        <w:pStyle w:val="FootnoteText"/>
        <w:ind w:firstLine="720"/>
        <w:rPr>
          <w:sz w:val="26"/>
        </w:rPr>
      </w:pPr>
      <w:r w:rsidRPr="00DA1566">
        <w:rPr>
          <w:rStyle w:val="FootnoteReference"/>
          <w:sz w:val="26"/>
          <w:szCs w:val="26"/>
        </w:rPr>
        <w:footnoteRef/>
      </w:r>
      <w:r w:rsidRPr="00DA1566">
        <w:rPr>
          <w:sz w:val="26"/>
          <w:szCs w:val="26"/>
        </w:rPr>
        <w:t xml:space="preserve"> </w:t>
      </w:r>
      <w:r>
        <w:tab/>
      </w:r>
      <w:r>
        <w:rPr>
          <w:sz w:val="26"/>
        </w:rPr>
        <w:t>In reaching his determination, t</w:t>
      </w:r>
      <w:r w:rsidRPr="004B07B9">
        <w:rPr>
          <w:sz w:val="26"/>
        </w:rPr>
        <w:t xml:space="preserve">he ALJ </w:t>
      </w:r>
      <w:r w:rsidR="00707CCB">
        <w:rPr>
          <w:sz w:val="26"/>
        </w:rPr>
        <w:t xml:space="preserve">examined </w:t>
      </w:r>
      <w:r w:rsidR="00707CCB">
        <w:rPr>
          <w:sz w:val="26"/>
          <w:szCs w:val="26"/>
        </w:rPr>
        <w:t>Section 1529.1 of the Code, 66 Pa. C.S. § 1529.1, and applicable Commission decisions</w:t>
      </w:r>
      <w:r w:rsidR="00707CCB" w:rsidRPr="004B07B9">
        <w:rPr>
          <w:sz w:val="26"/>
        </w:rPr>
        <w:t xml:space="preserve"> </w:t>
      </w:r>
      <w:r w:rsidR="00707CCB">
        <w:rPr>
          <w:sz w:val="26"/>
        </w:rPr>
        <w:t xml:space="preserve">including </w:t>
      </w:r>
      <w:r w:rsidR="00685105">
        <w:rPr>
          <w:i/>
          <w:sz w:val="26"/>
        </w:rPr>
        <w:t>Corazzi</w:t>
      </w:r>
      <w:r w:rsidR="00B02494">
        <w:rPr>
          <w:i/>
          <w:sz w:val="26"/>
        </w:rPr>
        <w:t xml:space="preserve">ni v. UGI Penn Natural Gas, Inc., </w:t>
      </w:r>
      <w:r w:rsidR="00B02494">
        <w:rPr>
          <w:sz w:val="26"/>
        </w:rPr>
        <w:t xml:space="preserve">Docket No. F-2009-2101282 (Order entered July 16, 2010), </w:t>
      </w:r>
      <w:r w:rsidR="00B378C2" w:rsidRPr="004B07B9">
        <w:rPr>
          <w:i/>
          <w:sz w:val="26"/>
        </w:rPr>
        <w:t>Ace Check Cashing, Inc. v. Philadelphia Gas Works</w:t>
      </w:r>
      <w:r w:rsidR="00B378C2" w:rsidRPr="004B07B9">
        <w:rPr>
          <w:sz w:val="26"/>
        </w:rPr>
        <w:t>, Docket No.</w:t>
      </w:r>
      <w:r w:rsidR="00B02494">
        <w:rPr>
          <w:sz w:val="26"/>
        </w:rPr>
        <w:t xml:space="preserve"> </w:t>
      </w:r>
      <w:r w:rsidR="00B378C2" w:rsidRPr="004B07B9">
        <w:rPr>
          <w:sz w:val="26"/>
        </w:rPr>
        <w:t>C-2008-2056428 (Order entered May 21, 2010)</w:t>
      </w:r>
      <w:r w:rsidR="00B02494">
        <w:rPr>
          <w:sz w:val="26"/>
        </w:rPr>
        <w:t xml:space="preserve">, </w:t>
      </w:r>
      <w:r w:rsidR="00B378C2">
        <w:rPr>
          <w:sz w:val="26"/>
        </w:rPr>
        <w:t xml:space="preserve">and </w:t>
      </w:r>
      <w:r w:rsidR="00B378C2" w:rsidRPr="00B378C2">
        <w:rPr>
          <w:i/>
          <w:sz w:val="26"/>
        </w:rPr>
        <w:t>S</w:t>
      </w:r>
      <w:r w:rsidRPr="004B07B9">
        <w:rPr>
          <w:i/>
          <w:sz w:val="26"/>
        </w:rPr>
        <w:t>antos v. Metropolitan Edison</w:t>
      </w:r>
      <w:r w:rsidR="00325D89">
        <w:rPr>
          <w:i/>
          <w:sz w:val="26"/>
        </w:rPr>
        <w:t xml:space="preserve"> Co.</w:t>
      </w:r>
      <w:r w:rsidRPr="004B07B9">
        <w:rPr>
          <w:sz w:val="26"/>
        </w:rPr>
        <w:t xml:space="preserve">, </w:t>
      </w:r>
      <w:r w:rsidR="00B02494">
        <w:rPr>
          <w:sz w:val="26"/>
          <w:szCs w:val="26"/>
        </w:rPr>
        <w:t>Docket No. C-00967757 (Order entered August 7, 1997)</w:t>
      </w:r>
      <w:r w:rsidR="00B378C2">
        <w:rPr>
          <w:sz w:val="26"/>
          <w:szCs w:val="26"/>
        </w:rPr>
        <w:t>.</w:t>
      </w:r>
      <w:r w:rsidRPr="004B07B9">
        <w:rPr>
          <w:sz w:val="26"/>
        </w:rPr>
        <w:t xml:space="preserve"> </w:t>
      </w:r>
    </w:p>
    <w:p w:rsidR="004B07B9" w:rsidRDefault="004B07B9" w:rsidP="004B07B9">
      <w:pPr>
        <w:pStyle w:val="FootnoteText"/>
      </w:pPr>
    </w:p>
  </w:footnote>
  <w:footnote w:id="6">
    <w:p w:rsidR="00FA6905" w:rsidRDefault="00FA6905" w:rsidP="009D7D01">
      <w:pPr>
        <w:ind w:firstLine="720"/>
        <w:rPr>
          <w:sz w:val="26"/>
          <w:szCs w:val="26"/>
        </w:rPr>
      </w:pPr>
      <w:r w:rsidRPr="00FA6905">
        <w:rPr>
          <w:rStyle w:val="FootnoteReference"/>
          <w:sz w:val="26"/>
          <w:szCs w:val="26"/>
        </w:rPr>
        <w:footnoteRef/>
      </w:r>
      <w:r w:rsidRPr="00FA6905">
        <w:rPr>
          <w:sz w:val="26"/>
          <w:szCs w:val="26"/>
        </w:rPr>
        <w:t xml:space="preserve"> </w:t>
      </w:r>
      <w:r>
        <w:rPr>
          <w:sz w:val="26"/>
          <w:szCs w:val="26"/>
        </w:rPr>
        <w:tab/>
      </w:r>
      <w:r>
        <w:rPr>
          <w:sz w:val="26"/>
          <w:szCs w:val="24"/>
        </w:rPr>
        <w:t xml:space="preserve">In response to the Revised Replies to Exceptions, Mr. Kopf states generally that a recent Commission decision which was relied upon in the Initial Decision – </w:t>
      </w:r>
      <w:r w:rsidRPr="004B07B9">
        <w:rPr>
          <w:i/>
          <w:sz w:val="26"/>
        </w:rPr>
        <w:t>Ace Check Cashing, Inc. v. Philadelphia Gas Works</w:t>
      </w:r>
      <w:r w:rsidRPr="004B07B9">
        <w:rPr>
          <w:sz w:val="26"/>
        </w:rPr>
        <w:t>, Docket No.</w:t>
      </w:r>
      <w:r>
        <w:rPr>
          <w:sz w:val="26"/>
        </w:rPr>
        <w:t xml:space="preserve"> </w:t>
      </w:r>
      <w:r w:rsidRPr="004B07B9">
        <w:rPr>
          <w:sz w:val="26"/>
        </w:rPr>
        <w:t>C-2008-2056428 (Order entered May 21, 2010)</w:t>
      </w:r>
      <w:r>
        <w:rPr>
          <w:sz w:val="26"/>
        </w:rPr>
        <w:t xml:space="preserve"> – does not apply to his case.</w:t>
      </w:r>
      <w:r w:rsidR="00224CFA">
        <w:rPr>
          <w:sz w:val="26"/>
        </w:rPr>
        <w:t xml:space="preserve">  Response to R. Exc.</w:t>
      </w:r>
    </w:p>
    <w:p w:rsidR="00FA6905" w:rsidRPr="00FA6905" w:rsidRDefault="00FA6905" w:rsidP="00FA6905">
      <w:pPr>
        <w:pStyle w:val="FootnoteText"/>
        <w:ind w:firstLine="720"/>
        <w:rPr>
          <w:sz w:val="26"/>
          <w:szCs w:val="26"/>
        </w:rPr>
      </w:pPr>
    </w:p>
  </w:footnote>
  <w:footnote w:id="7">
    <w:p w:rsidR="00A00AC6" w:rsidRPr="00A00AC6" w:rsidRDefault="00A00AC6" w:rsidP="00A00AC6">
      <w:pPr>
        <w:pStyle w:val="FootnoteText"/>
        <w:ind w:firstLine="720"/>
        <w:rPr>
          <w:sz w:val="26"/>
          <w:szCs w:val="26"/>
        </w:rPr>
      </w:pPr>
      <w:r w:rsidRPr="00A00AC6">
        <w:rPr>
          <w:rStyle w:val="FootnoteReference"/>
          <w:sz w:val="26"/>
          <w:szCs w:val="26"/>
        </w:rPr>
        <w:footnoteRef/>
      </w:r>
      <w:r w:rsidRPr="00A00AC6">
        <w:rPr>
          <w:sz w:val="26"/>
          <w:szCs w:val="26"/>
        </w:rPr>
        <w:t xml:space="preserve"> </w:t>
      </w:r>
      <w:r>
        <w:rPr>
          <w:sz w:val="26"/>
          <w:szCs w:val="26"/>
        </w:rPr>
        <w:tab/>
        <w:t xml:space="preserve">In </w:t>
      </w:r>
      <w:r>
        <w:rPr>
          <w:i/>
          <w:sz w:val="26"/>
          <w:szCs w:val="26"/>
        </w:rPr>
        <w:t>Colgan</w:t>
      </w:r>
      <w:r>
        <w:rPr>
          <w:sz w:val="26"/>
          <w:szCs w:val="26"/>
        </w:rPr>
        <w:t>, a landlord filed a complaint seeking the remov</w:t>
      </w:r>
      <w:r w:rsidR="00575BBD">
        <w:rPr>
          <w:sz w:val="26"/>
          <w:szCs w:val="26"/>
        </w:rPr>
        <w:t xml:space="preserve">al of foreign load </w:t>
      </w:r>
      <w:r>
        <w:rPr>
          <w:sz w:val="26"/>
          <w:szCs w:val="26"/>
        </w:rPr>
        <w:t>account charges</w:t>
      </w:r>
      <w:r w:rsidR="00575BBD">
        <w:rPr>
          <w:sz w:val="26"/>
          <w:szCs w:val="26"/>
        </w:rPr>
        <w:t xml:space="preserve">.  A hearing was held on April 28, 2010, however, prior to the issuance of an Initial Decision, the parties settled their dispute.  Cert. of Satisfaction dated May 14, 2010.  Thus, the Commission did not issue an Opinion and Order in </w:t>
      </w:r>
      <w:r w:rsidR="00575BBD">
        <w:rPr>
          <w:i/>
          <w:sz w:val="26"/>
          <w:szCs w:val="26"/>
        </w:rPr>
        <w:t xml:space="preserve">Colgan. </w:t>
      </w:r>
      <w:r w:rsidR="00575BBD">
        <w:rPr>
          <w:sz w:val="26"/>
          <w:szCs w:val="26"/>
        </w:rPr>
        <w:t xml:space="preserve">  </w:t>
      </w:r>
    </w:p>
  </w:footnote>
  <w:footnote w:id="8">
    <w:p w:rsidR="00224CFA" w:rsidRPr="00224CFA" w:rsidRDefault="00224CFA" w:rsidP="00224CFA">
      <w:pPr>
        <w:pStyle w:val="FootnoteText"/>
        <w:ind w:firstLine="720"/>
        <w:rPr>
          <w:sz w:val="26"/>
          <w:szCs w:val="26"/>
        </w:rPr>
      </w:pPr>
      <w:r w:rsidRPr="00224CFA">
        <w:rPr>
          <w:rStyle w:val="FootnoteReference"/>
          <w:sz w:val="26"/>
          <w:szCs w:val="26"/>
        </w:rPr>
        <w:footnoteRef/>
      </w:r>
      <w:r w:rsidRPr="00224CFA">
        <w:rPr>
          <w:sz w:val="26"/>
          <w:szCs w:val="26"/>
        </w:rPr>
        <w:t xml:space="preserve"> </w:t>
      </w:r>
      <w:r>
        <w:rPr>
          <w:sz w:val="26"/>
          <w:szCs w:val="26"/>
        </w:rPr>
        <w:tab/>
        <w:t xml:space="preserve">In response to the Complainant’s letter dated April 12, 2013, the fact that Ms. DelRaso has now vacated the Service Address has no bearing on this case.  The account was properly transferred to the Complainant upon determination of the foreign load situation.  Thus, Ms. DelRaso’s residency status at the Service Address is irrelevant.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644"/>
    <w:rsid w:val="00000D47"/>
    <w:rsid w:val="00001FC8"/>
    <w:rsid w:val="000020EC"/>
    <w:rsid w:val="00006685"/>
    <w:rsid w:val="00006F35"/>
    <w:rsid w:val="00016D57"/>
    <w:rsid w:val="00017852"/>
    <w:rsid w:val="00021E46"/>
    <w:rsid w:val="00022B74"/>
    <w:rsid w:val="00024D5A"/>
    <w:rsid w:val="0002524C"/>
    <w:rsid w:val="00025F3F"/>
    <w:rsid w:val="00026CD2"/>
    <w:rsid w:val="00040A8E"/>
    <w:rsid w:val="00040AEA"/>
    <w:rsid w:val="00047874"/>
    <w:rsid w:val="00047F4A"/>
    <w:rsid w:val="000523D1"/>
    <w:rsid w:val="00052B8F"/>
    <w:rsid w:val="00054612"/>
    <w:rsid w:val="0005572E"/>
    <w:rsid w:val="00056286"/>
    <w:rsid w:val="000612FD"/>
    <w:rsid w:val="000642AA"/>
    <w:rsid w:val="000649EC"/>
    <w:rsid w:val="00064AF0"/>
    <w:rsid w:val="00066EE5"/>
    <w:rsid w:val="00067260"/>
    <w:rsid w:val="000676B7"/>
    <w:rsid w:val="00070D5C"/>
    <w:rsid w:val="00072808"/>
    <w:rsid w:val="00076F35"/>
    <w:rsid w:val="00084573"/>
    <w:rsid w:val="00084AF9"/>
    <w:rsid w:val="0008598C"/>
    <w:rsid w:val="00086293"/>
    <w:rsid w:val="000918D4"/>
    <w:rsid w:val="00093164"/>
    <w:rsid w:val="00094D3B"/>
    <w:rsid w:val="0009612D"/>
    <w:rsid w:val="00097504"/>
    <w:rsid w:val="000A365D"/>
    <w:rsid w:val="000A490A"/>
    <w:rsid w:val="000B216D"/>
    <w:rsid w:val="000B2755"/>
    <w:rsid w:val="000B4EAE"/>
    <w:rsid w:val="000B5238"/>
    <w:rsid w:val="000B607A"/>
    <w:rsid w:val="000B6B15"/>
    <w:rsid w:val="000C2AE3"/>
    <w:rsid w:val="000C346C"/>
    <w:rsid w:val="000C709A"/>
    <w:rsid w:val="000D0D64"/>
    <w:rsid w:val="000D5232"/>
    <w:rsid w:val="000D6B37"/>
    <w:rsid w:val="000D7F4F"/>
    <w:rsid w:val="000E33AF"/>
    <w:rsid w:val="000F0AD9"/>
    <w:rsid w:val="000F179E"/>
    <w:rsid w:val="000F4307"/>
    <w:rsid w:val="0010158F"/>
    <w:rsid w:val="00101F51"/>
    <w:rsid w:val="001026CA"/>
    <w:rsid w:val="00104D9B"/>
    <w:rsid w:val="001117FF"/>
    <w:rsid w:val="00117CB2"/>
    <w:rsid w:val="00120B39"/>
    <w:rsid w:val="001238E5"/>
    <w:rsid w:val="00123A2E"/>
    <w:rsid w:val="00124071"/>
    <w:rsid w:val="001267D4"/>
    <w:rsid w:val="00135972"/>
    <w:rsid w:val="001360FC"/>
    <w:rsid w:val="001404B2"/>
    <w:rsid w:val="001447A0"/>
    <w:rsid w:val="0014497F"/>
    <w:rsid w:val="00144A8F"/>
    <w:rsid w:val="00146DDD"/>
    <w:rsid w:val="00146E58"/>
    <w:rsid w:val="00147145"/>
    <w:rsid w:val="00150096"/>
    <w:rsid w:val="001508E4"/>
    <w:rsid w:val="0015380A"/>
    <w:rsid w:val="00154CB6"/>
    <w:rsid w:val="00164DA4"/>
    <w:rsid w:val="00166298"/>
    <w:rsid w:val="001663C8"/>
    <w:rsid w:val="00174D3D"/>
    <w:rsid w:val="00181F6E"/>
    <w:rsid w:val="00182478"/>
    <w:rsid w:val="00186A97"/>
    <w:rsid w:val="00192094"/>
    <w:rsid w:val="0019530E"/>
    <w:rsid w:val="00195585"/>
    <w:rsid w:val="00195F2E"/>
    <w:rsid w:val="001B1DB4"/>
    <w:rsid w:val="001B28AE"/>
    <w:rsid w:val="001B7DA2"/>
    <w:rsid w:val="001B7F81"/>
    <w:rsid w:val="001C4978"/>
    <w:rsid w:val="001D0ED2"/>
    <w:rsid w:val="001E0B61"/>
    <w:rsid w:val="001E1276"/>
    <w:rsid w:val="001E2C66"/>
    <w:rsid w:val="001F285E"/>
    <w:rsid w:val="001F5292"/>
    <w:rsid w:val="001F70B5"/>
    <w:rsid w:val="00200784"/>
    <w:rsid w:val="00202524"/>
    <w:rsid w:val="00210736"/>
    <w:rsid w:val="00210F81"/>
    <w:rsid w:val="00211622"/>
    <w:rsid w:val="00214B3E"/>
    <w:rsid w:val="00224218"/>
    <w:rsid w:val="00224CFA"/>
    <w:rsid w:val="0022698E"/>
    <w:rsid w:val="00227906"/>
    <w:rsid w:val="00227912"/>
    <w:rsid w:val="002311EE"/>
    <w:rsid w:val="0023353B"/>
    <w:rsid w:val="002370F5"/>
    <w:rsid w:val="00240ACA"/>
    <w:rsid w:val="00240D7B"/>
    <w:rsid w:val="00240E6F"/>
    <w:rsid w:val="00241299"/>
    <w:rsid w:val="0024419F"/>
    <w:rsid w:val="00246002"/>
    <w:rsid w:val="00252CDB"/>
    <w:rsid w:val="00255462"/>
    <w:rsid w:val="00255FEC"/>
    <w:rsid w:val="00260957"/>
    <w:rsid w:val="00264646"/>
    <w:rsid w:val="00266175"/>
    <w:rsid w:val="002709CD"/>
    <w:rsid w:val="00271EEF"/>
    <w:rsid w:val="0027232D"/>
    <w:rsid w:val="002732AB"/>
    <w:rsid w:val="00274D0F"/>
    <w:rsid w:val="00277500"/>
    <w:rsid w:val="00280033"/>
    <w:rsid w:val="00281A5F"/>
    <w:rsid w:val="00284971"/>
    <w:rsid w:val="00290D9F"/>
    <w:rsid w:val="002916C2"/>
    <w:rsid w:val="00291F68"/>
    <w:rsid w:val="002A060A"/>
    <w:rsid w:val="002A4450"/>
    <w:rsid w:val="002A60F5"/>
    <w:rsid w:val="002A6750"/>
    <w:rsid w:val="002A7BED"/>
    <w:rsid w:val="002B1572"/>
    <w:rsid w:val="002B2296"/>
    <w:rsid w:val="002B34B6"/>
    <w:rsid w:val="002B3612"/>
    <w:rsid w:val="002B4407"/>
    <w:rsid w:val="002B67B7"/>
    <w:rsid w:val="002C0429"/>
    <w:rsid w:val="002C19E4"/>
    <w:rsid w:val="002C6CC4"/>
    <w:rsid w:val="002D13C4"/>
    <w:rsid w:val="002D275E"/>
    <w:rsid w:val="002D6357"/>
    <w:rsid w:val="002D7584"/>
    <w:rsid w:val="002E1460"/>
    <w:rsid w:val="002E23A4"/>
    <w:rsid w:val="002E3026"/>
    <w:rsid w:val="002E3F06"/>
    <w:rsid w:val="002E5807"/>
    <w:rsid w:val="002E6FFA"/>
    <w:rsid w:val="002E79DE"/>
    <w:rsid w:val="002E7F8F"/>
    <w:rsid w:val="002F13A0"/>
    <w:rsid w:val="002F3F04"/>
    <w:rsid w:val="002F41BA"/>
    <w:rsid w:val="003018AA"/>
    <w:rsid w:val="00303B99"/>
    <w:rsid w:val="00304757"/>
    <w:rsid w:val="0030533A"/>
    <w:rsid w:val="00305D99"/>
    <w:rsid w:val="0030714F"/>
    <w:rsid w:val="003073E2"/>
    <w:rsid w:val="00307DDF"/>
    <w:rsid w:val="00314A43"/>
    <w:rsid w:val="00322040"/>
    <w:rsid w:val="003240B8"/>
    <w:rsid w:val="00325422"/>
    <w:rsid w:val="00325BB3"/>
    <w:rsid w:val="00325D89"/>
    <w:rsid w:val="00332DA2"/>
    <w:rsid w:val="00333FDA"/>
    <w:rsid w:val="003340DE"/>
    <w:rsid w:val="00336DA6"/>
    <w:rsid w:val="00340D19"/>
    <w:rsid w:val="00344804"/>
    <w:rsid w:val="003518C8"/>
    <w:rsid w:val="00352A3C"/>
    <w:rsid w:val="003533B5"/>
    <w:rsid w:val="003622CA"/>
    <w:rsid w:val="00363030"/>
    <w:rsid w:val="0036316A"/>
    <w:rsid w:val="0036462C"/>
    <w:rsid w:val="00364A42"/>
    <w:rsid w:val="00366281"/>
    <w:rsid w:val="003710F8"/>
    <w:rsid w:val="00372487"/>
    <w:rsid w:val="003755FB"/>
    <w:rsid w:val="0037577C"/>
    <w:rsid w:val="00377F25"/>
    <w:rsid w:val="00385502"/>
    <w:rsid w:val="003901D9"/>
    <w:rsid w:val="00390F18"/>
    <w:rsid w:val="00391A43"/>
    <w:rsid w:val="0039381B"/>
    <w:rsid w:val="003A7416"/>
    <w:rsid w:val="003B0611"/>
    <w:rsid w:val="003B42D9"/>
    <w:rsid w:val="003C3140"/>
    <w:rsid w:val="003C3E02"/>
    <w:rsid w:val="003C3FE8"/>
    <w:rsid w:val="003C73F9"/>
    <w:rsid w:val="003D1F5A"/>
    <w:rsid w:val="003D5F07"/>
    <w:rsid w:val="003D6AB5"/>
    <w:rsid w:val="003E324F"/>
    <w:rsid w:val="003E3FF5"/>
    <w:rsid w:val="003E4F24"/>
    <w:rsid w:val="003E5354"/>
    <w:rsid w:val="003F1B1F"/>
    <w:rsid w:val="003F51F4"/>
    <w:rsid w:val="003F52C6"/>
    <w:rsid w:val="003F558E"/>
    <w:rsid w:val="00401660"/>
    <w:rsid w:val="00403D6E"/>
    <w:rsid w:val="00407AC0"/>
    <w:rsid w:val="00412E30"/>
    <w:rsid w:val="004170AF"/>
    <w:rsid w:val="00425F32"/>
    <w:rsid w:val="00432BB7"/>
    <w:rsid w:val="004331E9"/>
    <w:rsid w:val="00433E8D"/>
    <w:rsid w:val="00434136"/>
    <w:rsid w:val="0043592C"/>
    <w:rsid w:val="00441207"/>
    <w:rsid w:val="004422CA"/>
    <w:rsid w:val="00443807"/>
    <w:rsid w:val="004462F7"/>
    <w:rsid w:val="0046019D"/>
    <w:rsid w:val="0046055D"/>
    <w:rsid w:val="00464536"/>
    <w:rsid w:val="0046514E"/>
    <w:rsid w:val="0046623C"/>
    <w:rsid w:val="00467739"/>
    <w:rsid w:val="00470D0C"/>
    <w:rsid w:val="00474E22"/>
    <w:rsid w:val="0047608F"/>
    <w:rsid w:val="00476257"/>
    <w:rsid w:val="00476554"/>
    <w:rsid w:val="004813D4"/>
    <w:rsid w:val="00486AC9"/>
    <w:rsid w:val="00491D91"/>
    <w:rsid w:val="004931C7"/>
    <w:rsid w:val="0049396D"/>
    <w:rsid w:val="0049580C"/>
    <w:rsid w:val="0049768F"/>
    <w:rsid w:val="004A04E5"/>
    <w:rsid w:val="004A1495"/>
    <w:rsid w:val="004A2165"/>
    <w:rsid w:val="004A5F74"/>
    <w:rsid w:val="004B07B9"/>
    <w:rsid w:val="004B1052"/>
    <w:rsid w:val="004B6B14"/>
    <w:rsid w:val="004C7594"/>
    <w:rsid w:val="004E1075"/>
    <w:rsid w:val="004E41CC"/>
    <w:rsid w:val="004E47EC"/>
    <w:rsid w:val="004E514F"/>
    <w:rsid w:val="004E737F"/>
    <w:rsid w:val="004F03DE"/>
    <w:rsid w:val="004F22DA"/>
    <w:rsid w:val="004F6910"/>
    <w:rsid w:val="00502165"/>
    <w:rsid w:val="00504834"/>
    <w:rsid w:val="00504C7A"/>
    <w:rsid w:val="00505AEE"/>
    <w:rsid w:val="0050632E"/>
    <w:rsid w:val="0050752D"/>
    <w:rsid w:val="00511EF3"/>
    <w:rsid w:val="0051386E"/>
    <w:rsid w:val="00514507"/>
    <w:rsid w:val="0051475B"/>
    <w:rsid w:val="00515B78"/>
    <w:rsid w:val="00517BDC"/>
    <w:rsid w:val="00521350"/>
    <w:rsid w:val="0052690E"/>
    <w:rsid w:val="005351B9"/>
    <w:rsid w:val="00536011"/>
    <w:rsid w:val="00540506"/>
    <w:rsid w:val="0055024F"/>
    <w:rsid w:val="00550B79"/>
    <w:rsid w:val="0055150B"/>
    <w:rsid w:val="005532F9"/>
    <w:rsid w:val="0055440B"/>
    <w:rsid w:val="0055708D"/>
    <w:rsid w:val="005606BE"/>
    <w:rsid w:val="00561CA6"/>
    <w:rsid w:val="00564565"/>
    <w:rsid w:val="005647BE"/>
    <w:rsid w:val="00566093"/>
    <w:rsid w:val="00566299"/>
    <w:rsid w:val="005725F6"/>
    <w:rsid w:val="00572BAA"/>
    <w:rsid w:val="00575BBD"/>
    <w:rsid w:val="0057609F"/>
    <w:rsid w:val="0057699D"/>
    <w:rsid w:val="00584C5F"/>
    <w:rsid w:val="00586817"/>
    <w:rsid w:val="00586D92"/>
    <w:rsid w:val="00587507"/>
    <w:rsid w:val="005964C0"/>
    <w:rsid w:val="00596A0B"/>
    <w:rsid w:val="00596E05"/>
    <w:rsid w:val="00596F85"/>
    <w:rsid w:val="005970FA"/>
    <w:rsid w:val="005A0176"/>
    <w:rsid w:val="005A088E"/>
    <w:rsid w:val="005A2298"/>
    <w:rsid w:val="005A28C1"/>
    <w:rsid w:val="005A72FC"/>
    <w:rsid w:val="005B0388"/>
    <w:rsid w:val="005B109A"/>
    <w:rsid w:val="005C2FD5"/>
    <w:rsid w:val="005C5378"/>
    <w:rsid w:val="005D2AB9"/>
    <w:rsid w:val="005D34E2"/>
    <w:rsid w:val="005D496E"/>
    <w:rsid w:val="005D6C0B"/>
    <w:rsid w:val="005D7C20"/>
    <w:rsid w:val="005E6960"/>
    <w:rsid w:val="005E7EB8"/>
    <w:rsid w:val="005F0C02"/>
    <w:rsid w:val="005F18D6"/>
    <w:rsid w:val="0060024E"/>
    <w:rsid w:val="00602089"/>
    <w:rsid w:val="00603024"/>
    <w:rsid w:val="006116E3"/>
    <w:rsid w:val="00613994"/>
    <w:rsid w:val="00624400"/>
    <w:rsid w:val="00624E51"/>
    <w:rsid w:val="00626162"/>
    <w:rsid w:val="00634719"/>
    <w:rsid w:val="00636A5D"/>
    <w:rsid w:val="006373F9"/>
    <w:rsid w:val="006503E8"/>
    <w:rsid w:val="00652C73"/>
    <w:rsid w:val="00654A4A"/>
    <w:rsid w:val="0065545A"/>
    <w:rsid w:val="00655657"/>
    <w:rsid w:val="006556A7"/>
    <w:rsid w:val="006626F6"/>
    <w:rsid w:val="006661CF"/>
    <w:rsid w:val="00670BFD"/>
    <w:rsid w:val="00671E4C"/>
    <w:rsid w:val="00674295"/>
    <w:rsid w:val="006818A8"/>
    <w:rsid w:val="00681A51"/>
    <w:rsid w:val="00682469"/>
    <w:rsid w:val="00683D97"/>
    <w:rsid w:val="006841DE"/>
    <w:rsid w:val="00684FCA"/>
    <w:rsid w:val="00685105"/>
    <w:rsid w:val="00686B5C"/>
    <w:rsid w:val="006879DE"/>
    <w:rsid w:val="006962FB"/>
    <w:rsid w:val="00696997"/>
    <w:rsid w:val="006A224F"/>
    <w:rsid w:val="006A758C"/>
    <w:rsid w:val="006B22C2"/>
    <w:rsid w:val="006B346F"/>
    <w:rsid w:val="006B4DA1"/>
    <w:rsid w:val="006C1EEC"/>
    <w:rsid w:val="006C3CB9"/>
    <w:rsid w:val="006C3F75"/>
    <w:rsid w:val="006C3FEA"/>
    <w:rsid w:val="006C69E7"/>
    <w:rsid w:val="006D10AE"/>
    <w:rsid w:val="006D29F2"/>
    <w:rsid w:val="006D7CA2"/>
    <w:rsid w:val="006E065B"/>
    <w:rsid w:val="006E09D3"/>
    <w:rsid w:val="006E1E68"/>
    <w:rsid w:val="006E1E6C"/>
    <w:rsid w:val="006E4254"/>
    <w:rsid w:val="006E5505"/>
    <w:rsid w:val="006F240A"/>
    <w:rsid w:val="006F2FB3"/>
    <w:rsid w:val="006F531B"/>
    <w:rsid w:val="006F62BC"/>
    <w:rsid w:val="00701370"/>
    <w:rsid w:val="00702493"/>
    <w:rsid w:val="00706DF1"/>
    <w:rsid w:val="00706F91"/>
    <w:rsid w:val="00707CCB"/>
    <w:rsid w:val="00710851"/>
    <w:rsid w:val="00714F3B"/>
    <w:rsid w:val="00715FA6"/>
    <w:rsid w:val="007166F7"/>
    <w:rsid w:val="00716AEF"/>
    <w:rsid w:val="00717076"/>
    <w:rsid w:val="00717296"/>
    <w:rsid w:val="00723FB6"/>
    <w:rsid w:val="00727370"/>
    <w:rsid w:val="00735D9E"/>
    <w:rsid w:val="0074109C"/>
    <w:rsid w:val="00742335"/>
    <w:rsid w:val="00742842"/>
    <w:rsid w:val="00753376"/>
    <w:rsid w:val="007543B0"/>
    <w:rsid w:val="0075602D"/>
    <w:rsid w:val="007568A9"/>
    <w:rsid w:val="00761514"/>
    <w:rsid w:val="00763CE7"/>
    <w:rsid w:val="007655D8"/>
    <w:rsid w:val="00770A31"/>
    <w:rsid w:val="0077128B"/>
    <w:rsid w:val="00772177"/>
    <w:rsid w:val="0077556F"/>
    <w:rsid w:val="00775C65"/>
    <w:rsid w:val="0077639A"/>
    <w:rsid w:val="0078100C"/>
    <w:rsid w:val="00781571"/>
    <w:rsid w:val="0078157F"/>
    <w:rsid w:val="00786F48"/>
    <w:rsid w:val="0078772C"/>
    <w:rsid w:val="007878E4"/>
    <w:rsid w:val="007963BD"/>
    <w:rsid w:val="007A4783"/>
    <w:rsid w:val="007A5191"/>
    <w:rsid w:val="007B0500"/>
    <w:rsid w:val="007B111B"/>
    <w:rsid w:val="007B3AE8"/>
    <w:rsid w:val="007B4418"/>
    <w:rsid w:val="007B5F19"/>
    <w:rsid w:val="007B5F62"/>
    <w:rsid w:val="007B66B3"/>
    <w:rsid w:val="007B7077"/>
    <w:rsid w:val="007C0BBC"/>
    <w:rsid w:val="007C3003"/>
    <w:rsid w:val="007C455B"/>
    <w:rsid w:val="007C6B60"/>
    <w:rsid w:val="007C6F85"/>
    <w:rsid w:val="007D3AA0"/>
    <w:rsid w:val="007D3FE2"/>
    <w:rsid w:val="007D5690"/>
    <w:rsid w:val="007D69FA"/>
    <w:rsid w:val="007E1600"/>
    <w:rsid w:val="00810603"/>
    <w:rsid w:val="00814283"/>
    <w:rsid w:val="00820209"/>
    <w:rsid w:val="00820F35"/>
    <w:rsid w:val="00820FEC"/>
    <w:rsid w:val="0082393D"/>
    <w:rsid w:val="00827CE5"/>
    <w:rsid w:val="0083324D"/>
    <w:rsid w:val="00841733"/>
    <w:rsid w:val="0084270A"/>
    <w:rsid w:val="00844D38"/>
    <w:rsid w:val="00844D85"/>
    <w:rsid w:val="00846E83"/>
    <w:rsid w:val="00847AB0"/>
    <w:rsid w:val="008524BE"/>
    <w:rsid w:val="00853BC2"/>
    <w:rsid w:val="0085402A"/>
    <w:rsid w:val="00854278"/>
    <w:rsid w:val="00856063"/>
    <w:rsid w:val="00857172"/>
    <w:rsid w:val="0086236A"/>
    <w:rsid w:val="0086544C"/>
    <w:rsid w:val="0087035A"/>
    <w:rsid w:val="0087282C"/>
    <w:rsid w:val="0087347D"/>
    <w:rsid w:val="0087708E"/>
    <w:rsid w:val="00877B1D"/>
    <w:rsid w:val="00881673"/>
    <w:rsid w:val="00882DAD"/>
    <w:rsid w:val="00885263"/>
    <w:rsid w:val="008855BB"/>
    <w:rsid w:val="008907C4"/>
    <w:rsid w:val="00892DA5"/>
    <w:rsid w:val="008949B1"/>
    <w:rsid w:val="0089713E"/>
    <w:rsid w:val="008A10F3"/>
    <w:rsid w:val="008A5C0F"/>
    <w:rsid w:val="008B1596"/>
    <w:rsid w:val="008C09C4"/>
    <w:rsid w:val="008C1F44"/>
    <w:rsid w:val="008C6018"/>
    <w:rsid w:val="008C646F"/>
    <w:rsid w:val="008D11D9"/>
    <w:rsid w:val="008D3B80"/>
    <w:rsid w:val="008E3E4B"/>
    <w:rsid w:val="008E4EF9"/>
    <w:rsid w:val="008E6DFC"/>
    <w:rsid w:val="008E7710"/>
    <w:rsid w:val="008F2510"/>
    <w:rsid w:val="00900D4D"/>
    <w:rsid w:val="00903F34"/>
    <w:rsid w:val="00905C0A"/>
    <w:rsid w:val="00911BC6"/>
    <w:rsid w:val="009122F8"/>
    <w:rsid w:val="00915520"/>
    <w:rsid w:val="009155F7"/>
    <w:rsid w:val="00916FA1"/>
    <w:rsid w:val="00921131"/>
    <w:rsid w:val="00923DEF"/>
    <w:rsid w:val="009247F5"/>
    <w:rsid w:val="00926AB2"/>
    <w:rsid w:val="00933DB5"/>
    <w:rsid w:val="009356E6"/>
    <w:rsid w:val="00937780"/>
    <w:rsid w:val="009407FE"/>
    <w:rsid w:val="00940BD4"/>
    <w:rsid w:val="009419FA"/>
    <w:rsid w:val="00942436"/>
    <w:rsid w:val="00957603"/>
    <w:rsid w:val="00957A1D"/>
    <w:rsid w:val="0096487B"/>
    <w:rsid w:val="0096697B"/>
    <w:rsid w:val="00975572"/>
    <w:rsid w:val="009757D1"/>
    <w:rsid w:val="0097674C"/>
    <w:rsid w:val="00980205"/>
    <w:rsid w:val="00980754"/>
    <w:rsid w:val="00981535"/>
    <w:rsid w:val="0098222F"/>
    <w:rsid w:val="009825C8"/>
    <w:rsid w:val="0098409F"/>
    <w:rsid w:val="00985537"/>
    <w:rsid w:val="00991698"/>
    <w:rsid w:val="00991C17"/>
    <w:rsid w:val="00992D1E"/>
    <w:rsid w:val="00997EB2"/>
    <w:rsid w:val="009A06F5"/>
    <w:rsid w:val="009A0788"/>
    <w:rsid w:val="009A0E92"/>
    <w:rsid w:val="009A17EC"/>
    <w:rsid w:val="009A39E6"/>
    <w:rsid w:val="009B03DF"/>
    <w:rsid w:val="009B6AF0"/>
    <w:rsid w:val="009C292D"/>
    <w:rsid w:val="009C41C8"/>
    <w:rsid w:val="009C5F0C"/>
    <w:rsid w:val="009C67C0"/>
    <w:rsid w:val="009D1035"/>
    <w:rsid w:val="009D13D0"/>
    <w:rsid w:val="009D2068"/>
    <w:rsid w:val="009D4C89"/>
    <w:rsid w:val="009D7D01"/>
    <w:rsid w:val="009D7D33"/>
    <w:rsid w:val="009E4DD4"/>
    <w:rsid w:val="009E4E3F"/>
    <w:rsid w:val="009E698B"/>
    <w:rsid w:val="009F1547"/>
    <w:rsid w:val="009F16E4"/>
    <w:rsid w:val="009F1F02"/>
    <w:rsid w:val="009F4ABA"/>
    <w:rsid w:val="00A00AC6"/>
    <w:rsid w:val="00A030DD"/>
    <w:rsid w:val="00A04550"/>
    <w:rsid w:val="00A066AE"/>
    <w:rsid w:val="00A069D6"/>
    <w:rsid w:val="00A10DD9"/>
    <w:rsid w:val="00A12C6B"/>
    <w:rsid w:val="00A14117"/>
    <w:rsid w:val="00A149FA"/>
    <w:rsid w:val="00A17DF0"/>
    <w:rsid w:val="00A20F78"/>
    <w:rsid w:val="00A218F1"/>
    <w:rsid w:val="00A21932"/>
    <w:rsid w:val="00A2371C"/>
    <w:rsid w:val="00A27DEE"/>
    <w:rsid w:val="00A31B93"/>
    <w:rsid w:val="00A375EF"/>
    <w:rsid w:val="00A47557"/>
    <w:rsid w:val="00A50D8A"/>
    <w:rsid w:val="00A528C2"/>
    <w:rsid w:val="00A54AFD"/>
    <w:rsid w:val="00A54E69"/>
    <w:rsid w:val="00A6006E"/>
    <w:rsid w:val="00A61B06"/>
    <w:rsid w:val="00A62113"/>
    <w:rsid w:val="00A634F6"/>
    <w:rsid w:val="00A66D9E"/>
    <w:rsid w:val="00A6759C"/>
    <w:rsid w:val="00A67923"/>
    <w:rsid w:val="00A713ED"/>
    <w:rsid w:val="00A714B8"/>
    <w:rsid w:val="00A74901"/>
    <w:rsid w:val="00A75733"/>
    <w:rsid w:val="00A75753"/>
    <w:rsid w:val="00A76308"/>
    <w:rsid w:val="00A77C08"/>
    <w:rsid w:val="00A81527"/>
    <w:rsid w:val="00A82058"/>
    <w:rsid w:val="00A82CA8"/>
    <w:rsid w:val="00A84AE7"/>
    <w:rsid w:val="00A867DC"/>
    <w:rsid w:val="00A869B0"/>
    <w:rsid w:val="00A9289F"/>
    <w:rsid w:val="00A92C1D"/>
    <w:rsid w:val="00AA0C77"/>
    <w:rsid w:val="00AA1D27"/>
    <w:rsid w:val="00AA204C"/>
    <w:rsid w:val="00AA2D57"/>
    <w:rsid w:val="00AA3941"/>
    <w:rsid w:val="00AA56D0"/>
    <w:rsid w:val="00AB0C9F"/>
    <w:rsid w:val="00AB143A"/>
    <w:rsid w:val="00AB364C"/>
    <w:rsid w:val="00AC003C"/>
    <w:rsid w:val="00AC0103"/>
    <w:rsid w:val="00AC1404"/>
    <w:rsid w:val="00AD039F"/>
    <w:rsid w:val="00AD2726"/>
    <w:rsid w:val="00AD3902"/>
    <w:rsid w:val="00AD6010"/>
    <w:rsid w:val="00AE33FF"/>
    <w:rsid w:val="00AE47DB"/>
    <w:rsid w:val="00AE4C7A"/>
    <w:rsid w:val="00AF06D5"/>
    <w:rsid w:val="00AF09DD"/>
    <w:rsid w:val="00B02494"/>
    <w:rsid w:val="00B02655"/>
    <w:rsid w:val="00B05102"/>
    <w:rsid w:val="00B102A9"/>
    <w:rsid w:val="00B1097E"/>
    <w:rsid w:val="00B16A34"/>
    <w:rsid w:val="00B25453"/>
    <w:rsid w:val="00B2549D"/>
    <w:rsid w:val="00B311F2"/>
    <w:rsid w:val="00B31B9C"/>
    <w:rsid w:val="00B32CC5"/>
    <w:rsid w:val="00B34D6C"/>
    <w:rsid w:val="00B378C2"/>
    <w:rsid w:val="00B5544F"/>
    <w:rsid w:val="00B55E5D"/>
    <w:rsid w:val="00B56D48"/>
    <w:rsid w:val="00B5772F"/>
    <w:rsid w:val="00B57849"/>
    <w:rsid w:val="00B60A36"/>
    <w:rsid w:val="00B60A62"/>
    <w:rsid w:val="00B61C7E"/>
    <w:rsid w:val="00B66867"/>
    <w:rsid w:val="00B66994"/>
    <w:rsid w:val="00B6706C"/>
    <w:rsid w:val="00B71AFB"/>
    <w:rsid w:val="00B71F3A"/>
    <w:rsid w:val="00B73C97"/>
    <w:rsid w:val="00B76340"/>
    <w:rsid w:val="00B76B0A"/>
    <w:rsid w:val="00B80C43"/>
    <w:rsid w:val="00B94786"/>
    <w:rsid w:val="00B952A5"/>
    <w:rsid w:val="00BA78B6"/>
    <w:rsid w:val="00BB26AD"/>
    <w:rsid w:val="00BB5CE8"/>
    <w:rsid w:val="00BB79BD"/>
    <w:rsid w:val="00BC7208"/>
    <w:rsid w:val="00BD0B48"/>
    <w:rsid w:val="00BD2A0A"/>
    <w:rsid w:val="00BD5D0F"/>
    <w:rsid w:val="00BD7C68"/>
    <w:rsid w:val="00BE1CBC"/>
    <w:rsid w:val="00BE29DC"/>
    <w:rsid w:val="00BE7B14"/>
    <w:rsid w:val="00BF43DA"/>
    <w:rsid w:val="00BF697A"/>
    <w:rsid w:val="00BF6A24"/>
    <w:rsid w:val="00BF6ADB"/>
    <w:rsid w:val="00C03776"/>
    <w:rsid w:val="00C07DB4"/>
    <w:rsid w:val="00C13821"/>
    <w:rsid w:val="00C14051"/>
    <w:rsid w:val="00C15F73"/>
    <w:rsid w:val="00C16E76"/>
    <w:rsid w:val="00C1785A"/>
    <w:rsid w:val="00C2037B"/>
    <w:rsid w:val="00C22FF7"/>
    <w:rsid w:val="00C27F76"/>
    <w:rsid w:val="00C30DA4"/>
    <w:rsid w:val="00C35F2F"/>
    <w:rsid w:val="00C41ECA"/>
    <w:rsid w:val="00C44719"/>
    <w:rsid w:val="00C50108"/>
    <w:rsid w:val="00C51056"/>
    <w:rsid w:val="00C6572C"/>
    <w:rsid w:val="00C70CFF"/>
    <w:rsid w:val="00C75655"/>
    <w:rsid w:val="00C8070A"/>
    <w:rsid w:val="00C837C3"/>
    <w:rsid w:val="00C84497"/>
    <w:rsid w:val="00C868F6"/>
    <w:rsid w:val="00C9137C"/>
    <w:rsid w:val="00C91644"/>
    <w:rsid w:val="00C9663B"/>
    <w:rsid w:val="00CA32E1"/>
    <w:rsid w:val="00CA43A5"/>
    <w:rsid w:val="00CA7C0B"/>
    <w:rsid w:val="00CB4762"/>
    <w:rsid w:val="00CB6E2B"/>
    <w:rsid w:val="00CB6FF7"/>
    <w:rsid w:val="00CB7302"/>
    <w:rsid w:val="00CC1E9F"/>
    <w:rsid w:val="00CC2A06"/>
    <w:rsid w:val="00CC3680"/>
    <w:rsid w:val="00CC5896"/>
    <w:rsid w:val="00CD718C"/>
    <w:rsid w:val="00CE0C35"/>
    <w:rsid w:val="00CE2831"/>
    <w:rsid w:val="00CE3810"/>
    <w:rsid w:val="00CE3EC9"/>
    <w:rsid w:val="00CE52B4"/>
    <w:rsid w:val="00CE5DCD"/>
    <w:rsid w:val="00CE701C"/>
    <w:rsid w:val="00CE7599"/>
    <w:rsid w:val="00CE7C2C"/>
    <w:rsid w:val="00CF414A"/>
    <w:rsid w:val="00CF4FF0"/>
    <w:rsid w:val="00CF5B47"/>
    <w:rsid w:val="00D051BD"/>
    <w:rsid w:val="00D07302"/>
    <w:rsid w:val="00D104F9"/>
    <w:rsid w:val="00D14323"/>
    <w:rsid w:val="00D16008"/>
    <w:rsid w:val="00D166D4"/>
    <w:rsid w:val="00D21327"/>
    <w:rsid w:val="00D30254"/>
    <w:rsid w:val="00D30FF5"/>
    <w:rsid w:val="00D33768"/>
    <w:rsid w:val="00D33D87"/>
    <w:rsid w:val="00D35077"/>
    <w:rsid w:val="00D35A6E"/>
    <w:rsid w:val="00D408A8"/>
    <w:rsid w:val="00D40C23"/>
    <w:rsid w:val="00D45FFE"/>
    <w:rsid w:val="00D46DAE"/>
    <w:rsid w:val="00D51C8F"/>
    <w:rsid w:val="00D5204B"/>
    <w:rsid w:val="00D54C10"/>
    <w:rsid w:val="00D55191"/>
    <w:rsid w:val="00D55CD0"/>
    <w:rsid w:val="00D57544"/>
    <w:rsid w:val="00D57973"/>
    <w:rsid w:val="00D60CE2"/>
    <w:rsid w:val="00D612EC"/>
    <w:rsid w:val="00D6153E"/>
    <w:rsid w:val="00D623C4"/>
    <w:rsid w:val="00D722DF"/>
    <w:rsid w:val="00D84675"/>
    <w:rsid w:val="00D8491F"/>
    <w:rsid w:val="00D8526A"/>
    <w:rsid w:val="00D86252"/>
    <w:rsid w:val="00D917F3"/>
    <w:rsid w:val="00D92AA6"/>
    <w:rsid w:val="00D97BAA"/>
    <w:rsid w:val="00DA1566"/>
    <w:rsid w:val="00DA3AF3"/>
    <w:rsid w:val="00DA5455"/>
    <w:rsid w:val="00DA5C2B"/>
    <w:rsid w:val="00DB080F"/>
    <w:rsid w:val="00DB3295"/>
    <w:rsid w:val="00DB5EFB"/>
    <w:rsid w:val="00DB6EF1"/>
    <w:rsid w:val="00DC19BB"/>
    <w:rsid w:val="00DC3789"/>
    <w:rsid w:val="00DC6404"/>
    <w:rsid w:val="00DC739B"/>
    <w:rsid w:val="00DC739E"/>
    <w:rsid w:val="00DD7FDF"/>
    <w:rsid w:val="00DE1703"/>
    <w:rsid w:val="00DE25AC"/>
    <w:rsid w:val="00DF568D"/>
    <w:rsid w:val="00DF6455"/>
    <w:rsid w:val="00E00CCB"/>
    <w:rsid w:val="00E042C7"/>
    <w:rsid w:val="00E0781A"/>
    <w:rsid w:val="00E11475"/>
    <w:rsid w:val="00E175A7"/>
    <w:rsid w:val="00E20168"/>
    <w:rsid w:val="00E20740"/>
    <w:rsid w:val="00E20E92"/>
    <w:rsid w:val="00E21AF1"/>
    <w:rsid w:val="00E238D4"/>
    <w:rsid w:val="00E245DA"/>
    <w:rsid w:val="00E24645"/>
    <w:rsid w:val="00E31BCB"/>
    <w:rsid w:val="00E32963"/>
    <w:rsid w:val="00E337BC"/>
    <w:rsid w:val="00E350CD"/>
    <w:rsid w:val="00E372A9"/>
    <w:rsid w:val="00E4001B"/>
    <w:rsid w:val="00E51FDE"/>
    <w:rsid w:val="00E52162"/>
    <w:rsid w:val="00E534B2"/>
    <w:rsid w:val="00E56B66"/>
    <w:rsid w:val="00E579AF"/>
    <w:rsid w:val="00E6720F"/>
    <w:rsid w:val="00E705B7"/>
    <w:rsid w:val="00E7086E"/>
    <w:rsid w:val="00E70ECC"/>
    <w:rsid w:val="00E71A89"/>
    <w:rsid w:val="00E74F79"/>
    <w:rsid w:val="00E77197"/>
    <w:rsid w:val="00E81B1A"/>
    <w:rsid w:val="00E84FB3"/>
    <w:rsid w:val="00E87037"/>
    <w:rsid w:val="00E9115C"/>
    <w:rsid w:val="00EA0F03"/>
    <w:rsid w:val="00EA1EF9"/>
    <w:rsid w:val="00EA2A6C"/>
    <w:rsid w:val="00EA2CA0"/>
    <w:rsid w:val="00EA5DEB"/>
    <w:rsid w:val="00EA7237"/>
    <w:rsid w:val="00EB055B"/>
    <w:rsid w:val="00EB112A"/>
    <w:rsid w:val="00EB1383"/>
    <w:rsid w:val="00EC1212"/>
    <w:rsid w:val="00EC1D3D"/>
    <w:rsid w:val="00EC3331"/>
    <w:rsid w:val="00EC677E"/>
    <w:rsid w:val="00EC7E67"/>
    <w:rsid w:val="00ED5B5C"/>
    <w:rsid w:val="00ED70BD"/>
    <w:rsid w:val="00ED7819"/>
    <w:rsid w:val="00EE0B3E"/>
    <w:rsid w:val="00EE37BB"/>
    <w:rsid w:val="00EE5659"/>
    <w:rsid w:val="00EE6EBC"/>
    <w:rsid w:val="00EF4099"/>
    <w:rsid w:val="00EF6BDC"/>
    <w:rsid w:val="00EF72FB"/>
    <w:rsid w:val="00F01949"/>
    <w:rsid w:val="00F01C4C"/>
    <w:rsid w:val="00F02786"/>
    <w:rsid w:val="00F0434F"/>
    <w:rsid w:val="00F04F14"/>
    <w:rsid w:val="00F0670F"/>
    <w:rsid w:val="00F07FA6"/>
    <w:rsid w:val="00F11BB3"/>
    <w:rsid w:val="00F11F6E"/>
    <w:rsid w:val="00F13036"/>
    <w:rsid w:val="00F17CF1"/>
    <w:rsid w:val="00F20D07"/>
    <w:rsid w:val="00F21D1A"/>
    <w:rsid w:val="00F22865"/>
    <w:rsid w:val="00F24D75"/>
    <w:rsid w:val="00F261E3"/>
    <w:rsid w:val="00F327DC"/>
    <w:rsid w:val="00F32A7B"/>
    <w:rsid w:val="00F34B2F"/>
    <w:rsid w:val="00F34F33"/>
    <w:rsid w:val="00F36D1F"/>
    <w:rsid w:val="00F3769E"/>
    <w:rsid w:val="00F40F06"/>
    <w:rsid w:val="00F42418"/>
    <w:rsid w:val="00F42669"/>
    <w:rsid w:val="00F438D0"/>
    <w:rsid w:val="00F4749B"/>
    <w:rsid w:val="00F514FB"/>
    <w:rsid w:val="00F56CE9"/>
    <w:rsid w:val="00F61151"/>
    <w:rsid w:val="00F64ECE"/>
    <w:rsid w:val="00F67B6E"/>
    <w:rsid w:val="00F77765"/>
    <w:rsid w:val="00F77EC3"/>
    <w:rsid w:val="00F81DFB"/>
    <w:rsid w:val="00F85E98"/>
    <w:rsid w:val="00F86C22"/>
    <w:rsid w:val="00F93FC0"/>
    <w:rsid w:val="00F9641D"/>
    <w:rsid w:val="00FA3A0B"/>
    <w:rsid w:val="00FA6905"/>
    <w:rsid w:val="00FA7C8B"/>
    <w:rsid w:val="00FB0249"/>
    <w:rsid w:val="00FB793A"/>
    <w:rsid w:val="00FC448F"/>
    <w:rsid w:val="00FC5D6D"/>
    <w:rsid w:val="00FC5E92"/>
    <w:rsid w:val="00FD6657"/>
    <w:rsid w:val="00FD7C75"/>
    <w:rsid w:val="00FE1443"/>
    <w:rsid w:val="00FE7D4B"/>
    <w:rsid w:val="00FF1A54"/>
    <w:rsid w:val="00FF7A27"/>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1B7DA2"/>
  </w:style>
  <w:style w:type="character" w:customStyle="1" w:styleId="FootnoteTextChar">
    <w:name w:val="Footnote Text Char"/>
    <w:basedOn w:val="DefaultParagraphFont"/>
    <w:link w:val="FootnoteText"/>
    <w:uiPriority w:val="99"/>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1B7DA2"/>
  </w:style>
  <w:style w:type="character" w:customStyle="1" w:styleId="FootnoteTextChar">
    <w:name w:val="Footnote Text Char"/>
    <w:basedOn w:val="DefaultParagraphFont"/>
    <w:link w:val="FootnoteText"/>
    <w:uiPriority w:val="99"/>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E7D62-BEEE-45D3-B49E-18D86EBC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14</Pages>
  <Words>3127</Words>
  <Characters>17828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Miller, Sara</cp:lastModifiedBy>
  <cp:revision>10</cp:revision>
  <cp:lastPrinted>2013-06-13T13:12:00Z</cp:lastPrinted>
  <dcterms:created xsi:type="dcterms:W3CDTF">2013-05-28T19:03:00Z</dcterms:created>
  <dcterms:modified xsi:type="dcterms:W3CDTF">2013-06-13T13:12:00Z</dcterms:modified>
</cp:coreProperties>
</file>