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C4" w:rsidRDefault="00AB18C4" w:rsidP="00AB18C4">
      <w:pPr>
        <w:pStyle w:val="c2"/>
        <w:outlineLvl w:val="0"/>
        <w:rPr>
          <w:b/>
          <w:sz w:val="28"/>
          <w:szCs w:val="28"/>
        </w:rPr>
      </w:pPr>
      <w:r>
        <w:rPr>
          <w:b/>
          <w:sz w:val="28"/>
          <w:szCs w:val="28"/>
        </w:rPr>
        <w:t>PENNSYLVANIA</w:t>
      </w:r>
    </w:p>
    <w:p w:rsidR="00AB18C4" w:rsidRDefault="00AB18C4" w:rsidP="00AB18C4">
      <w:pPr>
        <w:pStyle w:val="c2"/>
        <w:outlineLvl w:val="0"/>
        <w:rPr>
          <w:b/>
          <w:sz w:val="28"/>
          <w:szCs w:val="28"/>
        </w:rPr>
      </w:pPr>
      <w:r>
        <w:rPr>
          <w:b/>
          <w:sz w:val="28"/>
          <w:szCs w:val="28"/>
        </w:rPr>
        <w:t>PUBLIC UTILITY COMMISSION</w:t>
      </w:r>
    </w:p>
    <w:p w:rsidR="00AB18C4" w:rsidRDefault="00AB18C4" w:rsidP="00AB18C4">
      <w:pPr>
        <w:pStyle w:val="c2"/>
        <w:outlineLvl w:val="0"/>
        <w:rPr>
          <w:b/>
          <w:sz w:val="28"/>
          <w:szCs w:val="28"/>
        </w:rPr>
      </w:pPr>
      <w:r>
        <w:rPr>
          <w:b/>
          <w:sz w:val="28"/>
          <w:szCs w:val="28"/>
        </w:rPr>
        <w:t>Harrisburg, PA 17105-3265</w:t>
      </w:r>
    </w:p>
    <w:p w:rsidR="00AB18C4" w:rsidRDefault="00AB18C4" w:rsidP="00AB18C4">
      <w:pPr>
        <w:pStyle w:val="p3"/>
        <w:tabs>
          <w:tab w:val="left" w:pos="4320"/>
        </w:tabs>
        <w:rPr>
          <w:sz w:val="28"/>
          <w:szCs w:val="28"/>
        </w:rPr>
      </w:pPr>
    </w:p>
    <w:p w:rsidR="00AB18C4" w:rsidRDefault="00AB18C4" w:rsidP="00AB18C4">
      <w:pPr>
        <w:pStyle w:val="p3"/>
        <w:tabs>
          <w:tab w:val="left" w:pos="4320"/>
        </w:tabs>
        <w:spacing w:line="360" w:lineRule="auto"/>
        <w:outlineLvl w:val="0"/>
        <w:rPr>
          <w:sz w:val="26"/>
          <w:szCs w:val="26"/>
        </w:rPr>
      </w:pPr>
      <w:r>
        <w:rPr>
          <w:sz w:val="28"/>
          <w:szCs w:val="28"/>
        </w:rPr>
        <w:tab/>
      </w:r>
      <w:r>
        <w:rPr>
          <w:sz w:val="26"/>
          <w:szCs w:val="26"/>
        </w:rPr>
        <w:t xml:space="preserve">              Public Meeting held </w:t>
      </w:r>
      <w:r w:rsidR="00912B33">
        <w:rPr>
          <w:sz w:val="26"/>
          <w:szCs w:val="26"/>
        </w:rPr>
        <w:t>June 13, 2013</w:t>
      </w:r>
    </w:p>
    <w:p w:rsidR="00AB18C4" w:rsidRDefault="00AB18C4" w:rsidP="00AB18C4">
      <w:pPr>
        <w:pStyle w:val="p4"/>
        <w:tabs>
          <w:tab w:val="clear" w:pos="204"/>
          <w:tab w:val="left" w:pos="4320"/>
        </w:tabs>
        <w:spacing w:line="360" w:lineRule="auto"/>
        <w:rPr>
          <w:sz w:val="26"/>
          <w:szCs w:val="26"/>
        </w:rPr>
      </w:pPr>
      <w:r>
        <w:rPr>
          <w:sz w:val="26"/>
          <w:szCs w:val="26"/>
        </w:rPr>
        <w:tab/>
      </w:r>
    </w:p>
    <w:p w:rsidR="00AB18C4" w:rsidRDefault="00AB18C4" w:rsidP="00AB18C4">
      <w:pPr>
        <w:pStyle w:val="p4"/>
        <w:rPr>
          <w:sz w:val="26"/>
          <w:szCs w:val="26"/>
        </w:rPr>
      </w:pPr>
      <w:r>
        <w:rPr>
          <w:sz w:val="26"/>
          <w:szCs w:val="26"/>
        </w:rPr>
        <w:t>Commissioners Present:</w:t>
      </w:r>
    </w:p>
    <w:p w:rsidR="00AB18C4" w:rsidRDefault="00AB18C4" w:rsidP="00AB18C4">
      <w:pPr>
        <w:tabs>
          <w:tab w:val="left" w:pos="204"/>
        </w:tabs>
        <w:rPr>
          <w:sz w:val="26"/>
          <w:szCs w:val="26"/>
        </w:rPr>
      </w:pPr>
    </w:p>
    <w:p w:rsidR="00AB18C4" w:rsidRDefault="00AB18C4" w:rsidP="00AB18C4">
      <w:pPr>
        <w:pStyle w:val="p5"/>
        <w:ind w:left="391"/>
        <w:rPr>
          <w:sz w:val="26"/>
          <w:szCs w:val="26"/>
        </w:rPr>
      </w:pPr>
      <w:r>
        <w:rPr>
          <w:sz w:val="26"/>
          <w:szCs w:val="26"/>
        </w:rPr>
        <w:t>Robert F. Powelson, Chairman</w:t>
      </w:r>
    </w:p>
    <w:p w:rsidR="00AB18C4" w:rsidRDefault="00AB18C4" w:rsidP="00AB18C4">
      <w:pPr>
        <w:pStyle w:val="p5"/>
        <w:ind w:left="391"/>
        <w:rPr>
          <w:sz w:val="26"/>
          <w:szCs w:val="26"/>
        </w:rPr>
      </w:pPr>
      <w:r>
        <w:rPr>
          <w:sz w:val="26"/>
          <w:szCs w:val="26"/>
        </w:rPr>
        <w:t>John F. Coleman, Jr., Vice Chairman</w:t>
      </w:r>
    </w:p>
    <w:p w:rsidR="00AB18C4" w:rsidRDefault="00AB18C4" w:rsidP="00AB18C4">
      <w:pPr>
        <w:pStyle w:val="p5"/>
        <w:ind w:left="391"/>
        <w:rPr>
          <w:sz w:val="26"/>
          <w:szCs w:val="26"/>
        </w:rPr>
      </w:pPr>
      <w:r>
        <w:rPr>
          <w:sz w:val="26"/>
          <w:szCs w:val="26"/>
        </w:rPr>
        <w:t>Wayne E. Gardner</w:t>
      </w:r>
    </w:p>
    <w:p w:rsidR="00AB18C4" w:rsidRDefault="00AB18C4" w:rsidP="00AB18C4">
      <w:pPr>
        <w:pStyle w:val="p5"/>
        <w:ind w:left="391"/>
        <w:outlineLvl w:val="0"/>
        <w:rPr>
          <w:sz w:val="26"/>
          <w:szCs w:val="26"/>
        </w:rPr>
      </w:pPr>
      <w:r>
        <w:rPr>
          <w:sz w:val="26"/>
          <w:szCs w:val="26"/>
        </w:rPr>
        <w:t>James H. Cawley</w:t>
      </w:r>
    </w:p>
    <w:p w:rsidR="00AB18C4" w:rsidRDefault="00AB18C4" w:rsidP="00AB18C4">
      <w:pPr>
        <w:pStyle w:val="p5"/>
        <w:ind w:left="0"/>
        <w:outlineLvl w:val="0"/>
        <w:rPr>
          <w:sz w:val="26"/>
          <w:szCs w:val="26"/>
        </w:rPr>
      </w:pPr>
      <w:r>
        <w:rPr>
          <w:sz w:val="26"/>
          <w:szCs w:val="26"/>
        </w:rPr>
        <w:t xml:space="preserve">      Pamela A. Witmer</w:t>
      </w:r>
    </w:p>
    <w:p w:rsidR="00AB18C4" w:rsidRDefault="00AB18C4" w:rsidP="00AB18C4">
      <w:pPr>
        <w:pStyle w:val="p5"/>
        <w:ind w:left="391"/>
        <w:rPr>
          <w:sz w:val="26"/>
          <w:szCs w:val="26"/>
        </w:rPr>
      </w:pPr>
    </w:p>
    <w:p w:rsidR="00912B33" w:rsidRDefault="00912B33" w:rsidP="00AB18C4">
      <w:pPr>
        <w:pStyle w:val="p4"/>
        <w:tabs>
          <w:tab w:val="clear" w:pos="204"/>
          <w:tab w:val="left" w:pos="0"/>
          <w:tab w:val="left" w:pos="4320"/>
          <w:tab w:val="left" w:pos="5130"/>
        </w:tabs>
        <w:jc w:val="both"/>
        <w:outlineLvl w:val="0"/>
        <w:rPr>
          <w:sz w:val="26"/>
          <w:szCs w:val="26"/>
        </w:rPr>
      </w:pPr>
      <w:r>
        <w:rPr>
          <w:sz w:val="26"/>
          <w:szCs w:val="26"/>
        </w:rPr>
        <w:t>Letter</w:t>
      </w:r>
      <w:r w:rsidR="00AB18C4">
        <w:rPr>
          <w:sz w:val="26"/>
          <w:szCs w:val="26"/>
        </w:rPr>
        <w:t xml:space="preserve"> of </w:t>
      </w:r>
      <w:r>
        <w:rPr>
          <w:sz w:val="26"/>
          <w:szCs w:val="26"/>
        </w:rPr>
        <w:t xml:space="preserve">Notification of </w:t>
      </w:r>
      <w:r w:rsidR="00AB18C4">
        <w:rPr>
          <w:sz w:val="26"/>
          <w:szCs w:val="26"/>
        </w:rPr>
        <w:t xml:space="preserve">PPL Electric </w:t>
      </w:r>
    </w:p>
    <w:p w:rsidR="00912B33" w:rsidRDefault="00AB18C4" w:rsidP="00AB18C4">
      <w:pPr>
        <w:pStyle w:val="p4"/>
        <w:tabs>
          <w:tab w:val="clear" w:pos="204"/>
          <w:tab w:val="left" w:pos="0"/>
          <w:tab w:val="left" w:pos="4320"/>
          <w:tab w:val="left" w:pos="5130"/>
        </w:tabs>
        <w:jc w:val="both"/>
        <w:outlineLvl w:val="0"/>
        <w:rPr>
          <w:sz w:val="26"/>
          <w:szCs w:val="26"/>
        </w:rPr>
      </w:pPr>
      <w:r>
        <w:rPr>
          <w:sz w:val="26"/>
          <w:szCs w:val="26"/>
        </w:rPr>
        <w:t>Utilities</w:t>
      </w:r>
      <w:r w:rsidR="00912B33">
        <w:rPr>
          <w:sz w:val="26"/>
          <w:szCs w:val="26"/>
        </w:rPr>
        <w:t xml:space="preserve"> </w:t>
      </w:r>
      <w:r>
        <w:rPr>
          <w:sz w:val="26"/>
          <w:szCs w:val="26"/>
        </w:rPr>
        <w:t xml:space="preserve">Corporation, Filed Pursuant to </w:t>
      </w:r>
    </w:p>
    <w:p w:rsidR="00912B33" w:rsidRDefault="00AB18C4" w:rsidP="00AB18C4">
      <w:pPr>
        <w:pStyle w:val="p4"/>
        <w:tabs>
          <w:tab w:val="clear" w:pos="204"/>
          <w:tab w:val="left" w:pos="0"/>
          <w:tab w:val="left" w:pos="4320"/>
          <w:tab w:val="left" w:pos="5130"/>
        </w:tabs>
        <w:jc w:val="both"/>
        <w:outlineLvl w:val="0"/>
        <w:rPr>
          <w:sz w:val="26"/>
          <w:szCs w:val="26"/>
        </w:rPr>
      </w:pPr>
      <w:r>
        <w:rPr>
          <w:sz w:val="26"/>
          <w:szCs w:val="26"/>
        </w:rPr>
        <w:t>52 Pa.</w:t>
      </w:r>
      <w:r w:rsidR="00912B33">
        <w:rPr>
          <w:sz w:val="26"/>
          <w:szCs w:val="26"/>
        </w:rPr>
        <w:t xml:space="preserve"> </w:t>
      </w:r>
      <w:r>
        <w:rPr>
          <w:sz w:val="26"/>
          <w:szCs w:val="26"/>
        </w:rPr>
        <w:t>Code Chapter 57 Sub</w:t>
      </w:r>
      <w:r w:rsidR="00912B33">
        <w:rPr>
          <w:sz w:val="26"/>
          <w:szCs w:val="26"/>
        </w:rPr>
        <w:t>c</w:t>
      </w:r>
      <w:r>
        <w:rPr>
          <w:sz w:val="26"/>
          <w:szCs w:val="26"/>
        </w:rPr>
        <w:t>hapter G</w:t>
      </w:r>
      <w:r w:rsidR="00912B33">
        <w:rPr>
          <w:sz w:val="26"/>
          <w:szCs w:val="26"/>
        </w:rPr>
        <w:t>,</w:t>
      </w:r>
    </w:p>
    <w:p w:rsidR="00AB18C4" w:rsidRDefault="00AB18C4" w:rsidP="00AB18C4">
      <w:pPr>
        <w:pStyle w:val="p4"/>
        <w:tabs>
          <w:tab w:val="clear" w:pos="204"/>
          <w:tab w:val="left" w:pos="0"/>
          <w:tab w:val="left" w:pos="4320"/>
          <w:tab w:val="left" w:pos="5130"/>
        </w:tabs>
        <w:jc w:val="both"/>
        <w:outlineLvl w:val="0"/>
        <w:rPr>
          <w:sz w:val="26"/>
          <w:szCs w:val="26"/>
        </w:rPr>
      </w:pPr>
      <w:r>
        <w:rPr>
          <w:sz w:val="26"/>
          <w:szCs w:val="26"/>
        </w:rPr>
        <w:t xml:space="preserve">with </w:t>
      </w:r>
      <w:r w:rsidR="00912B33">
        <w:rPr>
          <w:sz w:val="26"/>
          <w:szCs w:val="26"/>
        </w:rPr>
        <w:t>respect to the Re-termination of the</w:t>
      </w:r>
      <w:r w:rsidR="00912B33" w:rsidRPr="00912B33">
        <w:rPr>
          <w:sz w:val="26"/>
          <w:szCs w:val="26"/>
        </w:rPr>
        <w:t xml:space="preserve"> </w:t>
      </w:r>
      <w:r w:rsidR="00912B33">
        <w:rPr>
          <w:sz w:val="26"/>
          <w:szCs w:val="26"/>
        </w:rPr>
        <w:t xml:space="preserve">                                        A-2013-2364120</w:t>
      </w:r>
    </w:p>
    <w:p w:rsidR="00912B33" w:rsidRDefault="00912B33" w:rsidP="00AB18C4">
      <w:pPr>
        <w:pStyle w:val="p4"/>
        <w:tabs>
          <w:tab w:val="clear" w:pos="204"/>
          <w:tab w:val="left" w:pos="0"/>
          <w:tab w:val="left" w:pos="4320"/>
          <w:tab w:val="left" w:pos="4860"/>
          <w:tab w:val="left" w:pos="5130"/>
        </w:tabs>
        <w:jc w:val="both"/>
        <w:outlineLvl w:val="0"/>
        <w:rPr>
          <w:sz w:val="26"/>
          <w:szCs w:val="26"/>
        </w:rPr>
      </w:pPr>
      <w:r>
        <w:rPr>
          <w:sz w:val="26"/>
          <w:szCs w:val="26"/>
        </w:rPr>
        <w:t>Clinton-Lycoming</w:t>
      </w:r>
      <w:r w:rsidR="00AB18C4">
        <w:rPr>
          <w:sz w:val="26"/>
          <w:szCs w:val="26"/>
        </w:rPr>
        <w:t xml:space="preserve"> </w:t>
      </w:r>
      <w:r>
        <w:rPr>
          <w:sz w:val="26"/>
          <w:szCs w:val="26"/>
        </w:rPr>
        <w:t xml:space="preserve">#2 138/69 kV                                         </w:t>
      </w:r>
    </w:p>
    <w:p w:rsidR="00AB18C4" w:rsidRDefault="00912B33" w:rsidP="00912B33">
      <w:pPr>
        <w:pStyle w:val="p4"/>
        <w:tabs>
          <w:tab w:val="clear" w:pos="204"/>
          <w:tab w:val="left" w:pos="0"/>
          <w:tab w:val="left" w:pos="4320"/>
          <w:tab w:val="left" w:pos="4860"/>
          <w:tab w:val="left" w:pos="5130"/>
        </w:tabs>
        <w:jc w:val="both"/>
        <w:outlineLvl w:val="0"/>
        <w:rPr>
          <w:sz w:val="26"/>
          <w:szCs w:val="26"/>
        </w:rPr>
      </w:pPr>
      <w:r>
        <w:rPr>
          <w:sz w:val="26"/>
          <w:szCs w:val="26"/>
        </w:rPr>
        <w:t>Transmission Tie</w:t>
      </w:r>
      <w:r w:rsidR="00AB18C4">
        <w:rPr>
          <w:sz w:val="26"/>
          <w:szCs w:val="26"/>
        </w:rPr>
        <w:t xml:space="preserve"> Line in</w:t>
      </w:r>
      <w:r>
        <w:rPr>
          <w:sz w:val="26"/>
          <w:szCs w:val="26"/>
        </w:rPr>
        <w:t>to a New Bay</w:t>
      </w:r>
    </w:p>
    <w:p w:rsidR="00912B33" w:rsidRDefault="00912B33" w:rsidP="00AB18C4">
      <w:pPr>
        <w:pStyle w:val="p4"/>
        <w:tabs>
          <w:tab w:val="clear" w:pos="204"/>
          <w:tab w:val="left" w:pos="0"/>
          <w:tab w:val="left" w:pos="4320"/>
          <w:tab w:val="left" w:pos="4860"/>
          <w:tab w:val="left" w:pos="5130"/>
        </w:tabs>
        <w:jc w:val="both"/>
        <w:outlineLvl w:val="0"/>
        <w:rPr>
          <w:sz w:val="26"/>
          <w:szCs w:val="26"/>
        </w:rPr>
      </w:pPr>
      <w:r>
        <w:rPr>
          <w:sz w:val="26"/>
          <w:szCs w:val="26"/>
        </w:rPr>
        <w:t>at the existing 230-69 kV Clinton</w:t>
      </w:r>
    </w:p>
    <w:p w:rsidR="00AB18C4" w:rsidRDefault="00912B33" w:rsidP="00AB18C4">
      <w:pPr>
        <w:pStyle w:val="p4"/>
        <w:tabs>
          <w:tab w:val="clear" w:pos="204"/>
          <w:tab w:val="left" w:pos="0"/>
          <w:tab w:val="left" w:pos="4320"/>
          <w:tab w:val="left" w:pos="4860"/>
          <w:tab w:val="left" w:pos="5130"/>
        </w:tabs>
        <w:jc w:val="both"/>
        <w:outlineLvl w:val="0"/>
        <w:rPr>
          <w:sz w:val="26"/>
          <w:szCs w:val="26"/>
        </w:rPr>
      </w:pPr>
      <w:r>
        <w:rPr>
          <w:sz w:val="26"/>
          <w:szCs w:val="26"/>
        </w:rPr>
        <w:t>Substation in Clinton Township,</w:t>
      </w:r>
    </w:p>
    <w:p w:rsidR="00AB18C4" w:rsidRDefault="00912B33" w:rsidP="00AB18C4">
      <w:pPr>
        <w:pStyle w:val="p4"/>
        <w:tabs>
          <w:tab w:val="left" w:pos="0"/>
        </w:tabs>
        <w:jc w:val="both"/>
        <w:outlineLvl w:val="0"/>
        <w:rPr>
          <w:sz w:val="26"/>
          <w:szCs w:val="26"/>
        </w:rPr>
      </w:pPr>
      <w:r>
        <w:rPr>
          <w:sz w:val="26"/>
          <w:szCs w:val="26"/>
        </w:rPr>
        <w:t>Lycoming</w:t>
      </w:r>
      <w:r w:rsidR="00AB18C4">
        <w:rPr>
          <w:sz w:val="26"/>
          <w:szCs w:val="26"/>
        </w:rPr>
        <w:t>, County, Pennsylvania.</w:t>
      </w:r>
    </w:p>
    <w:p w:rsidR="00AB18C4" w:rsidRDefault="00AB18C4" w:rsidP="00AB18C4">
      <w:pPr>
        <w:pStyle w:val="p4"/>
        <w:tabs>
          <w:tab w:val="left" w:pos="0"/>
        </w:tabs>
        <w:outlineLvl w:val="0"/>
        <w:rPr>
          <w:b/>
          <w:sz w:val="26"/>
          <w:szCs w:val="26"/>
        </w:rPr>
      </w:pPr>
    </w:p>
    <w:p w:rsidR="00AB18C4" w:rsidRDefault="00AB18C4" w:rsidP="00AB18C4">
      <w:pPr>
        <w:pStyle w:val="c2"/>
        <w:tabs>
          <w:tab w:val="left" w:pos="204"/>
        </w:tabs>
        <w:spacing w:line="360" w:lineRule="auto"/>
        <w:outlineLvl w:val="0"/>
        <w:rPr>
          <w:b/>
          <w:sz w:val="26"/>
          <w:szCs w:val="26"/>
        </w:rPr>
      </w:pPr>
      <w:r>
        <w:rPr>
          <w:b/>
          <w:sz w:val="26"/>
          <w:szCs w:val="26"/>
        </w:rPr>
        <w:t>ORDER</w:t>
      </w:r>
    </w:p>
    <w:p w:rsidR="00AB18C4" w:rsidRDefault="00AB18C4" w:rsidP="00AB18C4">
      <w:pPr>
        <w:pStyle w:val="p4"/>
        <w:spacing w:line="360" w:lineRule="auto"/>
        <w:rPr>
          <w:b/>
          <w:sz w:val="26"/>
          <w:szCs w:val="26"/>
        </w:rPr>
      </w:pPr>
      <w:r>
        <w:rPr>
          <w:b/>
          <w:sz w:val="26"/>
          <w:szCs w:val="26"/>
        </w:rPr>
        <w:t>BY THE COMMISSION:</w:t>
      </w:r>
    </w:p>
    <w:p w:rsidR="00AB18C4" w:rsidRDefault="00AB18C4" w:rsidP="00AB18C4">
      <w:pPr>
        <w:tabs>
          <w:tab w:val="left" w:pos="204"/>
        </w:tabs>
        <w:spacing w:line="360" w:lineRule="auto"/>
        <w:rPr>
          <w:sz w:val="26"/>
          <w:szCs w:val="26"/>
        </w:rPr>
      </w:pPr>
    </w:p>
    <w:p w:rsidR="00AB18C4" w:rsidRDefault="00AB18C4" w:rsidP="00AB18C4">
      <w:pPr>
        <w:widowControl/>
        <w:tabs>
          <w:tab w:val="left" w:pos="-1440"/>
          <w:tab w:val="left" w:pos="1440"/>
        </w:tabs>
        <w:suppressAutoHyphens/>
        <w:autoSpaceDE/>
        <w:adjustRightInd/>
        <w:spacing w:line="360" w:lineRule="auto"/>
        <w:rPr>
          <w:sz w:val="26"/>
          <w:szCs w:val="26"/>
        </w:rPr>
      </w:pPr>
      <w:r>
        <w:rPr>
          <w:kern w:val="2"/>
          <w:sz w:val="26"/>
          <w:szCs w:val="26"/>
        </w:rPr>
        <w:tab/>
        <w:t xml:space="preserve">On </w:t>
      </w:r>
      <w:r w:rsidR="006C6152">
        <w:rPr>
          <w:kern w:val="2"/>
          <w:sz w:val="26"/>
          <w:szCs w:val="26"/>
        </w:rPr>
        <w:t>May 16, 2013</w:t>
      </w:r>
      <w:r>
        <w:rPr>
          <w:kern w:val="2"/>
          <w:sz w:val="26"/>
          <w:szCs w:val="26"/>
        </w:rPr>
        <w:t xml:space="preserve">, </w:t>
      </w:r>
      <w:r>
        <w:rPr>
          <w:sz w:val="26"/>
          <w:szCs w:val="26"/>
        </w:rPr>
        <w:t>PPL Electric Utilities Corporation</w:t>
      </w:r>
      <w:r>
        <w:rPr>
          <w:kern w:val="2"/>
          <w:sz w:val="26"/>
          <w:szCs w:val="26"/>
        </w:rPr>
        <w:t xml:space="preserve"> (“</w:t>
      </w:r>
      <w:r>
        <w:rPr>
          <w:sz w:val="26"/>
          <w:szCs w:val="26"/>
        </w:rPr>
        <w:t>PPL Electric</w:t>
      </w:r>
      <w:r>
        <w:rPr>
          <w:kern w:val="2"/>
          <w:sz w:val="26"/>
          <w:szCs w:val="26"/>
        </w:rPr>
        <w:t xml:space="preserve">”) filed a Letter of Notification (“LON”) </w:t>
      </w:r>
      <w:r>
        <w:rPr>
          <w:sz w:val="26"/>
          <w:szCs w:val="26"/>
        </w:rPr>
        <w:t xml:space="preserve">pursuant to 52 Pa. Code </w:t>
      </w:r>
      <w:r>
        <w:rPr>
          <w:kern w:val="2"/>
          <w:sz w:val="26"/>
          <w:szCs w:val="26"/>
        </w:rPr>
        <w:t>§57.72(d)(1)</w:t>
      </w:r>
      <w:r w:rsidR="006C6152">
        <w:rPr>
          <w:kern w:val="2"/>
          <w:sz w:val="26"/>
          <w:szCs w:val="26"/>
        </w:rPr>
        <w:t xml:space="preserve">(iii) and </w:t>
      </w:r>
      <w:r>
        <w:rPr>
          <w:kern w:val="2"/>
          <w:sz w:val="26"/>
          <w:szCs w:val="26"/>
        </w:rPr>
        <w:t>(vi) of the Commission’s transmission line siting regulations.</w:t>
      </w:r>
      <w:r>
        <w:rPr>
          <w:sz w:val="26"/>
          <w:szCs w:val="26"/>
        </w:rPr>
        <w:t xml:space="preserve">  Section </w:t>
      </w:r>
      <w:r>
        <w:rPr>
          <w:iCs/>
          <w:sz w:val="26"/>
          <w:szCs w:val="26"/>
        </w:rPr>
        <w:t xml:space="preserve">57.72 </w:t>
      </w:r>
      <w:r>
        <w:rPr>
          <w:sz w:val="26"/>
          <w:szCs w:val="26"/>
        </w:rPr>
        <w:t>authorizes the abbreviated “Letter of Notification” siting application process in lieu of an application for the following:</w:t>
      </w:r>
    </w:p>
    <w:p w:rsidR="00AB18C4" w:rsidRDefault="00AB18C4" w:rsidP="00AB18C4">
      <w:pPr>
        <w:tabs>
          <w:tab w:val="left" w:pos="1479"/>
        </w:tabs>
        <w:spacing w:line="360" w:lineRule="auto"/>
        <w:rPr>
          <w:sz w:val="26"/>
          <w:szCs w:val="26"/>
        </w:rPr>
      </w:pPr>
    </w:p>
    <w:p w:rsidR="00345890" w:rsidRDefault="0074285E" w:rsidP="0074285E">
      <w:pPr>
        <w:pStyle w:val="p7"/>
        <w:numPr>
          <w:ilvl w:val="0"/>
          <w:numId w:val="1"/>
        </w:numPr>
        <w:tabs>
          <w:tab w:val="left" w:pos="720"/>
          <w:tab w:val="num" w:pos="1170"/>
        </w:tabs>
        <w:spacing w:line="360" w:lineRule="auto"/>
        <w:ind w:left="1440"/>
        <w:jc w:val="both"/>
        <w:rPr>
          <w:sz w:val="26"/>
          <w:szCs w:val="26"/>
        </w:rPr>
      </w:pPr>
      <w:r>
        <w:rPr>
          <w:sz w:val="26"/>
          <w:szCs w:val="26"/>
        </w:rPr>
        <w:tab/>
      </w:r>
      <w:r>
        <w:rPr>
          <w:sz w:val="26"/>
          <w:szCs w:val="26"/>
        </w:rPr>
        <w:tab/>
      </w:r>
      <w:r w:rsidR="00AB18C4">
        <w:rPr>
          <w:sz w:val="26"/>
          <w:szCs w:val="26"/>
        </w:rPr>
        <w:t xml:space="preserve">An HV line which is proposed to be located entirely on an existing transmission line right-of-way, so long as the size, character, design, or </w:t>
      </w:r>
    </w:p>
    <w:p w:rsidR="00345890" w:rsidRDefault="00345890">
      <w:pPr>
        <w:widowControl/>
        <w:autoSpaceDE/>
        <w:autoSpaceDN/>
        <w:adjustRightInd/>
        <w:spacing w:after="200" w:line="276" w:lineRule="auto"/>
        <w:rPr>
          <w:sz w:val="26"/>
          <w:szCs w:val="26"/>
        </w:rPr>
      </w:pPr>
      <w:r>
        <w:rPr>
          <w:sz w:val="26"/>
          <w:szCs w:val="26"/>
        </w:rPr>
        <w:br w:type="page"/>
      </w:r>
    </w:p>
    <w:p w:rsidR="00AB18C4" w:rsidRDefault="00AB18C4" w:rsidP="00345890">
      <w:pPr>
        <w:pStyle w:val="p7"/>
        <w:tabs>
          <w:tab w:val="left" w:pos="720"/>
        </w:tabs>
        <w:spacing w:line="360" w:lineRule="auto"/>
        <w:ind w:left="1440" w:firstLine="0"/>
        <w:jc w:val="both"/>
        <w:rPr>
          <w:sz w:val="26"/>
          <w:szCs w:val="26"/>
        </w:rPr>
      </w:pPr>
      <w:r>
        <w:rPr>
          <w:sz w:val="26"/>
          <w:szCs w:val="26"/>
        </w:rPr>
        <w:lastRenderedPageBreak/>
        <w:t>configuration, of the proposed HV line does not substantially alter the right-of-way.</w:t>
      </w:r>
    </w:p>
    <w:p w:rsidR="00345890" w:rsidRDefault="00345890" w:rsidP="00345890">
      <w:pPr>
        <w:pStyle w:val="p7"/>
        <w:tabs>
          <w:tab w:val="left" w:pos="720"/>
        </w:tabs>
        <w:spacing w:line="360" w:lineRule="auto"/>
        <w:ind w:left="1440" w:firstLine="0"/>
        <w:jc w:val="both"/>
        <w:rPr>
          <w:sz w:val="26"/>
          <w:szCs w:val="26"/>
        </w:rPr>
      </w:pPr>
    </w:p>
    <w:p w:rsidR="00AB18C4" w:rsidRDefault="00AB18C4" w:rsidP="00AB18C4">
      <w:pPr>
        <w:pStyle w:val="p7"/>
        <w:numPr>
          <w:ilvl w:val="0"/>
          <w:numId w:val="2"/>
        </w:numPr>
        <w:tabs>
          <w:tab w:val="clear" w:pos="782"/>
          <w:tab w:val="clear" w:pos="1133"/>
          <w:tab w:val="clear" w:pos="1257"/>
          <w:tab w:val="left" w:pos="720"/>
          <w:tab w:val="num" w:pos="1440"/>
        </w:tabs>
        <w:spacing w:line="360" w:lineRule="auto"/>
        <w:ind w:left="1440"/>
        <w:jc w:val="both"/>
        <w:rPr>
          <w:sz w:val="26"/>
          <w:szCs w:val="26"/>
        </w:rPr>
      </w:pPr>
      <w:r>
        <w:rPr>
          <w:sz w:val="26"/>
          <w:szCs w:val="26"/>
        </w:rPr>
        <w:t>An HV line which is proposed to be located entirely within a public road.</w:t>
      </w:r>
    </w:p>
    <w:p w:rsidR="00AB18C4" w:rsidRDefault="00AB18C4" w:rsidP="00AB18C4">
      <w:pPr>
        <w:pStyle w:val="p1"/>
        <w:tabs>
          <w:tab w:val="clear" w:pos="691"/>
          <w:tab w:val="left" w:pos="720"/>
        </w:tabs>
        <w:spacing w:line="360" w:lineRule="auto"/>
        <w:ind w:left="813" w:firstLine="0"/>
        <w:rPr>
          <w:sz w:val="26"/>
          <w:szCs w:val="26"/>
        </w:rPr>
      </w:pPr>
    </w:p>
    <w:p w:rsidR="00AB18C4" w:rsidRDefault="00AB18C4" w:rsidP="00AB18C4">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which is proposed to be located entirely within applicant’s existing transmission line right-of-way and the property of the sole customer to be served by the line, so long as the size, character, design, or configuration of the proposed HV line does not substantially alter the right-of-way.</w:t>
      </w:r>
    </w:p>
    <w:p w:rsidR="00AB18C4" w:rsidRDefault="00AB18C4" w:rsidP="00AB18C4">
      <w:pPr>
        <w:tabs>
          <w:tab w:val="left" w:pos="691"/>
          <w:tab w:val="left" w:pos="1054"/>
        </w:tabs>
        <w:spacing w:line="360" w:lineRule="auto"/>
        <w:rPr>
          <w:sz w:val="26"/>
          <w:szCs w:val="26"/>
        </w:rPr>
      </w:pPr>
    </w:p>
    <w:p w:rsidR="00AB18C4" w:rsidRDefault="00AB18C4" w:rsidP="00AB18C4">
      <w:pPr>
        <w:pStyle w:val="p1"/>
        <w:numPr>
          <w:ilvl w:val="0"/>
          <w:numId w:val="2"/>
        </w:numPr>
        <w:tabs>
          <w:tab w:val="clear" w:pos="691"/>
          <w:tab w:val="clear" w:pos="1054"/>
          <w:tab w:val="clear" w:pos="1257"/>
          <w:tab w:val="left" w:pos="720"/>
          <w:tab w:val="left" w:pos="1080"/>
          <w:tab w:val="left" w:pos="1440"/>
        </w:tabs>
        <w:spacing w:line="360" w:lineRule="auto"/>
        <w:ind w:left="1440"/>
        <w:rPr>
          <w:sz w:val="26"/>
          <w:szCs w:val="26"/>
        </w:rPr>
      </w:pPr>
      <w:r>
        <w:rPr>
          <w:sz w:val="26"/>
          <w:szCs w:val="26"/>
        </w:rPr>
        <w:t>A line for which the voltage is proposed to be incr</w:t>
      </w:r>
      <w:r w:rsidR="0015152A">
        <w:rPr>
          <w:sz w:val="26"/>
          <w:szCs w:val="26"/>
        </w:rPr>
        <w:t xml:space="preserve">eased above its present levels </w:t>
      </w:r>
      <w:r>
        <w:rPr>
          <w:sz w:val="26"/>
          <w:szCs w:val="26"/>
        </w:rPr>
        <w:t>so long as the size, character, design, or configuration of the proposed HV line does not substantially alter the right-of-way.</w:t>
      </w:r>
    </w:p>
    <w:p w:rsidR="00AB18C4" w:rsidRDefault="00AB18C4" w:rsidP="00AB18C4">
      <w:pPr>
        <w:pStyle w:val="p1"/>
        <w:tabs>
          <w:tab w:val="clear" w:pos="691"/>
          <w:tab w:val="clear" w:pos="1054"/>
          <w:tab w:val="left" w:pos="540"/>
          <w:tab w:val="left" w:pos="1080"/>
        </w:tabs>
        <w:spacing w:line="360" w:lineRule="auto"/>
        <w:ind w:left="0" w:firstLine="0"/>
        <w:rPr>
          <w:sz w:val="26"/>
          <w:szCs w:val="26"/>
        </w:rPr>
      </w:pPr>
    </w:p>
    <w:p w:rsidR="00AB18C4" w:rsidRDefault="00AB18C4" w:rsidP="00AB18C4">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which is to be reconductored or reconstructed so long as the size, character, design, or configuration of the proposed HV line does not substantially alter the right-of-way.</w:t>
      </w:r>
    </w:p>
    <w:p w:rsidR="00AB18C4" w:rsidRDefault="00AB18C4" w:rsidP="00AB18C4">
      <w:pPr>
        <w:pStyle w:val="p1"/>
        <w:tabs>
          <w:tab w:val="clear" w:pos="691"/>
          <w:tab w:val="clear" w:pos="1054"/>
          <w:tab w:val="left" w:pos="720"/>
          <w:tab w:val="left" w:pos="1440"/>
        </w:tabs>
        <w:spacing w:line="360" w:lineRule="auto"/>
        <w:ind w:left="0" w:firstLine="0"/>
        <w:rPr>
          <w:sz w:val="26"/>
          <w:szCs w:val="26"/>
        </w:rPr>
      </w:pPr>
    </w:p>
    <w:p w:rsidR="00AB18C4" w:rsidRDefault="00AB18C4" w:rsidP="00AB18C4">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having a proposed route of 2 miles or less.</w:t>
      </w:r>
    </w:p>
    <w:p w:rsidR="00AB18C4" w:rsidRDefault="00AB18C4" w:rsidP="00AB18C4">
      <w:pPr>
        <w:tabs>
          <w:tab w:val="left" w:pos="691"/>
          <w:tab w:val="left" w:pos="1440"/>
        </w:tabs>
        <w:spacing w:line="360" w:lineRule="auto"/>
        <w:rPr>
          <w:rFonts w:ascii="Times New (W1)" w:hAnsi="Times New (W1)"/>
          <w:sz w:val="26"/>
          <w:szCs w:val="26"/>
        </w:rPr>
      </w:pPr>
    </w:p>
    <w:p w:rsidR="00AB18C4" w:rsidRDefault="00AB18C4" w:rsidP="0015152A">
      <w:pPr>
        <w:pStyle w:val="p2"/>
        <w:spacing w:line="360" w:lineRule="auto"/>
        <w:ind w:right="288" w:firstLine="0"/>
        <w:rPr>
          <w:sz w:val="26"/>
          <w:szCs w:val="26"/>
        </w:rPr>
      </w:pPr>
      <w:r>
        <w:rPr>
          <w:rFonts w:ascii="Times New (W1)" w:hAnsi="Times New (W1)"/>
          <w:sz w:val="26"/>
          <w:szCs w:val="26"/>
        </w:rPr>
        <w:tab/>
      </w:r>
      <w:r>
        <w:rPr>
          <w:sz w:val="26"/>
          <w:szCs w:val="26"/>
        </w:rPr>
        <w:t>Copies of the Letter of Notification were served in accordance with Section 57.72(d) (3) and 57.74 (b), (c) on the PA D</w:t>
      </w:r>
      <w:r w:rsidR="00345890">
        <w:rPr>
          <w:sz w:val="26"/>
          <w:szCs w:val="26"/>
        </w:rPr>
        <w:t>epartment of Transportation, PA </w:t>
      </w:r>
      <w:r>
        <w:rPr>
          <w:sz w:val="26"/>
          <w:szCs w:val="26"/>
        </w:rPr>
        <w:t>Historical and Museum Commission, PA Department of Env</w:t>
      </w:r>
      <w:r w:rsidR="001B57B4">
        <w:rPr>
          <w:sz w:val="26"/>
          <w:szCs w:val="26"/>
        </w:rPr>
        <w:t>ironmental Protection, Lycoming</w:t>
      </w:r>
      <w:r>
        <w:rPr>
          <w:sz w:val="26"/>
          <w:szCs w:val="26"/>
        </w:rPr>
        <w:t xml:space="preserve"> County Planning Commis</w:t>
      </w:r>
      <w:r w:rsidR="001B57B4">
        <w:rPr>
          <w:sz w:val="26"/>
          <w:szCs w:val="26"/>
        </w:rPr>
        <w:t xml:space="preserve">sion, Lycoming County </w:t>
      </w:r>
      <w:r>
        <w:rPr>
          <w:sz w:val="26"/>
          <w:szCs w:val="26"/>
        </w:rPr>
        <w:t xml:space="preserve">Commissioners, </w:t>
      </w:r>
      <w:r w:rsidR="001B57B4">
        <w:rPr>
          <w:sz w:val="26"/>
          <w:szCs w:val="26"/>
        </w:rPr>
        <w:t>Clinton</w:t>
      </w:r>
      <w:r>
        <w:rPr>
          <w:sz w:val="26"/>
          <w:szCs w:val="26"/>
        </w:rPr>
        <w:t xml:space="preserve"> Township Planning Commission, </w:t>
      </w:r>
      <w:r w:rsidR="001B57B4">
        <w:rPr>
          <w:sz w:val="26"/>
          <w:szCs w:val="26"/>
        </w:rPr>
        <w:t>Clinton Township</w:t>
      </w:r>
      <w:r>
        <w:rPr>
          <w:sz w:val="26"/>
          <w:szCs w:val="26"/>
        </w:rPr>
        <w:t xml:space="preserve"> Board of </w:t>
      </w:r>
      <w:r w:rsidR="001B57B4">
        <w:rPr>
          <w:sz w:val="26"/>
          <w:szCs w:val="26"/>
        </w:rPr>
        <w:t>Supervisors</w:t>
      </w:r>
      <w:r>
        <w:rPr>
          <w:sz w:val="26"/>
          <w:szCs w:val="26"/>
        </w:rPr>
        <w:t xml:space="preserve"> and other interested parties as listed in the Cert</w:t>
      </w:r>
      <w:r w:rsidR="0015152A">
        <w:rPr>
          <w:sz w:val="26"/>
          <w:szCs w:val="26"/>
        </w:rPr>
        <w:t>ificate of Service.  No protest</w:t>
      </w:r>
      <w:r>
        <w:rPr>
          <w:sz w:val="26"/>
          <w:szCs w:val="26"/>
        </w:rPr>
        <w:t xml:space="preserve"> </w:t>
      </w:r>
      <w:r w:rsidR="0015152A">
        <w:rPr>
          <w:sz w:val="26"/>
          <w:szCs w:val="26"/>
        </w:rPr>
        <w:t>was filed and no hearing</w:t>
      </w:r>
      <w:r>
        <w:rPr>
          <w:sz w:val="26"/>
          <w:szCs w:val="26"/>
        </w:rPr>
        <w:t xml:space="preserve"> </w:t>
      </w:r>
      <w:r w:rsidR="0015152A">
        <w:rPr>
          <w:sz w:val="26"/>
          <w:szCs w:val="26"/>
        </w:rPr>
        <w:t>was</w:t>
      </w:r>
      <w:r>
        <w:rPr>
          <w:sz w:val="26"/>
          <w:szCs w:val="26"/>
        </w:rPr>
        <w:t xml:space="preserve"> held.</w:t>
      </w:r>
    </w:p>
    <w:p w:rsidR="00AB18C4" w:rsidRDefault="00AB18C4" w:rsidP="0015152A">
      <w:pPr>
        <w:pStyle w:val="p2"/>
        <w:spacing w:line="360" w:lineRule="auto"/>
        <w:ind w:firstLine="0"/>
        <w:rPr>
          <w:sz w:val="26"/>
          <w:szCs w:val="26"/>
        </w:rPr>
      </w:pPr>
    </w:p>
    <w:p w:rsidR="008A44A0" w:rsidRPr="008A44A0" w:rsidRDefault="00AB18C4" w:rsidP="0015152A">
      <w:pPr>
        <w:spacing w:line="360" w:lineRule="auto"/>
        <w:ind w:right="-72"/>
        <w:rPr>
          <w:sz w:val="26"/>
          <w:szCs w:val="26"/>
        </w:rPr>
      </w:pPr>
      <w:r>
        <w:rPr>
          <w:color w:val="000000"/>
          <w:sz w:val="26"/>
          <w:szCs w:val="26"/>
        </w:rPr>
        <w:lastRenderedPageBreak/>
        <w:tab/>
      </w:r>
      <w:r>
        <w:rPr>
          <w:color w:val="000000"/>
          <w:sz w:val="26"/>
          <w:szCs w:val="26"/>
        </w:rPr>
        <w:tab/>
      </w:r>
      <w:r w:rsidR="001B57B4" w:rsidRPr="008A44A0">
        <w:rPr>
          <w:sz w:val="26"/>
          <w:szCs w:val="26"/>
        </w:rPr>
        <w:t>In</w:t>
      </w:r>
      <w:r w:rsidRPr="008A44A0">
        <w:rPr>
          <w:sz w:val="26"/>
          <w:szCs w:val="26"/>
        </w:rPr>
        <w:t xml:space="preserve"> this filing</w:t>
      </w:r>
      <w:r w:rsidR="008A44A0" w:rsidRPr="008A44A0">
        <w:rPr>
          <w:sz w:val="26"/>
          <w:szCs w:val="26"/>
        </w:rPr>
        <w:t>,</w:t>
      </w:r>
      <w:r w:rsidRPr="008A44A0">
        <w:rPr>
          <w:sz w:val="26"/>
          <w:szCs w:val="26"/>
        </w:rPr>
        <w:t xml:space="preserve"> </w:t>
      </w:r>
      <w:r w:rsidR="001B57B4" w:rsidRPr="008A44A0">
        <w:rPr>
          <w:sz w:val="26"/>
          <w:szCs w:val="26"/>
        </w:rPr>
        <w:t>PPL Electric seeks Commission approval to re-terminate</w:t>
      </w:r>
      <w:r w:rsidR="008A44A0" w:rsidRPr="008A44A0">
        <w:rPr>
          <w:sz w:val="26"/>
          <w:szCs w:val="26"/>
        </w:rPr>
        <w:t xml:space="preserve"> the existing 16.4-mile long Clinton – Lycoming </w:t>
      </w:r>
      <w:r w:rsidR="0015152A">
        <w:rPr>
          <w:sz w:val="26"/>
          <w:szCs w:val="26"/>
        </w:rPr>
        <w:t>#2</w:t>
      </w:r>
      <w:r w:rsidR="008A44A0" w:rsidRPr="008A44A0">
        <w:rPr>
          <w:sz w:val="26"/>
          <w:szCs w:val="26"/>
        </w:rPr>
        <w:t xml:space="preserve"> 138/69 kV Transmission Tie Line </w:t>
      </w:r>
      <w:r w:rsidR="008A44A0">
        <w:rPr>
          <w:sz w:val="26"/>
          <w:szCs w:val="26"/>
        </w:rPr>
        <w:t>(</w:t>
      </w:r>
      <w:r w:rsidR="008A44A0" w:rsidRPr="008A44A0">
        <w:rPr>
          <w:sz w:val="26"/>
          <w:szCs w:val="26"/>
        </w:rPr>
        <w:t xml:space="preserve">"Clinton - Lycoming Line") into a new bay at the existing 230-69 kV Clinton Substation in Clinton Township, Lycoming County, Pennsylvania (the "Project").  </w:t>
      </w:r>
    </w:p>
    <w:p w:rsidR="008A44A0" w:rsidRPr="008A44A0" w:rsidRDefault="008A44A0" w:rsidP="008A44A0">
      <w:pPr>
        <w:spacing w:line="360" w:lineRule="auto"/>
        <w:rPr>
          <w:sz w:val="26"/>
          <w:szCs w:val="26"/>
        </w:rPr>
      </w:pPr>
    </w:p>
    <w:p w:rsidR="001B57B4" w:rsidRPr="008A44A0" w:rsidRDefault="008A44A0" w:rsidP="00355280">
      <w:pPr>
        <w:spacing w:line="360" w:lineRule="auto"/>
        <w:ind w:firstLine="1440"/>
        <w:rPr>
          <w:sz w:val="26"/>
          <w:szCs w:val="26"/>
        </w:rPr>
      </w:pPr>
      <w:r w:rsidRPr="008A44A0">
        <w:rPr>
          <w:sz w:val="26"/>
          <w:szCs w:val="26"/>
        </w:rPr>
        <w:t>PPL Electric states that the Clinton - Lycoming Line is currently tied to the</w:t>
      </w:r>
      <w:r>
        <w:rPr>
          <w:sz w:val="26"/>
          <w:szCs w:val="26"/>
        </w:rPr>
        <w:t xml:space="preserve"> </w:t>
      </w:r>
      <w:r w:rsidRPr="008A44A0">
        <w:rPr>
          <w:sz w:val="26"/>
          <w:szCs w:val="26"/>
        </w:rPr>
        <w:t>4.0-mile long Lycoming #2 - Muncy 138/69 kV Transmission Tie Line ("Lycoming-Muncy Line").  The two lines terminate together via a single, joint tie line into one bay in the 230-69 kV Clinton Substation ("Clinton</w:t>
      </w:r>
      <w:r>
        <w:rPr>
          <w:sz w:val="26"/>
          <w:szCs w:val="26"/>
        </w:rPr>
        <w:t xml:space="preserve"> </w:t>
      </w:r>
      <w:r w:rsidRPr="008A44A0">
        <w:rPr>
          <w:sz w:val="26"/>
          <w:szCs w:val="26"/>
        </w:rPr>
        <w:t xml:space="preserve">Substation").  </w:t>
      </w:r>
      <w:r>
        <w:rPr>
          <w:sz w:val="26"/>
          <w:szCs w:val="26"/>
        </w:rPr>
        <w:t xml:space="preserve">PPL Electric plans to detach </w:t>
      </w:r>
      <w:r w:rsidRPr="008A44A0">
        <w:rPr>
          <w:sz w:val="26"/>
          <w:szCs w:val="26"/>
        </w:rPr>
        <w:t>the Clinton-Lycoming Line from the</w:t>
      </w:r>
      <w:r>
        <w:rPr>
          <w:sz w:val="26"/>
          <w:szCs w:val="26"/>
        </w:rPr>
        <w:t xml:space="preserve"> </w:t>
      </w:r>
      <w:r w:rsidRPr="008A44A0">
        <w:rPr>
          <w:sz w:val="26"/>
          <w:szCs w:val="26"/>
        </w:rPr>
        <w:t>existing</w:t>
      </w:r>
      <w:r>
        <w:rPr>
          <w:sz w:val="26"/>
          <w:szCs w:val="26"/>
        </w:rPr>
        <w:t xml:space="preserve"> Lycoming - Muncy Line and re-te</w:t>
      </w:r>
      <w:r w:rsidR="00355280">
        <w:rPr>
          <w:sz w:val="26"/>
          <w:szCs w:val="26"/>
        </w:rPr>
        <w:t>rminate it</w:t>
      </w:r>
      <w:r w:rsidRPr="008A44A0">
        <w:rPr>
          <w:sz w:val="26"/>
          <w:szCs w:val="26"/>
        </w:rPr>
        <w:t xml:space="preserve"> into the Clinton Substation via a 1,200 foot</w:t>
      </w:r>
      <w:r w:rsidR="00355280">
        <w:rPr>
          <w:sz w:val="26"/>
          <w:szCs w:val="26"/>
        </w:rPr>
        <w:t xml:space="preserve"> </w:t>
      </w:r>
      <w:r w:rsidRPr="008A44A0">
        <w:rPr>
          <w:sz w:val="26"/>
          <w:szCs w:val="26"/>
        </w:rPr>
        <w:t>segment of new transmis</w:t>
      </w:r>
      <w:r w:rsidR="00355280">
        <w:rPr>
          <w:sz w:val="26"/>
          <w:szCs w:val="26"/>
        </w:rPr>
        <w:t>sion line into a new bay also at</w:t>
      </w:r>
      <w:r w:rsidRPr="008A44A0">
        <w:rPr>
          <w:sz w:val="26"/>
          <w:szCs w:val="26"/>
        </w:rPr>
        <w:t xml:space="preserve"> the Clinton Substation ("Project").</w:t>
      </w:r>
    </w:p>
    <w:p w:rsidR="00AB18C4" w:rsidRDefault="00AB18C4" w:rsidP="00AB18C4">
      <w:pPr>
        <w:spacing w:line="360" w:lineRule="auto"/>
        <w:ind w:right="-90" w:firstLine="1440"/>
        <w:rPr>
          <w:sz w:val="26"/>
          <w:szCs w:val="26"/>
        </w:rPr>
      </w:pPr>
    </w:p>
    <w:p w:rsidR="00355280" w:rsidRDefault="00AB18C4" w:rsidP="00355280">
      <w:pPr>
        <w:spacing w:line="360" w:lineRule="auto"/>
        <w:ind w:firstLine="1440"/>
        <w:rPr>
          <w:sz w:val="26"/>
          <w:szCs w:val="26"/>
        </w:rPr>
      </w:pPr>
      <w:r w:rsidRPr="00355280">
        <w:rPr>
          <w:sz w:val="26"/>
          <w:szCs w:val="26"/>
        </w:rPr>
        <w:t xml:space="preserve">PPL Electric </w:t>
      </w:r>
      <w:r w:rsidR="00355280" w:rsidRPr="00355280">
        <w:rPr>
          <w:sz w:val="26"/>
          <w:szCs w:val="26"/>
        </w:rPr>
        <w:t xml:space="preserve">states </w:t>
      </w:r>
      <w:r w:rsidR="00355280">
        <w:rPr>
          <w:sz w:val="26"/>
          <w:szCs w:val="26"/>
        </w:rPr>
        <w:t xml:space="preserve">that </w:t>
      </w:r>
      <w:r w:rsidR="00355280" w:rsidRPr="00355280">
        <w:rPr>
          <w:sz w:val="26"/>
          <w:szCs w:val="26"/>
        </w:rPr>
        <w:t xml:space="preserve">Project will resolve </w:t>
      </w:r>
      <w:r w:rsidR="005023E6">
        <w:rPr>
          <w:sz w:val="26"/>
          <w:szCs w:val="26"/>
        </w:rPr>
        <w:t>reliability</w:t>
      </w:r>
      <w:r w:rsidR="00355280" w:rsidRPr="00355280">
        <w:rPr>
          <w:sz w:val="26"/>
          <w:szCs w:val="26"/>
        </w:rPr>
        <w:t xml:space="preserve"> issue</w:t>
      </w:r>
      <w:r w:rsidR="007E0523">
        <w:rPr>
          <w:sz w:val="26"/>
          <w:szCs w:val="26"/>
        </w:rPr>
        <w:t>s</w:t>
      </w:r>
      <w:r w:rsidR="00355280" w:rsidRPr="00355280">
        <w:rPr>
          <w:sz w:val="26"/>
          <w:szCs w:val="26"/>
        </w:rPr>
        <w:t xml:space="preserve"> which result from the fact that the Clinton - Lycoming Line and the Lycoming - Muncy Line are operated in a network configuration. </w:t>
      </w:r>
      <w:r w:rsidR="00355280">
        <w:rPr>
          <w:sz w:val="26"/>
          <w:szCs w:val="26"/>
        </w:rPr>
        <w:t xml:space="preserve"> </w:t>
      </w:r>
      <w:r w:rsidR="00355280" w:rsidRPr="00355280">
        <w:rPr>
          <w:sz w:val="26"/>
          <w:szCs w:val="26"/>
        </w:rPr>
        <w:t xml:space="preserve">Specifically, any outage on either Line interrupts service to all customers served by both lines. </w:t>
      </w:r>
      <w:r w:rsidR="00355280">
        <w:rPr>
          <w:sz w:val="26"/>
          <w:szCs w:val="26"/>
        </w:rPr>
        <w:t xml:space="preserve"> </w:t>
      </w:r>
      <w:r w:rsidR="00355280" w:rsidRPr="00355280">
        <w:rPr>
          <w:sz w:val="26"/>
          <w:szCs w:val="26"/>
        </w:rPr>
        <w:t xml:space="preserve">The result is an increased number of outages on these lines. </w:t>
      </w:r>
      <w:r w:rsidR="00E51570">
        <w:rPr>
          <w:sz w:val="26"/>
          <w:szCs w:val="26"/>
        </w:rPr>
        <w:t>According to PPL Electric, s</w:t>
      </w:r>
      <w:r w:rsidR="00355280" w:rsidRPr="00355280">
        <w:rPr>
          <w:sz w:val="26"/>
          <w:szCs w:val="26"/>
        </w:rPr>
        <w:t xml:space="preserve">ervice on these Lines has been interrupted to residential customers as well as certain large industrial customers served from the Lycoming - Muncy Line who require a </w:t>
      </w:r>
      <w:r w:rsidR="005023E6">
        <w:rPr>
          <w:sz w:val="26"/>
          <w:szCs w:val="26"/>
        </w:rPr>
        <w:t>high level of reliable service t</w:t>
      </w:r>
      <w:r w:rsidR="00355280" w:rsidRPr="00355280">
        <w:rPr>
          <w:sz w:val="26"/>
          <w:szCs w:val="26"/>
        </w:rPr>
        <w:t>o sustain their operations.</w:t>
      </w:r>
      <w:r w:rsidR="005023E6">
        <w:rPr>
          <w:sz w:val="26"/>
          <w:szCs w:val="26"/>
        </w:rPr>
        <w:t xml:space="preserve">  </w:t>
      </w:r>
      <w:r w:rsidR="00885004">
        <w:rPr>
          <w:sz w:val="26"/>
          <w:szCs w:val="26"/>
        </w:rPr>
        <w:t>A total of</w:t>
      </w:r>
      <w:r w:rsidR="005023E6">
        <w:rPr>
          <w:sz w:val="26"/>
          <w:szCs w:val="26"/>
        </w:rPr>
        <w:t xml:space="preserve"> </w:t>
      </w:r>
      <w:r w:rsidR="00885004">
        <w:rPr>
          <w:sz w:val="26"/>
          <w:szCs w:val="26"/>
        </w:rPr>
        <w:t xml:space="preserve">approximately </w:t>
      </w:r>
      <w:r w:rsidR="00C85C4A">
        <w:rPr>
          <w:sz w:val="26"/>
          <w:szCs w:val="26"/>
        </w:rPr>
        <w:t xml:space="preserve">17,118 customers are served from the substations supplied by the </w:t>
      </w:r>
      <w:r w:rsidR="00C85C4A" w:rsidRPr="00355280">
        <w:rPr>
          <w:sz w:val="26"/>
          <w:szCs w:val="26"/>
        </w:rPr>
        <w:t>Clinton - Lycoming Line and the Lycoming - Muncy Line</w:t>
      </w:r>
      <w:r w:rsidR="00C85C4A">
        <w:rPr>
          <w:sz w:val="26"/>
          <w:szCs w:val="26"/>
        </w:rPr>
        <w:t>.</w:t>
      </w:r>
    </w:p>
    <w:p w:rsidR="002E7140" w:rsidRDefault="002E7140" w:rsidP="004A72E5"/>
    <w:p w:rsidR="002E7140" w:rsidRDefault="002E7140" w:rsidP="004A72E5"/>
    <w:p w:rsidR="004A72E5" w:rsidRPr="005F2502" w:rsidRDefault="002E7140" w:rsidP="00885004">
      <w:pPr>
        <w:spacing w:line="360" w:lineRule="auto"/>
        <w:ind w:right="-162" w:firstLine="1440"/>
        <w:rPr>
          <w:sz w:val="26"/>
          <w:szCs w:val="26"/>
        </w:rPr>
      </w:pPr>
      <w:r w:rsidRPr="00885004">
        <w:rPr>
          <w:sz w:val="26"/>
          <w:szCs w:val="26"/>
        </w:rPr>
        <w:t>PPL Electric states that according to its Reliability Principles and Practices (“RP&amp;P”), outages on a load serving line should not exceed 2 outages per year per 20-mile circuit for both momentary and permanent outages.</w:t>
      </w:r>
      <w:r w:rsidRPr="00885004">
        <w:rPr>
          <w:rStyle w:val="FootnoteReference"/>
          <w:sz w:val="26"/>
          <w:szCs w:val="26"/>
        </w:rPr>
        <w:footnoteReference w:id="1"/>
      </w:r>
      <w:r w:rsidRPr="00885004">
        <w:rPr>
          <w:sz w:val="26"/>
          <w:szCs w:val="26"/>
        </w:rPr>
        <w:t xml:space="preserve">  This is equivalent to </w:t>
      </w:r>
      <w:r w:rsidRPr="00885004">
        <w:rPr>
          <w:sz w:val="26"/>
          <w:szCs w:val="26"/>
        </w:rPr>
        <w:lastRenderedPageBreak/>
        <w:t>2.04</w:t>
      </w:r>
      <w:r w:rsidR="00345890">
        <w:rPr>
          <w:sz w:val="26"/>
          <w:szCs w:val="26"/>
        </w:rPr>
        <w:t> </w:t>
      </w:r>
      <w:r w:rsidRPr="00885004">
        <w:rPr>
          <w:sz w:val="26"/>
          <w:szCs w:val="26"/>
        </w:rPr>
        <w:t>inte</w:t>
      </w:r>
      <w:r w:rsidR="00F86817" w:rsidRPr="00885004">
        <w:rPr>
          <w:sz w:val="26"/>
          <w:szCs w:val="26"/>
        </w:rPr>
        <w:t>rrupt</w:t>
      </w:r>
      <w:r w:rsidRPr="00885004">
        <w:rPr>
          <w:sz w:val="26"/>
          <w:szCs w:val="26"/>
        </w:rPr>
        <w:t>ions per</w:t>
      </w:r>
      <w:r w:rsidR="00F86817" w:rsidRPr="00885004">
        <w:rPr>
          <w:sz w:val="26"/>
          <w:szCs w:val="26"/>
        </w:rPr>
        <w:t xml:space="preserve"> year for the 20.4 mile long Clinton - Lycoming and Lycoming - Muncy Lines.  </w:t>
      </w:r>
      <w:r w:rsidR="00885004">
        <w:rPr>
          <w:sz w:val="26"/>
          <w:szCs w:val="26"/>
        </w:rPr>
        <w:t>H</w:t>
      </w:r>
      <w:r w:rsidR="00F86817" w:rsidRPr="00885004">
        <w:rPr>
          <w:sz w:val="26"/>
          <w:szCs w:val="26"/>
        </w:rPr>
        <w:t xml:space="preserve">owever, in recent years, </w:t>
      </w:r>
      <w:r w:rsidR="004A72E5" w:rsidRPr="00885004">
        <w:rPr>
          <w:sz w:val="26"/>
          <w:szCs w:val="26"/>
        </w:rPr>
        <w:t>outage rates of</w:t>
      </w:r>
      <w:r w:rsidR="00F86817" w:rsidRPr="00885004">
        <w:rPr>
          <w:sz w:val="26"/>
          <w:szCs w:val="26"/>
        </w:rPr>
        <w:t xml:space="preserve"> </w:t>
      </w:r>
      <w:r w:rsidR="004A72E5" w:rsidRPr="00885004">
        <w:rPr>
          <w:sz w:val="26"/>
          <w:szCs w:val="26"/>
        </w:rPr>
        <w:t>the Clinton - Lycoming and Lycoming - Muncy Lines have exceeded the line</w:t>
      </w:r>
      <w:r w:rsidR="00F86817" w:rsidRPr="00885004">
        <w:rPr>
          <w:sz w:val="26"/>
          <w:szCs w:val="26"/>
        </w:rPr>
        <w:t xml:space="preserve"> </w:t>
      </w:r>
      <w:r w:rsidR="004A72E5" w:rsidRPr="00885004">
        <w:rPr>
          <w:sz w:val="26"/>
          <w:szCs w:val="26"/>
        </w:rPr>
        <w:t>performance standards set by PPL Electric's RP&amp;P with 4 out</w:t>
      </w:r>
      <w:r w:rsidR="00F86817" w:rsidRPr="00885004">
        <w:rPr>
          <w:sz w:val="26"/>
          <w:szCs w:val="26"/>
        </w:rPr>
        <w:t xml:space="preserve">ages in 2011, </w:t>
      </w:r>
      <w:r w:rsidR="00F86817" w:rsidRPr="005F2502">
        <w:rPr>
          <w:sz w:val="26"/>
          <w:szCs w:val="26"/>
        </w:rPr>
        <w:t xml:space="preserve">7 outages in 2012, </w:t>
      </w:r>
      <w:r w:rsidR="004A72E5" w:rsidRPr="005F2502">
        <w:rPr>
          <w:sz w:val="26"/>
          <w:szCs w:val="26"/>
        </w:rPr>
        <w:t>and 3 outages to date in 2013.</w:t>
      </w:r>
    </w:p>
    <w:p w:rsidR="004A72E5" w:rsidRPr="005F2502" w:rsidRDefault="004A72E5" w:rsidP="00355280">
      <w:pPr>
        <w:spacing w:line="360" w:lineRule="auto"/>
        <w:ind w:firstLine="1440"/>
        <w:rPr>
          <w:sz w:val="26"/>
          <w:szCs w:val="26"/>
        </w:rPr>
      </w:pPr>
    </w:p>
    <w:p w:rsidR="00FC5A52" w:rsidRDefault="00C50D4B" w:rsidP="00215504">
      <w:pPr>
        <w:spacing w:line="360" w:lineRule="auto"/>
      </w:pPr>
      <w:r w:rsidRPr="005F2502">
        <w:rPr>
          <w:sz w:val="26"/>
          <w:szCs w:val="26"/>
        </w:rPr>
        <w:tab/>
      </w:r>
      <w:r w:rsidR="00215504" w:rsidRPr="005F2502">
        <w:rPr>
          <w:sz w:val="26"/>
          <w:szCs w:val="26"/>
        </w:rPr>
        <w:tab/>
      </w:r>
      <w:r w:rsidR="00FC5A52" w:rsidRPr="005F2502">
        <w:rPr>
          <w:sz w:val="26"/>
          <w:szCs w:val="26"/>
        </w:rPr>
        <w:t xml:space="preserve">PPL Electric believes that the proposed project will produce significant improvement in service reliability. </w:t>
      </w:r>
      <w:r w:rsidR="005F2502">
        <w:rPr>
          <w:sz w:val="26"/>
          <w:szCs w:val="26"/>
        </w:rPr>
        <w:t xml:space="preserve"> </w:t>
      </w:r>
      <w:r w:rsidR="00FC5A52" w:rsidRPr="005F2502">
        <w:rPr>
          <w:sz w:val="26"/>
          <w:szCs w:val="26"/>
        </w:rPr>
        <w:t>The proposed Project involves the reduction of the line mileage exposure for each of the two lines.</w:t>
      </w:r>
      <w:r w:rsidR="00261612" w:rsidRPr="005F2502">
        <w:rPr>
          <w:sz w:val="26"/>
          <w:szCs w:val="26"/>
        </w:rPr>
        <w:t xml:space="preserve">  </w:t>
      </w:r>
      <w:r w:rsidR="00FC5A52" w:rsidRPr="005F2502">
        <w:rPr>
          <w:sz w:val="26"/>
          <w:szCs w:val="26"/>
        </w:rPr>
        <w:t xml:space="preserve">PPL Electric </w:t>
      </w:r>
      <w:r w:rsidR="00261612" w:rsidRPr="005F2502">
        <w:rPr>
          <w:sz w:val="26"/>
          <w:szCs w:val="26"/>
        </w:rPr>
        <w:t>plans</w:t>
      </w:r>
      <w:r w:rsidR="00FC5A52" w:rsidRPr="005F2502">
        <w:rPr>
          <w:sz w:val="26"/>
          <w:szCs w:val="26"/>
        </w:rPr>
        <w:t xml:space="preserve"> to implement the reduction by separating the existing Cl</w:t>
      </w:r>
      <w:r w:rsidR="00215504" w:rsidRPr="005F2502">
        <w:rPr>
          <w:sz w:val="26"/>
          <w:szCs w:val="26"/>
        </w:rPr>
        <w:t>int</w:t>
      </w:r>
      <w:r w:rsidR="00FC5A52" w:rsidRPr="005F2502">
        <w:rPr>
          <w:sz w:val="26"/>
          <w:szCs w:val="26"/>
        </w:rPr>
        <w:t xml:space="preserve">on </w:t>
      </w:r>
      <w:r w:rsidR="00261612" w:rsidRPr="005F2502">
        <w:rPr>
          <w:sz w:val="26"/>
          <w:szCs w:val="26"/>
        </w:rPr>
        <w:t>–</w:t>
      </w:r>
      <w:r w:rsidR="00FC5A52" w:rsidRPr="005F2502">
        <w:rPr>
          <w:sz w:val="26"/>
          <w:szCs w:val="26"/>
        </w:rPr>
        <w:t xml:space="preserve"> Lycoming</w:t>
      </w:r>
      <w:r w:rsidR="00261612" w:rsidRPr="005F2502">
        <w:rPr>
          <w:sz w:val="26"/>
          <w:szCs w:val="26"/>
        </w:rPr>
        <w:t xml:space="preserve"> </w:t>
      </w:r>
      <w:r w:rsidR="00FC5A52" w:rsidRPr="005F2502">
        <w:rPr>
          <w:sz w:val="26"/>
          <w:szCs w:val="26"/>
        </w:rPr>
        <w:t>Line from the exist</w:t>
      </w:r>
      <w:r w:rsidR="00261612" w:rsidRPr="005F2502">
        <w:rPr>
          <w:sz w:val="26"/>
          <w:szCs w:val="26"/>
        </w:rPr>
        <w:t>ing Lycoming - Muncy Line and re-te</w:t>
      </w:r>
      <w:r w:rsidR="00FC5A52" w:rsidRPr="005F2502">
        <w:rPr>
          <w:sz w:val="26"/>
          <w:szCs w:val="26"/>
        </w:rPr>
        <w:t>rminate the Clinton - Lycoming Line</w:t>
      </w:r>
      <w:r w:rsidR="00261612" w:rsidRPr="005F2502">
        <w:rPr>
          <w:sz w:val="26"/>
          <w:szCs w:val="26"/>
        </w:rPr>
        <w:t xml:space="preserve"> </w:t>
      </w:r>
      <w:r w:rsidR="00FC5A52" w:rsidRPr="005F2502">
        <w:rPr>
          <w:sz w:val="26"/>
          <w:szCs w:val="26"/>
        </w:rPr>
        <w:t xml:space="preserve">into a new bay at the Clinton Substation. </w:t>
      </w:r>
      <w:r w:rsidR="00261612" w:rsidRPr="005F2502">
        <w:rPr>
          <w:sz w:val="26"/>
          <w:szCs w:val="26"/>
        </w:rPr>
        <w:t xml:space="preserve"> </w:t>
      </w:r>
      <w:r w:rsidR="00215504" w:rsidRPr="005F2502">
        <w:rPr>
          <w:sz w:val="26"/>
          <w:szCs w:val="26"/>
        </w:rPr>
        <w:t>The</w:t>
      </w:r>
      <w:r w:rsidR="00215504" w:rsidRPr="00215504">
        <w:rPr>
          <w:sz w:val="26"/>
          <w:szCs w:val="26"/>
        </w:rPr>
        <w:t xml:space="preserve"> 4.0-mile long Lycoming - Muncy Line that already terminates into the Clinton Substation will not be modified.  </w:t>
      </w:r>
      <w:r w:rsidR="00FC5A52" w:rsidRPr="00215504">
        <w:rPr>
          <w:sz w:val="26"/>
          <w:szCs w:val="26"/>
        </w:rPr>
        <w:t>Separating the two Lines will mean that they no longer</w:t>
      </w:r>
      <w:r w:rsidR="00261612" w:rsidRPr="00215504">
        <w:rPr>
          <w:sz w:val="26"/>
          <w:szCs w:val="26"/>
        </w:rPr>
        <w:t xml:space="preserve"> will be operated in a networke</w:t>
      </w:r>
      <w:r w:rsidR="00FC5A52" w:rsidRPr="00215504">
        <w:rPr>
          <w:sz w:val="26"/>
          <w:szCs w:val="26"/>
        </w:rPr>
        <w:t>d configuration, so in</w:t>
      </w:r>
      <w:r w:rsidR="00261612" w:rsidRPr="00215504">
        <w:rPr>
          <w:sz w:val="26"/>
          <w:szCs w:val="26"/>
        </w:rPr>
        <w:t>terrupt</w:t>
      </w:r>
      <w:r w:rsidR="00FC5A52" w:rsidRPr="00215504">
        <w:rPr>
          <w:sz w:val="26"/>
          <w:szCs w:val="26"/>
        </w:rPr>
        <w:t>ions on the Clinton - Lycoming Line</w:t>
      </w:r>
      <w:r w:rsidR="00261612" w:rsidRPr="00215504">
        <w:rPr>
          <w:sz w:val="26"/>
          <w:szCs w:val="26"/>
        </w:rPr>
        <w:t xml:space="preserve"> </w:t>
      </w:r>
      <w:r w:rsidR="00FC5A52" w:rsidRPr="00215504">
        <w:rPr>
          <w:sz w:val="26"/>
          <w:szCs w:val="26"/>
        </w:rPr>
        <w:t xml:space="preserve">will no longer affect service on the Lycoming - Muncy Line and vice-versa. </w:t>
      </w:r>
    </w:p>
    <w:p w:rsidR="00355280" w:rsidRDefault="00355280" w:rsidP="00355280"/>
    <w:p w:rsidR="00A06C70" w:rsidRPr="00761ED3" w:rsidRDefault="00A06C70" w:rsidP="00761ED3">
      <w:pPr>
        <w:spacing w:line="360" w:lineRule="auto"/>
        <w:rPr>
          <w:sz w:val="26"/>
          <w:szCs w:val="26"/>
        </w:rPr>
      </w:pPr>
      <w:r>
        <w:tab/>
      </w:r>
      <w:r>
        <w:tab/>
      </w:r>
      <w:r w:rsidRPr="00761ED3">
        <w:rPr>
          <w:sz w:val="26"/>
          <w:szCs w:val="26"/>
        </w:rPr>
        <w:t>According to PPL Electric, the new section of the Clinton - Lycoming Line will consist of three 795.0</w:t>
      </w:r>
      <w:r w:rsidR="00761ED3" w:rsidRPr="00761ED3">
        <w:rPr>
          <w:sz w:val="26"/>
          <w:szCs w:val="26"/>
        </w:rPr>
        <w:t xml:space="preserve"> kcmil,</w:t>
      </w:r>
      <w:r w:rsidR="00761ED3" w:rsidRPr="00761ED3">
        <w:rPr>
          <w:rStyle w:val="FootnoteReference"/>
          <w:sz w:val="26"/>
          <w:szCs w:val="26"/>
        </w:rPr>
        <w:footnoteReference w:id="2"/>
      </w:r>
      <w:r w:rsidR="00761ED3" w:rsidRPr="00761ED3">
        <w:rPr>
          <w:sz w:val="26"/>
          <w:szCs w:val="26"/>
        </w:rPr>
        <w:t xml:space="preserve"> 3</w:t>
      </w:r>
      <w:r w:rsidRPr="00761ED3">
        <w:rPr>
          <w:sz w:val="26"/>
          <w:szCs w:val="26"/>
        </w:rPr>
        <w:t>0/19 stranding ACSR</w:t>
      </w:r>
      <w:r w:rsidR="00761ED3" w:rsidRPr="00761ED3">
        <w:rPr>
          <w:rStyle w:val="FootnoteReference"/>
          <w:sz w:val="26"/>
          <w:szCs w:val="26"/>
        </w:rPr>
        <w:footnoteReference w:id="3"/>
      </w:r>
      <w:r w:rsidRPr="00761ED3">
        <w:rPr>
          <w:sz w:val="26"/>
          <w:szCs w:val="26"/>
        </w:rPr>
        <w:t xml:space="preserve"> </w:t>
      </w:r>
      <w:r w:rsidR="00761ED3" w:rsidRPr="00761ED3">
        <w:rPr>
          <w:sz w:val="26"/>
          <w:szCs w:val="26"/>
        </w:rPr>
        <w:t xml:space="preserve"> </w:t>
      </w:r>
      <w:r w:rsidR="00345890">
        <w:rPr>
          <w:sz w:val="26"/>
          <w:szCs w:val="26"/>
        </w:rPr>
        <w:t>power conductors and two 3/8 </w:t>
      </w:r>
      <w:r w:rsidRPr="00761ED3">
        <w:rPr>
          <w:sz w:val="26"/>
          <w:szCs w:val="26"/>
        </w:rPr>
        <w:t>inch diameter Overhead Ground</w:t>
      </w:r>
      <w:r w:rsidR="00761ED3" w:rsidRPr="00761ED3">
        <w:rPr>
          <w:sz w:val="26"/>
          <w:szCs w:val="26"/>
        </w:rPr>
        <w:t xml:space="preserve"> </w:t>
      </w:r>
      <w:r w:rsidRPr="00761ED3">
        <w:rPr>
          <w:sz w:val="26"/>
          <w:szCs w:val="26"/>
        </w:rPr>
        <w:t xml:space="preserve">Wires that will provide lightning protection. </w:t>
      </w:r>
      <w:r w:rsidR="00761ED3" w:rsidRPr="00761ED3">
        <w:rPr>
          <w:sz w:val="26"/>
          <w:szCs w:val="26"/>
        </w:rPr>
        <w:t xml:space="preserve"> </w:t>
      </w:r>
      <w:r w:rsidRPr="00761ED3">
        <w:rPr>
          <w:sz w:val="26"/>
          <w:szCs w:val="26"/>
        </w:rPr>
        <w:t>The conductors and overhead ground wires will be</w:t>
      </w:r>
      <w:r w:rsidR="00761ED3" w:rsidRPr="00761ED3">
        <w:rPr>
          <w:sz w:val="26"/>
          <w:szCs w:val="26"/>
        </w:rPr>
        <w:t xml:space="preserve"> </w:t>
      </w:r>
      <w:r w:rsidRPr="00761ED3">
        <w:rPr>
          <w:sz w:val="26"/>
          <w:szCs w:val="26"/>
        </w:rPr>
        <w:t>supported by single or double shaft weathering steel monopoles equipped with upswept</w:t>
      </w:r>
      <w:r w:rsidR="00761ED3" w:rsidRPr="00761ED3">
        <w:rPr>
          <w:sz w:val="26"/>
          <w:szCs w:val="26"/>
        </w:rPr>
        <w:t xml:space="preserve"> </w:t>
      </w:r>
      <w:r w:rsidRPr="00761ED3">
        <w:rPr>
          <w:sz w:val="26"/>
          <w:szCs w:val="26"/>
        </w:rPr>
        <w:t xml:space="preserve">weathering steel arms. </w:t>
      </w:r>
      <w:r w:rsidR="00761ED3" w:rsidRPr="00761ED3">
        <w:rPr>
          <w:sz w:val="26"/>
          <w:szCs w:val="26"/>
        </w:rPr>
        <w:t xml:space="preserve"> </w:t>
      </w:r>
      <w:r w:rsidRPr="00761ED3">
        <w:rPr>
          <w:sz w:val="26"/>
          <w:szCs w:val="26"/>
        </w:rPr>
        <w:t>The new steel structures will average 76 feet in height, and the average</w:t>
      </w:r>
      <w:r w:rsidR="00761ED3" w:rsidRPr="00761ED3">
        <w:rPr>
          <w:sz w:val="26"/>
          <w:szCs w:val="26"/>
        </w:rPr>
        <w:t xml:space="preserve"> </w:t>
      </w:r>
      <w:r w:rsidRPr="00761ED3">
        <w:rPr>
          <w:sz w:val="26"/>
          <w:szCs w:val="26"/>
        </w:rPr>
        <w:t>span length for the new section of</w:t>
      </w:r>
      <w:r w:rsidR="00761ED3" w:rsidRPr="00761ED3">
        <w:rPr>
          <w:sz w:val="26"/>
          <w:szCs w:val="26"/>
        </w:rPr>
        <w:t xml:space="preserve"> </w:t>
      </w:r>
      <w:r w:rsidRPr="00761ED3">
        <w:rPr>
          <w:sz w:val="26"/>
          <w:szCs w:val="26"/>
        </w:rPr>
        <w:t>line will be 203 feet.</w:t>
      </w:r>
    </w:p>
    <w:p w:rsidR="00F86817" w:rsidRDefault="00F86817" w:rsidP="00355280"/>
    <w:p w:rsidR="005A7CC0" w:rsidRPr="005A7CC0" w:rsidRDefault="00541A73" w:rsidP="005A7CC0">
      <w:pPr>
        <w:spacing w:line="360" w:lineRule="auto"/>
        <w:ind w:firstLine="1440"/>
        <w:rPr>
          <w:sz w:val="26"/>
          <w:szCs w:val="26"/>
        </w:rPr>
      </w:pPr>
      <w:r w:rsidRPr="005A7CC0">
        <w:rPr>
          <w:sz w:val="26"/>
          <w:szCs w:val="26"/>
        </w:rPr>
        <w:t>PPL Electric states that t</w:t>
      </w:r>
      <w:r w:rsidR="00355280" w:rsidRPr="005A7CC0">
        <w:rPr>
          <w:sz w:val="26"/>
          <w:szCs w:val="26"/>
        </w:rPr>
        <w:t>he Project will be const</w:t>
      </w:r>
      <w:r w:rsidRPr="005A7CC0">
        <w:rPr>
          <w:sz w:val="26"/>
          <w:szCs w:val="26"/>
        </w:rPr>
        <w:t xml:space="preserve">ructed entirely on land already </w:t>
      </w:r>
      <w:r w:rsidR="00355280" w:rsidRPr="005A7CC0">
        <w:rPr>
          <w:sz w:val="26"/>
          <w:szCs w:val="26"/>
        </w:rPr>
        <w:t>owned in fee by PPL Electric.</w:t>
      </w:r>
      <w:r w:rsidRPr="005A7CC0">
        <w:rPr>
          <w:sz w:val="26"/>
          <w:szCs w:val="26"/>
        </w:rPr>
        <w:t xml:space="preserve"> </w:t>
      </w:r>
      <w:r w:rsidR="005F2502">
        <w:rPr>
          <w:sz w:val="26"/>
          <w:szCs w:val="26"/>
        </w:rPr>
        <w:t xml:space="preserve"> </w:t>
      </w:r>
      <w:r w:rsidR="00F73802" w:rsidRPr="005A7CC0">
        <w:rPr>
          <w:sz w:val="26"/>
          <w:szCs w:val="26"/>
        </w:rPr>
        <w:t>No further land rights are required for this Project.</w:t>
      </w:r>
      <w:r w:rsidR="004E3BEE" w:rsidRPr="005A7CC0">
        <w:rPr>
          <w:sz w:val="26"/>
          <w:szCs w:val="26"/>
        </w:rPr>
        <w:t xml:space="preserve"> </w:t>
      </w:r>
      <w:r w:rsidR="005A7CC0">
        <w:rPr>
          <w:sz w:val="26"/>
          <w:szCs w:val="26"/>
        </w:rPr>
        <w:t xml:space="preserve"> </w:t>
      </w:r>
      <w:r w:rsidR="005A7CC0">
        <w:rPr>
          <w:sz w:val="26"/>
          <w:szCs w:val="26"/>
        </w:rPr>
        <w:lastRenderedPageBreak/>
        <w:t xml:space="preserve">Further, </w:t>
      </w:r>
      <w:r w:rsidR="004E3BEE" w:rsidRPr="005A7CC0">
        <w:rPr>
          <w:sz w:val="26"/>
          <w:szCs w:val="26"/>
        </w:rPr>
        <w:t xml:space="preserve">the re-termination of the Clinton - Lycoming Line will not create any unreasonable danger to the public health or safety.  The Project will result in little, if </w:t>
      </w:r>
      <w:r w:rsidR="005A7CC0" w:rsidRPr="005A7CC0">
        <w:rPr>
          <w:sz w:val="26"/>
          <w:szCs w:val="26"/>
        </w:rPr>
        <w:t xml:space="preserve">any, environmental or social impacts as the new line section will be constructed entirely on PPL Electric </w:t>
      </w:r>
      <w:r w:rsidR="007E0523">
        <w:rPr>
          <w:sz w:val="26"/>
          <w:szCs w:val="26"/>
        </w:rPr>
        <w:t xml:space="preserve">property </w:t>
      </w:r>
      <w:r w:rsidR="005A7CC0" w:rsidRPr="005A7CC0">
        <w:rPr>
          <w:sz w:val="26"/>
          <w:szCs w:val="26"/>
        </w:rPr>
        <w:t xml:space="preserve">that already hosts substantial other electric transmission facilities. </w:t>
      </w:r>
    </w:p>
    <w:p w:rsidR="005A7CC0" w:rsidRDefault="005A7CC0" w:rsidP="005A7CC0"/>
    <w:p w:rsidR="00353236" w:rsidRPr="00932E11" w:rsidRDefault="004E3BEE" w:rsidP="00932E11">
      <w:pPr>
        <w:spacing w:line="360" w:lineRule="auto"/>
        <w:ind w:firstLine="1440"/>
        <w:rPr>
          <w:sz w:val="26"/>
          <w:szCs w:val="26"/>
        </w:rPr>
      </w:pPr>
      <w:r w:rsidRPr="00932E11">
        <w:rPr>
          <w:sz w:val="26"/>
          <w:szCs w:val="26"/>
        </w:rPr>
        <w:t xml:space="preserve">The proposed Project will be designed, constructed, operated, and maintained in a manner that meets or surpasses all applicable National Electric Safe Code ("NESC") minimum standards and meets all applicable legal requirements. </w:t>
      </w:r>
      <w:r w:rsidR="005A7CC0" w:rsidRPr="00932E11">
        <w:rPr>
          <w:sz w:val="26"/>
          <w:szCs w:val="26"/>
        </w:rPr>
        <w:t xml:space="preserve"> </w:t>
      </w:r>
      <w:r w:rsidR="00541A73" w:rsidRPr="00932E11">
        <w:rPr>
          <w:sz w:val="26"/>
          <w:szCs w:val="26"/>
        </w:rPr>
        <w:t xml:space="preserve">PPL Electric </w:t>
      </w:r>
      <w:r w:rsidR="005A7CC0" w:rsidRPr="00932E11">
        <w:rPr>
          <w:sz w:val="26"/>
          <w:szCs w:val="26"/>
        </w:rPr>
        <w:t xml:space="preserve">states that it </w:t>
      </w:r>
      <w:r w:rsidR="00541A73" w:rsidRPr="00932E11">
        <w:rPr>
          <w:sz w:val="26"/>
          <w:szCs w:val="26"/>
        </w:rPr>
        <w:t>has reviewed t</w:t>
      </w:r>
      <w:r w:rsidR="00355280" w:rsidRPr="00932E11">
        <w:rPr>
          <w:sz w:val="26"/>
          <w:szCs w:val="26"/>
        </w:rPr>
        <w:t>he proposed P</w:t>
      </w:r>
      <w:r w:rsidR="005A7CC0" w:rsidRPr="00932E11">
        <w:rPr>
          <w:sz w:val="26"/>
          <w:szCs w:val="26"/>
        </w:rPr>
        <w:t>roject with representative</w:t>
      </w:r>
      <w:r w:rsidR="00355280" w:rsidRPr="00932E11">
        <w:rPr>
          <w:sz w:val="26"/>
          <w:szCs w:val="26"/>
        </w:rPr>
        <w:t>s of Clinton Township and</w:t>
      </w:r>
      <w:r w:rsidR="005A7CC0" w:rsidRPr="00932E11">
        <w:rPr>
          <w:sz w:val="26"/>
          <w:szCs w:val="26"/>
        </w:rPr>
        <w:t xml:space="preserve"> </w:t>
      </w:r>
      <w:r w:rsidR="00355280" w:rsidRPr="00932E11">
        <w:rPr>
          <w:sz w:val="26"/>
          <w:szCs w:val="26"/>
        </w:rPr>
        <w:t>Lycoming County,</w:t>
      </w:r>
      <w:r w:rsidR="00353236" w:rsidRPr="00932E11">
        <w:rPr>
          <w:sz w:val="26"/>
          <w:szCs w:val="26"/>
        </w:rPr>
        <w:t xml:space="preserve"> and they had no objection to it</w:t>
      </w:r>
      <w:r w:rsidR="00355280" w:rsidRPr="00932E11">
        <w:rPr>
          <w:sz w:val="26"/>
          <w:szCs w:val="26"/>
        </w:rPr>
        <w:t>.</w:t>
      </w:r>
      <w:r w:rsidR="005A7CC0" w:rsidRPr="00932E11">
        <w:rPr>
          <w:sz w:val="26"/>
          <w:szCs w:val="26"/>
        </w:rPr>
        <w:t xml:space="preserve">  </w:t>
      </w:r>
    </w:p>
    <w:p w:rsidR="00AB18C4" w:rsidRDefault="00AB18C4" w:rsidP="009C4BA7">
      <w:pPr>
        <w:spacing w:line="360" w:lineRule="auto"/>
        <w:rPr>
          <w:sz w:val="26"/>
          <w:szCs w:val="26"/>
        </w:rPr>
      </w:pPr>
      <w:r>
        <w:rPr>
          <w:sz w:val="26"/>
          <w:szCs w:val="26"/>
        </w:rPr>
        <w:tab/>
      </w:r>
      <w:r>
        <w:rPr>
          <w:sz w:val="26"/>
          <w:szCs w:val="26"/>
        </w:rPr>
        <w:tab/>
      </w:r>
      <w:r>
        <w:rPr>
          <w:sz w:val="26"/>
          <w:szCs w:val="26"/>
        </w:rPr>
        <w:tab/>
      </w:r>
    </w:p>
    <w:p w:rsidR="00AB18C4" w:rsidRPr="00A2070E" w:rsidRDefault="00AB18C4" w:rsidP="00A2070E">
      <w:pPr>
        <w:pStyle w:val="Style"/>
        <w:tabs>
          <w:tab w:val="right" w:pos="1015"/>
        </w:tabs>
        <w:spacing w:line="360" w:lineRule="auto"/>
        <w:rPr>
          <w:color w:val="000000"/>
          <w:sz w:val="26"/>
          <w:szCs w:val="26"/>
        </w:rPr>
      </w:pPr>
      <w:r>
        <w:rPr>
          <w:color w:val="000000"/>
          <w:sz w:val="26"/>
          <w:szCs w:val="26"/>
        </w:rPr>
        <w:tab/>
      </w:r>
      <w:r w:rsidRPr="00A2070E">
        <w:rPr>
          <w:color w:val="000000"/>
          <w:sz w:val="26"/>
          <w:szCs w:val="26"/>
        </w:rPr>
        <w:tab/>
        <w:t xml:space="preserve">The total estimated cost of the </w:t>
      </w:r>
      <w:r w:rsidR="009C4BA7" w:rsidRPr="00A2070E">
        <w:rPr>
          <w:color w:val="000000"/>
          <w:sz w:val="26"/>
          <w:szCs w:val="26"/>
        </w:rPr>
        <w:t>proposed Project is approximately $3.0</w:t>
      </w:r>
      <w:r w:rsidR="00345890">
        <w:rPr>
          <w:color w:val="000000"/>
          <w:sz w:val="26"/>
          <w:szCs w:val="26"/>
        </w:rPr>
        <w:t> </w:t>
      </w:r>
      <w:r w:rsidRPr="00A2070E">
        <w:rPr>
          <w:color w:val="000000"/>
          <w:sz w:val="26"/>
          <w:szCs w:val="26"/>
        </w:rPr>
        <w:t>million</w:t>
      </w:r>
      <w:r w:rsidR="005F2502">
        <w:rPr>
          <w:color w:val="000000"/>
          <w:sz w:val="26"/>
          <w:szCs w:val="26"/>
        </w:rPr>
        <w:t>,</w:t>
      </w:r>
      <w:r w:rsidRPr="00A2070E">
        <w:rPr>
          <w:color w:val="000000"/>
          <w:sz w:val="26"/>
          <w:szCs w:val="26"/>
        </w:rPr>
        <w:t xml:space="preserve"> which </w:t>
      </w:r>
      <w:r w:rsidR="009C4BA7" w:rsidRPr="00A2070E">
        <w:rPr>
          <w:color w:val="000000"/>
          <w:sz w:val="26"/>
          <w:szCs w:val="26"/>
        </w:rPr>
        <w:t>includes both the transmission li</w:t>
      </w:r>
      <w:r w:rsidR="002043E1">
        <w:rPr>
          <w:color w:val="000000"/>
          <w:sz w:val="26"/>
          <w:szCs w:val="26"/>
        </w:rPr>
        <w:t>ne work and the substation work, and will be paid for by PPL Electric.</w:t>
      </w:r>
      <w:r w:rsidR="009C4BA7" w:rsidRPr="00A2070E">
        <w:rPr>
          <w:color w:val="000000"/>
          <w:sz w:val="26"/>
          <w:szCs w:val="26"/>
        </w:rPr>
        <w:t xml:space="preserve"> </w:t>
      </w:r>
      <w:r w:rsidRPr="00A2070E">
        <w:rPr>
          <w:color w:val="000000"/>
          <w:sz w:val="26"/>
          <w:szCs w:val="26"/>
        </w:rPr>
        <w:t xml:space="preserve"> </w:t>
      </w:r>
      <w:r w:rsidR="009C4BA7" w:rsidRPr="00A2070E">
        <w:rPr>
          <w:sz w:val="26"/>
          <w:szCs w:val="26"/>
        </w:rPr>
        <w:t xml:space="preserve">The transmission line work for the Project is scheduled to commence as soon as practical after Commission approval has been obtained. </w:t>
      </w:r>
    </w:p>
    <w:p w:rsidR="00AB18C4" w:rsidRPr="00A2070E" w:rsidRDefault="00AB18C4" w:rsidP="00A2070E">
      <w:pPr>
        <w:pStyle w:val="Style"/>
        <w:tabs>
          <w:tab w:val="right" w:pos="1015"/>
        </w:tabs>
        <w:spacing w:line="360" w:lineRule="auto"/>
        <w:rPr>
          <w:color w:val="000000"/>
          <w:sz w:val="26"/>
          <w:szCs w:val="26"/>
        </w:rPr>
      </w:pPr>
    </w:p>
    <w:p w:rsidR="00AB18C4" w:rsidRDefault="00AB18C4" w:rsidP="00C92A84">
      <w:pPr>
        <w:spacing w:line="360" w:lineRule="auto"/>
        <w:ind w:firstLine="1440"/>
      </w:pPr>
      <w:r w:rsidRPr="00A2070E">
        <w:rPr>
          <w:sz w:val="26"/>
          <w:szCs w:val="26"/>
        </w:rPr>
        <w:t>Upon review, the Commission finds that the PPL Electric’s Letter of Notification and manner in which it was filed conform to the requirements of 52 Pa. Code</w:t>
      </w:r>
      <w:r w:rsidR="00345890">
        <w:rPr>
          <w:sz w:val="26"/>
          <w:szCs w:val="26"/>
        </w:rPr>
        <w:t> </w:t>
      </w:r>
      <w:r w:rsidRPr="00A2070E">
        <w:rPr>
          <w:sz w:val="26"/>
          <w:szCs w:val="26"/>
        </w:rPr>
        <w:t>§ 57.72(d)(1)</w:t>
      </w:r>
      <w:r w:rsidR="000D5CBB">
        <w:rPr>
          <w:sz w:val="26"/>
          <w:szCs w:val="26"/>
        </w:rPr>
        <w:t>(iii</w:t>
      </w:r>
      <w:r w:rsidR="00BB7AC0">
        <w:rPr>
          <w:sz w:val="26"/>
          <w:szCs w:val="26"/>
        </w:rPr>
        <w:t xml:space="preserve">) and </w:t>
      </w:r>
      <w:r w:rsidRPr="00A2070E">
        <w:rPr>
          <w:sz w:val="26"/>
          <w:szCs w:val="26"/>
        </w:rPr>
        <w:t>(vi) becaus</w:t>
      </w:r>
      <w:r w:rsidR="00C92A84">
        <w:rPr>
          <w:sz w:val="26"/>
          <w:szCs w:val="26"/>
        </w:rPr>
        <w:t xml:space="preserve">e the transmission line to be </w:t>
      </w:r>
      <w:r w:rsidRPr="00A2070E">
        <w:rPr>
          <w:sz w:val="26"/>
          <w:szCs w:val="26"/>
        </w:rPr>
        <w:t>constructed is</w:t>
      </w:r>
      <w:r w:rsidR="00BB7AC0">
        <w:rPr>
          <w:sz w:val="26"/>
          <w:szCs w:val="26"/>
        </w:rPr>
        <w:t xml:space="preserve"> located entirely within the company’s existing right-of-way</w:t>
      </w:r>
      <w:r w:rsidRPr="00A2070E">
        <w:rPr>
          <w:sz w:val="26"/>
          <w:szCs w:val="26"/>
        </w:rPr>
        <w:t xml:space="preserve"> </w:t>
      </w:r>
      <w:r w:rsidR="00BB7AC0">
        <w:rPr>
          <w:sz w:val="26"/>
          <w:szCs w:val="26"/>
        </w:rPr>
        <w:t xml:space="preserve">and is </w:t>
      </w:r>
      <w:r w:rsidR="000D5CBB">
        <w:rPr>
          <w:sz w:val="26"/>
          <w:szCs w:val="26"/>
        </w:rPr>
        <w:t xml:space="preserve">less than two miles, and </w:t>
      </w:r>
      <w:r w:rsidR="00A2070E" w:rsidRPr="00A2070E">
        <w:rPr>
          <w:sz w:val="26"/>
          <w:szCs w:val="26"/>
        </w:rPr>
        <w:t>will</w:t>
      </w:r>
      <w:r w:rsidR="000D5CBB">
        <w:rPr>
          <w:sz w:val="26"/>
          <w:szCs w:val="26"/>
        </w:rPr>
        <w:t xml:space="preserve"> be located entirely on land owned by PPL Electric, which includes </w:t>
      </w:r>
      <w:r w:rsidR="00A2070E" w:rsidRPr="00A2070E">
        <w:rPr>
          <w:sz w:val="26"/>
          <w:szCs w:val="26"/>
        </w:rPr>
        <w:t xml:space="preserve">substantial transmission facilities that already occupy the tracts of land.  </w:t>
      </w:r>
      <w:r>
        <w:rPr>
          <w:sz w:val="26"/>
          <w:szCs w:val="26"/>
        </w:rPr>
        <w:t xml:space="preserve">Above all, the Commission has reviewed the filing and finds it to be consistent with applicable law and Commission policy regarding transmission line siting, and therefore to be in the public interest.  We note that our approval of the Letter of Notification does not reach to the issues of accounting treatment and cost recovery; </w:t>
      </w:r>
      <w:r>
        <w:rPr>
          <w:b/>
        </w:rPr>
        <w:t>THEREFORE</w:t>
      </w:r>
      <w:r>
        <w:t>,</w:t>
      </w:r>
    </w:p>
    <w:p w:rsidR="00345890" w:rsidRDefault="00345890">
      <w:pPr>
        <w:widowControl/>
        <w:autoSpaceDE/>
        <w:autoSpaceDN/>
        <w:adjustRightInd/>
        <w:spacing w:after="200" w:line="276" w:lineRule="auto"/>
      </w:pPr>
      <w:r>
        <w:br w:type="page"/>
      </w:r>
    </w:p>
    <w:p w:rsidR="00AB18C4" w:rsidRDefault="00AB18C4" w:rsidP="00AB18C4">
      <w:pPr>
        <w:pStyle w:val="p2"/>
        <w:spacing w:line="360" w:lineRule="auto"/>
        <w:outlineLvl w:val="0"/>
        <w:rPr>
          <w:b/>
          <w:sz w:val="26"/>
          <w:szCs w:val="26"/>
        </w:rPr>
      </w:pPr>
      <w:r>
        <w:rPr>
          <w:b/>
          <w:sz w:val="26"/>
          <w:szCs w:val="26"/>
        </w:rPr>
        <w:lastRenderedPageBreak/>
        <w:t>IT IS ORDERED:</w:t>
      </w:r>
    </w:p>
    <w:p w:rsidR="00AB18C4" w:rsidRDefault="00AB18C4" w:rsidP="00AB18C4">
      <w:pPr>
        <w:tabs>
          <w:tab w:val="left" w:pos="1491"/>
        </w:tabs>
        <w:spacing w:line="360" w:lineRule="auto"/>
        <w:rPr>
          <w:sz w:val="26"/>
          <w:szCs w:val="26"/>
        </w:rPr>
      </w:pPr>
    </w:p>
    <w:p w:rsidR="00AB18C4" w:rsidRDefault="00AB18C4" w:rsidP="00AB18C4">
      <w:pPr>
        <w:pStyle w:val="p4"/>
        <w:numPr>
          <w:ilvl w:val="0"/>
          <w:numId w:val="3"/>
        </w:numPr>
        <w:tabs>
          <w:tab w:val="clear" w:pos="204"/>
          <w:tab w:val="left" w:pos="720"/>
        </w:tabs>
        <w:spacing w:line="360" w:lineRule="auto"/>
        <w:ind w:left="0" w:firstLine="1440"/>
        <w:outlineLvl w:val="0"/>
        <w:rPr>
          <w:sz w:val="26"/>
          <w:szCs w:val="26"/>
        </w:rPr>
      </w:pPr>
      <w:r>
        <w:rPr>
          <w:sz w:val="26"/>
          <w:szCs w:val="26"/>
        </w:rPr>
        <w:t xml:space="preserve"> That the Letter of Notification filed by PPL Electric Utilities Corporation with respect to </w:t>
      </w:r>
      <w:r w:rsidR="00AD32CE">
        <w:rPr>
          <w:sz w:val="26"/>
          <w:szCs w:val="26"/>
        </w:rPr>
        <w:t>the re-termination</w:t>
      </w:r>
      <w:r>
        <w:rPr>
          <w:sz w:val="26"/>
          <w:szCs w:val="26"/>
        </w:rPr>
        <w:t xml:space="preserve"> of </w:t>
      </w:r>
      <w:r>
        <w:rPr>
          <w:color w:val="000000"/>
          <w:sz w:val="26"/>
          <w:szCs w:val="26"/>
          <w:lang w:bidi="he-IL"/>
        </w:rPr>
        <w:t xml:space="preserve">the </w:t>
      </w:r>
      <w:r w:rsidR="00AD32CE">
        <w:rPr>
          <w:color w:val="000000"/>
          <w:sz w:val="26"/>
          <w:szCs w:val="26"/>
          <w:lang w:bidi="he-IL"/>
        </w:rPr>
        <w:t>Clinton – Lycoming</w:t>
      </w:r>
      <w:r>
        <w:rPr>
          <w:color w:val="000000"/>
          <w:sz w:val="26"/>
          <w:szCs w:val="26"/>
          <w:lang w:bidi="he-IL"/>
        </w:rPr>
        <w:t xml:space="preserve"> #2 138/69 kV </w:t>
      </w:r>
      <w:r>
        <w:rPr>
          <w:sz w:val="26"/>
          <w:szCs w:val="26"/>
        </w:rPr>
        <w:t xml:space="preserve">Transmission </w:t>
      </w:r>
      <w:r w:rsidR="00AD32CE">
        <w:rPr>
          <w:sz w:val="26"/>
          <w:szCs w:val="26"/>
        </w:rPr>
        <w:t xml:space="preserve">Tie </w:t>
      </w:r>
      <w:r>
        <w:rPr>
          <w:sz w:val="26"/>
          <w:szCs w:val="26"/>
        </w:rPr>
        <w:t xml:space="preserve">Line in </w:t>
      </w:r>
      <w:r w:rsidR="00AD32CE">
        <w:rPr>
          <w:sz w:val="26"/>
          <w:szCs w:val="26"/>
        </w:rPr>
        <w:t>Clinton</w:t>
      </w:r>
      <w:r>
        <w:rPr>
          <w:sz w:val="26"/>
          <w:szCs w:val="26"/>
        </w:rPr>
        <w:t xml:space="preserve"> </w:t>
      </w:r>
      <w:r w:rsidR="00AD32CE">
        <w:rPr>
          <w:kern w:val="2"/>
          <w:sz w:val="26"/>
          <w:szCs w:val="26"/>
        </w:rPr>
        <w:t>Township, Lycoming</w:t>
      </w:r>
      <w:r>
        <w:rPr>
          <w:sz w:val="26"/>
          <w:szCs w:val="26"/>
        </w:rPr>
        <w:t xml:space="preserve"> County, PA is hereby approved.</w:t>
      </w:r>
    </w:p>
    <w:p w:rsidR="00AB18C4" w:rsidRDefault="00AB18C4" w:rsidP="00AB18C4">
      <w:pPr>
        <w:tabs>
          <w:tab w:val="left" w:pos="1491"/>
        </w:tabs>
        <w:spacing w:line="360" w:lineRule="auto"/>
        <w:jc w:val="both"/>
        <w:rPr>
          <w:sz w:val="26"/>
          <w:szCs w:val="26"/>
        </w:rPr>
      </w:pPr>
    </w:p>
    <w:p w:rsidR="00AB18C4" w:rsidRDefault="00AB18C4" w:rsidP="00AB18C4">
      <w:pPr>
        <w:numPr>
          <w:ilvl w:val="0"/>
          <w:numId w:val="3"/>
        </w:numPr>
        <w:tabs>
          <w:tab w:val="left" w:pos="1491"/>
        </w:tabs>
        <w:spacing w:line="360" w:lineRule="auto"/>
        <w:jc w:val="both"/>
        <w:rPr>
          <w:sz w:val="26"/>
          <w:szCs w:val="26"/>
        </w:rPr>
      </w:pPr>
      <w:r>
        <w:rPr>
          <w:sz w:val="26"/>
          <w:szCs w:val="26"/>
        </w:rPr>
        <w:t xml:space="preserve">      That this</w:t>
      </w:r>
      <w:r w:rsidR="00AD32CE">
        <w:rPr>
          <w:sz w:val="26"/>
          <w:szCs w:val="26"/>
        </w:rPr>
        <w:t xml:space="preserve"> proceeding at Docket No. A-2013-2364120</w:t>
      </w:r>
      <w:r>
        <w:rPr>
          <w:sz w:val="26"/>
          <w:szCs w:val="26"/>
        </w:rPr>
        <w:t>, be closed.</w:t>
      </w:r>
    </w:p>
    <w:p w:rsidR="00AB18C4" w:rsidRDefault="009A65BD" w:rsidP="00AB18C4">
      <w:pPr>
        <w:pStyle w:val="ListParagraph"/>
        <w:rPr>
          <w:sz w:val="26"/>
          <w:szCs w:val="26"/>
        </w:rPr>
      </w:pPr>
      <w:r>
        <w:rPr>
          <w:noProof/>
        </w:rPr>
        <w:drawing>
          <wp:anchor distT="0" distB="0" distL="114300" distR="114300" simplePos="0" relativeHeight="251658240" behindDoc="1" locked="0" layoutInCell="1" allowOverlap="1" wp14:anchorId="03826443" wp14:editId="3C4D0348">
            <wp:simplePos x="0" y="0"/>
            <wp:positionH relativeFrom="column">
              <wp:posOffset>2800350</wp:posOffset>
            </wp:positionH>
            <wp:positionV relativeFrom="paragraph">
              <wp:posOffset>165735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B18C4" w:rsidRDefault="00AB18C4" w:rsidP="00AB18C4">
      <w:pPr>
        <w:pStyle w:val="p3"/>
        <w:spacing w:line="360" w:lineRule="auto"/>
        <w:ind w:left="5119"/>
        <w:jc w:val="both"/>
        <w:rPr>
          <w:b/>
          <w:bCs/>
          <w:sz w:val="26"/>
          <w:szCs w:val="26"/>
        </w:rPr>
      </w:pPr>
      <w:r>
        <w:rPr>
          <w:b/>
          <w:bCs/>
          <w:sz w:val="26"/>
          <w:szCs w:val="26"/>
        </w:rPr>
        <w:t>BY THE COMMISSION,</w:t>
      </w:r>
    </w:p>
    <w:p w:rsidR="00AB18C4" w:rsidRDefault="00AB18C4" w:rsidP="00AB18C4">
      <w:pPr>
        <w:tabs>
          <w:tab w:val="left" w:pos="5119"/>
        </w:tabs>
        <w:spacing w:line="360" w:lineRule="auto"/>
        <w:jc w:val="both"/>
        <w:rPr>
          <w:bCs/>
          <w:sz w:val="26"/>
          <w:szCs w:val="26"/>
        </w:rPr>
      </w:pPr>
    </w:p>
    <w:p w:rsidR="00AB18C4" w:rsidRDefault="00AB18C4" w:rsidP="00AB18C4">
      <w:pPr>
        <w:tabs>
          <w:tab w:val="left" w:pos="5119"/>
        </w:tabs>
        <w:spacing w:line="360" w:lineRule="auto"/>
        <w:jc w:val="both"/>
        <w:rPr>
          <w:bCs/>
          <w:sz w:val="26"/>
          <w:szCs w:val="26"/>
        </w:rPr>
      </w:pPr>
    </w:p>
    <w:p w:rsidR="00AB18C4" w:rsidRDefault="00AB18C4" w:rsidP="00AB18C4">
      <w:pPr>
        <w:pStyle w:val="p4"/>
        <w:ind w:left="5126"/>
        <w:jc w:val="both"/>
        <w:outlineLvl w:val="0"/>
        <w:rPr>
          <w:sz w:val="26"/>
          <w:szCs w:val="26"/>
        </w:rPr>
      </w:pPr>
      <w:r>
        <w:rPr>
          <w:sz w:val="26"/>
          <w:szCs w:val="26"/>
        </w:rPr>
        <w:t>Rosemary Chiavetta</w:t>
      </w:r>
    </w:p>
    <w:p w:rsidR="00AB18C4" w:rsidRDefault="00AB18C4" w:rsidP="00AB18C4">
      <w:pPr>
        <w:pStyle w:val="p4"/>
        <w:ind w:left="5126"/>
        <w:jc w:val="both"/>
        <w:rPr>
          <w:sz w:val="26"/>
          <w:szCs w:val="26"/>
        </w:rPr>
      </w:pPr>
      <w:r>
        <w:rPr>
          <w:sz w:val="26"/>
          <w:szCs w:val="26"/>
        </w:rPr>
        <w:t>Secretary</w:t>
      </w:r>
    </w:p>
    <w:p w:rsidR="00AB18C4" w:rsidRDefault="00AB18C4" w:rsidP="00AB18C4">
      <w:pPr>
        <w:pStyle w:val="p4"/>
        <w:spacing w:line="360" w:lineRule="auto"/>
        <w:ind w:left="5130"/>
        <w:jc w:val="both"/>
        <w:rPr>
          <w:sz w:val="26"/>
          <w:szCs w:val="26"/>
        </w:rPr>
      </w:pPr>
    </w:p>
    <w:p w:rsidR="00AB18C4" w:rsidRDefault="00AB18C4" w:rsidP="00AB18C4">
      <w:pPr>
        <w:pStyle w:val="p4"/>
        <w:spacing w:line="360" w:lineRule="auto"/>
        <w:ind w:left="5130"/>
        <w:jc w:val="both"/>
        <w:rPr>
          <w:sz w:val="26"/>
          <w:szCs w:val="26"/>
        </w:rPr>
      </w:pPr>
    </w:p>
    <w:p w:rsidR="00AB18C4" w:rsidRDefault="00AB18C4" w:rsidP="00AB18C4">
      <w:pPr>
        <w:pStyle w:val="p4"/>
        <w:spacing w:line="360" w:lineRule="auto"/>
        <w:ind w:left="5130"/>
        <w:jc w:val="both"/>
        <w:rPr>
          <w:sz w:val="26"/>
          <w:szCs w:val="26"/>
        </w:rPr>
      </w:pPr>
    </w:p>
    <w:p w:rsidR="00AB18C4" w:rsidRDefault="00AB18C4" w:rsidP="00AB18C4">
      <w:pPr>
        <w:pStyle w:val="p1"/>
        <w:spacing w:line="360" w:lineRule="auto"/>
        <w:ind w:hanging="1054"/>
        <w:jc w:val="both"/>
        <w:rPr>
          <w:sz w:val="26"/>
          <w:szCs w:val="26"/>
        </w:rPr>
      </w:pPr>
      <w:r>
        <w:rPr>
          <w:sz w:val="26"/>
          <w:szCs w:val="26"/>
        </w:rPr>
        <w:t>(SEAL)</w:t>
      </w:r>
      <w:r>
        <w:t xml:space="preserve"> </w:t>
      </w:r>
    </w:p>
    <w:p w:rsidR="00AB18C4" w:rsidRDefault="00AB18C4" w:rsidP="00AB18C4">
      <w:pPr>
        <w:pStyle w:val="p1"/>
        <w:spacing w:line="360" w:lineRule="auto"/>
        <w:ind w:hanging="1054"/>
        <w:jc w:val="both"/>
        <w:outlineLvl w:val="0"/>
        <w:rPr>
          <w:sz w:val="26"/>
          <w:szCs w:val="26"/>
        </w:rPr>
      </w:pPr>
      <w:r>
        <w:rPr>
          <w:sz w:val="26"/>
          <w:szCs w:val="26"/>
        </w:rPr>
        <w:t xml:space="preserve">ORDER ADOPTED: </w:t>
      </w:r>
      <w:r w:rsidR="00AD32CE">
        <w:rPr>
          <w:sz w:val="26"/>
          <w:szCs w:val="26"/>
        </w:rPr>
        <w:t>June 13, 2013</w:t>
      </w:r>
    </w:p>
    <w:p w:rsidR="00AB18C4" w:rsidRDefault="00AB18C4" w:rsidP="00AB18C4">
      <w:pPr>
        <w:pStyle w:val="p1"/>
        <w:tabs>
          <w:tab w:val="clear" w:pos="691"/>
          <w:tab w:val="clear" w:pos="1054"/>
          <w:tab w:val="left" w:pos="1440"/>
        </w:tabs>
        <w:spacing w:line="360" w:lineRule="auto"/>
        <w:ind w:hanging="1054"/>
        <w:jc w:val="both"/>
        <w:outlineLvl w:val="0"/>
      </w:pPr>
      <w:r>
        <w:rPr>
          <w:sz w:val="26"/>
          <w:szCs w:val="26"/>
        </w:rPr>
        <w:t xml:space="preserve">ORDER ENTERED: </w:t>
      </w:r>
      <w:r w:rsidR="009A65BD">
        <w:rPr>
          <w:sz w:val="26"/>
          <w:szCs w:val="26"/>
        </w:rPr>
        <w:t>June 13, 2013</w:t>
      </w:r>
      <w:bookmarkStart w:id="0" w:name="_GoBack"/>
      <w:bookmarkEnd w:id="0"/>
    </w:p>
    <w:p w:rsidR="00541A14" w:rsidRPr="00AB18C4" w:rsidRDefault="00541A14" w:rsidP="00AB18C4"/>
    <w:sectPr w:rsidR="00541A14" w:rsidRPr="00AB18C4" w:rsidSect="00345890">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A92" w:rsidRDefault="00345A92" w:rsidP="001A34AF">
      <w:r>
        <w:separator/>
      </w:r>
    </w:p>
  </w:endnote>
  <w:endnote w:type="continuationSeparator" w:id="0">
    <w:p w:rsidR="00345A92" w:rsidRDefault="00345A92" w:rsidP="001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859133"/>
      <w:docPartObj>
        <w:docPartGallery w:val="Page Numbers (Bottom of Page)"/>
        <w:docPartUnique/>
      </w:docPartObj>
    </w:sdtPr>
    <w:sdtEndPr>
      <w:rPr>
        <w:noProof/>
      </w:rPr>
    </w:sdtEndPr>
    <w:sdtContent>
      <w:p w:rsidR="003141CD" w:rsidRDefault="003141CD">
        <w:pPr>
          <w:pStyle w:val="Footer"/>
          <w:jc w:val="center"/>
        </w:pPr>
        <w:r>
          <w:fldChar w:fldCharType="begin"/>
        </w:r>
        <w:r>
          <w:instrText xml:space="preserve"> PAGE   \* MERGEFORMAT </w:instrText>
        </w:r>
        <w:r>
          <w:fldChar w:fldCharType="separate"/>
        </w:r>
        <w:r w:rsidR="009A65BD">
          <w:rPr>
            <w:noProof/>
          </w:rPr>
          <w:t>6</w:t>
        </w:r>
        <w:r>
          <w:rPr>
            <w:noProof/>
          </w:rPr>
          <w:fldChar w:fldCharType="end"/>
        </w:r>
      </w:p>
    </w:sdtContent>
  </w:sdt>
  <w:p w:rsidR="001A34AF" w:rsidRDefault="001A3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A92" w:rsidRDefault="00345A92" w:rsidP="001A34AF">
      <w:r>
        <w:separator/>
      </w:r>
    </w:p>
  </w:footnote>
  <w:footnote w:type="continuationSeparator" w:id="0">
    <w:p w:rsidR="00345A92" w:rsidRDefault="00345A92" w:rsidP="001A34AF">
      <w:r>
        <w:continuationSeparator/>
      </w:r>
    </w:p>
  </w:footnote>
  <w:footnote w:id="1">
    <w:p w:rsidR="005A59CB" w:rsidRDefault="002E7140" w:rsidP="002E7140">
      <w:pPr>
        <w:rPr>
          <w:sz w:val="20"/>
          <w:szCs w:val="20"/>
        </w:rPr>
      </w:pPr>
      <w:r>
        <w:rPr>
          <w:rStyle w:val="FootnoteReference"/>
        </w:rPr>
        <w:footnoteRef/>
      </w:r>
      <w:r>
        <w:t xml:space="preserve"> </w:t>
      </w:r>
      <w:r w:rsidR="005A59CB">
        <w:rPr>
          <w:sz w:val="20"/>
          <w:szCs w:val="20"/>
        </w:rPr>
        <w:t xml:space="preserve">  </w:t>
      </w:r>
      <w:r w:rsidRPr="002E7140">
        <w:rPr>
          <w:sz w:val="20"/>
          <w:szCs w:val="20"/>
        </w:rPr>
        <w:t xml:space="preserve">A momentary outage is defined as an </w:t>
      </w:r>
      <w:r w:rsidR="005A59CB">
        <w:rPr>
          <w:sz w:val="20"/>
          <w:szCs w:val="20"/>
        </w:rPr>
        <w:t>interruption that is less t</w:t>
      </w:r>
      <w:r w:rsidRPr="002E7140">
        <w:rPr>
          <w:sz w:val="20"/>
          <w:szCs w:val="20"/>
        </w:rPr>
        <w:t>han 5 minutes in duration.</w:t>
      </w:r>
      <w:r w:rsidR="005A59CB">
        <w:rPr>
          <w:sz w:val="20"/>
          <w:szCs w:val="20"/>
        </w:rPr>
        <w:t xml:space="preserve"> </w:t>
      </w:r>
      <w:r w:rsidRPr="002E7140">
        <w:rPr>
          <w:sz w:val="20"/>
          <w:szCs w:val="20"/>
        </w:rPr>
        <w:t xml:space="preserve"> A permanent</w:t>
      </w:r>
      <w:r w:rsidR="005A59CB">
        <w:rPr>
          <w:sz w:val="20"/>
          <w:szCs w:val="20"/>
        </w:rPr>
        <w:t xml:space="preserve"> </w:t>
      </w:r>
      <w:r w:rsidRPr="002E7140">
        <w:rPr>
          <w:sz w:val="20"/>
          <w:szCs w:val="20"/>
        </w:rPr>
        <w:t xml:space="preserve">outage </w:t>
      </w:r>
      <w:r w:rsidR="005A59CB">
        <w:rPr>
          <w:sz w:val="20"/>
          <w:szCs w:val="20"/>
        </w:rPr>
        <w:t>is</w:t>
      </w:r>
    </w:p>
    <w:p w:rsidR="002E7140" w:rsidRPr="002E7140" w:rsidRDefault="005A59CB" w:rsidP="002E7140">
      <w:pPr>
        <w:rPr>
          <w:sz w:val="20"/>
          <w:szCs w:val="20"/>
        </w:rPr>
      </w:pPr>
      <w:r>
        <w:rPr>
          <w:sz w:val="20"/>
          <w:szCs w:val="20"/>
        </w:rPr>
        <w:t xml:space="preserve">     defined as an interruption that</w:t>
      </w:r>
      <w:r w:rsidR="002E7140" w:rsidRPr="002E7140">
        <w:rPr>
          <w:sz w:val="20"/>
          <w:szCs w:val="20"/>
        </w:rPr>
        <w:t xml:space="preserve"> is equal or greater than 5 minutes.</w:t>
      </w:r>
    </w:p>
    <w:p w:rsidR="002E7140" w:rsidRDefault="002E7140">
      <w:pPr>
        <w:pStyle w:val="FootnoteText"/>
      </w:pPr>
    </w:p>
  </w:footnote>
  <w:footnote w:id="2">
    <w:p w:rsidR="00761ED3" w:rsidRPr="00761ED3" w:rsidRDefault="00761ED3" w:rsidP="00761ED3">
      <w:pPr>
        <w:rPr>
          <w:sz w:val="20"/>
          <w:szCs w:val="20"/>
        </w:rPr>
      </w:pPr>
      <w:r w:rsidRPr="00761ED3">
        <w:rPr>
          <w:rStyle w:val="FootnoteReference"/>
          <w:sz w:val="20"/>
          <w:szCs w:val="20"/>
        </w:rPr>
        <w:footnoteRef/>
      </w:r>
      <w:r w:rsidR="00541A73">
        <w:rPr>
          <w:sz w:val="20"/>
          <w:szCs w:val="20"/>
        </w:rPr>
        <w:t xml:space="preserve">  </w:t>
      </w:r>
      <w:r w:rsidRPr="00761ED3">
        <w:rPr>
          <w:sz w:val="20"/>
          <w:szCs w:val="20"/>
        </w:rPr>
        <w:t xml:space="preserve"> Kcmil stands for thousand circular mils. Kcmil wire size is the equivalent cross section area in thousands</w:t>
      </w:r>
    </w:p>
    <w:p w:rsidR="00541A73" w:rsidRDefault="00761ED3" w:rsidP="00761ED3">
      <w:pPr>
        <w:rPr>
          <w:sz w:val="20"/>
          <w:szCs w:val="20"/>
        </w:rPr>
      </w:pPr>
      <w:r w:rsidRPr="00761ED3">
        <w:rPr>
          <w:sz w:val="20"/>
          <w:szCs w:val="20"/>
        </w:rPr>
        <w:t xml:space="preserve">  </w:t>
      </w:r>
      <w:r w:rsidR="00541A73">
        <w:rPr>
          <w:sz w:val="20"/>
          <w:szCs w:val="20"/>
        </w:rPr>
        <w:t xml:space="preserve"> </w:t>
      </w:r>
      <w:r w:rsidRPr="00761ED3">
        <w:rPr>
          <w:sz w:val="20"/>
          <w:szCs w:val="20"/>
        </w:rPr>
        <w:t xml:space="preserve"> of circular mils. A circular ml is the area of a circle with a diameter on one thousandth (0.001) of an inch.</w:t>
      </w:r>
      <w:r w:rsidR="00541A73" w:rsidRPr="00541A73">
        <w:rPr>
          <w:rStyle w:val="FootnoteReference"/>
          <w:sz w:val="20"/>
          <w:szCs w:val="20"/>
        </w:rPr>
        <w:t xml:space="preserve"> </w:t>
      </w:r>
      <w:r w:rsidR="00541A73">
        <w:rPr>
          <w:sz w:val="20"/>
          <w:szCs w:val="20"/>
        </w:rPr>
        <w:t xml:space="preserve">   </w:t>
      </w:r>
    </w:p>
    <w:p w:rsidR="00761ED3" w:rsidRPr="00761ED3" w:rsidRDefault="00541A73" w:rsidP="00761ED3">
      <w:pPr>
        <w:rPr>
          <w:sz w:val="20"/>
          <w:szCs w:val="20"/>
        </w:rPr>
      </w:pPr>
      <w:r>
        <w:rPr>
          <w:rStyle w:val="FootnoteReference"/>
          <w:sz w:val="20"/>
          <w:szCs w:val="20"/>
        </w:rPr>
        <w:t xml:space="preserve">3  </w:t>
      </w:r>
      <w:r w:rsidRPr="00761ED3">
        <w:rPr>
          <w:sz w:val="20"/>
          <w:szCs w:val="20"/>
        </w:rPr>
        <w:t xml:space="preserve"> ACSR stands for aluminum conductor steel reinforced.</w:t>
      </w:r>
    </w:p>
    <w:p w:rsidR="00761ED3" w:rsidRPr="00761ED3" w:rsidRDefault="00761ED3" w:rsidP="00761ED3">
      <w:pPr>
        <w:pStyle w:val="FootnoteText"/>
      </w:pPr>
    </w:p>
  </w:footnote>
  <w:footnote w:id="3">
    <w:p w:rsidR="00761ED3" w:rsidRPr="00761ED3" w:rsidRDefault="00761ED3" w:rsidP="00761ED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1C28A2D8">
      <w:start w:val="3"/>
      <w:numFmt w:val="lowerRoman"/>
      <w:lvlText w:val="(%1)"/>
      <w:lvlJc w:val="left"/>
      <w:pPr>
        <w:tabs>
          <w:tab w:val="num" w:pos="1257"/>
        </w:tabs>
        <w:ind w:left="1257" w:hanging="720"/>
      </w:pPr>
      <w:rPr>
        <w:rFonts w:cs="Times New Roman"/>
      </w:rPr>
    </w:lvl>
    <w:lvl w:ilvl="1" w:tplc="04090019">
      <w:start w:val="1"/>
      <w:numFmt w:val="lowerLetter"/>
      <w:lvlText w:val="%2."/>
      <w:lvlJc w:val="left"/>
      <w:pPr>
        <w:tabs>
          <w:tab w:val="num" w:pos="1617"/>
        </w:tabs>
        <w:ind w:left="1617" w:hanging="360"/>
      </w:pPr>
      <w:rPr>
        <w:rFonts w:cs="Times New Roman"/>
      </w:rPr>
    </w:lvl>
    <w:lvl w:ilvl="2" w:tplc="0409001B">
      <w:start w:val="1"/>
      <w:numFmt w:val="lowerRoman"/>
      <w:lvlText w:val="%3."/>
      <w:lvlJc w:val="right"/>
      <w:pPr>
        <w:tabs>
          <w:tab w:val="num" w:pos="2337"/>
        </w:tabs>
        <w:ind w:left="2337" w:hanging="180"/>
      </w:pPr>
      <w:rPr>
        <w:rFonts w:cs="Times New Roman"/>
      </w:rPr>
    </w:lvl>
    <w:lvl w:ilvl="3" w:tplc="0409000F">
      <w:start w:val="1"/>
      <w:numFmt w:val="decimal"/>
      <w:lvlText w:val="%4."/>
      <w:lvlJc w:val="left"/>
      <w:pPr>
        <w:tabs>
          <w:tab w:val="num" w:pos="3057"/>
        </w:tabs>
        <w:ind w:left="3057" w:hanging="360"/>
      </w:pPr>
      <w:rPr>
        <w:rFonts w:cs="Times New Roman"/>
      </w:rPr>
    </w:lvl>
    <w:lvl w:ilvl="4" w:tplc="04090019">
      <w:start w:val="1"/>
      <w:numFmt w:val="lowerLetter"/>
      <w:lvlText w:val="%5."/>
      <w:lvlJc w:val="left"/>
      <w:pPr>
        <w:tabs>
          <w:tab w:val="num" w:pos="3777"/>
        </w:tabs>
        <w:ind w:left="3777" w:hanging="360"/>
      </w:pPr>
      <w:rPr>
        <w:rFonts w:cs="Times New Roman"/>
      </w:rPr>
    </w:lvl>
    <w:lvl w:ilvl="5" w:tplc="0409001B">
      <w:start w:val="1"/>
      <w:numFmt w:val="lowerRoman"/>
      <w:lvlText w:val="%6."/>
      <w:lvlJc w:val="right"/>
      <w:pPr>
        <w:tabs>
          <w:tab w:val="num" w:pos="4497"/>
        </w:tabs>
        <w:ind w:left="4497" w:hanging="180"/>
      </w:pPr>
      <w:rPr>
        <w:rFonts w:cs="Times New Roman"/>
      </w:rPr>
    </w:lvl>
    <w:lvl w:ilvl="6" w:tplc="0409000F">
      <w:start w:val="1"/>
      <w:numFmt w:val="decimal"/>
      <w:lvlText w:val="%7."/>
      <w:lvlJc w:val="left"/>
      <w:pPr>
        <w:tabs>
          <w:tab w:val="num" w:pos="5217"/>
        </w:tabs>
        <w:ind w:left="5217" w:hanging="360"/>
      </w:pPr>
      <w:rPr>
        <w:rFonts w:cs="Times New Roman"/>
      </w:rPr>
    </w:lvl>
    <w:lvl w:ilvl="7" w:tplc="04090019">
      <w:start w:val="1"/>
      <w:numFmt w:val="lowerLetter"/>
      <w:lvlText w:val="%8."/>
      <w:lvlJc w:val="left"/>
      <w:pPr>
        <w:tabs>
          <w:tab w:val="num" w:pos="5937"/>
        </w:tabs>
        <w:ind w:left="5937" w:hanging="360"/>
      </w:pPr>
      <w:rPr>
        <w:rFonts w:cs="Times New Roman"/>
      </w:rPr>
    </w:lvl>
    <w:lvl w:ilvl="8" w:tplc="0409001B">
      <w:start w:val="1"/>
      <w:numFmt w:val="lowerRoman"/>
      <w:lvlText w:val="%9."/>
      <w:lvlJc w:val="right"/>
      <w:pPr>
        <w:tabs>
          <w:tab w:val="num" w:pos="6657"/>
        </w:tabs>
        <w:ind w:left="6657" w:hanging="180"/>
      </w:pPr>
      <w:rPr>
        <w:rFonts w:cs="Times New Roman"/>
      </w:rPr>
    </w:lvl>
  </w:abstractNum>
  <w:abstractNum w:abstractNumId="1">
    <w:nsid w:val="12CE0C6D"/>
    <w:multiLevelType w:val="hybridMultilevel"/>
    <w:tmpl w:val="D786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85087"/>
    <w:multiLevelType w:val="hybridMultilevel"/>
    <w:tmpl w:val="5D04F61C"/>
    <w:lvl w:ilvl="0" w:tplc="7E9216F2">
      <w:start w:val="1"/>
      <w:numFmt w:val="lowerRoman"/>
      <w:lvlText w:val="(%1)"/>
      <w:lvlJc w:val="left"/>
      <w:pPr>
        <w:tabs>
          <w:tab w:val="num" w:pos="1410"/>
        </w:tabs>
        <w:ind w:left="1410" w:hanging="720"/>
      </w:pPr>
      <w:rPr>
        <w:rFonts w:cs="Times New Roman"/>
      </w:rPr>
    </w:lvl>
    <w:lvl w:ilvl="1" w:tplc="42263AB0">
      <w:start w:val="13"/>
      <w:numFmt w:val="decimal"/>
      <w:lvlText w:val="%2."/>
      <w:lvlJc w:val="left"/>
      <w:pPr>
        <w:tabs>
          <w:tab w:val="num" w:pos="2850"/>
        </w:tabs>
        <w:ind w:left="2850" w:hanging="1440"/>
      </w:pPr>
    </w:lvl>
    <w:lvl w:ilvl="2" w:tplc="0409001B">
      <w:start w:val="1"/>
      <w:numFmt w:val="lowerRoman"/>
      <w:lvlText w:val="%3."/>
      <w:lvlJc w:val="right"/>
      <w:pPr>
        <w:tabs>
          <w:tab w:val="num" w:pos="2490"/>
        </w:tabs>
        <w:ind w:left="2490" w:hanging="180"/>
      </w:pPr>
      <w:rPr>
        <w:rFonts w:cs="Times New Roman"/>
      </w:rPr>
    </w:lvl>
    <w:lvl w:ilvl="3" w:tplc="0409000F">
      <w:start w:val="1"/>
      <w:numFmt w:val="decimal"/>
      <w:lvlText w:val="%4."/>
      <w:lvlJc w:val="left"/>
      <w:pPr>
        <w:tabs>
          <w:tab w:val="num" w:pos="3210"/>
        </w:tabs>
        <w:ind w:left="3210" w:hanging="360"/>
      </w:pPr>
      <w:rPr>
        <w:rFonts w:cs="Times New Roman"/>
      </w:rPr>
    </w:lvl>
    <w:lvl w:ilvl="4" w:tplc="04090019">
      <w:start w:val="1"/>
      <w:numFmt w:val="lowerLetter"/>
      <w:lvlText w:val="%5."/>
      <w:lvlJc w:val="left"/>
      <w:pPr>
        <w:tabs>
          <w:tab w:val="num" w:pos="3930"/>
        </w:tabs>
        <w:ind w:left="3930" w:hanging="360"/>
      </w:pPr>
      <w:rPr>
        <w:rFonts w:cs="Times New Roman"/>
      </w:rPr>
    </w:lvl>
    <w:lvl w:ilvl="5" w:tplc="0409001B">
      <w:start w:val="1"/>
      <w:numFmt w:val="lowerRoman"/>
      <w:lvlText w:val="%6."/>
      <w:lvlJc w:val="right"/>
      <w:pPr>
        <w:tabs>
          <w:tab w:val="num" w:pos="4650"/>
        </w:tabs>
        <w:ind w:left="4650" w:hanging="180"/>
      </w:pPr>
      <w:rPr>
        <w:rFonts w:cs="Times New Roman"/>
      </w:rPr>
    </w:lvl>
    <w:lvl w:ilvl="6" w:tplc="0409000F">
      <w:start w:val="1"/>
      <w:numFmt w:val="decimal"/>
      <w:lvlText w:val="%7."/>
      <w:lvlJc w:val="left"/>
      <w:pPr>
        <w:tabs>
          <w:tab w:val="num" w:pos="5370"/>
        </w:tabs>
        <w:ind w:left="5370" w:hanging="360"/>
      </w:pPr>
      <w:rPr>
        <w:rFonts w:cs="Times New Roman"/>
      </w:rPr>
    </w:lvl>
    <w:lvl w:ilvl="7" w:tplc="04090019">
      <w:start w:val="1"/>
      <w:numFmt w:val="lowerLetter"/>
      <w:lvlText w:val="%8."/>
      <w:lvlJc w:val="left"/>
      <w:pPr>
        <w:tabs>
          <w:tab w:val="num" w:pos="6090"/>
        </w:tabs>
        <w:ind w:left="6090" w:hanging="360"/>
      </w:pPr>
      <w:rPr>
        <w:rFonts w:cs="Times New Roman"/>
      </w:rPr>
    </w:lvl>
    <w:lvl w:ilvl="8" w:tplc="0409001B">
      <w:start w:val="1"/>
      <w:numFmt w:val="lowerRoman"/>
      <w:lvlText w:val="%9."/>
      <w:lvlJc w:val="right"/>
      <w:pPr>
        <w:tabs>
          <w:tab w:val="num" w:pos="6810"/>
        </w:tabs>
        <w:ind w:left="6810" w:hanging="180"/>
      </w:pPr>
      <w:rPr>
        <w:rFonts w:cs="Times New Roman"/>
      </w:rPr>
    </w:lvl>
  </w:abstractNum>
  <w:abstractNum w:abstractNumId="3">
    <w:nsid w:val="61427685"/>
    <w:multiLevelType w:val="hybridMultilevel"/>
    <w:tmpl w:val="A9E649BC"/>
    <w:lvl w:ilvl="0" w:tplc="335A62D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659F3E6F"/>
    <w:multiLevelType w:val="hybridMultilevel"/>
    <w:tmpl w:val="F45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0B"/>
    <w:rsid w:val="0001216A"/>
    <w:rsid w:val="000160C9"/>
    <w:rsid w:val="00020798"/>
    <w:rsid w:val="000363B2"/>
    <w:rsid w:val="00040BF9"/>
    <w:rsid w:val="0004351B"/>
    <w:rsid w:val="00050508"/>
    <w:rsid w:val="0005379B"/>
    <w:rsid w:val="00054C70"/>
    <w:rsid w:val="00055AA7"/>
    <w:rsid w:val="00060D6C"/>
    <w:rsid w:val="000828C6"/>
    <w:rsid w:val="00083548"/>
    <w:rsid w:val="000A2CCA"/>
    <w:rsid w:val="000D5CBB"/>
    <w:rsid w:val="000E504B"/>
    <w:rsid w:val="00102938"/>
    <w:rsid w:val="00105D44"/>
    <w:rsid w:val="00107589"/>
    <w:rsid w:val="00116334"/>
    <w:rsid w:val="00123DE2"/>
    <w:rsid w:val="001256FB"/>
    <w:rsid w:val="0013120F"/>
    <w:rsid w:val="00137256"/>
    <w:rsid w:val="0015152A"/>
    <w:rsid w:val="00154025"/>
    <w:rsid w:val="001629DC"/>
    <w:rsid w:val="00163D23"/>
    <w:rsid w:val="0016756E"/>
    <w:rsid w:val="001708C0"/>
    <w:rsid w:val="00174860"/>
    <w:rsid w:val="00183E61"/>
    <w:rsid w:val="00192322"/>
    <w:rsid w:val="00194622"/>
    <w:rsid w:val="001970F3"/>
    <w:rsid w:val="001A34AF"/>
    <w:rsid w:val="001A7CCE"/>
    <w:rsid w:val="001B57B4"/>
    <w:rsid w:val="001C0517"/>
    <w:rsid w:val="001C3D0E"/>
    <w:rsid w:val="001D1FE5"/>
    <w:rsid w:val="001D506A"/>
    <w:rsid w:val="001E0E92"/>
    <w:rsid w:val="002043E1"/>
    <w:rsid w:val="00205A69"/>
    <w:rsid w:val="00215504"/>
    <w:rsid w:val="002172DB"/>
    <w:rsid w:val="00222089"/>
    <w:rsid w:val="002353EA"/>
    <w:rsid w:val="0024793C"/>
    <w:rsid w:val="002609FA"/>
    <w:rsid w:val="00260C8C"/>
    <w:rsid w:val="00261612"/>
    <w:rsid w:val="0026203C"/>
    <w:rsid w:val="00274792"/>
    <w:rsid w:val="00275447"/>
    <w:rsid w:val="00285D59"/>
    <w:rsid w:val="0028643D"/>
    <w:rsid w:val="002B1574"/>
    <w:rsid w:val="002B4021"/>
    <w:rsid w:val="002B5FAB"/>
    <w:rsid w:val="002C141D"/>
    <w:rsid w:val="002C14DE"/>
    <w:rsid w:val="002E0922"/>
    <w:rsid w:val="002E3423"/>
    <w:rsid w:val="002E7140"/>
    <w:rsid w:val="003141CD"/>
    <w:rsid w:val="0031630D"/>
    <w:rsid w:val="00321781"/>
    <w:rsid w:val="0032210D"/>
    <w:rsid w:val="00330004"/>
    <w:rsid w:val="00330C72"/>
    <w:rsid w:val="003329EE"/>
    <w:rsid w:val="00344A7E"/>
    <w:rsid w:val="00345890"/>
    <w:rsid w:val="00345A92"/>
    <w:rsid w:val="0034786B"/>
    <w:rsid w:val="003521F2"/>
    <w:rsid w:val="00353236"/>
    <w:rsid w:val="00355280"/>
    <w:rsid w:val="0035612C"/>
    <w:rsid w:val="0037216B"/>
    <w:rsid w:val="00373BDF"/>
    <w:rsid w:val="003829A3"/>
    <w:rsid w:val="00383CDD"/>
    <w:rsid w:val="003943E2"/>
    <w:rsid w:val="00394AC5"/>
    <w:rsid w:val="003A2568"/>
    <w:rsid w:val="003C3BE4"/>
    <w:rsid w:val="003C5B9F"/>
    <w:rsid w:val="003D5394"/>
    <w:rsid w:val="003D69D5"/>
    <w:rsid w:val="003D7148"/>
    <w:rsid w:val="003D7F59"/>
    <w:rsid w:val="003F2C15"/>
    <w:rsid w:val="004170AB"/>
    <w:rsid w:val="00422734"/>
    <w:rsid w:val="00426AD3"/>
    <w:rsid w:val="00434B43"/>
    <w:rsid w:val="00435101"/>
    <w:rsid w:val="00440BDD"/>
    <w:rsid w:val="0044136D"/>
    <w:rsid w:val="00446B9E"/>
    <w:rsid w:val="00457D7B"/>
    <w:rsid w:val="00464D06"/>
    <w:rsid w:val="00477C1E"/>
    <w:rsid w:val="0049072C"/>
    <w:rsid w:val="004A72E5"/>
    <w:rsid w:val="004D20ED"/>
    <w:rsid w:val="004D284A"/>
    <w:rsid w:val="004D5510"/>
    <w:rsid w:val="004E3BEE"/>
    <w:rsid w:val="004E6CD9"/>
    <w:rsid w:val="004F62AB"/>
    <w:rsid w:val="00502234"/>
    <w:rsid w:val="005023E6"/>
    <w:rsid w:val="005103AA"/>
    <w:rsid w:val="00517A6F"/>
    <w:rsid w:val="00524089"/>
    <w:rsid w:val="005245A5"/>
    <w:rsid w:val="00524D3E"/>
    <w:rsid w:val="00525875"/>
    <w:rsid w:val="00526937"/>
    <w:rsid w:val="0052723D"/>
    <w:rsid w:val="00527C67"/>
    <w:rsid w:val="00541A14"/>
    <w:rsid w:val="00541A73"/>
    <w:rsid w:val="00547D84"/>
    <w:rsid w:val="00572E94"/>
    <w:rsid w:val="00575156"/>
    <w:rsid w:val="00575DFD"/>
    <w:rsid w:val="00586ECA"/>
    <w:rsid w:val="00597A9F"/>
    <w:rsid w:val="005A1BB0"/>
    <w:rsid w:val="005A59CB"/>
    <w:rsid w:val="005A690C"/>
    <w:rsid w:val="005A7CC0"/>
    <w:rsid w:val="005B7FDE"/>
    <w:rsid w:val="005D0E97"/>
    <w:rsid w:val="005D2CE8"/>
    <w:rsid w:val="005D72F0"/>
    <w:rsid w:val="005E18BE"/>
    <w:rsid w:val="005E3A56"/>
    <w:rsid w:val="005F2502"/>
    <w:rsid w:val="00600C3E"/>
    <w:rsid w:val="00603856"/>
    <w:rsid w:val="00612F4A"/>
    <w:rsid w:val="00617473"/>
    <w:rsid w:val="00621E6A"/>
    <w:rsid w:val="00631B3E"/>
    <w:rsid w:val="006550FC"/>
    <w:rsid w:val="006954DA"/>
    <w:rsid w:val="006A5019"/>
    <w:rsid w:val="006A7FB9"/>
    <w:rsid w:val="006B190C"/>
    <w:rsid w:val="006B7111"/>
    <w:rsid w:val="006C6152"/>
    <w:rsid w:val="006E1F17"/>
    <w:rsid w:val="006F0A58"/>
    <w:rsid w:val="0070093D"/>
    <w:rsid w:val="00703582"/>
    <w:rsid w:val="007110DC"/>
    <w:rsid w:val="0074285E"/>
    <w:rsid w:val="00745044"/>
    <w:rsid w:val="00761ED3"/>
    <w:rsid w:val="00761F03"/>
    <w:rsid w:val="007654B3"/>
    <w:rsid w:val="00765FF0"/>
    <w:rsid w:val="007749B1"/>
    <w:rsid w:val="007833DD"/>
    <w:rsid w:val="00793038"/>
    <w:rsid w:val="007B2F77"/>
    <w:rsid w:val="007B6CF2"/>
    <w:rsid w:val="007C580D"/>
    <w:rsid w:val="007C76D8"/>
    <w:rsid w:val="007D2053"/>
    <w:rsid w:val="007D694F"/>
    <w:rsid w:val="007E0523"/>
    <w:rsid w:val="007E2B25"/>
    <w:rsid w:val="007E3282"/>
    <w:rsid w:val="007F4B91"/>
    <w:rsid w:val="007F6577"/>
    <w:rsid w:val="0081100A"/>
    <w:rsid w:val="00813E3C"/>
    <w:rsid w:val="0082121F"/>
    <w:rsid w:val="00822E2A"/>
    <w:rsid w:val="008234EF"/>
    <w:rsid w:val="00850742"/>
    <w:rsid w:val="008706D5"/>
    <w:rsid w:val="00875B9B"/>
    <w:rsid w:val="00881FAE"/>
    <w:rsid w:val="00882D61"/>
    <w:rsid w:val="00885004"/>
    <w:rsid w:val="00890AFF"/>
    <w:rsid w:val="0089129C"/>
    <w:rsid w:val="008A44A0"/>
    <w:rsid w:val="008B1854"/>
    <w:rsid w:val="008B40B5"/>
    <w:rsid w:val="008B569F"/>
    <w:rsid w:val="008C262F"/>
    <w:rsid w:val="008C27FB"/>
    <w:rsid w:val="008C63C6"/>
    <w:rsid w:val="008D2ED6"/>
    <w:rsid w:val="008D4216"/>
    <w:rsid w:val="008E2B41"/>
    <w:rsid w:val="00912B33"/>
    <w:rsid w:val="00916F10"/>
    <w:rsid w:val="00921CAA"/>
    <w:rsid w:val="009248C9"/>
    <w:rsid w:val="00932E11"/>
    <w:rsid w:val="00934000"/>
    <w:rsid w:val="00943224"/>
    <w:rsid w:val="009564A9"/>
    <w:rsid w:val="00956A9B"/>
    <w:rsid w:val="009619AD"/>
    <w:rsid w:val="009758D3"/>
    <w:rsid w:val="00982C39"/>
    <w:rsid w:val="0098495C"/>
    <w:rsid w:val="009929F3"/>
    <w:rsid w:val="00996676"/>
    <w:rsid w:val="009A03D5"/>
    <w:rsid w:val="009A1BFB"/>
    <w:rsid w:val="009A3B80"/>
    <w:rsid w:val="009A65BD"/>
    <w:rsid w:val="009B1796"/>
    <w:rsid w:val="009C20FF"/>
    <w:rsid w:val="009C2919"/>
    <w:rsid w:val="009C4BA7"/>
    <w:rsid w:val="009C69B4"/>
    <w:rsid w:val="009E0AC5"/>
    <w:rsid w:val="009F3C0B"/>
    <w:rsid w:val="009F3EC4"/>
    <w:rsid w:val="00A006E9"/>
    <w:rsid w:val="00A0071B"/>
    <w:rsid w:val="00A02A76"/>
    <w:rsid w:val="00A06C70"/>
    <w:rsid w:val="00A2070E"/>
    <w:rsid w:val="00A23828"/>
    <w:rsid w:val="00A2656E"/>
    <w:rsid w:val="00A45EAA"/>
    <w:rsid w:val="00A479E8"/>
    <w:rsid w:val="00A5306C"/>
    <w:rsid w:val="00A53E29"/>
    <w:rsid w:val="00A61AC9"/>
    <w:rsid w:val="00A658E4"/>
    <w:rsid w:val="00A65B71"/>
    <w:rsid w:val="00A67DCB"/>
    <w:rsid w:val="00A839F5"/>
    <w:rsid w:val="00A84D6A"/>
    <w:rsid w:val="00A850DE"/>
    <w:rsid w:val="00A859EE"/>
    <w:rsid w:val="00A92738"/>
    <w:rsid w:val="00AB18C4"/>
    <w:rsid w:val="00AC26C9"/>
    <w:rsid w:val="00AD041A"/>
    <w:rsid w:val="00AD0743"/>
    <w:rsid w:val="00AD32CE"/>
    <w:rsid w:val="00AD5BA8"/>
    <w:rsid w:val="00AD72EA"/>
    <w:rsid w:val="00AF300A"/>
    <w:rsid w:val="00AF79DF"/>
    <w:rsid w:val="00AF7CA4"/>
    <w:rsid w:val="00B02D5D"/>
    <w:rsid w:val="00B16FF6"/>
    <w:rsid w:val="00B277C6"/>
    <w:rsid w:val="00B346A4"/>
    <w:rsid w:val="00B37F16"/>
    <w:rsid w:val="00B43293"/>
    <w:rsid w:val="00B50AB6"/>
    <w:rsid w:val="00B54331"/>
    <w:rsid w:val="00B5517D"/>
    <w:rsid w:val="00B6746C"/>
    <w:rsid w:val="00B83710"/>
    <w:rsid w:val="00B958BB"/>
    <w:rsid w:val="00B95E84"/>
    <w:rsid w:val="00BB7AC0"/>
    <w:rsid w:val="00BC12B7"/>
    <w:rsid w:val="00BC2497"/>
    <w:rsid w:val="00BC51F2"/>
    <w:rsid w:val="00BD288A"/>
    <w:rsid w:val="00BD39B9"/>
    <w:rsid w:val="00BF24CA"/>
    <w:rsid w:val="00C045CE"/>
    <w:rsid w:val="00C159BE"/>
    <w:rsid w:val="00C21D0E"/>
    <w:rsid w:val="00C22155"/>
    <w:rsid w:val="00C3009C"/>
    <w:rsid w:val="00C453BE"/>
    <w:rsid w:val="00C50D4B"/>
    <w:rsid w:val="00C537FE"/>
    <w:rsid w:val="00C538B6"/>
    <w:rsid w:val="00C57267"/>
    <w:rsid w:val="00C57993"/>
    <w:rsid w:val="00C7066B"/>
    <w:rsid w:val="00C736A3"/>
    <w:rsid w:val="00C73961"/>
    <w:rsid w:val="00C77791"/>
    <w:rsid w:val="00C85C4A"/>
    <w:rsid w:val="00C85D89"/>
    <w:rsid w:val="00C926A3"/>
    <w:rsid w:val="00C92A84"/>
    <w:rsid w:val="00C92E81"/>
    <w:rsid w:val="00C97A67"/>
    <w:rsid w:val="00CA1D66"/>
    <w:rsid w:val="00CA4C09"/>
    <w:rsid w:val="00CB1694"/>
    <w:rsid w:val="00D0280E"/>
    <w:rsid w:val="00D3486E"/>
    <w:rsid w:val="00D43132"/>
    <w:rsid w:val="00D43523"/>
    <w:rsid w:val="00D44D2B"/>
    <w:rsid w:val="00D51535"/>
    <w:rsid w:val="00D51D55"/>
    <w:rsid w:val="00D54887"/>
    <w:rsid w:val="00D66E14"/>
    <w:rsid w:val="00D71D0B"/>
    <w:rsid w:val="00D73F17"/>
    <w:rsid w:val="00D74B18"/>
    <w:rsid w:val="00D75261"/>
    <w:rsid w:val="00D75DCA"/>
    <w:rsid w:val="00D76F9A"/>
    <w:rsid w:val="00D861B4"/>
    <w:rsid w:val="00DA5CE3"/>
    <w:rsid w:val="00DC2E51"/>
    <w:rsid w:val="00DD305B"/>
    <w:rsid w:val="00DD6958"/>
    <w:rsid w:val="00DF35F5"/>
    <w:rsid w:val="00E04AF7"/>
    <w:rsid w:val="00E21DF1"/>
    <w:rsid w:val="00E23ABB"/>
    <w:rsid w:val="00E260CB"/>
    <w:rsid w:val="00E32AB7"/>
    <w:rsid w:val="00E34115"/>
    <w:rsid w:val="00E37C0B"/>
    <w:rsid w:val="00E51570"/>
    <w:rsid w:val="00E56BE1"/>
    <w:rsid w:val="00E63982"/>
    <w:rsid w:val="00E658B4"/>
    <w:rsid w:val="00E66AD3"/>
    <w:rsid w:val="00E67C2C"/>
    <w:rsid w:val="00E82BCB"/>
    <w:rsid w:val="00E868BF"/>
    <w:rsid w:val="00EB1CD5"/>
    <w:rsid w:val="00EB7483"/>
    <w:rsid w:val="00EC1692"/>
    <w:rsid w:val="00EE325D"/>
    <w:rsid w:val="00EF625C"/>
    <w:rsid w:val="00F0230B"/>
    <w:rsid w:val="00F055E0"/>
    <w:rsid w:val="00F07D7C"/>
    <w:rsid w:val="00F1678C"/>
    <w:rsid w:val="00F401C9"/>
    <w:rsid w:val="00F425F8"/>
    <w:rsid w:val="00F43894"/>
    <w:rsid w:val="00F4783A"/>
    <w:rsid w:val="00F535F1"/>
    <w:rsid w:val="00F553C8"/>
    <w:rsid w:val="00F73802"/>
    <w:rsid w:val="00F7572F"/>
    <w:rsid w:val="00F86313"/>
    <w:rsid w:val="00F86817"/>
    <w:rsid w:val="00F91A2F"/>
    <w:rsid w:val="00F93461"/>
    <w:rsid w:val="00F957D3"/>
    <w:rsid w:val="00FA26AC"/>
    <w:rsid w:val="00FA52F4"/>
    <w:rsid w:val="00FA5B59"/>
    <w:rsid w:val="00FA6351"/>
    <w:rsid w:val="00FB5A9E"/>
    <w:rsid w:val="00FC480F"/>
    <w:rsid w:val="00FC5A52"/>
    <w:rsid w:val="00FD0284"/>
    <w:rsid w:val="00FD5653"/>
    <w:rsid w:val="00FE32C9"/>
    <w:rsid w:val="00FE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9A65BD"/>
    <w:rPr>
      <w:rFonts w:ascii="Tahoma" w:hAnsi="Tahoma" w:cs="Tahoma"/>
      <w:sz w:val="16"/>
      <w:szCs w:val="16"/>
    </w:rPr>
  </w:style>
  <w:style w:type="character" w:customStyle="1" w:styleId="BalloonTextChar">
    <w:name w:val="Balloon Text Char"/>
    <w:basedOn w:val="DefaultParagraphFont"/>
    <w:link w:val="BalloonText"/>
    <w:uiPriority w:val="99"/>
    <w:semiHidden/>
    <w:rsid w:val="009A65B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9A65BD"/>
    <w:rPr>
      <w:rFonts w:ascii="Tahoma" w:hAnsi="Tahoma" w:cs="Tahoma"/>
      <w:sz w:val="16"/>
      <w:szCs w:val="16"/>
    </w:rPr>
  </w:style>
  <w:style w:type="character" w:customStyle="1" w:styleId="BalloonTextChar">
    <w:name w:val="Balloon Text Char"/>
    <w:basedOn w:val="DefaultParagraphFont"/>
    <w:link w:val="BalloonText"/>
    <w:uiPriority w:val="99"/>
    <w:semiHidden/>
    <w:rsid w:val="009A65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0375">
      <w:bodyDiv w:val="1"/>
      <w:marLeft w:val="0"/>
      <w:marRight w:val="0"/>
      <w:marTop w:val="0"/>
      <w:marBottom w:val="0"/>
      <w:divBdr>
        <w:top w:val="none" w:sz="0" w:space="0" w:color="auto"/>
        <w:left w:val="none" w:sz="0" w:space="0" w:color="auto"/>
        <w:bottom w:val="none" w:sz="0" w:space="0" w:color="auto"/>
        <w:right w:val="none" w:sz="0" w:space="0" w:color="auto"/>
      </w:divBdr>
    </w:div>
    <w:div w:id="171318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B54F5-FE2C-4D52-9229-468C4FFF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Hinds, Margaret</cp:lastModifiedBy>
  <cp:revision>24</cp:revision>
  <cp:lastPrinted>2013-06-13T11:45:00Z</cp:lastPrinted>
  <dcterms:created xsi:type="dcterms:W3CDTF">2013-05-28T16:44:00Z</dcterms:created>
  <dcterms:modified xsi:type="dcterms:W3CDTF">2013-06-13T11:45:00Z</dcterms:modified>
</cp:coreProperties>
</file>