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0C6C" w:rsidRPr="00F514FB" w:rsidRDefault="00C10C6C" w:rsidP="009546F8">
      <w:pPr>
        <w:widowControl/>
        <w:tabs>
          <w:tab w:val="center" w:pos="4680"/>
        </w:tabs>
        <w:suppressAutoHyphens/>
        <w:jc w:val="center"/>
        <w:rPr>
          <w:b/>
          <w:sz w:val="26"/>
          <w:szCs w:val="26"/>
        </w:rPr>
      </w:pPr>
      <w:r w:rsidRPr="00F514FB">
        <w:rPr>
          <w:b/>
          <w:sz w:val="26"/>
          <w:szCs w:val="26"/>
        </w:rPr>
        <w:t>PENNSYLVANIA</w:t>
      </w:r>
    </w:p>
    <w:p w:rsidR="00C10C6C" w:rsidRPr="00F514FB" w:rsidRDefault="00C10C6C" w:rsidP="009546F8">
      <w:pPr>
        <w:widowControl/>
        <w:tabs>
          <w:tab w:val="center" w:pos="4680"/>
        </w:tabs>
        <w:suppressAutoHyphens/>
        <w:jc w:val="center"/>
        <w:rPr>
          <w:sz w:val="26"/>
          <w:szCs w:val="26"/>
        </w:rPr>
      </w:pPr>
      <w:r w:rsidRPr="00F514FB">
        <w:rPr>
          <w:b/>
          <w:sz w:val="26"/>
          <w:szCs w:val="26"/>
        </w:rPr>
        <w:t>PUBLIC UTILITY COMMISSION</w:t>
      </w:r>
    </w:p>
    <w:p w:rsidR="00C10C6C" w:rsidRPr="00F514FB" w:rsidRDefault="00C10C6C" w:rsidP="009546F8">
      <w:pPr>
        <w:widowControl/>
        <w:tabs>
          <w:tab w:val="center" w:pos="4680"/>
        </w:tabs>
        <w:suppressAutoHyphens/>
        <w:jc w:val="center"/>
        <w:rPr>
          <w:sz w:val="26"/>
          <w:szCs w:val="26"/>
        </w:rPr>
      </w:pPr>
      <w:r w:rsidRPr="00F514FB">
        <w:rPr>
          <w:b/>
          <w:sz w:val="26"/>
          <w:szCs w:val="26"/>
        </w:rPr>
        <w:t>Harrisburg, PA 17105-3265</w:t>
      </w:r>
    </w:p>
    <w:p w:rsidR="00C10C6C" w:rsidRPr="00F514FB" w:rsidRDefault="00C10C6C" w:rsidP="009546F8">
      <w:pPr>
        <w:widowControl/>
        <w:tabs>
          <w:tab w:val="left" w:pos="-720"/>
        </w:tabs>
        <w:suppressAutoHyphens/>
        <w:rPr>
          <w:sz w:val="26"/>
          <w:szCs w:val="26"/>
        </w:rPr>
      </w:pPr>
    </w:p>
    <w:p w:rsidR="00C10C6C" w:rsidRPr="00F514FB" w:rsidRDefault="00C10C6C" w:rsidP="009546F8">
      <w:pPr>
        <w:widowControl/>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4428"/>
      </w:tblGrid>
      <w:tr w:rsidR="00C10C6C" w:rsidRPr="00F514FB" w:rsidTr="00451574">
        <w:tc>
          <w:tcPr>
            <w:tcW w:w="5058" w:type="dxa"/>
          </w:tcPr>
          <w:p w:rsidR="00C10C6C" w:rsidRPr="00F514FB" w:rsidRDefault="00C10C6C" w:rsidP="009546F8">
            <w:pPr>
              <w:widowControl/>
              <w:rPr>
                <w:sz w:val="26"/>
                <w:szCs w:val="26"/>
              </w:rPr>
            </w:pPr>
          </w:p>
        </w:tc>
        <w:tc>
          <w:tcPr>
            <w:tcW w:w="4428" w:type="dxa"/>
          </w:tcPr>
          <w:p w:rsidR="00C10C6C" w:rsidRPr="00F514FB" w:rsidRDefault="00C10C6C" w:rsidP="009546F8">
            <w:pPr>
              <w:widowControl/>
              <w:jc w:val="right"/>
              <w:rPr>
                <w:sz w:val="26"/>
                <w:szCs w:val="26"/>
              </w:rPr>
            </w:pPr>
            <w:r w:rsidRPr="00F514FB">
              <w:rPr>
                <w:sz w:val="26"/>
                <w:szCs w:val="26"/>
              </w:rPr>
              <w:t xml:space="preserve">Public Meeting held </w:t>
            </w:r>
            <w:r>
              <w:rPr>
                <w:sz w:val="26"/>
                <w:szCs w:val="26"/>
              </w:rPr>
              <w:t>June 13, 2013</w:t>
            </w:r>
          </w:p>
          <w:p w:rsidR="00C10C6C" w:rsidRPr="00F514FB" w:rsidRDefault="00C10C6C" w:rsidP="009546F8">
            <w:pPr>
              <w:widowControl/>
              <w:jc w:val="right"/>
              <w:rPr>
                <w:sz w:val="26"/>
                <w:szCs w:val="26"/>
              </w:rPr>
            </w:pPr>
          </w:p>
          <w:p w:rsidR="00C10C6C" w:rsidRPr="00F514FB" w:rsidRDefault="00C10C6C" w:rsidP="009546F8">
            <w:pPr>
              <w:widowControl/>
              <w:jc w:val="right"/>
              <w:rPr>
                <w:sz w:val="26"/>
                <w:szCs w:val="26"/>
              </w:rPr>
            </w:pPr>
          </w:p>
        </w:tc>
      </w:tr>
      <w:tr w:rsidR="00C10C6C" w:rsidRPr="00F514FB" w:rsidTr="00451574">
        <w:tc>
          <w:tcPr>
            <w:tcW w:w="5058" w:type="dxa"/>
          </w:tcPr>
          <w:p w:rsidR="00C10C6C" w:rsidRPr="00F514FB" w:rsidRDefault="00C10C6C" w:rsidP="009546F8">
            <w:pPr>
              <w:widowControl/>
              <w:rPr>
                <w:sz w:val="26"/>
                <w:szCs w:val="26"/>
              </w:rPr>
            </w:pPr>
            <w:r w:rsidRPr="00F514FB">
              <w:rPr>
                <w:sz w:val="26"/>
                <w:szCs w:val="26"/>
              </w:rPr>
              <w:t>Commissioners Present:</w:t>
            </w:r>
          </w:p>
          <w:p w:rsidR="00C10C6C" w:rsidRPr="00F514FB" w:rsidRDefault="00C10C6C" w:rsidP="009546F8">
            <w:pPr>
              <w:widowControl/>
              <w:rPr>
                <w:sz w:val="26"/>
                <w:szCs w:val="26"/>
              </w:rPr>
            </w:pPr>
          </w:p>
          <w:p w:rsidR="00C10C6C" w:rsidRPr="00F514FB" w:rsidRDefault="00C10C6C" w:rsidP="009546F8">
            <w:pPr>
              <w:widowControl/>
              <w:tabs>
                <w:tab w:val="left" w:pos="705"/>
              </w:tabs>
              <w:rPr>
                <w:sz w:val="26"/>
                <w:szCs w:val="26"/>
              </w:rPr>
            </w:pPr>
            <w:r w:rsidRPr="00F514FB">
              <w:rPr>
                <w:sz w:val="26"/>
                <w:szCs w:val="26"/>
              </w:rPr>
              <w:t>Robert F. Powelson, Chairman</w:t>
            </w:r>
          </w:p>
          <w:p w:rsidR="00C10C6C" w:rsidRPr="00F514FB" w:rsidRDefault="00C10C6C" w:rsidP="009546F8">
            <w:pPr>
              <w:widowControl/>
              <w:tabs>
                <w:tab w:val="left" w:pos="705"/>
              </w:tabs>
              <w:rPr>
                <w:sz w:val="26"/>
                <w:szCs w:val="26"/>
              </w:rPr>
            </w:pPr>
            <w:r w:rsidRPr="00F514FB">
              <w:rPr>
                <w:sz w:val="26"/>
                <w:szCs w:val="26"/>
              </w:rPr>
              <w:t>John F. Coleman, Jr., Vice Chairman</w:t>
            </w:r>
          </w:p>
          <w:p w:rsidR="00C10C6C" w:rsidRPr="00F514FB" w:rsidRDefault="00C10C6C" w:rsidP="009546F8">
            <w:pPr>
              <w:widowControl/>
              <w:tabs>
                <w:tab w:val="left" w:pos="705"/>
              </w:tabs>
              <w:rPr>
                <w:sz w:val="26"/>
                <w:szCs w:val="26"/>
              </w:rPr>
            </w:pPr>
            <w:r w:rsidRPr="00F514FB">
              <w:rPr>
                <w:sz w:val="26"/>
                <w:szCs w:val="26"/>
              </w:rPr>
              <w:t>Wayne E. Gardner</w:t>
            </w:r>
          </w:p>
          <w:p w:rsidR="00C10C6C" w:rsidRPr="00F514FB" w:rsidRDefault="00C10C6C" w:rsidP="009546F8">
            <w:pPr>
              <w:widowControl/>
              <w:tabs>
                <w:tab w:val="left" w:pos="705"/>
              </w:tabs>
              <w:rPr>
                <w:sz w:val="26"/>
                <w:szCs w:val="26"/>
              </w:rPr>
            </w:pPr>
            <w:r w:rsidRPr="00F514FB">
              <w:rPr>
                <w:sz w:val="26"/>
                <w:szCs w:val="26"/>
              </w:rPr>
              <w:t>James H. Cawley</w:t>
            </w:r>
          </w:p>
          <w:p w:rsidR="00C10C6C" w:rsidRPr="00F514FB" w:rsidRDefault="00C10C6C" w:rsidP="009546F8">
            <w:pPr>
              <w:widowControl/>
              <w:tabs>
                <w:tab w:val="left" w:pos="705"/>
              </w:tabs>
              <w:rPr>
                <w:sz w:val="26"/>
                <w:szCs w:val="26"/>
              </w:rPr>
            </w:pPr>
            <w:r w:rsidRPr="00F514FB">
              <w:rPr>
                <w:sz w:val="26"/>
                <w:szCs w:val="26"/>
              </w:rPr>
              <w:t>Pamela A. Witmer</w:t>
            </w:r>
          </w:p>
          <w:p w:rsidR="00C10C6C" w:rsidRPr="00F514FB" w:rsidRDefault="00C10C6C" w:rsidP="009546F8">
            <w:pPr>
              <w:widowControl/>
              <w:rPr>
                <w:sz w:val="26"/>
                <w:szCs w:val="26"/>
              </w:rPr>
            </w:pPr>
          </w:p>
          <w:p w:rsidR="00C10C6C" w:rsidRPr="00F514FB" w:rsidRDefault="00C10C6C" w:rsidP="009546F8">
            <w:pPr>
              <w:widowControl/>
              <w:rPr>
                <w:sz w:val="26"/>
                <w:szCs w:val="26"/>
              </w:rPr>
            </w:pPr>
          </w:p>
        </w:tc>
        <w:tc>
          <w:tcPr>
            <w:tcW w:w="4428" w:type="dxa"/>
          </w:tcPr>
          <w:p w:rsidR="00C10C6C" w:rsidRPr="00F514FB" w:rsidRDefault="00C10C6C" w:rsidP="009546F8">
            <w:pPr>
              <w:widowControl/>
              <w:jc w:val="right"/>
              <w:rPr>
                <w:sz w:val="26"/>
                <w:szCs w:val="26"/>
              </w:rPr>
            </w:pPr>
          </w:p>
          <w:p w:rsidR="00C10C6C" w:rsidRPr="00F514FB" w:rsidRDefault="00C10C6C" w:rsidP="009546F8">
            <w:pPr>
              <w:widowControl/>
              <w:jc w:val="right"/>
              <w:rPr>
                <w:sz w:val="26"/>
                <w:szCs w:val="26"/>
              </w:rPr>
            </w:pPr>
          </w:p>
        </w:tc>
      </w:tr>
      <w:tr w:rsidR="00C10C6C" w:rsidRPr="00F514FB" w:rsidTr="00451574">
        <w:tc>
          <w:tcPr>
            <w:tcW w:w="5058" w:type="dxa"/>
          </w:tcPr>
          <w:p w:rsidR="00C10C6C" w:rsidRPr="00F514FB" w:rsidRDefault="00C10C6C" w:rsidP="009546F8">
            <w:pPr>
              <w:widowControl/>
              <w:rPr>
                <w:sz w:val="26"/>
                <w:szCs w:val="26"/>
              </w:rPr>
            </w:pPr>
            <w:r>
              <w:rPr>
                <w:sz w:val="26"/>
                <w:szCs w:val="26"/>
              </w:rPr>
              <w:t xml:space="preserve">Jack Bleiman  </w:t>
            </w:r>
          </w:p>
          <w:p w:rsidR="00C10C6C" w:rsidRPr="00F514FB" w:rsidRDefault="00C10C6C" w:rsidP="009546F8">
            <w:pPr>
              <w:widowControl/>
              <w:rPr>
                <w:sz w:val="26"/>
                <w:szCs w:val="26"/>
              </w:rPr>
            </w:pPr>
          </w:p>
        </w:tc>
        <w:tc>
          <w:tcPr>
            <w:tcW w:w="4428" w:type="dxa"/>
          </w:tcPr>
          <w:p w:rsidR="00C10C6C" w:rsidRPr="00F514FB" w:rsidRDefault="00C10C6C" w:rsidP="009546F8">
            <w:pPr>
              <w:widowControl/>
              <w:jc w:val="right"/>
              <w:rPr>
                <w:sz w:val="26"/>
                <w:szCs w:val="26"/>
              </w:rPr>
            </w:pPr>
            <w:r>
              <w:rPr>
                <w:sz w:val="26"/>
                <w:szCs w:val="26"/>
              </w:rPr>
              <w:t xml:space="preserve">F-2012-2284038 </w:t>
            </w:r>
          </w:p>
        </w:tc>
      </w:tr>
      <w:tr w:rsidR="00C10C6C" w:rsidRPr="00F514FB" w:rsidTr="00451574">
        <w:tc>
          <w:tcPr>
            <w:tcW w:w="5058" w:type="dxa"/>
          </w:tcPr>
          <w:p w:rsidR="00C10C6C" w:rsidRPr="00F514FB" w:rsidRDefault="001A7B39" w:rsidP="009546F8">
            <w:pPr>
              <w:widowControl/>
              <w:rPr>
                <w:sz w:val="26"/>
                <w:szCs w:val="26"/>
              </w:rPr>
            </w:pPr>
            <w:r>
              <w:rPr>
                <w:sz w:val="26"/>
                <w:szCs w:val="26"/>
              </w:rPr>
              <w:t xml:space="preserve">            </w:t>
            </w:r>
            <w:r w:rsidR="00C10C6C" w:rsidRPr="00F514FB">
              <w:rPr>
                <w:sz w:val="26"/>
                <w:szCs w:val="26"/>
              </w:rPr>
              <w:t>v.</w:t>
            </w:r>
          </w:p>
          <w:p w:rsidR="00C10C6C" w:rsidRPr="00F514FB" w:rsidRDefault="00C10C6C" w:rsidP="009546F8">
            <w:pPr>
              <w:widowControl/>
              <w:rPr>
                <w:sz w:val="26"/>
                <w:szCs w:val="26"/>
              </w:rPr>
            </w:pPr>
          </w:p>
        </w:tc>
        <w:tc>
          <w:tcPr>
            <w:tcW w:w="4428" w:type="dxa"/>
          </w:tcPr>
          <w:p w:rsidR="00C10C6C" w:rsidRPr="00F514FB" w:rsidRDefault="00C10C6C" w:rsidP="009546F8">
            <w:pPr>
              <w:widowControl/>
              <w:rPr>
                <w:sz w:val="26"/>
                <w:szCs w:val="26"/>
              </w:rPr>
            </w:pPr>
          </w:p>
        </w:tc>
      </w:tr>
      <w:tr w:rsidR="00C10C6C" w:rsidRPr="00F514FB" w:rsidTr="00451574">
        <w:tc>
          <w:tcPr>
            <w:tcW w:w="5058" w:type="dxa"/>
          </w:tcPr>
          <w:p w:rsidR="00C10C6C" w:rsidRPr="00F514FB" w:rsidRDefault="00C10C6C" w:rsidP="009546F8">
            <w:pPr>
              <w:widowControl/>
              <w:rPr>
                <w:sz w:val="26"/>
                <w:szCs w:val="26"/>
              </w:rPr>
            </w:pPr>
            <w:r>
              <w:rPr>
                <w:sz w:val="26"/>
                <w:szCs w:val="26"/>
              </w:rPr>
              <w:t xml:space="preserve">PECO Energy Company </w:t>
            </w:r>
          </w:p>
        </w:tc>
        <w:tc>
          <w:tcPr>
            <w:tcW w:w="4428" w:type="dxa"/>
          </w:tcPr>
          <w:p w:rsidR="00C10C6C" w:rsidRPr="00F514FB" w:rsidRDefault="00C10C6C" w:rsidP="009546F8">
            <w:pPr>
              <w:widowControl/>
              <w:rPr>
                <w:sz w:val="26"/>
                <w:szCs w:val="26"/>
              </w:rPr>
            </w:pPr>
          </w:p>
        </w:tc>
      </w:tr>
    </w:tbl>
    <w:p w:rsidR="00C10C6C" w:rsidRPr="00F514FB" w:rsidRDefault="00C10C6C" w:rsidP="009546F8">
      <w:pPr>
        <w:widowControl/>
        <w:rPr>
          <w:sz w:val="26"/>
          <w:szCs w:val="26"/>
        </w:rPr>
      </w:pPr>
    </w:p>
    <w:p w:rsidR="00C10C6C" w:rsidRPr="00F514FB" w:rsidRDefault="00C10C6C" w:rsidP="009546F8">
      <w:pPr>
        <w:widowControl/>
        <w:rPr>
          <w:sz w:val="26"/>
          <w:szCs w:val="26"/>
        </w:rPr>
      </w:pPr>
    </w:p>
    <w:p w:rsidR="00C10C6C" w:rsidRPr="00F514FB" w:rsidRDefault="00C10C6C" w:rsidP="009546F8">
      <w:pPr>
        <w:widowControl/>
        <w:jc w:val="center"/>
        <w:rPr>
          <w:b/>
          <w:sz w:val="26"/>
          <w:szCs w:val="26"/>
        </w:rPr>
      </w:pPr>
      <w:r w:rsidRPr="00F514FB">
        <w:rPr>
          <w:b/>
          <w:sz w:val="26"/>
          <w:szCs w:val="26"/>
        </w:rPr>
        <w:t xml:space="preserve">OPINION </w:t>
      </w:r>
      <w:smartTag w:uri="urn:schemas-microsoft-com:office:smarttags" w:element="stockticker">
        <w:r w:rsidRPr="00F514FB">
          <w:rPr>
            <w:b/>
            <w:sz w:val="26"/>
            <w:szCs w:val="26"/>
          </w:rPr>
          <w:t>AND</w:t>
        </w:r>
      </w:smartTag>
      <w:r w:rsidRPr="00F514FB">
        <w:rPr>
          <w:b/>
          <w:sz w:val="26"/>
          <w:szCs w:val="26"/>
        </w:rPr>
        <w:t xml:space="preserve"> ORDER</w:t>
      </w:r>
    </w:p>
    <w:p w:rsidR="00C10C6C" w:rsidRPr="00F514FB" w:rsidRDefault="00C10C6C" w:rsidP="009546F8">
      <w:pPr>
        <w:widowControl/>
        <w:jc w:val="center"/>
        <w:rPr>
          <w:b/>
          <w:sz w:val="26"/>
          <w:szCs w:val="26"/>
        </w:rPr>
      </w:pPr>
    </w:p>
    <w:p w:rsidR="00C10C6C" w:rsidRPr="00F514FB" w:rsidRDefault="00C10C6C" w:rsidP="009546F8">
      <w:pPr>
        <w:widowControl/>
        <w:jc w:val="center"/>
        <w:rPr>
          <w:b/>
          <w:sz w:val="26"/>
          <w:szCs w:val="26"/>
        </w:rPr>
      </w:pPr>
    </w:p>
    <w:p w:rsidR="00C10C6C" w:rsidRPr="00F514FB" w:rsidRDefault="00C10C6C" w:rsidP="009546F8">
      <w:pPr>
        <w:widowControl/>
        <w:rPr>
          <w:b/>
          <w:sz w:val="26"/>
          <w:szCs w:val="26"/>
        </w:rPr>
      </w:pPr>
      <w:r w:rsidRPr="00F514FB">
        <w:rPr>
          <w:b/>
          <w:sz w:val="26"/>
          <w:szCs w:val="26"/>
        </w:rPr>
        <w:t>BY THE COMMISSION:</w:t>
      </w:r>
    </w:p>
    <w:p w:rsidR="00C10C6C" w:rsidRPr="00F514FB" w:rsidRDefault="00C10C6C" w:rsidP="009546F8">
      <w:pPr>
        <w:widowControl/>
        <w:rPr>
          <w:sz w:val="26"/>
          <w:szCs w:val="26"/>
        </w:rPr>
      </w:pPr>
    </w:p>
    <w:p w:rsidR="00C10C6C" w:rsidRPr="00F514FB" w:rsidRDefault="00C10C6C" w:rsidP="009546F8">
      <w:pPr>
        <w:widowControl/>
        <w:rPr>
          <w:sz w:val="26"/>
          <w:szCs w:val="26"/>
        </w:rPr>
      </w:pPr>
    </w:p>
    <w:p w:rsidR="00C10C6C" w:rsidRDefault="003431A6" w:rsidP="009546F8">
      <w:pPr>
        <w:widowControl/>
        <w:spacing w:line="360" w:lineRule="auto"/>
        <w:rPr>
          <w:sz w:val="26"/>
          <w:szCs w:val="26"/>
        </w:rPr>
      </w:pPr>
      <w:r>
        <w:rPr>
          <w:sz w:val="26"/>
          <w:szCs w:val="26"/>
        </w:rPr>
        <w:tab/>
      </w:r>
      <w:r>
        <w:rPr>
          <w:sz w:val="26"/>
          <w:szCs w:val="26"/>
        </w:rPr>
        <w:tab/>
      </w:r>
      <w:r w:rsidR="00C10C6C" w:rsidRPr="00CA43A5">
        <w:rPr>
          <w:sz w:val="26"/>
          <w:szCs w:val="26"/>
        </w:rPr>
        <w:t xml:space="preserve">Before the Pennsylvania Public Utility Commission (Commission) for consideration and disposition </w:t>
      </w:r>
      <w:r w:rsidR="00460A29">
        <w:rPr>
          <w:color w:val="000000"/>
          <w:sz w:val="26"/>
        </w:rPr>
        <w:t xml:space="preserve">are the Exceptions </w:t>
      </w:r>
      <w:r w:rsidR="00C10C6C">
        <w:rPr>
          <w:color w:val="000000"/>
          <w:sz w:val="26"/>
        </w:rPr>
        <w:t>of Jack Bleiman (Complainant) filed on December 18, 2012,</w:t>
      </w:r>
      <w:r w:rsidR="00C10C6C">
        <w:rPr>
          <w:rStyle w:val="FootnoteReference"/>
          <w:color w:val="000000"/>
          <w:sz w:val="26"/>
        </w:rPr>
        <w:footnoteReference w:id="1"/>
      </w:r>
      <w:r w:rsidR="00C10C6C">
        <w:rPr>
          <w:color w:val="000000"/>
          <w:sz w:val="26"/>
        </w:rPr>
        <w:t xml:space="preserve"> to the Initial Decision (I.D.) of Administrative Law Judge (ALJ) </w:t>
      </w:r>
      <w:r w:rsidR="00C10C6C">
        <w:rPr>
          <w:color w:val="000000"/>
          <w:sz w:val="26"/>
        </w:rPr>
        <w:lastRenderedPageBreak/>
        <w:t>Angela T. Jones, which was issued on November 20, 2012,</w:t>
      </w:r>
      <w:r w:rsidR="00C10C6C">
        <w:rPr>
          <w:rStyle w:val="FootnoteReference"/>
          <w:color w:val="000000"/>
          <w:sz w:val="26"/>
        </w:rPr>
        <w:footnoteReference w:id="2"/>
      </w:r>
      <w:r w:rsidR="00C10C6C">
        <w:rPr>
          <w:color w:val="000000"/>
          <w:sz w:val="26"/>
        </w:rPr>
        <w:t xml:space="preserve"> in the above-captioned proceeding.  Replies to Exceptions w</w:t>
      </w:r>
      <w:r w:rsidR="005C3804">
        <w:rPr>
          <w:color w:val="000000"/>
          <w:sz w:val="26"/>
        </w:rPr>
        <w:t>ere not filed</w:t>
      </w:r>
      <w:r w:rsidR="00C10C6C">
        <w:rPr>
          <w:color w:val="000000"/>
          <w:sz w:val="26"/>
        </w:rPr>
        <w:t xml:space="preserve">.  </w:t>
      </w:r>
      <w:r w:rsidR="00C10C6C" w:rsidRPr="00CA43A5">
        <w:rPr>
          <w:sz w:val="26"/>
          <w:szCs w:val="26"/>
        </w:rPr>
        <w:t xml:space="preserve">For the reasons stated below, we </w:t>
      </w:r>
      <w:r w:rsidR="00C10C6C">
        <w:rPr>
          <w:sz w:val="26"/>
          <w:szCs w:val="26"/>
        </w:rPr>
        <w:t>shall deny the Exceptions and adopt the Initial Decision</w:t>
      </w:r>
      <w:r w:rsidR="00C10C6C" w:rsidRPr="00CA43A5">
        <w:rPr>
          <w:sz w:val="26"/>
          <w:szCs w:val="26"/>
        </w:rPr>
        <w:t>.</w:t>
      </w:r>
    </w:p>
    <w:p w:rsidR="00EE0C9D" w:rsidRDefault="00EE0C9D" w:rsidP="009546F8">
      <w:pPr>
        <w:widowControl/>
        <w:spacing w:line="360" w:lineRule="auto"/>
        <w:rPr>
          <w:sz w:val="26"/>
          <w:szCs w:val="26"/>
        </w:rPr>
      </w:pPr>
    </w:p>
    <w:p w:rsidR="00EE0C9D" w:rsidRPr="00CA43A5" w:rsidRDefault="00EE0C9D" w:rsidP="009546F8">
      <w:pPr>
        <w:widowControl/>
        <w:spacing w:line="360" w:lineRule="auto"/>
        <w:jc w:val="center"/>
        <w:rPr>
          <w:b/>
          <w:sz w:val="26"/>
          <w:szCs w:val="26"/>
        </w:rPr>
      </w:pPr>
      <w:r w:rsidRPr="00CA43A5">
        <w:rPr>
          <w:b/>
          <w:sz w:val="26"/>
          <w:szCs w:val="26"/>
        </w:rPr>
        <w:t>History of the Proceeding</w:t>
      </w:r>
    </w:p>
    <w:p w:rsidR="00EE0C9D" w:rsidRPr="00CA43A5" w:rsidRDefault="00EE0C9D" w:rsidP="009546F8">
      <w:pPr>
        <w:widowControl/>
        <w:spacing w:line="360" w:lineRule="auto"/>
        <w:jc w:val="center"/>
        <w:rPr>
          <w:b/>
          <w:sz w:val="26"/>
          <w:szCs w:val="26"/>
          <w:u w:val="single"/>
        </w:rPr>
      </w:pPr>
    </w:p>
    <w:p w:rsidR="00EE0C9D" w:rsidRDefault="003431A6" w:rsidP="009546F8">
      <w:pPr>
        <w:widowControl/>
        <w:spacing w:line="360" w:lineRule="auto"/>
        <w:rPr>
          <w:sz w:val="26"/>
          <w:szCs w:val="24"/>
        </w:rPr>
      </w:pPr>
      <w:r>
        <w:rPr>
          <w:sz w:val="26"/>
          <w:szCs w:val="24"/>
        </w:rPr>
        <w:tab/>
      </w:r>
      <w:r>
        <w:rPr>
          <w:sz w:val="26"/>
          <w:szCs w:val="24"/>
        </w:rPr>
        <w:tab/>
      </w:r>
      <w:r w:rsidR="00EE0C9D">
        <w:rPr>
          <w:sz w:val="26"/>
          <w:szCs w:val="24"/>
        </w:rPr>
        <w:t>On January</w:t>
      </w:r>
      <w:r w:rsidR="00EE0C9D" w:rsidRPr="0051475B">
        <w:rPr>
          <w:sz w:val="26"/>
          <w:szCs w:val="24"/>
        </w:rPr>
        <w:t xml:space="preserve"> </w:t>
      </w:r>
      <w:r w:rsidR="00EE0C9D">
        <w:rPr>
          <w:sz w:val="26"/>
          <w:szCs w:val="24"/>
        </w:rPr>
        <w:t>1</w:t>
      </w:r>
      <w:r w:rsidR="00EE0C9D" w:rsidRPr="0051475B">
        <w:rPr>
          <w:sz w:val="26"/>
          <w:szCs w:val="24"/>
        </w:rPr>
        <w:t>2, 201</w:t>
      </w:r>
      <w:r w:rsidR="00EE0C9D">
        <w:rPr>
          <w:sz w:val="26"/>
          <w:szCs w:val="24"/>
        </w:rPr>
        <w:t>2</w:t>
      </w:r>
      <w:r w:rsidR="00EE0C9D" w:rsidRPr="0051475B">
        <w:rPr>
          <w:sz w:val="26"/>
          <w:szCs w:val="24"/>
        </w:rPr>
        <w:t xml:space="preserve">, </w:t>
      </w:r>
      <w:r w:rsidR="00EE0C9D">
        <w:rPr>
          <w:sz w:val="26"/>
          <w:szCs w:val="24"/>
        </w:rPr>
        <w:t>Mr. Bleiman</w:t>
      </w:r>
      <w:r w:rsidR="00EE0C9D" w:rsidRPr="0051475B">
        <w:rPr>
          <w:sz w:val="26"/>
          <w:szCs w:val="24"/>
        </w:rPr>
        <w:t xml:space="preserve"> filed a </w:t>
      </w:r>
      <w:r w:rsidR="00EE0C9D">
        <w:rPr>
          <w:sz w:val="26"/>
          <w:szCs w:val="24"/>
        </w:rPr>
        <w:t>Formal C</w:t>
      </w:r>
      <w:r w:rsidR="00EE0C9D" w:rsidRPr="0051475B">
        <w:rPr>
          <w:sz w:val="26"/>
          <w:szCs w:val="24"/>
        </w:rPr>
        <w:t xml:space="preserve">omplaint </w:t>
      </w:r>
      <w:r w:rsidR="00EE0C9D">
        <w:rPr>
          <w:sz w:val="26"/>
          <w:szCs w:val="24"/>
        </w:rPr>
        <w:t>(Complaint) against PECO Energy Company (PECO</w:t>
      </w:r>
      <w:r w:rsidR="009F5025">
        <w:rPr>
          <w:sz w:val="26"/>
          <w:szCs w:val="24"/>
        </w:rPr>
        <w:t>,</w:t>
      </w:r>
      <w:r w:rsidR="00EE0C9D">
        <w:rPr>
          <w:sz w:val="26"/>
          <w:szCs w:val="24"/>
        </w:rPr>
        <w:t xml:space="preserve"> Company</w:t>
      </w:r>
      <w:r w:rsidR="009F5025">
        <w:rPr>
          <w:sz w:val="26"/>
          <w:szCs w:val="24"/>
        </w:rPr>
        <w:t xml:space="preserve"> or Respondent</w:t>
      </w:r>
      <w:r w:rsidR="00EE0C9D">
        <w:rPr>
          <w:sz w:val="26"/>
          <w:szCs w:val="24"/>
        </w:rPr>
        <w:t>)</w:t>
      </w:r>
      <w:r w:rsidR="00EE0C9D" w:rsidRPr="0051475B">
        <w:rPr>
          <w:sz w:val="26"/>
          <w:szCs w:val="24"/>
        </w:rPr>
        <w:t xml:space="preserve">, </w:t>
      </w:r>
      <w:r w:rsidR="00EE0C9D">
        <w:rPr>
          <w:sz w:val="26"/>
          <w:szCs w:val="24"/>
        </w:rPr>
        <w:t>alleging that</w:t>
      </w:r>
      <w:r w:rsidR="00EE0C9D" w:rsidRPr="0051475B">
        <w:rPr>
          <w:sz w:val="26"/>
          <w:szCs w:val="24"/>
        </w:rPr>
        <w:t xml:space="preserve"> </w:t>
      </w:r>
      <w:r w:rsidR="00EE0C9D">
        <w:rPr>
          <w:sz w:val="26"/>
          <w:szCs w:val="24"/>
        </w:rPr>
        <w:t>PECO</w:t>
      </w:r>
      <w:r w:rsidR="00EE0C9D" w:rsidRPr="0051475B">
        <w:rPr>
          <w:sz w:val="26"/>
          <w:szCs w:val="24"/>
        </w:rPr>
        <w:t xml:space="preserve"> wrongfully placed </w:t>
      </w:r>
      <w:r w:rsidR="00EE0C9D">
        <w:rPr>
          <w:sz w:val="26"/>
          <w:szCs w:val="24"/>
        </w:rPr>
        <w:t xml:space="preserve">the entire balance of the tenant’s </w:t>
      </w:r>
      <w:r w:rsidR="00EE0C9D" w:rsidRPr="0051475B">
        <w:rPr>
          <w:sz w:val="26"/>
          <w:szCs w:val="24"/>
        </w:rPr>
        <w:t xml:space="preserve">bill in his name after finding </w:t>
      </w:r>
      <w:r w:rsidR="00EE0C9D">
        <w:rPr>
          <w:sz w:val="26"/>
          <w:szCs w:val="24"/>
        </w:rPr>
        <w:t xml:space="preserve">that </w:t>
      </w:r>
      <w:r w:rsidR="00EE0C9D" w:rsidRPr="0051475B">
        <w:rPr>
          <w:sz w:val="26"/>
          <w:szCs w:val="24"/>
        </w:rPr>
        <w:t xml:space="preserve">a foreign load </w:t>
      </w:r>
      <w:r w:rsidR="00EE0C9D">
        <w:rPr>
          <w:sz w:val="26"/>
          <w:szCs w:val="24"/>
        </w:rPr>
        <w:t xml:space="preserve">situation </w:t>
      </w:r>
      <w:r w:rsidR="00EE0C9D" w:rsidRPr="0051475B">
        <w:rPr>
          <w:sz w:val="26"/>
          <w:szCs w:val="24"/>
        </w:rPr>
        <w:t xml:space="preserve">existed at </w:t>
      </w:r>
      <w:r w:rsidR="00EE0C9D">
        <w:rPr>
          <w:sz w:val="26"/>
          <w:szCs w:val="24"/>
        </w:rPr>
        <w:t xml:space="preserve">his </w:t>
      </w:r>
      <w:r w:rsidR="000C711C">
        <w:rPr>
          <w:sz w:val="26"/>
          <w:szCs w:val="24"/>
        </w:rPr>
        <w:t>rental</w:t>
      </w:r>
      <w:r w:rsidR="000C711C" w:rsidRPr="0051475B">
        <w:rPr>
          <w:sz w:val="26"/>
          <w:szCs w:val="24"/>
        </w:rPr>
        <w:t xml:space="preserve"> property</w:t>
      </w:r>
      <w:r w:rsidR="00EE0C9D">
        <w:rPr>
          <w:sz w:val="26"/>
          <w:szCs w:val="24"/>
        </w:rPr>
        <w:t>.</w:t>
      </w:r>
      <w:r w:rsidR="00EE0C9D" w:rsidRPr="0051475B">
        <w:rPr>
          <w:sz w:val="26"/>
          <w:szCs w:val="24"/>
        </w:rPr>
        <w:t xml:space="preserve">  </w:t>
      </w:r>
      <w:r w:rsidR="00EE0C9D">
        <w:rPr>
          <w:sz w:val="26"/>
          <w:szCs w:val="24"/>
        </w:rPr>
        <w:t xml:space="preserve">The Commission served PECO with the </w:t>
      </w:r>
      <w:r w:rsidR="008935AE">
        <w:rPr>
          <w:sz w:val="26"/>
          <w:szCs w:val="24"/>
        </w:rPr>
        <w:t>Complaint on January 20, 2012.</w:t>
      </w:r>
    </w:p>
    <w:p w:rsidR="00EE0C9D" w:rsidRDefault="00EE0C9D" w:rsidP="009546F8">
      <w:pPr>
        <w:widowControl/>
        <w:spacing w:line="360" w:lineRule="auto"/>
        <w:rPr>
          <w:sz w:val="26"/>
          <w:szCs w:val="24"/>
        </w:rPr>
      </w:pPr>
    </w:p>
    <w:p w:rsidR="00EE0C9D" w:rsidRDefault="003431A6" w:rsidP="009546F8">
      <w:pPr>
        <w:widowControl/>
        <w:spacing w:line="360" w:lineRule="auto"/>
        <w:rPr>
          <w:sz w:val="26"/>
          <w:szCs w:val="24"/>
        </w:rPr>
      </w:pPr>
      <w:r>
        <w:rPr>
          <w:sz w:val="26"/>
          <w:szCs w:val="24"/>
        </w:rPr>
        <w:tab/>
      </w:r>
      <w:r>
        <w:rPr>
          <w:sz w:val="26"/>
          <w:szCs w:val="24"/>
        </w:rPr>
        <w:tab/>
      </w:r>
      <w:r w:rsidR="00EE0C9D">
        <w:rPr>
          <w:sz w:val="26"/>
          <w:szCs w:val="24"/>
        </w:rPr>
        <w:t>PECO</w:t>
      </w:r>
      <w:r w:rsidR="00EE0C9D" w:rsidRPr="0051475B">
        <w:rPr>
          <w:sz w:val="26"/>
          <w:szCs w:val="24"/>
        </w:rPr>
        <w:t xml:space="preserve"> </w:t>
      </w:r>
      <w:r w:rsidR="00EE0C9D">
        <w:rPr>
          <w:sz w:val="26"/>
          <w:szCs w:val="24"/>
        </w:rPr>
        <w:t>filed an Answer</w:t>
      </w:r>
      <w:r w:rsidR="00EE0C9D" w:rsidRPr="0051475B">
        <w:rPr>
          <w:sz w:val="26"/>
          <w:szCs w:val="24"/>
        </w:rPr>
        <w:t xml:space="preserve"> on </w:t>
      </w:r>
      <w:r w:rsidR="00EE0C9D">
        <w:rPr>
          <w:sz w:val="26"/>
          <w:szCs w:val="24"/>
        </w:rPr>
        <w:t>February</w:t>
      </w:r>
      <w:r w:rsidR="00EE0C9D" w:rsidRPr="0051475B">
        <w:rPr>
          <w:sz w:val="26"/>
          <w:szCs w:val="24"/>
        </w:rPr>
        <w:t> </w:t>
      </w:r>
      <w:r w:rsidR="00EE0C9D">
        <w:rPr>
          <w:sz w:val="26"/>
          <w:szCs w:val="24"/>
        </w:rPr>
        <w:t>9</w:t>
      </w:r>
      <w:r w:rsidR="00EE0C9D" w:rsidRPr="0051475B">
        <w:rPr>
          <w:sz w:val="26"/>
          <w:szCs w:val="24"/>
        </w:rPr>
        <w:t>, 201</w:t>
      </w:r>
      <w:r w:rsidR="00EE0C9D">
        <w:rPr>
          <w:sz w:val="26"/>
          <w:szCs w:val="24"/>
        </w:rPr>
        <w:t>2,</w:t>
      </w:r>
      <w:r w:rsidR="00EE0C9D" w:rsidRPr="0051475B">
        <w:rPr>
          <w:sz w:val="26"/>
          <w:szCs w:val="24"/>
        </w:rPr>
        <w:t xml:space="preserve"> </w:t>
      </w:r>
      <w:r w:rsidR="00EE0C9D">
        <w:rPr>
          <w:sz w:val="26"/>
          <w:szCs w:val="24"/>
        </w:rPr>
        <w:t xml:space="preserve">in which it </w:t>
      </w:r>
      <w:r w:rsidR="008A7DAC">
        <w:rPr>
          <w:sz w:val="26"/>
          <w:szCs w:val="24"/>
        </w:rPr>
        <w:t>denied that there were incorrect charges on the Complainant’s bill and asserted that it was investigating some of the allegations of the Complaint and would file a more detailed</w:t>
      </w:r>
      <w:r w:rsidR="009F5025">
        <w:rPr>
          <w:sz w:val="26"/>
          <w:szCs w:val="24"/>
        </w:rPr>
        <w:t xml:space="preserve"> response within ten days.  A</w:t>
      </w:r>
      <w:r w:rsidR="008A7DAC">
        <w:rPr>
          <w:sz w:val="26"/>
          <w:szCs w:val="24"/>
        </w:rPr>
        <w:t xml:space="preserve"> more detailed response was not submitted by PECO.</w:t>
      </w:r>
    </w:p>
    <w:p w:rsidR="00614036" w:rsidRDefault="00614036" w:rsidP="009546F8">
      <w:pPr>
        <w:widowControl/>
        <w:spacing w:line="360" w:lineRule="auto"/>
        <w:rPr>
          <w:sz w:val="26"/>
          <w:szCs w:val="24"/>
        </w:rPr>
      </w:pPr>
    </w:p>
    <w:p w:rsidR="002062F0" w:rsidRDefault="00927C96" w:rsidP="009546F8">
      <w:pPr>
        <w:widowControl/>
        <w:tabs>
          <w:tab w:val="left" w:pos="-720"/>
        </w:tabs>
        <w:suppressAutoHyphens/>
        <w:spacing w:line="360" w:lineRule="auto"/>
        <w:rPr>
          <w:sz w:val="26"/>
          <w:szCs w:val="26"/>
        </w:rPr>
      </w:pPr>
      <w:r>
        <w:rPr>
          <w:sz w:val="26"/>
          <w:szCs w:val="24"/>
        </w:rPr>
        <w:tab/>
      </w:r>
      <w:r>
        <w:rPr>
          <w:sz w:val="26"/>
          <w:szCs w:val="24"/>
        </w:rPr>
        <w:tab/>
      </w:r>
      <w:r w:rsidR="00614036">
        <w:rPr>
          <w:sz w:val="26"/>
          <w:szCs w:val="24"/>
        </w:rPr>
        <w:t>ALJ Jones conducted a</w:t>
      </w:r>
      <w:r w:rsidR="00460A29">
        <w:rPr>
          <w:sz w:val="26"/>
          <w:szCs w:val="24"/>
        </w:rPr>
        <w:t xml:space="preserve">n initial </w:t>
      </w:r>
      <w:r w:rsidR="00614036">
        <w:rPr>
          <w:sz w:val="26"/>
          <w:szCs w:val="24"/>
        </w:rPr>
        <w:t>hearing on May</w:t>
      </w:r>
      <w:r w:rsidR="00614036" w:rsidRPr="0051475B">
        <w:rPr>
          <w:sz w:val="26"/>
          <w:szCs w:val="24"/>
        </w:rPr>
        <w:t xml:space="preserve"> </w:t>
      </w:r>
      <w:r w:rsidR="00614036">
        <w:rPr>
          <w:sz w:val="26"/>
          <w:szCs w:val="24"/>
        </w:rPr>
        <w:t>1</w:t>
      </w:r>
      <w:r w:rsidR="00614036" w:rsidRPr="0051475B">
        <w:rPr>
          <w:sz w:val="26"/>
          <w:szCs w:val="24"/>
        </w:rPr>
        <w:t>, 201</w:t>
      </w:r>
      <w:r w:rsidR="00614036">
        <w:rPr>
          <w:sz w:val="26"/>
          <w:szCs w:val="24"/>
        </w:rPr>
        <w:t>2</w:t>
      </w:r>
      <w:r w:rsidR="00614036" w:rsidRPr="0051475B">
        <w:rPr>
          <w:sz w:val="26"/>
          <w:szCs w:val="24"/>
        </w:rPr>
        <w:t xml:space="preserve">.  </w:t>
      </w:r>
      <w:r w:rsidR="00614036">
        <w:rPr>
          <w:sz w:val="26"/>
          <w:szCs w:val="24"/>
        </w:rPr>
        <w:t xml:space="preserve">The </w:t>
      </w:r>
      <w:r w:rsidR="00614036" w:rsidRPr="0051475B">
        <w:rPr>
          <w:sz w:val="26"/>
          <w:szCs w:val="24"/>
        </w:rPr>
        <w:t xml:space="preserve">Complainant appeared </w:t>
      </w:r>
      <w:r w:rsidR="00614036" w:rsidRPr="0051475B">
        <w:rPr>
          <w:i/>
          <w:sz w:val="26"/>
          <w:szCs w:val="24"/>
        </w:rPr>
        <w:t>pro se</w:t>
      </w:r>
      <w:r w:rsidR="00614036" w:rsidRPr="0051475B">
        <w:rPr>
          <w:sz w:val="26"/>
          <w:szCs w:val="24"/>
        </w:rPr>
        <w:t xml:space="preserve">.  </w:t>
      </w:r>
      <w:r w:rsidR="00614036">
        <w:rPr>
          <w:sz w:val="26"/>
          <w:szCs w:val="24"/>
        </w:rPr>
        <w:t>PECO was represented by counsel</w:t>
      </w:r>
      <w:r w:rsidR="00614036" w:rsidRPr="0051475B">
        <w:rPr>
          <w:sz w:val="26"/>
          <w:szCs w:val="24"/>
        </w:rPr>
        <w:t xml:space="preserve"> </w:t>
      </w:r>
      <w:r w:rsidR="00614036">
        <w:rPr>
          <w:sz w:val="26"/>
          <w:szCs w:val="24"/>
        </w:rPr>
        <w:t>and presented one witness</w:t>
      </w:r>
      <w:r w:rsidR="00614036" w:rsidRPr="0051475B">
        <w:rPr>
          <w:sz w:val="26"/>
          <w:szCs w:val="24"/>
        </w:rPr>
        <w:t xml:space="preserve">.  </w:t>
      </w:r>
      <w:r w:rsidR="00EA57C8">
        <w:rPr>
          <w:sz w:val="26"/>
          <w:szCs w:val="24"/>
        </w:rPr>
        <w:t xml:space="preserve">After an attempt by </w:t>
      </w:r>
      <w:r w:rsidR="00EA57C8">
        <w:rPr>
          <w:sz w:val="26"/>
          <w:szCs w:val="26"/>
        </w:rPr>
        <w:t xml:space="preserve">the Parties </w:t>
      </w:r>
      <w:r w:rsidR="00614036" w:rsidRPr="00EA57C8">
        <w:rPr>
          <w:sz w:val="26"/>
          <w:szCs w:val="26"/>
        </w:rPr>
        <w:t xml:space="preserve">to negotiate </w:t>
      </w:r>
      <w:r w:rsidR="009F5025">
        <w:rPr>
          <w:sz w:val="26"/>
          <w:szCs w:val="26"/>
        </w:rPr>
        <w:t xml:space="preserve">a </w:t>
      </w:r>
      <w:r w:rsidR="00614036" w:rsidRPr="00EA57C8">
        <w:rPr>
          <w:sz w:val="26"/>
          <w:szCs w:val="26"/>
        </w:rPr>
        <w:t xml:space="preserve">settlement of this dispute, </w:t>
      </w:r>
      <w:r w:rsidR="00EA57C8">
        <w:rPr>
          <w:sz w:val="26"/>
          <w:szCs w:val="26"/>
        </w:rPr>
        <w:t xml:space="preserve">the </w:t>
      </w:r>
      <w:r w:rsidR="00614036" w:rsidRPr="00EA57C8">
        <w:rPr>
          <w:sz w:val="26"/>
          <w:szCs w:val="26"/>
        </w:rPr>
        <w:t xml:space="preserve">Complainant expressed </w:t>
      </w:r>
      <w:r w:rsidR="00614036" w:rsidRPr="001A7B39">
        <w:rPr>
          <w:sz w:val="26"/>
          <w:szCs w:val="26"/>
        </w:rPr>
        <w:t xml:space="preserve">the desire to amend his </w:t>
      </w:r>
      <w:r w:rsidR="00EA57C8" w:rsidRPr="001A7B39">
        <w:rPr>
          <w:sz w:val="26"/>
          <w:szCs w:val="26"/>
        </w:rPr>
        <w:t>C</w:t>
      </w:r>
      <w:r w:rsidR="00614036" w:rsidRPr="001A7B39">
        <w:rPr>
          <w:sz w:val="26"/>
          <w:szCs w:val="26"/>
        </w:rPr>
        <w:t xml:space="preserve">omplaint.  PECO did not object to </w:t>
      </w:r>
      <w:r w:rsidR="00AD354E" w:rsidRPr="001A7B39">
        <w:rPr>
          <w:sz w:val="26"/>
          <w:szCs w:val="26"/>
        </w:rPr>
        <w:t xml:space="preserve">the </w:t>
      </w:r>
      <w:r w:rsidR="00614036" w:rsidRPr="001A7B39">
        <w:rPr>
          <w:sz w:val="26"/>
          <w:szCs w:val="26"/>
        </w:rPr>
        <w:t>Complainant’s request.</w:t>
      </w:r>
      <w:r w:rsidR="00E93891" w:rsidRPr="001A7B39">
        <w:rPr>
          <w:sz w:val="26"/>
          <w:szCs w:val="26"/>
        </w:rPr>
        <w:t xml:space="preserve">  </w:t>
      </w:r>
      <w:r w:rsidRPr="001A7B39">
        <w:rPr>
          <w:sz w:val="26"/>
          <w:szCs w:val="26"/>
        </w:rPr>
        <w:t>By Order issued May 2, 2012, the ALJ granted the Complainant’s request to file an amended Complaint.</w:t>
      </w:r>
      <w:r w:rsidR="008935AE">
        <w:rPr>
          <w:sz w:val="26"/>
          <w:szCs w:val="26"/>
        </w:rPr>
        <w:t xml:space="preserve"> </w:t>
      </w:r>
    </w:p>
    <w:p w:rsidR="002062F0" w:rsidRDefault="002062F0" w:rsidP="009546F8">
      <w:pPr>
        <w:widowControl/>
        <w:tabs>
          <w:tab w:val="left" w:pos="-720"/>
        </w:tabs>
        <w:suppressAutoHyphens/>
        <w:spacing w:line="360" w:lineRule="auto"/>
        <w:rPr>
          <w:sz w:val="26"/>
          <w:szCs w:val="26"/>
        </w:rPr>
      </w:pPr>
    </w:p>
    <w:p w:rsidR="002062F0" w:rsidRDefault="002062F0" w:rsidP="009546F8">
      <w:pPr>
        <w:widowControl/>
        <w:tabs>
          <w:tab w:val="left" w:pos="-720"/>
        </w:tabs>
        <w:suppressAutoHyphens/>
        <w:spacing w:line="360" w:lineRule="auto"/>
        <w:rPr>
          <w:sz w:val="26"/>
          <w:szCs w:val="26"/>
        </w:rPr>
      </w:pPr>
      <w:r>
        <w:rPr>
          <w:sz w:val="26"/>
          <w:szCs w:val="26"/>
        </w:rPr>
        <w:tab/>
      </w:r>
      <w:r>
        <w:rPr>
          <w:sz w:val="26"/>
          <w:szCs w:val="26"/>
        </w:rPr>
        <w:tab/>
      </w:r>
      <w:r w:rsidR="00C656C5">
        <w:rPr>
          <w:sz w:val="26"/>
          <w:szCs w:val="26"/>
        </w:rPr>
        <w:t>On May 21, 2012, the Complainant filed an amended Complaint</w:t>
      </w:r>
      <w:r w:rsidR="00AB3C36">
        <w:rPr>
          <w:sz w:val="26"/>
          <w:szCs w:val="26"/>
        </w:rPr>
        <w:t xml:space="preserve"> alleging that PECO technicians trespassed into the basement of the service address without his </w:t>
      </w:r>
      <w:r w:rsidR="00AB3C36">
        <w:rPr>
          <w:sz w:val="26"/>
          <w:szCs w:val="26"/>
        </w:rPr>
        <w:lastRenderedPageBreak/>
        <w:t>knowledge or permission.</w:t>
      </w:r>
      <w:r w:rsidR="00927C96" w:rsidRPr="00927C96">
        <w:rPr>
          <w:sz w:val="26"/>
          <w:szCs w:val="26"/>
        </w:rPr>
        <w:t xml:space="preserve"> </w:t>
      </w:r>
      <w:r>
        <w:rPr>
          <w:sz w:val="26"/>
          <w:szCs w:val="26"/>
        </w:rPr>
        <w:t xml:space="preserve"> The Complainant requested that</w:t>
      </w:r>
      <w:r w:rsidR="00215B6C">
        <w:rPr>
          <w:sz w:val="26"/>
          <w:szCs w:val="26"/>
        </w:rPr>
        <w:t>,</w:t>
      </w:r>
      <w:r>
        <w:rPr>
          <w:sz w:val="26"/>
          <w:szCs w:val="26"/>
        </w:rPr>
        <w:t xml:space="preserve"> since PECO was trespas</w:t>
      </w:r>
      <w:r w:rsidR="00215B6C">
        <w:rPr>
          <w:sz w:val="26"/>
          <w:szCs w:val="26"/>
        </w:rPr>
        <w:t>sing, any results they found</w:t>
      </w:r>
      <w:r>
        <w:rPr>
          <w:sz w:val="26"/>
          <w:szCs w:val="26"/>
        </w:rPr>
        <w:t xml:space="preserve"> without his</w:t>
      </w:r>
      <w:r w:rsidR="00215B6C">
        <w:rPr>
          <w:sz w:val="26"/>
          <w:szCs w:val="26"/>
        </w:rPr>
        <w:t xml:space="preserve"> permission should be disregarded</w:t>
      </w:r>
      <w:r>
        <w:rPr>
          <w:sz w:val="26"/>
          <w:szCs w:val="26"/>
        </w:rPr>
        <w:t>.</w:t>
      </w:r>
    </w:p>
    <w:p w:rsidR="00927C96" w:rsidRDefault="00927C96" w:rsidP="009546F8">
      <w:pPr>
        <w:widowControl/>
        <w:tabs>
          <w:tab w:val="left" w:pos="-720"/>
        </w:tabs>
        <w:suppressAutoHyphens/>
        <w:spacing w:line="360" w:lineRule="auto"/>
        <w:rPr>
          <w:sz w:val="24"/>
          <w:szCs w:val="24"/>
        </w:rPr>
      </w:pPr>
    </w:p>
    <w:p w:rsidR="00927C96" w:rsidRPr="00EC1F9E" w:rsidRDefault="00927C96" w:rsidP="009546F8">
      <w:pPr>
        <w:widowControl/>
        <w:tabs>
          <w:tab w:val="left" w:pos="-720"/>
        </w:tabs>
        <w:suppressAutoHyphens/>
        <w:spacing w:line="360" w:lineRule="auto"/>
        <w:rPr>
          <w:sz w:val="26"/>
          <w:szCs w:val="26"/>
        </w:rPr>
      </w:pPr>
      <w:r>
        <w:rPr>
          <w:sz w:val="24"/>
          <w:szCs w:val="24"/>
        </w:rPr>
        <w:tab/>
      </w:r>
      <w:r>
        <w:rPr>
          <w:sz w:val="24"/>
          <w:szCs w:val="24"/>
        </w:rPr>
        <w:tab/>
      </w:r>
      <w:r w:rsidR="008935AE">
        <w:rPr>
          <w:sz w:val="24"/>
          <w:szCs w:val="24"/>
        </w:rPr>
        <w:t>O</w:t>
      </w:r>
      <w:r w:rsidR="008935AE" w:rsidRPr="00EC1F9E">
        <w:rPr>
          <w:sz w:val="26"/>
          <w:szCs w:val="26"/>
        </w:rPr>
        <w:t>n June 8, 2012,</w:t>
      </w:r>
      <w:r w:rsidR="008935AE">
        <w:rPr>
          <w:sz w:val="26"/>
          <w:szCs w:val="26"/>
        </w:rPr>
        <w:t xml:space="preserve"> </w:t>
      </w:r>
      <w:r w:rsidR="002062F0" w:rsidRPr="00EC1F9E">
        <w:rPr>
          <w:sz w:val="26"/>
          <w:szCs w:val="26"/>
        </w:rPr>
        <w:t>PECO filed an amended Answer</w:t>
      </w:r>
      <w:r w:rsidRPr="00EC1F9E">
        <w:rPr>
          <w:sz w:val="26"/>
          <w:szCs w:val="26"/>
        </w:rPr>
        <w:t xml:space="preserve"> </w:t>
      </w:r>
      <w:r w:rsidR="002062F0" w:rsidRPr="00EC1F9E">
        <w:rPr>
          <w:sz w:val="26"/>
          <w:szCs w:val="26"/>
        </w:rPr>
        <w:t>to the amended C</w:t>
      </w:r>
      <w:r w:rsidR="00A8164D" w:rsidRPr="00EC1F9E">
        <w:rPr>
          <w:sz w:val="26"/>
          <w:szCs w:val="26"/>
        </w:rPr>
        <w:t>omplaint.  PECO stated that R</w:t>
      </w:r>
      <w:r w:rsidRPr="00EC1F9E">
        <w:rPr>
          <w:sz w:val="26"/>
          <w:szCs w:val="26"/>
        </w:rPr>
        <w:t>ule 10.5 of its approved electric tariff states</w:t>
      </w:r>
      <w:r w:rsidR="00215B6C">
        <w:rPr>
          <w:sz w:val="26"/>
          <w:szCs w:val="26"/>
        </w:rPr>
        <w:t xml:space="preserve"> that</w:t>
      </w:r>
      <w:r w:rsidRPr="00EC1F9E">
        <w:rPr>
          <w:sz w:val="26"/>
          <w:szCs w:val="26"/>
        </w:rPr>
        <w:t>, “</w:t>
      </w:r>
      <w:r w:rsidR="00215B6C">
        <w:rPr>
          <w:sz w:val="26"/>
          <w:szCs w:val="26"/>
        </w:rPr>
        <w:t>[t]</w:t>
      </w:r>
      <w:r w:rsidRPr="00EC1F9E">
        <w:rPr>
          <w:sz w:val="26"/>
          <w:szCs w:val="26"/>
        </w:rPr>
        <w:t>he Company’s identified employees shall have access to the premises of the customer at all reasonable times for the purpose of reading meters, and for installing, testing, inspecting, repairing, removing or changing any or all equipment belonging to the Company.”  PECO contended that the Company was acting</w:t>
      </w:r>
      <w:r w:rsidR="00A8164D" w:rsidRPr="00EC1F9E">
        <w:rPr>
          <w:sz w:val="26"/>
          <w:szCs w:val="26"/>
        </w:rPr>
        <w:t xml:space="preserve"> in accordance with its</w:t>
      </w:r>
      <w:r w:rsidR="002D6C48">
        <w:rPr>
          <w:sz w:val="26"/>
          <w:szCs w:val="26"/>
        </w:rPr>
        <w:t xml:space="preserve"> T</w:t>
      </w:r>
      <w:r w:rsidR="00A8164D" w:rsidRPr="00EC1F9E">
        <w:rPr>
          <w:sz w:val="26"/>
          <w:szCs w:val="26"/>
        </w:rPr>
        <w:t>ariff R</w:t>
      </w:r>
      <w:r w:rsidRPr="00EC1F9E">
        <w:rPr>
          <w:sz w:val="26"/>
          <w:szCs w:val="26"/>
        </w:rPr>
        <w:t xml:space="preserve">ule 10.5 when its technician accessed the meters at the service address.  </w:t>
      </w:r>
      <w:r w:rsidR="00A8164D" w:rsidRPr="00EC1F9E">
        <w:rPr>
          <w:sz w:val="26"/>
          <w:szCs w:val="26"/>
        </w:rPr>
        <w:t>Answer at 1.</w:t>
      </w:r>
    </w:p>
    <w:p w:rsidR="00927C96" w:rsidRPr="002062F0" w:rsidRDefault="00927C96" w:rsidP="009546F8">
      <w:pPr>
        <w:widowControl/>
        <w:tabs>
          <w:tab w:val="left" w:pos="-720"/>
        </w:tabs>
        <w:suppressAutoHyphens/>
        <w:spacing w:line="360" w:lineRule="auto"/>
        <w:rPr>
          <w:sz w:val="26"/>
          <w:szCs w:val="26"/>
        </w:rPr>
      </w:pPr>
    </w:p>
    <w:p w:rsidR="00EC1F9E" w:rsidRDefault="00927C96" w:rsidP="009546F8">
      <w:pPr>
        <w:widowControl/>
        <w:tabs>
          <w:tab w:val="left" w:pos="-720"/>
        </w:tabs>
        <w:suppressAutoHyphens/>
        <w:spacing w:line="360" w:lineRule="auto"/>
        <w:rPr>
          <w:sz w:val="26"/>
          <w:szCs w:val="26"/>
        </w:rPr>
      </w:pPr>
      <w:r>
        <w:rPr>
          <w:sz w:val="24"/>
          <w:szCs w:val="24"/>
        </w:rPr>
        <w:tab/>
      </w:r>
      <w:r>
        <w:rPr>
          <w:sz w:val="24"/>
          <w:szCs w:val="24"/>
        </w:rPr>
        <w:tab/>
      </w:r>
      <w:r w:rsidR="00EC1F9E" w:rsidRPr="00EC1F9E">
        <w:rPr>
          <w:sz w:val="26"/>
          <w:szCs w:val="26"/>
        </w:rPr>
        <w:t>ALJ Jones conducted a further hearing on August 9, 2012</w:t>
      </w:r>
      <w:r w:rsidRPr="00EC1F9E">
        <w:rPr>
          <w:sz w:val="26"/>
          <w:szCs w:val="26"/>
        </w:rPr>
        <w:t xml:space="preserve">.  </w:t>
      </w:r>
      <w:r w:rsidR="00EC1F9E">
        <w:rPr>
          <w:sz w:val="26"/>
          <w:szCs w:val="26"/>
        </w:rPr>
        <w:t>The Complainant appeared</w:t>
      </w:r>
      <w:r w:rsidR="005C3804">
        <w:rPr>
          <w:sz w:val="26"/>
          <w:szCs w:val="26"/>
        </w:rPr>
        <w:t xml:space="preserve">, </w:t>
      </w:r>
      <w:r w:rsidR="00EC1F9E">
        <w:rPr>
          <w:sz w:val="26"/>
          <w:szCs w:val="26"/>
        </w:rPr>
        <w:t xml:space="preserve"> </w:t>
      </w:r>
      <w:r w:rsidR="00EC1F9E">
        <w:rPr>
          <w:i/>
          <w:sz w:val="26"/>
          <w:szCs w:val="26"/>
        </w:rPr>
        <w:t>pro se</w:t>
      </w:r>
      <w:r w:rsidR="005C3804">
        <w:rPr>
          <w:i/>
          <w:sz w:val="26"/>
          <w:szCs w:val="26"/>
        </w:rPr>
        <w:t>,</w:t>
      </w:r>
      <w:r w:rsidR="00EC1F9E">
        <w:rPr>
          <w:i/>
          <w:sz w:val="26"/>
          <w:szCs w:val="26"/>
        </w:rPr>
        <w:t xml:space="preserve"> </w:t>
      </w:r>
      <w:r w:rsidR="00EC1F9E">
        <w:rPr>
          <w:sz w:val="26"/>
          <w:szCs w:val="26"/>
        </w:rPr>
        <w:t>and presented two exhibits</w:t>
      </w:r>
      <w:r w:rsidRPr="00EC1F9E">
        <w:rPr>
          <w:sz w:val="26"/>
          <w:szCs w:val="26"/>
        </w:rPr>
        <w:t xml:space="preserve">.  </w:t>
      </w:r>
      <w:r w:rsidR="00EC1F9E" w:rsidRPr="00EC1F9E">
        <w:rPr>
          <w:sz w:val="26"/>
          <w:szCs w:val="26"/>
        </w:rPr>
        <w:t xml:space="preserve">Both exhibits were admitted into the record without objection.  </w:t>
      </w:r>
      <w:r w:rsidR="00EC1F9E">
        <w:rPr>
          <w:sz w:val="26"/>
          <w:szCs w:val="26"/>
        </w:rPr>
        <w:t>PECO was represented by counsel and presented two w</w:t>
      </w:r>
      <w:r w:rsidRPr="00EC1F9E">
        <w:rPr>
          <w:sz w:val="26"/>
          <w:szCs w:val="26"/>
        </w:rPr>
        <w:t>itnesses</w:t>
      </w:r>
      <w:r w:rsidR="00EC1F9E">
        <w:rPr>
          <w:sz w:val="26"/>
          <w:szCs w:val="26"/>
        </w:rPr>
        <w:t xml:space="preserve"> who sponsored the following nine exhibits:</w:t>
      </w:r>
    </w:p>
    <w:p w:rsidR="00EC1F9E" w:rsidRDefault="00EC1F9E" w:rsidP="009546F8">
      <w:pPr>
        <w:widowControl/>
        <w:tabs>
          <w:tab w:val="left" w:pos="-720"/>
        </w:tabs>
        <w:suppressAutoHyphens/>
        <w:spacing w:line="360" w:lineRule="auto"/>
        <w:rPr>
          <w:sz w:val="26"/>
          <w:szCs w:val="26"/>
        </w:rPr>
      </w:pPr>
    </w:p>
    <w:p w:rsidR="00AB2EE8" w:rsidRDefault="00AB2EE8" w:rsidP="003431A6">
      <w:pPr>
        <w:widowControl/>
        <w:numPr>
          <w:ilvl w:val="0"/>
          <w:numId w:val="1"/>
        </w:numPr>
        <w:tabs>
          <w:tab w:val="left" w:pos="-720"/>
        </w:tabs>
        <w:suppressAutoHyphens/>
        <w:autoSpaceDE w:val="0"/>
        <w:autoSpaceDN w:val="0"/>
        <w:ind w:left="1440" w:right="1440" w:firstLine="0"/>
        <w:rPr>
          <w:sz w:val="26"/>
          <w:szCs w:val="26"/>
        </w:rPr>
      </w:pPr>
      <w:r w:rsidRPr="001006D8">
        <w:rPr>
          <w:sz w:val="26"/>
          <w:szCs w:val="26"/>
        </w:rPr>
        <w:t>PECO Exhibit 1, Account Statement for tenant at service address from June 2010 through May 2011;</w:t>
      </w:r>
    </w:p>
    <w:p w:rsidR="008935AE" w:rsidRPr="001006D8" w:rsidRDefault="008935AE" w:rsidP="003431A6">
      <w:pPr>
        <w:widowControl/>
        <w:tabs>
          <w:tab w:val="left" w:pos="-720"/>
        </w:tabs>
        <w:suppressAutoHyphens/>
        <w:autoSpaceDE w:val="0"/>
        <w:autoSpaceDN w:val="0"/>
        <w:ind w:left="1440" w:right="1440"/>
        <w:rPr>
          <w:sz w:val="26"/>
          <w:szCs w:val="26"/>
        </w:rPr>
      </w:pPr>
    </w:p>
    <w:p w:rsidR="00AB2EE8" w:rsidRDefault="00AB2EE8" w:rsidP="003431A6">
      <w:pPr>
        <w:widowControl/>
        <w:numPr>
          <w:ilvl w:val="0"/>
          <w:numId w:val="1"/>
        </w:numPr>
        <w:tabs>
          <w:tab w:val="left" w:pos="-720"/>
        </w:tabs>
        <w:suppressAutoHyphens/>
        <w:autoSpaceDE w:val="0"/>
        <w:autoSpaceDN w:val="0"/>
        <w:ind w:left="1440" w:right="1440" w:firstLine="0"/>
        <w:rPr>
          <w:sz w:val="26"/>
          <w:szCs w:val="26"/>
        </w:rPr>
      </w:pPr>
      <w:r w:rsidRPr="001006D8">
        <w:rPr>
          <w:sz w:val="26"/>
          <w:szCs w:val="26"/>
        </w:rPr>
        <w:t>PECO Exhibit 2, Residential High Bill Investigation report dated April 2011;</w:t>
      </w:r>
    </w:p>
    <w:p w:rsidR="008935AE" w:rsidRPr="001006D8" w:rsidRDefault="008935AE" w:rsidP="003431A6">
      <w:pPr>
        <w:widowControl/>
        <w:tabs>
          <w:tab w:val="left" w:pos="-720"/>
        </w:tabs>
        <w:suppressAutoHyphens/>
        <w:autoSpaceDE w:val="0"/>
        <w:autoSpaceDN w:val="0"/>
        <w:ind w:left="1440" w:right="1440"/>
        <w:rPr>
          <w:sz w:val="26"/>
          <w:szCs w:val="26"/>
        </w:rPr>
      </w:pPr>
    </w:p>
    <w:p w:rsidR="00AB2EE8" w:rsidRDefault="00AB2EE8" w:rsidP="003431A6">
      <w:pPr>
        <w:widowControl/>
        <w:numPr>
          <w:ilvl w:val="0"/>
          <w:numId w:val="1"/>
        </w:numPr>
        <w:tabs>
          <w:tab w:val="left" w:pos="-720"/>
        </w:tabs>
        <w:suppressAutoHyphens/>
        <w:autoSpaceDE w:val="0"/>
        <w:autoSpaceDN w:val="0"/>
        <w:ind w:left="1440" w:right="1440" w:firstLine="0"/>
        <w:rPr>
          <w:sz w:val="26"/>
          <w:szCs w:val="26"/>
        </w:rPr>
      </w:pPr>
      <w:r w:rsidRPr="001006D8">
        <w:rPr>
          <w:sz w:val="26"/>
          <w:szCs w:val="26"/>
        </w:rPr>
        <w:t>PECO Exhibit 3, Account Statement for May to June 2011 for landlord at service address;</w:t>
      </w:r>
    </w:p>
    <w:p w:rsidR="008935AE" w:rsidRPr="001006D8" w:rsidRDefault="008935AE" w:rsidP="003431A6">
      <w:pPr>
        <w:widowControl/>
        <w:tabs>
          <w:tab w:val="left" w:pos="-720"/>
        </w:tabs>
        <w:suppressAutoHyphens/>
        <w:autoSpaceDE w:val="0"/>
        <w:autoSpaceDN w:val="0"/>
        <w:ind w:left="1440" w:right="1440"/>
        <w:rPr>
          <w:sz w:val="26"/>
          <w:szCs w:val="26"/>
        </w:rPr>
      </w:pPr>
    </w:p>
    <w:p w:rsidR="00AB2EE8" w:rsidRDefault="00AB2EE8" w:rsidP="003431A6">
      <w:pPr>
        <w:widowControl/>
        <w:numPr>
          <w:ilvl w:val="0"/>
          <w:numId w:val="1"/>
        </w:numPr>
        <w:tabs>
          <w:tab w:val="left" w:pos="-720"/>
        </w:tabs>
        <w:suppressAutoHyphens/>
        <w:autoSpaceDE w:val="0"/>
        <w:autoSpaceDN w:val="0"/>
        <w:ind w:left="1440" w:right="1440" w:firstLine="0"/>
        <w:rPr>
          <w:sz w:val="26"/>
          <w:szCs w:val="26"/>
        </w:rPr>
      </w:pPr>
      <w:r w:rsidRPr="001006D8">
        <w:rPr>
          <w:sz w:val="26"/>
          <w:szCs w:val="26"/>
        </w:rPr>
        <w:t>PECO Exhibit 4, Residential High Bill Investigation report dated May 2011;</w:t>
      </w:r>
    </w:p>
    <w:p w:rsidR="008935AE" w:rsidRPr="001006D8" w:rsidRDefault="008935AE" w:rsidP="003431A6">
      <w:pPr>
        <w:widowControl/>
        <w:tabs>
          <w:tab w:val="left" w:pos="-720"/>
        </w:tabs>
        <w:suppressAutoHyphens/>
        <w:autoSpaceDE w:val="0"/>
        <w:autoSpaceDN w:val="0"/>
        <w:ind w:left="1440" w:right="1440"/>
        <w:rPr>
          <w:sz w:val="26"/>
          <w:szCs w:val="26"/>
        </w:rPr>
      </w:pPr>
    </w:p>
    <w:p w:rsidR="00AB2EE8" w:rsidRDefault="00AB2EE8" w:rsidP="003431A6">
      <w:pPr>
        <w:widowControl/>
        <w:numPr>
          <w:ilvl w:val="0"/>
          <w:numId w:val="1"/>
        </w:numPr>
        <w:tabs>
          <w:tab w:val="left" w:pos="-720"/>
        </w:tabs>
        <w:suppressAutoHyphens/>
        <w:autoSpaceDE w:val="0"/>
        <w:autoSpaceDN w:val="0"/>
        <w:ind w:left="1440" w:right="1440" w:firstLine="0"/>
        <w:rPr>
          <w:sz w:val="26"/>
          <w:szCs w:val="26"/>
        </w:rPr>
      </w:pPr>
      <w:r w:rsidRPr="001006D8">
        <w:rPr>
          <w:sz w:val="26"/>
          <w:szCs w:val="26"/>
        </w:rPr>
        <w:t>PECO Exhibit 5, Account Statement of tenant at service address from June 2011 through February 2012;</w:t>
      </w:r>
    </w:p>
    <w:p w:rsidR="008935AE" w:rsidRPr="001006D8" w:rsidRDefault="008935AE" w:rsidP="003431A6">
      <w:pPr>
        <w:widowControl/>
        <w:tabs>
          <w:tab w:val="left" w:pos="-720"/>
        </w:tabs>
        <w:suppressAutoHyphens/>
        <w:autoSpaceDE w:val="0"/>
        <w:autoSpaceDN w:val="0"/>
        <w:ind w:left="1440" w:right="1440"/>
        <w:rPr>
          <w:sz w:val="26"/>
          <w:szCs w:val="26"/>
        </w:rPr>
      </w:pPr>
    </w:p>
    <w:p w:rsidR="00AB2EE8" w:rsidRDefault="00AB2EE8" w:rsidP="003431A6">
      <w:pPr>
        <w:widowControl/>
        <w:numPr>
          <w:ilvl w:val="0"/>
          <w:numId w:val="1"/>
        </w:numPr>
        <w:tabs>
          <w:tab w:val="left" w:pos="-720"/>
        </w:tabs>
        <w:suppressAutoHyphens/>
        <w:autoSpaceDE w:val="0"/>
        <w:autoSpaceDN w:val="0"/>
        <w:ind w:left="1440" w:right="1440" w:firstLine="0"/>
        <w:rPr>
          <w:sz w:val="26"/>
          <w:szCs w:val="26"/>
        </w:rPr>
      </w:pPr>
      <w:r w:rsidRPr="001006D8">
        <w:rPr>
          <w:sz w:val="26"/>
          <w:szCs w:val="26"/>
        </w:rPr>
        <w:t>PECO Exhibit 6, Residential High Bill Investigation report dated February 2012;</w:t>
      </w:r>
    </w:p>
    <w:p w:rsidR="008935AE" w:rsidRPr="001006D8" w:rsidRDefault="008935AE" w:rsidP="003431A6">
      <w:pPr>
        <w:widowControl/>
        <w:tabs>
          <w:tab w:val="left" w:pos="-720"/>
        </w:tabs>
        <w:suppressAutoHyphens/>
        <w:autoSpaceDE w:val="0"/>
        <w:autoSpaceDN w:val="0"/>
        <w:ind w:left="1440" w:right="1440"/>
        <w:rPr>
          <w:sz w:val="26"/>
          <w:szCs w:val="26"/>
        </w:rPr>
      </w:pPr>
    </w:p>
    <w:p w:rsidR="00AB2EE8" w:rsidRDefault="00AB2EE8" w:rsidP="003431A6">
      <w:pPr>
        <w:widowControl/>
        <w:numPr>
          <w:ilvl w:val="0"/>
          <w:numId w:val="1"/>
        </w:numPr>
        <w:tabs>
          <w:tab w:val="left" w:pos="-720"/>
        </w:tabs>
        <w:suppressAutoHyphens/>
        <w:autoSpaceDE w:val="0"/>
        <w:autoSpaceDN w:val="0"/>
        <w:ind w:left="1440" w:right="1440" w:firstLine="0"/>
        <w:rPr>
          <w:sz w:val="26"/>
          <w:szCs w:val="26"/>
        </w:rPr>
      </w:pPr>
      <w:r w:rsidRPr="001006D8">
        <w:rPr>
          <w:sz w:val="26"/>
          <w:szCs w:val="26"/>
        </w:rPr>
        <w:lastRenderedPageBreak/>
        <w:t>PECO Exhibit 9, Residential High Bill Investigation report dated March 2012;</w:t>
      </w:r>
    </w:p>
    <w:p w:rsidR="008935AE" w:rsidRPr="001006D8" w:rsidRDefault="008935AE" w:rsidP="003431A6">
      <w:pPr>
        <w:widowControl/>
        <w:tabs>
          <w:tab w:val="left" w:pos="-720"/>
        </w:tabs>
        <w:suppressAutoHyphens/>
        <w:autoSpaceDE w:val="0"/>
        <w:autoSpaceDN w:val="0"/>
        <w:ind w:left="1440" w:right="1440"/>
        <w:rPr>
          <w:sz w:val="26"/>
          <w:szCs w:val="26"/>
        </w:rPr>
      </w:pPr>
    </w:p>
    <w:p w:rsidR="00AB2EE8" w:rsidRDefault="00AB2EE8" w:rsidP="003431A6">
      <w:pPr>
        <w:widowControl/>
        <w:numPr>
          <w:ilvl w:val="0"/>
          <w:numId w:val="1"/>
        </w:numPr>
        <w:tabs>
          <w:tab w:val="left" w:pos="-720"/>
        </w:tabs>
        <w:suppressAutoHyphens/>
        <w:autoSpaceDE w:val="0"/>
        <w:autoSpaceDN w:val="0"/>
        <w:ind w:left="1440" w:right="1440" w:firstLine="0"/>
        <w:rPr>
          <w:sz w:val="26"/>
          <w:szCs w:val="26"/>
        </w:rPr>
      </w:pPr>
      <w:r w:rsidRPr="001006D8">
        <w:rPr>
          <w:sz w:val="26"/>
          <w:szCs w:val="26"/>
        </w:rPr>
        <w:t>PECO Exhibit 10, Account Statement of landlord at service address from February 2012 to July 2012; and</w:t>
      </w:r>
    </w:p>
    <w:p w:rsidR="008935AE" w:rsidRPr="001006D8" w:rsidRDefault="008935AE" w:rsidP="009546F8">
      <w:pPr>
        <w:widowControl/>
        <w:tabs>
          <w:tab w:val="left" w:pos="-720"/>
        </w:tabs>
        <w:suppressAutoHyphens/>
        <w:autoSpaceDE w:val="0"/>
        <w:autoSpaceDN w:val="0"/>
        <w:rPr>
          <w:sz w:val="26"/>
          <w:szCs w:val="26"/>
        </w:rPr>
      </w:pPr>
    </w:p>
    <w:p w:rsidR="009546F8" w:rsidRPr="009546F8" w:rsidRDefault="00AB2EE8" w:rsidP="003431A6">
      <w:pPr>
        <w:widowControl/>
        <w:numPr>
          <w:ilvl w:val="0"/>
          <w:numId w:val="1"/>
        </w:numPr>
        <w:tabs>
          <w:tab w:val="left" w:pos="-720"/>
        </w:tabs>
        <w:suppressAutoHyphens/>
        <w:autoSpaceDE w:val="0"/>
        <w:autoSpaceDN w:val="0"/>
        <w:ind w:left="1440" w:right="1440" w:firstLine="0"/>
        <w:rPr>
          <w:sz w:val="24"/>
          <w:szCs w:val="24"/>
        </w:rPr>
      </w:pPr>
      <w:r w:rsidRPr="008935AE">
        <w:rPr>
          <w:sz w:val="26"/>
          <w:szCs w:val="26"/>
        </w:rPr>
        <w:t>PECO Exhibit 11, Supplement No. 8 to Tariff Electric Pa.P.U.C. No. 4 Section 10.5.</w:t>
      </w:r>
    </w:p>
    <w:p w:rsidR="00AB2EE8" w:rsidRPr="008935AE" w:rsidRDefault="00AB2EE8" w:rsidP="009546F8">
      <w:pPr>
        <w:widowControl/>
        <w:tabs>
          <w:tab w:val="left" w:pos="-720"/>
        </w:tabs>
        <w:suppressAutoHyphens/>
        <w:autoSpaceDE w:val="0"/>
        <w:autoSpaceDN w:val="0"/>
        <w:spacing w:line="360" w:lineRule="auto"/>
        <w:rPr>
          <w:sz w:val="24"/>
          <w:szCs w:val="24"/>
        </w:rPr>
      </w:pPr>
    </w:p>
    <w:p w:rsidR="00AB2EE8" w:rsidRDefault="001006D8" w:rsidP="009546F8">
      <w:pPr>
        <w:widowControl/>
        <w:tabs>
          <w:tab w:val="left" w:pos="-720"/>
        </w:tabs>
        <w:suppressAutoHyphens/>
        <w:spacing w:line="360" w:lineRule="auto"/>
        <w:rPr>
          <w:sz w:val="26"/>
          <w:szCs w:val="26"/>
        </w:rPr>
      </w:pPr>
      <w:r>
        <w:rPr>
          <w:sz w:val="24"/>
          <w:szCs w:val="24"/>
        </w:rPr>
        <w:tab/>
      </w:r>
      <w:r>
        <w:rPr>
          <w:sz w:val="24"/>
          <w:szCs w:val="24"/>
        </w:rPr>
        <w:tab/>
      </w:r>
      <w:r w:rsidR="00AB2EE8" w:rsidRPr="001006D8">
        <w:rPr>
          <w:sz w:val="26"/>
          <w:szCs w:val="26"/>
        </w:rPr>
        <w:t xml:space="preserve">PECO Exhibits 1, 2, 3, 4, 6, 9, and 11 were admitted with no objection.  </w:t>
      </w:r>
      <w:r w:rsidR="00AD354E">
        <w:rPr>
          <w:sz w:val="26"/>
          <w:szCs w:val="26"/>
        </w:rPr>
        <w:t>At the hearing, PECO</w:t>
      </w:r>
      <w:r w:rsidR="009546F8">
        <w:rPr>
          <w:sz w:val="26"/>
          <w:szCs w:val="26"/>
        </w:rPr>
        <w:t>’s</w:t>
      </w:r>
      <w:r w:rsidR="00AD354E">
        <w:rPr>
          <w:sz w:val="26"/>
          <w:szCs w:val="26"/>
        </w:rPr>
        <w:t xml:space="preserve"> witness </w:t>
      </w:r>
      <w:r w:rsidR="00AB2EE8" w:rsidRPr="001006D8">
        <w:rPr>
          <w:sz w:val="26"/>
          <w:szCs w:val="26"/>
        </w:rPr>
        <w:t>acknowledge</w:t>
      </w:r>
      <w:r w:rsidR="00AD354E">
        <w:rPr>
          <w:sz w:val="26"/>
          <w:szCs w:val="26"/>
        </w:rPr>
        <w:t>d</w:t>
      </w:r>
      <w:r w:rsidR="00AB2EE8" w:rsidRPr="001006D8">
        <w:rPr>
          <w:sz w:val="26"/>
          <w:szCs w:val="26"/>
        </w:rPr>
        <w:t xml:space="preserve"> that the ra</w:t>
      </w:r>
      <w:r w:rsidR="00215B6C">
        <w:rPr>
          <w:sz w:val="26"/>
          <w:szCs w:val="26"/>
        </w:rPr>
        <w:t>te used for billing</w:t>
      </w:r>
      <w:r w:rsidR="00AB2EE8" w:rsidRPr="001006D8">
        <w:rPr>
          <w:sz w:val="26"/>
          <w:szCs w:val="26"/>
        </w:rPr>
        <w:t xml:space="preserve"> the tenant</w:t>
      </w:r>
      <w:r w:rsidR="00215B6C">
        <w:rPr>
          <w:sz w:val="26"/>
          <w:szCs w:val="26"/>
        </w:rPr>
        <w:t>’s</w:t>
      </w:r>
      <w:r w:rsidR="00AB2EE8" w:rsidRPr="001006D8">
        <w:rPr>
          <w:sz w:val="26"/>
          <w:szCs w:val="26"/>
        </w:rPr>
        <w:t xml:space="preserve"> account in PECO Exhibit 5 and the landlord</w:t>
      </w:r>
      <w:r w:rsidR="00215B6C">
        <w:rPr>
          <w:sz w:val="26"/>
          <w:szCs w:val="26"/>
        </w:rPr>
        <w:t>’s</w:t>
      </w:r>
      <w:r w:rsidR="00AB2EE8" w:rsidRPr="001006D8">
        <w:rPr>
          <w:sz w:val="26"/>
          <w:szCs w:val="26"/>
        </w:rPr>
        <w:t xml:space="preserve"> account in PECO Exhibit 10 was incorrect.  </w:t>
      </w:r>
      <w:r w:rsidR="00190848">
        <w:rPr>
          <w:sz w:val="26"/>
          <w:szCs w:val="26"/>
        </w:rPr>
        <w:t>By Order issued August 10, 2012, t</w:t>
      </w:r>
      <w:r w:rsidR="00215B6C">
        <w:rPr>
          <w:sz w:val="26"/>
          <w:szCs w:val="26"/>
        </w:rPr>
        <w:t>he ALJ directed that these E</w:t>
      </w:r>
      <w:r w:rsidR="00AB2EE8" w:rsidRPr="001006D8">
        <w:rPr>
          <w:sz w:val="26"/>
          <w:szCs w:val="26"/>
        </w:rPr>
        <w:t xml:space="preserve">xhibits be amended </w:t>
      </w:r>
      <w:r w:rsidR="00190848">
        <w:rPr>
          <w:sz w:val="26"/>
          <w:szCs w:val="26"/>
        </w:rPr>
        <w:t xml:space="preserve">by PECO </w:t>
      </w:r>
      <w:r w:rsidR="00AB2EE8" w:rsidRPr="001006D8">
        <w:rPr>
          <w:sz w:val="26"/>
          <w:szCs w:val="26"/>
        </w:rPr>
        <w:t>to show the proper rate and adjust</w:t>
      </w:r>
      <w:r w:rsidR="00215B6C">
        <w:rPr>
          <w:sz w:val="26"/>
          <w:szCs w:val="26"/>
        </w:rPr>
        <w:t>ments</w:t>
      </w:r>
      <w:r w:rsidR="00AB2EE8" w:rsidRPr="001006D8">
        <w:rPr>
          <w:sz w:val="26"/>
          <w:szCs w:val="26"/>
        </w:rPr>
        <w:t xml:space="preserve"> </w:t>
      </w:r>
      <w:r w:rsidR="00215B6C">
        <w:rPr>
          <w:sz w:val="26"/>
          <w:szCs w:val="26"/>
        </w:rPr>
        <w:t xml:space="preserve">to </w:t>
      </w:r>
      <w:r w:rsidR="00AB2EE8" w:rsidRPr="001006D8">
        <w:rPr>
          <w:sz w:val="26"/>
          <w:szCs w:val="26"/>
        </w:rPr>
        <w:t>the billing and b</w:t>
      </w:r>
      <w:r>
        <w:rPr>
          <w:sz w:val="26"/>
          <w:szCs w:val="26"/>
        </w:rPr>
        <w:t>alances.</w:t>
      </w:r>
      <w:r w:rsidR="00A51EE6">
        <w:rPr>
          <w:sz w:val="26"/>
          <w:szCs w:val="26"/>
        </w:rPr>
        <w:t xml:space="preserve">  I.D. at 4.</w:t>
      </w:r>
    </w:p>
    <w:p w:rsidR="00190848" w:rsidRDefault="00190848" w:rsidP="009546F8">
      <w:pPr>
        <w:widowControl/>
        <w:tabs>
          <w:tab w:val="left" w:pos="-720"/>
        </w:tabs>
        <w:suppressAutoHyphens/>
        <w:spacing w:line="360" w:lineRule="auto"/>
        <w:rPr>
          <w:sz w:val="26"/>
          <w:szCs w:val="26"/>
        </w:rPr>
      </w:pPr>
    </w:p>
    <w:p w:rsidR="00190848" w:rsidRDefault="00190848" w:rsidP="009546F8">
      <w:pPr>
        <w:widowControl/>
        <w:tabs>
          <w:tab w:val="left" w:pos="-720"/>
        </w:tabs>
        <w:suppressAutoHyphens/>
        <w:spacing w:line="360" w:lineRule="auto"/>
        <w:rPr>
          <w:sz w:val="26"/>
          <w:szCs w:val="26"/>
        </w:rPr>
      </w:pPr>
      <w:r>
        <w:rPr>
          <w:sz w:val="26"/>
          <w:szCs w:val="26"/>
        </w:rPr>
        <w:tab/>
      </w:r>
      <w:r>
        <w:rPr>
          <w:sz w:val="26"/>
          <w:szCs w:val="26"/>
        </w:rPr>
        <w:tab/>
        <w:t>In compliance with the ALJ’s Order</w:t>
      </w:r>
      <w:r w:rsidRPr="00190848">
        <w:rPr>
          <w:sz w:val="26"/>
          <w:szCs w:val="26"/>
        </w:rPr>
        <w:t xml:space="preserve">, </w:t>
      </w:r>
      <w:r>
        <w:rPr>
          <w:sz w:val="26"/>
          <w:szCs w:val="26"/>
        </w:rPr>
        <w:t xml:space="preserve">on August 20, 2012, </w:t>
      </w:r>
      <w:r w:rsidRPr="00190848">
        <w:rPr>
          <w:sz w:val="26"/>
          <w:szCs w:val="26"/>
        </w:rPr>
        <w:t>PECO m</w:t>
      </w:r>
      <w:r w:rsidR="002D6C48">
        <w:rPr>
          <w:sz w:val="26"/>
          <w:szCs w:val="26"/>
        </w:rPr>
        <w:t>oved for the admission of PECO a</w:t>
      </w:r>
      <w:r w:rsidRPr="00190848">
        <w:rPr>
          <w:sz w:val="26"/>
          <w:szCs w:val="26"/>
        </w:rPr>
        <w:t xml:space="preserve">mended </w:t>
      </w:r>
      <w:r>
        <w:rPr>
          <w:sz w:val="26"/>
          <w:szCs w:val="26"/>
        </w:rPr>
        <w:t>E</w:t>
      </w:r>
      <w:r w:rsidRPr="00190848">
        <w:rPr>
          <w:sz w:val="26"/>
          <w:szCs w:val="26"/>
        </w:rPr>
        <w:t>xhibits 5 and 10</w:t>
      </w:r>
      <w:r w:rsidR="00215B6C">
        <w:rPr>
          <w:sz w:val="26"/>
          <w:szCs w:val="26"/>
        </w:rPr>
        <w:t>,</w:t>
      </w:r>
      <w:r w:rsidRPr="00190848">
        <w:rPr>
          <w:sz w:val="26"/>
          <w:szCs w:val="26"/>
        </w:rPr>
        <w:t xml:space="preserve"> </w:t>
      </w:r>
      <w:r w:rsidR="00215B6C">
        <w:rPr>
          <w:sz w:val="26"/>
          <w:szCs w:val="26"/>
        </w:rPr>
        <w:t xml:space="preserve">which </w:t>
      </w:r>
      <w:r w:rsidRPr="00190848">
        <w:rPr>
          <w:sz w:val="26"/>
          <w:szCs w:val="26"/>
        </w:rPr>
        <w:t>adjust</w:t>
      </w:r>
      <w:r w:rsidR="00215B6C">
        <w:rPr>
          <w:sz w:val="26"/>
          <w:szCs w:val="26"/>
        </w:rPr>
        <w:t>ed</w:t>
      </w:r>
      <w:r w:rsidRPr="00190848">
        <w:rPr>
          <w:sz w:val="26"/>
          <w:szCs w:val="26"/>
        </w:rPr>
        <w:t xml:space="preserve"> the billed amounts and balances by the correct rate</w:t>
      </w:r>
      <w:r w:rsidR="00215B6C">
        <w:rPr>
          <w:sz w:val="26"/>
          <w:szCs w:val="26"/>
        </w:rPr>
        <w:t>,</w:t>
      </w:r>
      <w:r w:rsidRPr="00190848">
        <w:rPr>
          <w:sz w:val="26"/>
          <w:szCs w:val="26"/>
        </w:rPr>
        <w:t xml:space="preserve"> </w:t>
      </w:r>
      <w:r w:rsidR="00215B6C">
        <w:rPr>
          <w:sz w:val="26"/>
          <w:szCs w:val="26"/>
        </w:rPr>
        <w:t>and</w:t>
      </w:r>
      <w:r w:rsidRPr="00190848">
        <w:rPr>
          <w:sz w:val="26"/>
          <w:szCs w:val="26"/>
        </w:rPr>
        <w:t xml:space="preserve"> lowered the amounts from those presented</w:t>
      </w:r>
      <w:r w:rsidR="00215B6C">
        <w:rPr>
          <w:sz w:val="26"/>
          <w:szCs w:val="26"/>
        </w:rPr>
        <w:t xml:space="preserve"> by the original Exhibits</w:t>
      </w:r>
      <w:r w:rsidRPr="00190848">
        <w:rPr>
          <w:sz w:val="26"/>
          <w:szCs w:val="26"/>
        </w:rPr>
        <w:t xml:space="preserve"> previously.  By letter dated August 26, 2012, </w:t>
      </w:r>
      <w:r>
        <w:rPr>
          <w:sz w:val="26"/>
          <w:szCs w:val="26"/>
        </w:rPr>
        <w:t xml:space="preserve">the </w:t>
      </w:r>
      <w:r w:rsidRPr="00190848">
        <w:rPr>
          <w:sz w:val="26"/>
          <w:szCs w:val="26"/>
        </w:rPr>
        <w:t xml:space="preserve">Complainant stated that it was difficult </w:t>
      </w:r>
      <w:r w:rsidR="006D0218">
        <w:rPr>
          <w:sz w:val="26"/>
          <w:szCs w:val="26"/>
        </w:rPr>
        <w:t xml:space="preserve">for him </w:t>
      </w:r>
      <w:r w:rsidRPr="00190848">
        <w:rPr>
          <w:sz w:val="26"/>
          <w:szCs w:val="26"/>
        </w:rPr>
        <w:t>to follow exactly wha</w:t>
      </w:r>
      <w:r w:rsidR="00215B6C">
        <w:rPr>
          <w:sz w:val="26"/>
          <w:szCs w:val="26"/>
        </w:rPr>
        <w:t>t was done through the amended E</w:t>
      </w:r>
      <w:r w:rsidRPr="00190848">
        <w:rPr>
          <w:sz w:val="26"/>
          <w:szCs w:val="26"/>
        </w:rPr>
        <w:t>xhibits</w:t>
      </w:r>
      <w:r w:rsidR="00EA458A">
        <w:rPr>
          <w:sz w:val="26"/>
          <w:szCs w:val="26"/>
        </w:rPr>
        <w:t>,</w:t>
      </w:r>
      <w:r>
        <w:rPr>
          <w:sz w:val="26"/>
          <w:szCs w:val="26"/>
        </w:rPr>
        <w:t xml:space="preserve"> but </w:t>
      </w:r>
      <w:r w:rsidRPr="00190848">
        <w:rPr>
          <w:sz w:val="26"/>
          <w:szCs w:val="26"/>
        </w:rPr>
        <w:t>suggested that because PECO had negligently overbilled the tenant at the service address the collection</w:t>
      </w:r>
      <w:r>
        <w:rPr>
          <w:sz w:val="26"/>
          <w:szCs w:val="26"/>
        </w:rPr>
        <w:t xml:space="preserve"> of any money </w:t>
      </w:r>
      <w:r w:rsidR="006D0218">
        <w:rPr>
          <w:sz w:val="26"/>
          <w:szCs w:val="26"/>
        </w:rPr>
        <w:t xml:space="preserve">by PECO </w:t>
      </w:r>
      <w:r>
        <w:rPr>
          <w:sz w:val="26"/>
          <w:szCs w:val="26"/>
        </w:rPr>
        <w:t xml:space="preserve">should be denied.  The ALJ admitted the </w:t>
      </w:r>
      <w:r w:rsidR="002D6C48">
        <w:rPr>
          <w:sz w:val="26"/>
          <w:szCs w:val="26"/>
        </w:rPr>
        <w:t>a</w:t>
      </w:r>
      <w:r w:rsidRPr="00190848">
        <w:rPr>
          <w:sz w:val="26"/>
          <w:szCs w:val="26"/>
        </w:rPr>
        <w:t xml:space="preserve">mended PECO Exhibits 5 and 10 </w:t>
      </w:r>
      <w:r>
        <w:rPr>
          <w:sz w:val="26"/>
          <w:szCs w:val="26"/>
        </w:rPr>
        <w:t>i</w:t>
      </w:r>
      <w:r w:rsidRPr="00190848">
        <w:rPr>
          <w:sz w:val="26"/>
          <w:szCs w:val="26"/>
        </w:rPr>
        <w:t>nto the record and the record was c</w:t>
      </w:r>
      <w:r w:rsidR="009546F8">
        <w:rPr>
          <w:sz w:val="26"/>
          <w:szCs w:val="26"/>
        </w:rPr>
        <w:t>losed on September 11, 2012.</w:t>
      </w:r>
    </w:p>
    <w:p w:rsidR="000F48DF" w:rsidRDefault="000F48DF" w:rsidP="009546F8">
      <w:pPr>
        <w:widowControl/>
        <w:tabs>
          <w:tab w:val="left" w:pos="-720"/>
        </w:tabs>
        <w:suppressAutoHyphens/>
        <w:spacing w:line="360" w:lineRule="auto"/>
        <w:rPr>
          <w:sz w:val="26"/>
          <w:szCs w:val="26"/>
        </w:rPr>
      </w:pPr>
    </w:p>
    <w:p w:rsidR="009968B6" w:rsidRDefault="000F48DF" w:rsidP="009546F8">
      <w:pPr>
        <w:widowControl/>
        <w:spacing w:line="360" w:lineRule="auto"/>
        <w:rPr>
          <w:sz w:val="26"/>
          <w:szCs w:val="24"/>
        </w:rPr>
      </w:pPr>
      <w:r>
        <w:rPr>
          <w:sz w:val="26"/>
          <w:szCs w:val="26"/>
        </w:rPr>
        <w:tab/>
      </w:r>
      <w:r>
        <w:rPr>
          <w:sz w:val="26"/>
          <w:szCs w:val="26"/>
        </w:rPr>
        <w:tab/>
      </w:r>
      <w:r w:rsidR="003F637C">
        <w:rPr>
          <w:sz w:val="26"/>
          <w:szCs w:val="24"/>
        </w:rPr>
        <w:t>In her</w:t>
      </w:r>
      <w:r>
        <w:rPr>
          <w:sz w:val="26"/>
          <w:szCs w:val="24"/>
        </w:rPr>
        <w:t xml:space="preserve"> Initial Decision, issued on November 20, 2012, ALJ Jones found that the Complainant </w:t>
      </w:r>
      <w:r w:rsidR="003F637C">
        <w:rPr>
          <w:sz w:val="26"/>
          <w:szCs w:val="24"/>
        </w:rPr>
        <w:t>had</w:t>
      </w:r>
      <w:r>
        <w:rPr>
          <w:sz w:val="26"/>
          <w:szCs w:val="24"/>
        </w:rPr>
        <w:t xml:space="preserve"> sustained his burden of proof, in part, regarding incorrect billed charges</w:t>
      </w:r>
      <w:r w:rsidR="003F637C">
        <w:rPr>
          <w:sz w:val="26"/>
          <w:szCs w:val="24"/>
        </w:rPr>
        <w:t xml:space="preserve">, and </w:t>
      </w:r>
      <w:r>
        <w:rPr>
          <w:sz w:val="26"/>
          <w:szCs w:val="24"/>
        </w:rPr>
        <w:t xml:space="preserve">failed to meet his burden of proof </w:t>
      </w:r>
      <w:r w:rsidR="003F637C">
        <w:rPr>
          <w:sz w:val="26"/>
          <w:szCs w:val="24"/>
        </w:rPr>
        <w:t xml:space="preserve">in all other respects.  The ALJ </w:t>
      </w:r>
      <w:r w:rsidR="002D6C48">
        <w:rPr>
          <w:sz w:val="26"/>
          <w:szCs w:val="24"/>
        </w:rPr>
        <w:t xml:space="preserve">further </w:t>
      </w:r>
      <w:r w:rsidR="003F637C">
        <w:rPr>
          <w:sz w:val="26"/>
          <w:szCs w:val="24"/>
        </w:rPr>
        <w:t xml:space="preserve">concluded that PECO be assessed a civil penalty </w:t>
      </w:r>
      <w:r w:rsidR="00215B6C">
        <w:rPr>
          <w:sz w:val="26"/>
          <w:szCs w:val="24"/>
        </w:rPr>
        <w:t xml:space="preserve">in the amount of $3,680 for a </w:t>
      </w:r>
      <w:r w:rsidR="003F637C">
        <w:rPr>
          <w:sz w:val="26"/>
          <w:szCs w:val="24"/>
        </w:rPr>
        <w:t xml:space="preserve">violation of Section 1501 of the Public Utility </w:t>
      </w:r>
      <w:r w:rsidR="005C3804">
        <w:rPr>
          <w:sz w:val="26"/>
          <w:szCs w:val="24"/>
        </w:rPr>
        <w:t>(“</w:t>
      </w:r>
      <w:r w:rsidR="003F637C">
        <w:rPr>
          <w:sz w:val="26"/>
          <w:szCs w:val="24"/>
        </w:rPr>
        <w:t>Code</w:t>
      </w:r>
      <w:r w:rsidR="005C3804">
        <w:rPr>
          <w:sz w:val="26"/>
          <w:szCs w:val="24"/>
        </w:rPr>
        <w:t>”)</w:t>
      </w:r>
      <w:r w:rsidR="003F637C">
        <w:rPr>
          <w:sz w:val="26"/>
          <w:szCs w:val="24"/>
        </w:rPr>
        <w:t xml:space="preserve">.  Therefore, the ALJ sustained, in part, and </w:t>
      </w:r>
      <w:r>
        <w:rPr>
          <w:sz w:val="26"/>
          <w:szCs w:val="24"/>
        </w:rPr>
        <w:lastRenderedPageBreak/>
        <w:t>denied</w:t>
      </w:r>
      <w:r w:rsidR="003F637C">
        <w:rPr>
          <w:sz w:val="26"/>
          <w:szCs w:val="24"/>
        </w:rPr>
        <w:t>, in part,</w:t>
      </w:r>
      <w:r>
        <w:rPr>
          <w:sz w:val="26"/>
          <w:szCs w:val="24"/>
        </w:rPr>
        <w:t xml:space="preserve"> the Complaint.  As previously indicated, the Complainant</w:t>
      </w:r>
      <w:r w:rsidR="003F637C">
        <w:rPr>
          <w:sz w:val="26"/>
          <w:szCs w:val="24"/>
        </w:rPr>
        <w:t xml:space="preserve"> filed Exceptions on December 18, 2012</w:t>
      </w:r>
      <w:r>
        <w:rPr>
          <w:sz w:val="26"/>
          <w:szCs w:val="24"/>
        </w:rPr>
        <w:t>.</w:t>
      </w:r>
      <w:r>
        <w:rPr>
          <w:rStyle w:val="FootnoteReference"/>
          <w:sz w:val="26"/>
          <w:szCs w:val="24"/>
        </w:rPr>
        <w:footnoteReference w:id="3"/>
      </w:r>
      <w:r w:rsidR="003F637C">
        <w:rPr>
          <w:sz w:val="26"/>
          <w:szCs w:val="24"/>
        </w:rPr>
        <w:t xml:space="preserve"> </w:t>
      </w:r>
      <w:r>
        <w:rPr>
          <w:sz w:val="26"/>
          <w:szCs w:val="24"/>
        </w:rPr>
        <w:t xml:space="preserve"> </w:t>
      </w:r>
      <w:r w:rsidR="003F637C">
        <w:rPr>
          <w:sz w:val="26"/>
          <w:szCs w:val="24"/>
        </w:rPr>
        <w:t xml:space="preserve">PECO did not </w:t>
      </w:r>
      <w:r>
        <w:rPr>
          <w:sz w:val="26"/>
          <w:szCs w:val="24"/>
        </w:rPr>
        <w:t xml:space="preserve">file Replies </w:t>
      </w:r>
      <w:r w:rsidR="003F637C">
        <w:rPr>
          <w:sz w:val="26"/>
          <w:szCs w:val="24"/>
        </w:rPr>
        <w:t>to Exceptions</w:t>
      </w:r>
      <w:r>
        <w:rPr>
          <w:sz w:val="26"/>
          <w:szCs w:val="24"/>
        </w:rPr>
        <w:t>.</w:t>
      </w:r>
    </w:p>
    <w:p w:rsidR="009546F8" w:rsidRDefault="009546F8" w:rsidP="009546F8">
      <w:pPr>
        <w:widowControl/>
        <w:spacing w:line="360" w:lineRule="auto"/>
        <w:rPr>
          <w:sz w:val="26"/>
          <w:szCs w:val="24"/>
        </w:rPr>
      </w:pPr>
    </w:p>
    <w:p w:rsidR="009968B6" w:rsidRPr="00CA43A5" w:rsidRDefault="009968B6" w:rsidP="009546F8">
      <w:pPr>
        <w:widowControl/>
        <w:spacing w:line="360" w:lineRule="auto"/>
        <w:jc w:val="center"/>
        <w:rPr>
          <w:sz w:val="26"/>
          <w:szCs w:val="26"/>
        </w:rPr>
      </w:pPr>
      <w:r w:rsidRPr="00CA43A5">
        <w:rPr>
          <w:b/>
          <w:sz w:val="26"/>
          <w:szCs w:val="26"/>
        </w:rPr>
        <w:t>Discussion</w:t>
      </w:r>
    </w:p>
    <w:p w:rsidR="009968B6" w:rsidRDefault="009968B6" w:rsidP="009546F8">
      <w:pPr>
        <w:widowControl/>
        <w:spacing w:line="360" w:lineRule="auto"/>
        <w:rPr>
          <w:sz w:val="26"/>
          <w:szCs w:val="26"/>
        </w:rPr>
      </w:pPr>
    </w:p>
    <w:p w:rsidR="009968B6" w:rsidRDefault="003431A6" w:rsidP="009546F8">
      <w:pPr>
        <w:widowControl/>
        <w:spacing w:line="360" w:lineRule="auto"/>
        <w:rPr>
          <w:sz w:val="26"/>
          <w:szCs w:val="26"/>
        </w:rPr>
      </w:pPr>
      <w:r>
        <w:rPr>
          <w:sz w:val="26"/>
          <w:szCs w:val="26"/>
        </w:rPr>
        <w:tab/>
      </w:r>
      <w:r>
        <w:rPr>
          <w:sz w:val="26"/>
          <w:szCs w:val="26"/>
        </w:rPr>
        <w:tab/>
      </w:r>
      <w:r w:rsidR="009968B6" w:rsidRPr="00CA43A5">
        <w:rPr>
          <w:sz w:val="26"/>
          <w:szCs w:val="26"/>
        </w:rPr>
        <w:t xml:space="preserve">As the proponent of a rule or order, the Complainant in this proceeding bears the burden of proof pursuant to Section 332(a) of the </w:t>
      </w:r>
      <w:r w:rsidR="009968B6">
        <w:rPr>
          <w:sz w:val="26"/>
          <w:szCs w:val="26"/>
        </w:rPr>
        <w:t xml:space="preserve">Public Utility </w:t>
      </w:r>
      <w:r w:rsidR="009968B6" w:rsidRPr="00CA43A5">
        <w:rPr>
          <w:sz w:val="26"/>
          <w:szCs w:val="26"/>
        </w:rPr>
        <w:t>Code</w:t>
      </w:r>
      <w:r w:rsidR="009968B6">
        <w:rPr>
          <w:sz w:val="26"/>
          <w:szCs w:val="26"/>
        </w:rPr>
        <w:t xml:space="preserve"> (Code),</w:t>
      </w:r>
      <w:r w:rsidR="009968B6" w:rsidRPr="00CA43A5">
        <w:rPr>
          <w:sz w:val="26"/>
          <w:szCs w:val="26"/>
        </w:rPr>
        <w:t xml:space="preserve">  66 Pa. C.S. § 332(a).  To establish a sufficient case and satisfy the burden of proof, the Complainant must show that the </w:t>
      </w:r>
      <w:r w:rsidR="009968B6">
        <w:rPr>
          <w:sz w:val="26"/>
          <w:szCs w:val="26"/>
        </w:rPr>
        <w:t>Respondent</w:t>
      </w:r>
      <w:r w:rsidR="009968B6" w:rsidRPr="00CA43A5">
        <w:rPr>
          <w:sz w:val="26"/>
          <w:szCs w:val="26"/>
        </w:rPr>
        <w:t xml:space="preserve"> is responsible or accountable for the problem described in the Complaint.  </w:t>
      </w:r>
      <w:r w:rsidR="009968B6" w:rsidRPr="00CA43A5">
        <w:rPr>
          <w:i/>
          <w:sz w:val="26"/>
          <w:szCs w:val="26"/>
        </w:rPr>
        <w:t xml:space="preserve">Patterson v. </w:t>
      </w:r>
      <w:r w:rsidR="009968B6">
        <w:rPr>
          <w:i/>
          <w:sz w:val="26"/>
          <w:szCs w:val="26"/>
        </w:rPr>
        <w:t xml:space="preserve">The </w:t>
      </w:r>
      <w:r w:rsidR="009968B6" w:rsidRPr="00CA43A5">
        <w:rPr>
          <w:i/>
          <w:sz w:val="26"/>
          <w:szCs w:val="26"/>
        </w:rPr>
        <w:t>Bell Telephone Company of Pennsylvania</w:t>
      </w:r>
      <w:r w:rsidR="009968B6" w:rsidRPr="00CA43A5">
        <w:rPr>
          <w:sz w:val="26"/>
          <w:szCs w:val="26"/>
        </w:rPr>
        <w:t xml:space="preserve">, 72 Pa. P.U.C. 196 (1990).  Such a showing must be by a preponderance of the evidence.  </w:t>
      </w:r>
      <w:r w:rsidR="009968B6" w:rsidRPr="00CA43A5">
        <w:rPr>
          <w:i/>
          <w:iCs/>
          <w:sz w:val="26"/>
          <w:szCs w:val="26"/>
        </w:rPr>
        <w:t>Samuel J. Lansberry, Inc. v. Pa. PUC</w:t>
      </w:r>
      <w:r w:rsidR="009968B6" w:rsidRPr="00CA43A5">
        <w:rPr>
          <w:sz w:val="26"/>
          <w:szCs w:val="26"/>
        </w:rPr>
        <w:t xml:space="preserve">, 578 A.2d 600 (Pa. Cmwlth. 1990), </w:t>
      </w:r>
      <w:r w:rsidR="009968B6" w:rsidRPr="00CA43A5">
        <w:rPr>
          <w:i/>
          <w:sz w:val="26"/>
          <w:szCs w:val="26"/>
        </w:rPr>
        <w:t>alloc. denied,</w:t>
      </w:r>
      <w:r w:rsidR="009968B6" w:rsidRPr="00CA43A5">
        <w:rPr>
          <w:sz w:val="26"/>
          <w:szCs w:val="26"/>
        </w:rPr>
        <w:t xml:space="preserve"> 529 Pa. 654, 602 A.2d 863 (1992).  That is, the Complainant’s evidence must be more convincing, by even the smallest amount, th</w:t>
      </w:r>
      <w:r w:rsidR="009968B6">
        <w:rPr>
          <w:sz w:val="26"/>
          <w:szCs w:val="26"/>
        </w:rPr>
        <w:t>an that presented by the Respondent</w:t>
      </w:r>
      <w:r w:rsidR="009968B6" w:rsidRPr="00CA43A5">
        <w:rPr>
          <w:sz w:val="26"/>
          <w:szCs w:val="26"/>
        </w:rPr>
        <w:t xml:space="preserve">.  </w:t>
      </w:r>
      <w:r w:rsidR="009968B6" w:rsidRPr="00CA43A5">
        <w:rPr>
          <w:i/>
          <w:sz w:val="26"/>
          <w:szCs w:val="26"/>
        </w:rPr>
        <w:t>Se-Ling Hosiery</w:t>
      </w:r>
      <w:r w:rsidR="009968B6">
        <w:rPr>
          <w:i/>
          <w:sz w:val="26"/>
          <w:szCs w:val="26"/>
        </w:rPr>
        <w:t>, Inc.</w:t>
      </w:r>
      <w:r w:rsidR="009968B6" w:rsidRPr="00CA43A5">
        <w:rPr>
          <w:i/>
          <w:sz w:val="26"/>
          <w:szCs w:val="26"/>
        </w:rPr>
        <w:t xml:space="preserve"> v. Margulies</w:t>
      </w:r>
      <w:r w:rsidR="009968B6" w:rsidRPr="00CA43A5">
        <w:rPr>
          <w:sz w:val="26"/>
          <w:szCs w:val="26"/>
        </w:rPr>
        <w:t xml:space="preserve">, 364 Pa. 45, 70 A.2d 854 (1950).  Additionally, this Commission’s decision must be supported by substantial evidence in the record.  More is required than a mere trace of evidence or a suspicion of the existence of a fact sought to be established.  </w:t>
      </w:r>
      <w:r w:rsidR="009968B6" w:rsidRPr="00CA43A5">
        <w:rPr>
          <w:i/>
          <w:sz w:val="26"/>
          <w:szCs w:val="26"/>
        </w:rPr>
        <w:t xml:space="preserve">Norfolk &amp; Western Ry. Co. v. Pa. PUC, </w:t>
      </w:r>
      <w:r w:rsidR="009968B6" w:rsidRPr="00CA43A5">
        <w:rPr>
          <w:sz w:val="26"/>
          <w:szCs w:val="26"/>
        </w:rPr>
        <w:t>489 Pa. 109, 413 A.2d 1037 (1980).</w:t>
      </w:r>
    </w:p>
    <w:p w:rsidR="009968B6" w:rsidRPr="00CA43A5" w:rsidRDefault="009968B6" w:rsidP="009546F8">
      <w:pPr>
        <w:widowControl/>
        <w:spacing w:line="360" w:lineRule="auto"/>
        <w:rPr>
          <w:sz w:val="26"/>
          <w:szCs w:val="26"/>
        </w:rPr>
      </w:pPr>
    </w:p>
    <w:p w:rsidR="009968B6" w:rsidRDefault="003431A6" w:rsidP="009546F8">
      <w:pPr>
        <w:widowControl/>
        <w:spacing w:line="360" w:lineRule="auto"/>
        <w:rPr>
          <w:i/>
          <w:sz w:val="26"/>
        </w:rPr>
      </w:pPr>
      <w:r>
        <w:rPr>
          <w:sz w:val="26"/>
        </w:rPr>
        <w:tab/>
      </w:r>
      <w:r>
        <w:rPr>
          <w:sz w:val="26"/>
        </w:rPr>
        <w:tab/>
      </w:r>
      <w:r w:rsidR="0032342A">
        <w:rPr>
          <w:sz w:val="26"/>
        </w:rPr>
        <w:t>Upon the presentation by the</w:t>
      </w:r>
      <w:r w:rsidR="009968B6" w:rsidRPr="00472547">
        <w:rPr>
          <w:sz w:val="26"/>
        </w:rPr>
        <w:t xml:space="preserve"> </w:t>
      </w:r>
      <w:r w:rsidR="00B26858">
        <w:rPr>
          <w:sz w:val="26"/>
        </w:rPr>
        <w:t>C</w:t>
      </w:r>
      <w:r w:rsidR="009968B6" w:rsidRPr="00472547">
        <w:rPr>
          <w:sz w:val="26"/>
        </w:rPr>
        <w:t>omplainant of evidence sufficient to initially satisfy the</w:t>
      </w:r>
      <w:r w:rsidR="009968B6">
        <w:rPr>
          <w:sz w:val="26"/>
        </w:rPr>
        <w:t xml:space="preserve"> burden of proof, the burden </w:t>
      </w:r>
      <w:r w:rsidR="009968B6" w:rsidRPr="00472547">
        <w:rPr>
          <w:sz w:val="26"/>
        </w:rPr>
        <w:t>of going forward with the evidence to re</w:t>
      </w:r>
      <w:r w:rsidR="0032342A">
        <w:rPr>
          <w:sz w:val="26"/>
        </w:rPr>
        <w:t>but the evidence of the Complainant</w:t>
      </w:r>
      <w:r w:rsidR="009968B6">
        <w:rPr>
          <w:sz w:val="26"/>
        </w:rPr>
        <w:t xml:space="preserve"> shifts</w:t>
      </w:r>
      <w:r w:rsidR="0032342A">
        <w:rPr>
          <w:sz w:val="26"/>
        </w:rPr>
        <w:t xml:space="preserve"> to the R</w:t>
      </w:r>
      <w:r w:rsidR="009968B6" w:rsidRPr="00472547">
        <w:rPr>
          <w:sz w:val="26"/>
        </w:rPr>
        <w:t xml:space="preserve">espondent. </w:t>
      </w:r>
      <w:r w:rsidR="009968B6">
        <w:rPr>
          <w:sz w:val="26"/>
        </w:rPr>
        <w:t xml:space="preserve"> </w:t>
      </w:r>
      <w:r w:rsidR="009968B6" w:rsidRPr="00472547">
        <w:rPr>
          <w:sz w:val="26"/>
        </w:rPr>
        <w:t>If</w:t>
      </w:r>
      <w:r w:rsidR="00B26858">
        <w:rPr>
          <w:sz w:val="26"/>
        </w:rPr>
        <w:t xml:space="preserve"> the evidence presented by the </w:t>
      </w:r>
      <w:r w:rsidR="00B26858">
        <w:rPr>
          <w:sz w:val="26"/>
        </w:rPr>
        <w:lastRenderedPageBreak/>
        <w:t>R</w:t>
      </w:r>
      <w:r w:rsidR="009968B6" w:rsidRPr="00472547">
        <w:rPr>
          <w:sz w:val="26"/>
        </w:rPr>
        <w:t>esp</w:t>
      </w:r>
      <w:r w:rsidR="009968B6">
        <w:rPr>
          <w:sz w:val="26"/>
        </w:rPr>
        <w:t>ondent is of co-equal value or “</w:t>
      </w:r>
      <w:r w:rsidR="009968B6" w:rsidRPr="00472547">
        <w:rPr>
          <w:sz w:val="26"/>
        </w:rPr>
        <w:t>weight,</w:t>
      </w:r>
      <w:r w:rsidR="009968B6">
        <w:rPr>
          <w:sz w:val="26"/>
        </w:rPr>
        <w:t>”</w:t>
      </w:r>
      <w:r w:rsidR="009968B6" w:rsidRPr="00472547">
        <w:rPr>
          <w:sz w:val="26"/>
        </w:rPr>
        <w:t xml:space="preserve"> the</w:t>
      </w:r>
      <w:r w:rsidR="009968B6">
        <w:rPr>
          <w:sz w:val="26"/>
        </w:rPr>
        <w:t xml:space="preserve"> burden of proof </w:t>
      </w:r>
      <w:r w:rsidR="009968B6" w:rsidRPr="00472547">
        <w:rPr>
          <w:sz w:val="26"/>
        </w:rPr>
        <w:t xml:space="preserve">has not been satisfied. </w:t>
      </w:r>
      <w:r w:rsidR="009968B6">
        <w:rPr>
          <w:sz w:val="26"/>
        </w:rPr>
        <w:t xml:space="preserve"> </w:t>
      </w:r>
      <w:r w:rsidR="00B26858">
        <w:rPr>
          <w:sz w:val="26"/>
        </w:rPr>
        <w:t>The C</w:t>
      </w:r>
      <w:r w:rsidR="009968B6" w:rsidRPr="00472547">
        <w:rPr>
          <w:sz w:val="26"/>
        </w:rPr>
        <w:t>omplainant now has to provide some additional</w:t>
      </w:r>
      <w:r w:rsidR="00B26858">
        <w:rPr>
          <w:sz w:val="26"/>
        </w:rPr>
        <w:t xml:space="preserve"> evidence to rebut that of the R</w:t>
      </w:r>
      <w:r w:rsidR="009968B6" w:rsidRPr="00472547">
        <w:rPr>
          <w:sz w:val="26"/>
        </w:rPr>
        <w:t>espondent</w:t>
      </w:r>
      <w:r w:rsidR="009968B6">
        <w:rPr>
          <w:sz w:val="26"/>
        </w:rPr>
        <w:t xml:space="preserve">. </w:t>
      </w:r>
      <w:r w:rsidR="009968B6" w:rsidRPr="00195F2E">
        <w:rPr>
          <w:iCs/>
          <w:sz w:val="26"/>
        </w:rPr>
        <w:t xml:space="preserve"> </w:t>
      </w:r>
      <w:hyperlink r:id="rId9" w:history="1">
        <w:r w:rsidR="009968B6" w:rsidRPr="00EA458A">
          <w:rPr>
            <w:rStyle w:val="Hyperlink"/>
            <w:rFonts w:ascii="Times New (W1)" w:hAnsi="Times New (W1)"/>
            <w:i/>
            <w:iCs/>
            <w:color w:val="auto"/>
            <w:sz w:val="26"/>
            <w:u w:val="none"/>
          </w:rPr>
          <w:t>Burleson v. Pa. PUC,</w:t>
        </w:r>
        <w:r w:rsidR="009968B6" w:rsidRPr="00EA458A">
          <w:rPr>
            <w:rStyle w:val="Hyperlink"/>
            <w:rFonts w:ascii="Times New (W1)" w:hAnsi="Times New (W1)"/>
            <w:iCs/>
            <w:color w:val="auto"/>
            <w:sz w:val="26"/>
            <w:u w:val="none"/>
          </w:rPr>
          <w:t xml:space="preserve"> 443 A.2d 1373 (Pa. Cmwlth. 1982), </w:t>
        </w:r>
        <w:r w:rsidR="009968B6" w:rsidRPr="00EA458A">
          <w:rPr>
            <w:rStyle w:val="Hyperlink"/>
            <w:rFonts w:ascii="Times New (W1)" w:hAnsi="Times New (W1)"/>
            <w:i/>
            <w:iCs/>
            <w:color w:val="auto"/>
            <w:sz w:val="26"/>
            <w:u w:val="none"/>
          </w:rPr>
          <w:t>aff’d,</w:t>
        </w:r>
        <w:r w:rsidR="009968B6" w:rsidRPr="00EA458A">
          <w:rPr>
            <w:rStyle w:val="Hyperlink"/>
            <w:rFonts w:ascii="Times New (W1)" w:hAnsi="Times New (W1)"/>
            <w:iCs/>
            <w:color w:val="auto"/>
            <w:sz w:val="26"/>
            <w:u w:val="none"/>
          </w:rPr>
          <w:t xml:space="preserve"> 501 Pa.</w:t>
        </w:r>
        <w:r w:rsidR="009546F8">
          <w:rPr>
            <w:rStyle w:val="Hyperlink"/>
            <w:rFonts w:ascii="Times New (W1)" w:hAnsi="Times New (W1)"/>
            <w:iCs/>
            <w:color w:val="auto"/>
            <w:sz w:val="26"/>
            <w:u w:val="none"/>
          </w:rPr>
          <w:t> </w:t>
        </w:r>
        <w:r w:rsidR="009968B6" w:rsidRPr="00EA458A">
          <w:rPr>
            <w:rStyle w:val="Hyperlink"/>
            <w:rFonts w:ascii="Times New (W1)" w:hAnsi="Times New (W1)"/>
            <w:iCs/>
            <w:color w:val="auto"/>
            <w:sz w:val="26"/>
            <w:u w:val="none"/>
          </w:rPr>
          <w:t>433, 461 A.2d 1234 (1983).</w:t>
        </w:r>
      </w:hyperlink>
      <w:r w:rsidR="009968B6" w:rsidRPr="00EA458A">
        <w:rPr>
          <w:rStyle w:val="Hyperlink"/>
          <w:rFonts w:ascii="Times New (W1)" w:hAnsi="Times New (W1)"/>
          <w:iCs/>
          <w:color w:val="auto"/>
          <w:sz w:val="26"/>
          <w:u w:val="none"/>
        </w:rPr>
        <w:t xml:space="preserve"> </w:t>
      </w:r>
      <w:r w:rsidR="009968B6" w:rsidRPr="00460A29">
        <w:rPr>
          <w:rStyle w:val="Hyperlink"/>
          <w:rFonts w:ascii="Times New (W1)" w:hAnsi="Times New (W1)"/>
          <w:iCs/>
          <w:sz w:val="26"/>
          <w:u w:val="none"/>
        </w:rPr>
        <w:t xml:space="preserve"> </w:t>
      </w:r>
      <w:r w:rsidR="009968B6" w:rsidRPr="00182752">
        <w:rPr>
          <w:sz w:val="26"/>
        </w:rPr>
        <w:t xml:space="preserve">While the burden of persuasion </w:t>
      </w:r>
      <w:r w:rsidR="009968B6" w:rsidRPr="009968B6">
        <w:rPr>
          <w:sz w:val="26"/>
        </w:rPr>
        <w:t xml:space="preserve">may </w:t>
      </w:r>
      <w:r w:rsidR="009968B6" w:rsidRPr="009968B6">
        <w:rPr>
          <w:rStyle w:val="term1"/>
          <w:b w:val="0"/>
          <w:sz w:val="26"/>
        </w:rPr>
        <w:t>shift</w:t>
      </w:r>
      <w:r w:rsidR="009968B6" w:rsidRPr="009968B6">
        <w:rPr>
          <w:sz w:val="26"/>
        </w:rPr>
        <w:t xml:space="preserve"> back</w:t>
      </w:r>
      <w:r w:rsidR="009968B6" w:rsidRPr="008F16A1">
        <w:rPr>
          <w:sz w:val="26"/>
        </w:rPr>
        <w:t xml:space="preserve"> and forth during a proceeding, the </w:t>
      </w:r>
      <w:r w:rsidR="009968B6" w:rsidRPr="009968B6">
        <w:rPr>
          <w:rStyle w:val="term1"/>
          <w:b w:val="0"/>
          <w:sz w:val="26"/>
        </w:rPr>
        <w:t>burden of proof</w:t>
      </w:r>
      <w:r w:rsidR="009968B6" w:rsidRPr="008F16A1">
        <w:rPr>
          <w:sz w:val="26"/>
        </w:rPr>
        <w:t xml:space="preserve"> never </w:t>
      </w:r>
      <w:r w:rsidR="009968B6" w:rsidRPr="009968B6">
        <w:rPr>
          <w:rStyle w:val="term1"/>
          <w:b w:val="0"/>
          <w:sz w:val="26"/>
        </w:rPr>
        <w:t>shifts.  The burden of proof</w:t>
      </w:r>
      <w:r w:rsidR="009968B6" w:rsidRPr="008F16A1">
        <w:rPr>
          <w:sz w:val="26"/>
        </w:rPr>
        <w:t xml:space="preserve"> always remains on the party seeking affirmative relief from the Commission.</w:t>
      </w:r>
      <w:r w:rsidR="009968B6">
        <w:rPr>
          <w:sz w:val="26"/>
        </w:rPr>
        <w:t xml:space="preserve"> </w:t>
      </w:r>
      <w:r w:rsidR="009968B6" w:rsidRPr="008F16A1">
        <w:rPr>
          <w:sz w:val="26"/>
        </w:rPr>
        <w:t xml:space="preserve"> </w:t>
      </w:r>
      <w:r w:rsidR="009968B6">
        <w:rPr>
          <w:i/>
          <w:sz w:val="26"/>
        </w:rPr>
        <w:t xml:space="preserve">Milkie v. Pa. PUC, </w:t>
      </w:r>
      <w:r w:rsidR="009968B6">
        <w:rPr>
          <w:sz w:val="26"/>
        </w:rPr>
        <w:t>768 A.2d 1217 (Pa. Cmwlth. 2001).</w:t>
      </w:r>
    </w:p>
    <w:p w:rsidR="0032342A" w:rsidRDefault="0032342A" w:rsidP="009546F8">
      <w:pPr>
        <w:widowControl/>
        <w:spacing w:line="360" w:lineRule="auto"/>
        <w:rPr>
          <w:sz w:val="26"/>
          <w:szCs w:val="26"/>
        </w:rPr>
      </w:pPr>
    </w:p>
    <w:p w:rsidR="009968B6" w:rsidRPr="00CA43A5" w:rsidRDefault="003431A6" w:rsidP="009546F8">
      <w:pPr>
        <w:widowControl/>
        <w:spacing w:line="360" w:lineRule="auto"/>
        <w:rPr>
          <w:sz w:val="26"/>
          <w:szCs w:val="26"/>
        </w:rPr>
      </w:pPr>
      <w:r>
        <w:rPr>
          <w:sz w:val="26"/>
          <w:szCs w:val="26"/>
        </w:rPr>
        <w:tab/>
      </w:r>
      <w:r>
        <w:rPr>
          <w:sz w:val="26"/>
          <w:szCs w:val="26"/>
        </w:rPr>
        <w:tab/>
      </w:r>
      <w:r w:rsidR="009968B6" w:rsidRPr="00CA43A5">
        <w:rPr>
          <w:sz w:val="26"/>
          <w:szCs w:val="26"/>
        </w:rPr>
        <w:t xml:space="preserve">ALJ </w:t>
      </w:r>
      <w:r w:rsidR="009968B6">
        <w:rPr>
          <w:sz w:val="26"/>
          <w:szCs w:val="26"/>
        </w:rPr>
        <w:t xml:space="preserve">Jones </w:t>
      </w:r>
      <w:r w:rsidR="009968B6" w:rsidRPr="00CA43A5">
        <w:rPr>
          <w:sz w:val="26"/>
          <w:szCs w:val="26"/>
        </w:rPr>
        <w:t xml:space="preserve">made </w:t>
      </w:r>
      <w:r w:rsidR="009968B6">
        <w:rPr>
          <w:sz w:val="26"/>
          <w:szCs w:val="26"/>
        </w:rPr>
        <w:t>forty-eight</w:t>
      </w:r>
      <w:r w:rsidR="009968B6" w:rsidRPr="00CA43A5">
        <w:rPr>
          <w:sz w:val="26"/>
          <w:szCs w:val="26"/>
        </w:rPr>
        <w:t xml:space="preserve"> Findings of Fact and reached </w:t>
      </w:r>
      <w:r w:rsidR="009968B6">
        <w:rPr>
          <w:sz w:val="26"/>
          <w:szCs w:val="26"/>
        </w:rPr>
        <w:t xml:space="preserve">seven </w:t>
      </w:r>
      <w:r w:rsidR="009968B6" w:rsidRPr="00CA43A5">
        <w:rPr>
          <w:sz w:val="26"/>
          <w:szCs w:val="26"/>
        </w:rPr>
        <w:t xml:space="preserve">Conclusions of Law.  </w:t>
      </w:r>
      <w:r w:rsidR="009968B6">
        <w:rPr>
          <w:sz w:val="26"/>
          <w:szCs w:val="26"/>
        </w:rPr>
        <w:t xml:space="preserve">I.D. at 5-12, 24-25.  </w:t>
      </w:r>
      <w:r w:rsidR="009968B6" w:rsidRPr="00CA43A5">
        <w:rPr>
          <w:sz w:val="26"/>
          <w:szCs w:val="26"/>
        </w:rPr>
        <w:t>The Findings of Fact and Conclusions of Law are incorporated herein by reference and are adopted without comment unless they are either expressly or by necessary implication rejected or modified by this Opinion and Order.</w:t>
      </w:r>
    </w:p>
    <w:p w:rsidR="009968B6" w:rsidRPr="00CA43A5" w:rsidRDefault="009968B6" w:rsidP="009546F8">
      <w:pPr>
        <w:widowControl/>
        <w:spacing w:line="360" w:lineRule="auto"/>
        <w:rPr>
          <w:sz w:val="26"/>
          <w:szCs w:val="26"/>
        </w:rPr>
      </w:pPr>
    </w:p>
    <w:p w:rsidR="009968B6" w:rsidRDefault="003431A6" w:rsidP="009546F8">
      <w:pPr>
        <w:widowControl/>
        <w:spacing w:line="360" w:lineRule="auto"/>
        <w:rPr>
          <w:sz w:val="26"/>
          <w:szCs w:val="26"/>
        </w:rPr>
      </w:pPr>
      <w:r>
        <w:rPr>
          <w:sz w:val="26"/>
          <w:szCs w:val="26"/>
        </w:rPr>
        <w:tab/>
      </w:r>
      <w:r>
        <w:rPr>
          <w:sz w:val="26"/>
          <w:szCs w:val="26"/>
        </w:rPr>
        <w:tab/>
      </w:r>
      <w:r w:rsidR="009968B6" w:rsidRPr="002A6750">
        <w:rPr>
          <w:sz w:val="26"/>
          <w:szCs w:val="26"/>
        </w:rPr>
        <w:t xml:space="preserve">Before addressing the Exceptions, we note that any issue or Exception that we do not specifically delineate shall be deemed to have been duly considered and denied without further discussion.  The Commission is not required to consider expressly or at length each contention or argument raised by the parties.  </w:t>
      </w:r>
      <w:hyperlink r:id="rId10" w:history="1">
        <w:r w:rsidR="009546F8">
          <w:rPr>
            <w:rStyle w:val="Emphasis"/>
            <w:color w:val="000000"/>
            <w:sz w:val="26"/>
            <w:szCs w:val="26"/>
          </w:rPr>
          <w:t>Consolidated Rail Corp. v.</w:t>
        </w:r>
        <w:r w:rsidR="009968B6">
          <w:rPr>
            <w:rStyle w:val="Emphasis"/>
            <w:color w:val="000000"/>
            <w:sz w:val="26"/>
            <w:szCs w:val="26"/>
          </w:rPr>
          <w:t xml:space="preserve"> </w:t>
        </w:r>
        <w:r w:rsidR="009968B6" w:rsidRPr="002A6750">
          <w:rPr>
            <w:rStyle w:val="Emphasis"/>
            <w:color w:val="000000"/>
            <w:sz w:val="26"/>
            <w:szCs w:val="26"/>
          </w:rPr>
          <w:t xml:space="preserve">Pa. PUC, </w:t>
        </w:r>
        <w:r w:rsidR="009968B6" w:rsidRPr="00460A29">
          <w:rPr>
            <w:rStyle w:val="Hyperlink"/>
            <w:color w:val="000000"/>
            <w:sz w:val="26"/>
            <w:szCs w:val="26"/>
            <w:u w:val="none"/>
          </w:rPr>
          <w:t>625 A.2d 741 (Pa. Cmwlth. 1993);</w:t>
        </w:r>
      </w:hyperlink>
      <w:r w:rsidR="009968B6" w:rsidRPr="002A6750">
        <w:rPr>
          <w:color w:val="000000"/>
          <w:sz w:val="26"/>
          <w:szCs w:val="26"/>
        </w:rPr>
        <w:t xml:space="preserve"> </w:t>
      </w:r>
      <w:r w:rsidR="009968B6" w:rsidRPr="002A6750">
        <w:rPr>
          <w:i/>
          <w:color w:val="000000"/>
          <w:sz w:val="26"/>
          <w:szCs w:val="26"/>
        </w:rPr>
        <w:t xml:space="preserve">also </w:t>
      </w:r>
      <w:r w:rsidR="009968B6" w:rsidRPr="002A6750">
        <w:rPr>
          <w:rStyle w:val="Emphasis"/>
          <w:color w:val="000000"/>
          <w:sz w:val="26"/>
          <w:szCs w:val="26"/>
        </w:rPr>
        <w:t xml:space="preserve">see, generally, </w:t>
      </w:r>
      <w:hyperlink r:id="rId11" w:history="1">
        <w:r w:rsidR="009968B6" w:rsidRPr="00460A29">
          <w:rPr>
            <w:rStyle w:val="Emphasis"/>
            <w:color w:val="000000"/>
            <w:sz w:val="26"/>
            <w:szCs w:val="26"/>
          </w:rPr>
          <w:t>University of Pennsylvania v. Pa. PUC</w:t>
        </w:r>
        <w:r w:rsidR="009968B6" w:rsidRPr="00460A29">
          <w:rPr>
            <w:rStyle w:val="Hyperlink"/>
            <w:color w:val="000000"/>
            <w:sz w:val="26"/>
            <w:szCs w:val="26"/>
            <w:u w:val="none"/>
          </w:rPr>
          <w:t>, 485 A.2d 1217 (Pa. Cmwlth. 1984).</w:t>
        </w:r>
      </w:hyperlink>
    </w:p>
    <w:p w:rsidR="0032342A" w:rsidRDefault="0032342A" w:rsidP="009546F8">
      <w:pPr>
        <w:widowControl/>
        <w:spacing w:line="360" w:lineRule="auto"/>
        <w:rPr>
          <w:sz w:val="26"/>
          <w:szCs w:val="26"/>
        </w:rPr>
      </w:pPr>
    </w:p>
    <w:p w:rsidR="0032342A" w:rsidRPr="0032342A" w:rsidRDefault="0032342A" w:rsidP="009546F8">
      <w:pPr>
        <w:widowControl/>
        <w:spacing w:line="360" w:lineRule="auto"/>
        <w:rPr>
          <w:b/>
          <w:sz w:val="26"/>
          <w:szCs w:val="26"/>
        </w:rPr>
      </w:pPr>
      <w:r>
        <w:rPr>
          <w:b/>
          <w:sz w:val="26"/>
          <w:szCs w:val="26"/>
        </w:rPr>
        <w:t>Initial Decision</w:t>
      </w:r>
    </w:p>
    <w:p w:rsidR="009968B6" w:rsidRDefault="009968B6" w:rsidP="009546F8">
      <w:pPr>
        <w:widowControl/>
        <w:spacing w:line="360" w:lineRule="auto"/>
        <w:rPr>
          <w:sz w:val="26"/>
          <w:szCs w:val="26"/>
        </w:rPr>
      </w:pPr>
    </w:p>
    <w:p w:rsidR="003431A6" w:rsidRDefault="00D05390" w:rsidP="009546F8">
      <w:pPr>
        <w:widowControl/>
        <w:spacing w:line="360" w:lineRule="auto"/>
        <w:rPr>
          <w:sz w:val="26"/>
          <w:szCs w:val="26"/>
        </w:rPr>
      </w:pPr>
      <w:r>
        <w:rPr>
          <w:sz w:val="26"/>
          <w:szCs w:val="26"/>
        </w:rPr>
        <w:tab/>
      </w:r>
      <w:r>
        <w:rPr>
          <w:sz w:val="26"/>
          <w:szCs w:val="26"/>
        </w:rPr>
        <w:tab/>
      </w:r>
      <w:r w:rsidR="00460A29">
        <w:rPr>
          <w:sz w:val="26"/>
          <w:szCs w:val="26"/>
        </w:rPr>
        <w:t>In her Initial D</w:t>
      </w:r>
      <w:r w:rsidR="00460A29" w:rsidRPr="00460A29">
        <w:rPr>
          <w:sz w:val="26"/>
          <w:szCs w:val="26"/>
        </w:rPr>
        <w:t>ecision</w:t>
      </w:r>
      <w:r w:rsidR="007537EF">
        <w:rPr>
          <w:sz w:val="26"/>
          <w:szCs w:val="26"/>
        </w:rPr>
        <w:t xml:space="preserve">, ALJ Jones determined that, based on a plain reading of Section 1529.1 of the Code, 66 Pa. C.S. § 1529.1, the applicable Commission </w:t>
      </w:r>
    </w:p>
    <w:p w:rsidR="003431A6" w:rsidRDefault="003431A6" w:rsidP="009546F8">
      <w:pPr>
        <w:widowControl/>
        <w:spacing w:line="360" w:lineRule="auto"/>
        <w:rPr>
          <w:sz w:val="26"/>
          <w:szCs w:val="26"/>
        </w:rPr>
      </w:pPr>
    </w:p>
    <w:p w:rsidR="004B6BBE" w:rsidRDefault="007537EF" w:rsidP="009546F8">
      <w:pPr>
        <w:widowControl/>
        <w:spacing w:line="360" w:lineRule="auto"/>
        <w:rPr>
          <w:sz w:val="26"/>
          <w:szCs w:val="26"/>
        </w:rPr>
      </w:pPr>
      <w:r>
        <w:rPr>
          <w:sz w:val="26"/>
          <w:szCs w:val="26"/>
        </w:rPr>
        <w:lastRenderedPageBreak/>
        <w:t>decisions,</w:t>
      </w:r>
      <w:r>
        <w:rPr>
          <w:rStyle w:val="FootnoteReference"/>
          <w:sz w:val="26"/>
          <w:szCs w:val="26"/>
        </w:rPr>
        <w:footnoteReference w:id="4"/>
      </w:r>
      <w:r>
        <w:rPr>
          <w:sz w:val="26"/>
          <w:szCs w:val="26"/>
        </w:rPr>
        <w:t xml:space="preserve"> and th</w:t>
      </w:r>
      <w:r w:rsidR="00C768D7">
        <w:rPr>
          <w:sz w:val="26"/>
          <w:szCs w:val="26"/>
        </w:rPr>
        <w:t>e evidence in this case, PECO</w:t>
      </w:r>
      <w:r>
        <w:rPr>
          <w:sz w:val="26"/>
          <w:szCs w:val="26"/>
        </w:rPr>
        <w:t xml:space="preserve"> acted properly in placing the first floor tenant’s account in the Complainant’s name.  I.D. at </w:t>
      </w:r>
      <w:r w:rsidR="007773E6">
        <w:rPr>
          <w:sz w:val="26"/>
          <w:szCs w:val="26"/>
        </w:rPr>
        <w:t>15-</w:t>
      </w:r>
      <w:r w:rsidR="00EA458A">
        <w:rPr>
          <w:sz w:val="26"/>
          <w:szCs w:val="26"/>
        </w:rPr>
        <w:t>1</w:t>
      </w:r>
      <w:r>
        <w:rPr>
          <w:sz w:val="26"/>
          <w:szCs w:val="26"/>
        </w:rPr>
        <w:t>6.  The ALJ concluded that substant</w:t>
      </w:r>
      <w:r w:rsidR="00EA458A">
        <w:rPr>
          <w:sz w:val="26"/>
          <w:szCs w:val="26"/>
        </w:rPr>
        <w:t>ial evidence supported PECO’s</w:t>
      </w:r>
      <w:r>
        <w:rPr>
          <w:sz w:val="26"/>
          <w:szCs w:val="26"/>
        </w:rPr>
        <w:t xml:space="preserve"> finding that a foreign load existed on the first </w:t>
      </w:r>
      <w:r w:rsidR="00EA458A">
        <w:rPr>
          <w:sz w:val="26"/>
          <w:szCs w:val="26"/>
        </w:rPr>
        <w:t>floor tenant’s meter on April 13</w:t>
      </w:r>
      <w:r>
        <w:rPr>
          <w:sz w:val="26"/>
          <w:szCs w:val="26"/>
        </w:rPr>
        <w:t>, 201</w:t>
      </w:r>
      <w:r w:rsidR="00EA458A">
        <w:rPr>
          <w:sz w:val="26"/>
          <w:szCs w:val="26"/>
        </w:rPr>
        <w:t>1</w:t>
      </w:r>
      <w:r>
        <w:rPr>
          <w:sz w:val="26"/>
          <w:szCs w:val="26"/>
        </w:rPr>
        <w:t xml:space="preserve">, as </w:t>
      </w:r>
      <w:r w:rsidR="00EA458A">
        <w:rPr>
          <w:sz w:val="26"/>
          <w:szCs w:val="26"/>
        </w:rPr>
        <w:t>PECO</w:t>
      </w:r>
      <w:r>
        <w:rPr>
          <w:sz w:val="26"/>
          <w:szCs w:val="26"/>
        </w:rPr>
        <w:t xml:space="preserve">’s technician found that </w:t>
      </w:r>
      <w:r w:rsidR="00EA458A">
        <w:rPr>
          <w:sz w:val="26"/>
          <w:szCs w:val="26"/>
        </w:rPr>
        <w:t xml:space="preserve">wiring for the common area of the property, </w:t>
      </w:r>
      <w:r w:rsidR="00EA458A" w:rsidRPr="00D05390">
        <w:rPr>
          <w:i/>
          <w:sz w:val="26"/>
          <w:szCs w:val="26"/>
        </w:rPr>
        <w:t>i.e.</w:t>
      </w:r>
      <w:r w:rsidR="00D05390">
        <w:rPr>
          <w:sz w:val="26"/>
          <w:szCs w:val="26"/>
        </w:rPr>
        <w:t xml:space="preserve">, </w:t>
      </w:r>
      <w:r w:rsidR="00B26858">
        <w:rPr>
          <w:sz w:val="26"/>
          <w:szCs w:val="26"/>
        </w:rPr>
        <w:t xml:space="preserve">the </w:t>
      </w:r>
      <w:r w:rsidR="00EA458A">
        <w:rPr>
          <w:sz w:val="26"/>
          <w:szCs w:val="26"/>
        </w:rPr>
        <w:t xml:space="preserve">entrance, hallway and stairwell, </w:t>
      </w:r>
      <w:r>
        <w:rPr>
          <w:sz w:val="26"/>
          <w:szCs w:val="26"/>
        </w:rPr>
        <w:t xml:space="preserve">was </w:t>
      </w:r>
      <w:r w:rsidR="00EA458A">
        <w:rPr>
          <w:sz w:val="26"/>
          <w:szCs w:val="26"/>
        </w:rPr>
        <w:t>connected to the meter for the first</w:t>
      </w:r>
      <w:r>
        <w:rPr>
          <w:sz w:val="26"/>
          <w:szCs w:val="26"/>
        </w:rPr>
        <w:t xml:space="preserve"> floor apartment</w:t>
      </w:r>
      <w:r w:rsidR="00EA458A">
        <w:rPr>
          <w:sz w:val="26"/>
          <w:szCs w:val="26"/>
        </w:rPr>
        <w:t xml:space="preserve"> of the Complainant’s tenant</w:t>
      </w:r>
      <w:r>
        <w:rPr>
          <w:sz w:val="26"/>
          <w:szCs w:val="26"/>
        </w:rPr>
        <w:t xml:space="preserve">.  I.D. at </w:t>
      </w:r>
      <w:r w:rsidR="00EA458A">
        <w:rPr>
          <w:sz w:val="26"/>
          <w:szCs w:val="26"/>
        </w:rPr>
        <w:t>14</w:t>
      </w:r>
      <w:r>
        <w:rPr>
          <w:sz w:val="26"/>
          <w:szCs w:val="26"/>
        </w:rPr>
        <w:t xml:space="preserve">; Tr. at </w:t>
      </w:r>
      <w:r w:rsidR="00EA458A">
        <w:rPr>
          <w:sz w:val="26"/>
          <w:szCs w:val="26"/>
        </w:rPr>
        <w:t>78</w:t>
      </w:r>
      <w:r w:rsidR="00D05390">
        <w:rPr>
          <w:sz w:val="26"/>
          <w:szCs w:val="26"/>
        </w:rPr>
        <w:noBreakHyphen/>
      </w:r>
      <w:r w:rsidR="00EA458A">
        <w:rPr>
          <w:sz w:val="26"/>
          <w:szCs w:val="26"/>
        </w:rPr>
        <w:t>79</w:t>
      </w:r>
      <w:r>
        <w:rPr>
          <w:sz w:val="26"/>
          <w:szCs w:val="26"/>
        </w:rPr>
        <w:t xml:space="preserve">; </w:t>
      </w:r>
      <w:r w:rsidR="00EA458A">
        <w:rPr>
          <w:sz w:val="26"/>
          <w:szCs w:val="26"/>
        </w:rPr>
        <w:t>PECO</w:t>
      </w:r>
      <w:r>
        <w:rPr>
          <w:sz w:val="26"/>
          <w:szCs w:val="26"/>
        </w:rPr>
        <w:t xml:space="preserve"> Exh</w:t>
      </w:r>
      <w:r w:rsidR="00EA458A">
        <w:rPr>
          <w:sz w:val="26"/>
          <w:szCs w:val="26"/>
        </w:rPr>
        <w:t>. 2</w:t>
      </w:r>
      <w:r w:rsidR="0058136F">
        <w:rPr>
          <w:sz w:val="26"/>
          <w:szCs w:val="26"/>
        </w:rPr>
        <w:t>; Finding of Fact (FOF) No. 8</w:t>
      </w:r>
      <w:r>
        <w:rPr>
          <w:sz w:val="26"/>
          <w:szCs w:val="26"/>
        </w:rPr>
        <w:t xml:space="preserve">.  </w:t>
      </w:r>
      <w:r w:rsidR="007773E6">
        <w:rPr>
          <w:sz w:val="26"/>
          <w:szCs w:val="26"/>
        </w:rPr>
        <w:t>The ALJ determined that this situation presented a residential property containing one or more units not individually metered and that PECO was required to place the account for public utility service in the name of the landlord who is held responsible for the utility services.</w:t>
      </w:r>
      <w:r w:rsidR="007773E6">
        <w:rPr>
          <w:rStyle w:val="FootnoteReference"/>
          <w:sz w:val="26"/>
          <w:szCs w:val="26"/>
        </w:rPr>
        <w:footnoteReference w:id="5"/>
      </w:r>
      <w:r w:rsidR="007773E6">
        <w:rPr>
          <w:sz w:val="26"/>
          <w:szCs w:val="26"/>
        </w:rPr>
        <w:t xml:space="preserve">  </w:t>
      </w:r>
      <w:r>
        <w:rPr>
          <w:sz w:val="26"/>
          <w:szCs w:val="26"/>
        </w:rPr>
        <w:t>The ALJ also concluded that the Complainant did not deny that the</w:t>
      </w:r>
      <w:r w:rsidR="007773E6">
        <w:rPr>
          <w:sz w:val="26"/>
          <w:szCs w:val="26"/>
        </w:rPr>
        <w:t xml:space="preserve"> foreign load existed on April </w:t>
      </w:r>
      <w:r>
        <w:rPr>
          <w:sz w:val="26"/>
          <w:szCs w:val="26"/>
        </w:rPr>
        <w:t>1</w:t>
      </w:r>
      <w:r w:rsidR="007773E6">
        <w:rPr>
          <w:sz w:val="26"/>
          <w:szCs w:val="26"/>
        </w:rPr>
        <w:t>3, 2011</w:t>
      </w:r>
      <w:r>
        <w:rPr>
          <w:sz w:val="26"/>
          <w:szCs w:val="26"/>
        </w:rPr>
        <w:t>, and did not present any evide</w:t>
      </w:r>
      <w:r w:rsidR="004B6BBE">
        <w:rPr>
          <w:sz w:val="26"/>
          <w:szCs w:val="26"/>
        </w:rPr>
        <w:t xml:space="preserve">nce to the contrary.  I.D. at </w:t>
      </w:r>
      <w:r w:rsidR="002D6C48">
        <w:rPr>
          <w:sz w:val="26"/>
          <w:szCs w:val="26"/>
        </w:rPr>
        <w:t>14-15.</w:t>
      </w:r>
    </w:p>
    <w:p w:rsidR="004B6BBE" w:rsidRDefault="004B6BBE" w:rsidP="009546F8">
      <w:pPr>
        <w:widowControl/>
        <w:spacing w:line="360" w:lineRule="auto"/>
        <w:rPr>
          <w:sz w:val="26"/>
          <w:szCs w:val="26"/>
        </w:rPr>
      </w:pPr>
    </w:p>
    <w:p w:rsidR="00AF021F" w:rsidRDefault="004B6BBE" w:rsidP="009546F8">
      <w:pPr>
        <w:widowControl/>
        <w:spacing w:line="360" w:lineRule="auto"/>
        <w:rPr>
          <w:sz w:val="26"/>
          <w:szCs w:val="26"/>
        </w:rPr>
      </w:pPr>
      <w:r>
        <w:rPr>
          <w:sz w:val="26"/>
          <w:szCs w:val="26"/>
        </w:rPr>
        <w:tab/>
      </w:r>
      <w:r>
        <w:rPr>
          <w:sz w:val="26"/>
          <w:szCs w:val="26"/>
        </w:rPr>
        <w:tab/>
      </w:r>
      <w:r w:rsidR="0032342A">
        <w:rPr>
          <w:sz w:val="26"/>
          <w:szCs w:val="26"/>
        </w:rPr>
        <w:t>The ALJ also</w:t>
      </w:r>
      <w:r>
        <w:rPr>
          <w:sz w:val="26"/>
          <w:szCs w:val="26"/>
        </w:rPr>
        <w:t xml:space="preserve"> </w:t>
      </w:r>
      <w:r w:rsidR="0032342A">
        <w:rPr>
          <w:sz w:val="26"/>
          <w:szCs w:val="26"/>
        </w:rPr>
        <w:t>noted</w:t>
      </w:r>
      <w:r>
        <w:rPr>
          <w:sz w:val="26"/>
          <w:szCs w:val="26"/>
        </w:rPr>
        <w:t xml:space="preserve"> that a second instance of foreign wiring was </w:t>
      </w:r>
      <w:r w:rsidR="0032342A">
        <w:rPr>
          <w:sz w:val="26"/>
          <w:szCs w:val="26"/>
        </w:rPr>
        <w:t>discovered on February 8, 2012, at the Complainant’s rental property by PECO</w:t>
      </w:r>
      <w:r>
        <w:rPr>
          <w:sz w:val="26"/>
          <w:szCs w:val="26"/>
        </w:rPr>
        <w:t xml:space="preserve">, whereby the third floor refrigerator outlet was </w:t>
      </w:r>
      <w:r w:rsidR="0032342A">
        <w:rPr>
          <w:sz w:val="26"/>
          <w:szCs w:val="26"/>
        </w:rPr>
        <w:t xml:space="preserve">thought to be </w:t>
      </w:r>
      <w:r>
        <w:rPr>
          <w:sz w:val="26"/>
          <w:szCs w:val="26"/>
        </w:rPr>
        <w:t>connected to the first floor electric service.  FOF No</w:t>
      </w:r>
      <w:r w:rsidR="00114593">
        <w:rPr>
          <w:sz w:val="26"/>
          <w:szCs w:val="26"/>
        </w:rPr>
        <w:t>s</w:t>
      </w:r>
      <w:r>
        <w:rPr>
          <w:sz w:val="26"/>
          <w:szCs w:val="26"/>
        </w:rPr>
        <w:t xml:space="preserve">. </w:t>
      </w:r>
      <w:r w:rsidR="00114593">
        <w:rPr>
          <w:sz w:val="26"/>
          <w:szCs w:val="26"/>
        </w:rPr>
        <w:t xml:space="preserve">12, </w:t>
      </w:r>
      <w:r>
        <w:rPr>
          <w:sz w:val="26"/>
          <w:szCs w:val="26"/>
        </w:rPr>
        <w:t>13</w:t>
      </w:r>
      <w:r w:rsidR="00114593">
        <w:rPr>
          <w:sz w:val="26"/>
          <w:szCs w:val="26"/>
        </w:rPr>
        <w:t xml:space="preserve"> and 41</w:t>
      </w:r>
      <w:r>
        <w:rPr>
          <w:sz w:val="26"/>
          <w:szCs w:val="26"/>
        </w:rPr>
        <w:t>.</w:t>
      </w:r>
      <w:r w:rsidR="007537EF">
        <w:rPr>
          <w:sz w:val="26"/>
          <w:szCs w:val="26"/>
        </w:rPr>
        <w:t xml:space="preserve"> </w:t>
      </w:r>
      <w:r>
        <w:rPr>
          <w:sz w:val="26"/>
          <w:szCs w:val="26"/>
        </w:rPr>
        <w:t xml:space="preserve"> Further investigation by the Company found that the thir</w:t>
      </w:r>
      <w:r w:rsidR="0032342A">
        <w:rPr>
          <w:sz w:val="26"/>
          <w:szCs w:val="26"/>
        </w:rPr>
        <w:t>d floor refrigerator was actually</w:t>
      </w:r>
      <w:r>
        <w:rPr>
          <w:sz w:val="26"/>
          <w:szCs w:val="26"/>
        </w:rPr>
        <w:t xml:space="preserve"> wired to the house meter</w:t>
      </w:r>
      <w:r w:rsidR="0032342A">
        <w:rPr>
          <w:sz w:val="26"/>
          <w:szCs w:val="26"/>
        </w:rPr>
        <w:t xml:space="preserve">, which was determined to constitute foreign load.  This foreign load situation </w:t>
      </w:r>
      <w:r w:rsidR="00FE5B70">
        <w:rPr>
          <w:sz w:val="26"/>
          <w:szCs w:val="26"/>
        </w:rPr>
        <w:t xml:space="preserve">subsequently </w:t>
      </w:r>
      <w:r w:rsidR="0032342A">
        <w:rPr>
          <w:sz w:val="26"/>
          <w:szCs w:val="26"/>
        </w:rPr>
        <w:t xml:space="preserve">was </w:t>
      </w:r>
      <w:r>
        <w:rPr>
          <w:sz w:val="26"/>
          <w:szCs w:val="26"/>
        </w:rPr>
        <w:t>corrected by the Complainant.  FOF No. 31.</w:t>
      </w:r>
      <w:r w:rsidR="00114593">
        <w:rPr>
          <w:sz w:val="26"/>
          <w:szCs w:val="26"/>
        </w:rPr>
        <w:t xml:space="preserve">  PECO again transferred the accrued balance i</w:t>
      </w:r>
      <w:r w:rsidR="0032342A">
        <w:rPr>
          <w:sz w:val="26"/>
          <w:szCs w:val="26"/>
        </w:rPr>
        <w:t xml:space="preserve">n the tenant’s name </w:t>
      </w:r>
      <w:r w:rsidR="00114593">
        <w:rPr>
          <w:sz w:val="26"/>
          <w:szCs w:val="26"/>
        </w:rPr>
        <w:t>into the</w:t>
      </w:r>
      <w:r w:rsidR="0032342A">
        <w:rPr>
          <w:sz w:val="26"/>
          <w:szCs w:val="26"/>
        </w:rPr>
        <w:t xml:space="preserve"> account of </w:t>
      </w:r>
      <w:r w:rsidR="00114593">
        <w:rPr>
          <w:sz w:val="26"/>
          <w:szCs w:val="26"/>
        </w:rPr>
        <w:t>the Complainant</w:t>
      </w:r>
      <w:r w:rsidR="00733EF7">
        <w:rPr>
          <w:sz w:val="26"/>
          <w:szCs w:val="26"/>
        </w:rPr>
        <w:t>,</w:t>
      </w:r>
      <w:r w:rsidR="00114593">
        <w:rPr>
          <w:sz w:val="26"/>
          <w:szCs w:val="26"/>
        </w:rPr>
        <w:t xml:space="preserve"> where it remained until June 4, 2012.  FOF No. 41.  The ALJ </w:t>
      </w:r>
      <w:r w:rsidR="00FE5B70">
        <w:rPr>
          <w:sz w:val="26"/>
          <w:szCs w:val="26"/>
        </w:rPr>
        <w:t xml:space="preserve">also </w:t>
      </w:r>
      <w:r w:rsidR="00114593">
        <w:rPr>
          <w:sz w:val="26"/>
          <w:szCs w:val="26"/>
        </w:rPr>
        <w:t>found that PECO was not billing the tenant at the appropriate residential heating rate</w:t>
      </w:r>
      <w:r w:rsidR="00733EF7">
        <w:rPr>
          <w:sz w:val="26"/>
          <w:szCs w:val="26"/>
        </w:rPr>
        <w:t>,</w:t>
      </w:r>
      <w:r w:rsidR="00114593">
        <w:rPr>
          <w:sz w:val="26"/>
          <w:szCs w:val="26"/>
        </w:rPr>
        <w:t xml:space="preserve"> </w:t>
      </w:r>
      <w:r w:rsidR="00733EF7">
        <w:rPr>
          <w:sz w:val="26"/>
          <w:szCs w:val="26"/>
        </w:rPr>
        <w:t xml:space="preserve">which </w:t>
      </w:r>
      <w:r w:rsidR="00114593">
        <w:rPr>
          <w:sz w:val="26"/>
          <w:szCs w:val="26"/>
        </w:rPr>
        <w:t>provides a discount in the winter months</w:t>
      </w:r>
      <w:r w:rsidR="00F244F4">
        <w:rPr>
          <w:sz w:val="26"/>
          <w:szCs w:val="26"/>
        </w:rPr>
        <w:t xml:space="preserve">.  </w:t>
      </w:r>
      <w:r w:rsidR="00FE5B70">
        <w:rPr>
          <w:sz w:val="26"/>
          <w:szCs w:val="26"/>
        </w:rPr>
        <w:t>According to the ALJ, t</w:t>
      </w:r>
      <w:r w:rsidR="00F244F4">
        <w:rPr>
          <w:sz w:val="26"/>
          <w:szCs w:val="26"/>
        </w:rPr>
        <w:t>he service address was heated by electricity</w:t>
      </w:r>
      <w:r w:rsidR="00733EF7">
        <w:rPr>
          <w:sz w:val="26"/>
          <w:szCs w:val="26"/>
        </w:rPr>
        <w:t>,</w:t>
      </w:r>
      <w:r w:rsidR="00F244F4">
        <w:rPr>
          <w:sz w:val="26"/>
          <w:szCs w:val="26"/>
        </w:rPr>
        <w:t xml:space="preserve"> but the tenants were </w:t>
      </w:r>
      <w:r w:rsidR="00FE5B70">
        <w:rPr>
          <w:sz w:val="26"/>
          <w:szCs w:val="26"/>
        </w:rPr>
        <w:t xml:space="preserve">being </w:t>
      </w:r>
      <w:r w:rsidR="00F244F4">
        <w:rPr>
          <w:sz w:val="26"/>
          <w:szCs w:val="26"/>
        </w:rPr>
        <w:t xml:space="preserve">billed at the regular </w:t>
      </w:r>
      <w:r w:rsidR="00F244F4">
        <w:rPr>
          <w:sz w:val="26"/>
          <w:szCs w:val="26"/>
        </w:rPr>
        <w:lastRenderedPageBreak/>
        <w:t xml:space="preserve">residential rate.  Therefore, PECO adjusted the tenant’s account accordingly.  The ALJ found that the Complainant is responsible for the total balance due for electric service attributable to the foreign wiring </w:t>
      </w:r>
      <w:r w:rsidR="00733EF7">
        <w:rPr>
          <w:sz w:val="26"/>
          <w:szCs w:val="26"/>
        </w:rPr>
        <w:t>in</w:t>
      </w:r>
      <w:r w:rsidR="00F244F4">
        <w:rPr>
          <w:sz w:val="26"/>
          <w:szCs w:val="26"/>
        </w:rPr>
        <w:t xml:space="preserve"> both instances </w:t>
      </w:r>
      <w:r w:rsidR="00FE5B70">
        <w:rPr>
          <w:sz w:val="26"/>
          <w:szCs w:val="26"/>
        </w:rPr>
        <w:t xml:space="preserve">in the amount </w:t>
      </w:r>
      <w:r w:rsidR="00F244F4">
        <w:rPr>
          <w:sz w:val="26"/>
          <w:szCs w:val="26"/>
        </w:rPr>
        <w:t>of $3,509.27.  FOF No.</w:t>
      </w:r>
      <w:r w:rsidR="00E95595">
        <w:rPr>
          <w:sz w:val="26"/>
          <w:szCs w:val="26"/>
        </w:rPr>
        <w:t> </w:t>
      </w:r>
      <w:r w:rsidR="00F244F4">
        <w:rPr>
          <w:sz w:val="26"/>
          <w:szCs w:val="26"/>
        </w:rPr>
        <w:t>48.</w:t>
      </w:r>
    </w:p>
    <w:p w:rsidR="00AF021F" w:rsidRDefault="00AF021F" w:rsidP="009546F8">
      <w:pPr>
        <w:widowControl/>
        <w:spacing w:line="360" w:lineRule="auto"/>
        <w:rPr>
          <w:sz w:val="26"/>
          <w:szCs w:val="26"/>
        </w:rPr>
      </w:pPr>
    </w:p>
    <w:p w:rsidR="000B5B01" w:rsidRDefault="00AF021F" w:rsidP="009546F8">
      <w:pPr>
        <w:widowControl/>
        <w:spacing w:line="360" w:lineRule="auto"/>
        <w:rPr>
          <w:sz w:val="26"/>
          <w:szCs w:val="26"/>
        </w:rPr>
      </w:pPr>
      <w:r>
        <w:rPr>
          <w:sz w:val="26"/>
          <w:szCs w:val="26"/>
        </w:rPr>
        <w:tab/>
      </w:r>
      <w:r>
        <w:rPr>
          <w:sz w:val="26"/>
          <w:szCs w:val="26"/>
        </w:rPr>
        <w:tab/>
        <w:t>The ALJ concluded t</w:t>
      </w:r>
      <w:r w:rsidR="00FE5B70">
        <w:rPr>
          <w:sz w:val="26"/>
          <w:szCs w:val="26"/>
        </w:rPr>
        <w:t>hat PECO</w:t>
      </w:r>
      <w:r w:rsidR="00733EF7">
        <w:rPr>
          <w:sz w:val="26"/>
          <w:szCs w:val="26"/>
        </w:rPr>
        <w:t xml:space="preserve">’s inaccurate billing constituted </w:t>
      </w:r>
      <w:r>
        <w:rPr>
          <w:sz w:val="26"/>
          <w:szCs w:val="26"/>
        </w:rPr>
        <w:t>negligent conduct on the Company’s part</w:t>
      </w:r>
      <w:r w:rsidR="00733EF7">
        <w:rPr>
          <w:sz w:val="26"/>
          <w:szCs w:val="26"/>
        </w:rPr>
        <w:t>.</w:t>
      </w:r>
      <w:r>
        <w:rPr>
          <w:sz w:val="26"/>
          <w:szCs w:val="26"/>
        </w:rPr>
        <w:t xml:space="preserve"> </w:t>
      </w:r>
      <w:r w:rsidR="00733EF7">
        <w:rPr>
          <w:sz w:val="26"/>
          <w:szCs w:val="26"/>
        </w:rPr>
        <w:t xml:space="preserve"> W</w:t>
      </w:r>
      <w:r>
        <w:rPr>
          <w:sz w:val="26"/>
          <w:szCs w:val="26"/>
        </w:rPr>
        <w:t xml:space="preserve">hile the Company supposedly corrected the billing after the first instance of foreign wiring, it continued to bill the tenant inaccurately.  The ALJ stated that it is not explained </w:t>
      </w:r>
      <w:r w:rsidR="00FE5B70">
        <w:rPr>
          <w:sz w:val="26"/>
          <w:szCs w:val="26"/>
        </w:rPr>
        <w:t xml:space="preserve">in the record </w:t>
      </w:r>
      <w:r>
        <w:rPr>
          <w:sz w:val="26"/>
          <w:szCs w:val="26"/>
        </w:rPr>
        <w:t>how</w:t>
      </w:r>
      <w:r w:rsidR="00733EF7">
        <w:rPr>
          <w:sz w:val="26"/>
          <w:szCs w:val="26"/>
        </w:rPr>
        <w:t>,</w:t>
      </w:r>
      <w:r>
        <w:rPr>
          <w:sz w:val="26"/>
          <w:szCs w:val="26"/>
        </w:rPr>
        <w:t xml:space="preserve"> aft</w:t>
      </w:r>
      <w:r w:rsidR="00733EF7">
        <w:rPr>
          <w:sz w:val="26"/>
          <w:szCs w:val="26"/>
        </w:rPr>
        <w:t xml:space="preserve">er the correction was made, the service address </w:t>
      </w:r>
      <w:r>
        <w:rPr>
          <w:sz w:val="26"/>
          <w:szCs w:val="26"/>
        </w:rPr>
        <w:t xml:space="preserve">again </w:t>
      </w:r>
      <w:r w:rsidR="00733EF7">
        <w:rPr>
          <w:sz w:val="26"/>
          <w:szCs w:val="26"/>
        </w:rPr>
        <w:t xml:space="preserve">was </w:t>
      </w:r>
      <w:r>
        <w:rPr>
          <w:sz w:val="26"/>
          <w:szCs w:val="26"/>
        </w:rPr>
        <w:t>billed incorrectly</w:t>
      </w:r>
      <w:r w:rsidR="000B5B01">
        <w:rPr>
          <w:sz w:val="26"/>
          <w:szCs w:val="26"/>
        </w:rPr>
        <w:t xml:space="preserve">.  According to the ALJ, accurate billing </w:t>
      </w:r>
      <w:r w:rsidR="00733EF7">
        <w:rPr>
          <w:sz w:val="26"/>
          <w:szCs w:val="26"/>
        </w:rPr>
        <w:t>is required</w:t>
      </w:r>
      <w:r w:rsidR="000B5B01">
        <w:rPr>
          <w:sz w:val="26"/>
          <w:szCs w:val="26"/>
        </w:rPr>
        <w:t xml:space="preserve"> </w:t>
      </w:r>
      <w:r w:rsidR="00733EF7">
        <w:rPr>
          <w:sz w:val="26"/>
          <w:szCs w:val="26"/>
        </w:rPr>
        <w:t xml:space="preserve">of a utility when </w:t>
      </w:r>
      <w:r w:rsidR="000B5B01">
        <w:rPr>
          <w:sz w:val="26"/>
          <w:szCs w:val="26"/>
        </w:rPr>
        <w:t>supplying service to its customer</w:t>
      </w:r>
      <w:r w:rsidR="00FE5B70">
        <w:rPr>
          <w:sz w:val="26"/>
          <w:szCs w:val="26"/>
        </w:rPr>
        <w:t>s</w:t>
      </w:r>
      <w:r w:rsidR="000B5B01">
        <w:rPr>
          <w:sz w:val="26"/>
          <w:szCs w:val="26"/>
        </w:rPr>
        <w:t xml:space="preserve">.  </w:t>
      </w:r>
      <w:r w:rsidR="00FE5B70">
        <w:rPr>
          <w:sz w:val="26"/>
          <w:szCs w:val="26"/>
        </w:rPr>
        <w:t>As a result, t</w:t>
      </w:r>
      <w:r w:rsidR="000B5B01">
        <w:rPr>
          <w:sz w:val="26"/>
          <w:szCs w:val="26"/>
        </w:rPr>
        <w:t xml:space="preserve">he ALJ found that the Complainant had sustained </w:t>
      </w:r>
      <w:r w:rsidR="00733EF7">
        <w:rPr>
          <w:sz w:val="26"/>
          <w:szCs w:val="26"/>
        </w:rPr>
        <w:t xml:space="preserve">in part </w:t>
      </w:r>
      <w:r w:rsidR="000B5B01">
        <w:rPr>
          <w:sz w:val="26"/>
          <w:szCs w:val="26"/>
        </w:rPr>
        <w:t>his burden of proof regarding incorrect charges on his bill and that the Company had failed to rebut the proven allegation.</w:t>
      </w:r>
      <w:r w:rsidR="00733EF7">
        <w:rPr>
          <w:sz w:val="26"/>
          <w:szCs w:val="26"/>
        </w:rPr>
        <w:t xml:space="preserve">  According to the ALJ, PECO’s </w:t>
      </w:r>
      <w:r w:rsidR="000B5B01">
        <w:rPr>
          <w:sz w:val="26"/>
          <w:szCs w:val="26"/>
        </w:rPr>
        <w:t xml:space="preserve">negligent conduct </w:t>
      </w:r>
      <w:r w:rsidR="00733EF7">
        <w:rPr>
          <w:sz w:val="26"/>
          <w:szCs w:val="26"/>
        </w:rPr>
        <w:t xml:space="preserve">in </w:t>
      </w:r>
      <w:r w:rsidR="000B5B01">
        <w:rPr>
          <w:sz w:val="26"/>
          <w:szCs w:val="26"/>
        </w:rPr>
        <w:t>bill</w:t>
      </w:r>
      <w:r w:rsidR="00733EF7">
        <w:rPr>
          <w:sz w:val="26"/>
          <w:szCs w:val="26"/>
        </w:rPr>
        <w:t>ing</w:t>
      </w:r>
      <w:r w:rsidR="000B5B01">
        <w:rPr>
          <w:sz w:val="26"/>
          <w:szCs w:val="26"/>
        </w:rPr>
        <w:t xml:space="preserve"> the Complainant incorrectly is unreasonable</w:t>
      </w:r>
      <w:r w:rsidR="00733EF7">
        <w:rPr>
          <w:sz w:val="26"/>
          <w:szCs w:val="26"/>
        </w:rPr>
        <w:t>,</w:t>
      </w:r>
      <w:r w:rsidR="000B5B01">
        <w:rPr>
          <w:sz w:val="26"/>
          <w:szCs w:val="26"/>
        </w:rPr>
        <w:t xml:space="preserve"> and can be construed as inadequate service.  I.D. at 16-17.  </w:t>
      </w:r>
    </w:p>
    <w:p w:rsidR="000B5B01" w:rsidRDefault="000B5B01" w:rsidP="009546F8">
      <w:pPr>
        <w:widowControl/>
        <w:spacing w:line="360" w:lineRule="auto"/>
        <w:rPr>
          <w:sz w:val="26"/>
          <w:szCs w:val="26"/>
        </w:rPr>
      </w:pPr>
    </w:p>
    <w:p w:rsidR="000B5B01" w:rsidRDefault="00E95595" w:rsidP="009546F8">
      <w:pPr>
        <w:widowControl/>
        <w:spacing w:line="360" w:lineRule="auto"/>
        <w:rPr>
          <w:sz w:val="26"/>
          <w:szCs w:val="26"/>
        </w:rPr>
      </w:pPr>
      <w:r>
        <w:rPr>
          <w:sz w:val="26"/>
          <w:szCs w:val="26"/>
        </w:rPr>
        <w:tab/>
      </w:r>
      <w:r>
        <w:rPr>
          <w:sz w:val="26"/>
          <w:szCs w:val="26"/>
        </w:rPr>
        <w:tab/>
      </w:r>
      <w:r w:rsidR="000B5B01">
        <w:rPr>
          <w:sz w:val="26"/>
          <w:szCs w:val="26"/>
        </w:rPr>
        <w:t xml:space="preserve">As a result of this negligent conduct, the ALJ found that a civil penalty of $20.00 per day </w:t>
      </w:r>
      <w:r w:rsidR="00D200E6">
        <w:rPr>
          <w:sz w:val="26"/>
          <w:szCs w:val="26"/>
        </w:rPr>
        <w:t xml:space="preserve">was </w:t>
      </w:r>
      <w:r w:rsidR="000B5B01">
        <w:rPr>
          <w:sz w:val="26"/>
          <w:szCs w:val="26"/>
        </w:rPr>
        <w:t>appropriate</w:t>
      </w:r>
      <w:r w:rsidR="00733EF7">
        <w:rPr>
          <w:sz w:val="26"/>
          <w:szCs w:val="26"/>
        </w:rPr>
        <w:t>.  S</w:t>
      </w:r>
      <w:r w:rsidR="00D200E6">
        <w:rPr>
          <w:sz w:val="26"/>
          <w:szCs w:val="26"/>
        </w:rPr>
        <w:t xml:space="preserve">he further found </w:t>
      </w:r>
      <w:r w:rsidR="000B5B01">
        <w:rPr>
          <w:sz w:val="26"/>
          <w:szCs w:val="26"/>
        </w:rPr>
        <w:t xml:space="preserve">that the violation existed for 184 days, </w:t>
      </w:r>
      <w:r w:rsidR="00D200E6">
        <w:rPr>
          <w:sz w:val="26"/>
          <w:szCs w:val="26"/>
        </w:rPr>
        <w:t xml:space="preserve">thus </w:t>
      </w:r>
      <w:r w:rsidR="000B5B01">
        <w:rPr>
          <w:sz w:val="26"/>
          <w:szCs w:val="26"/>
        </w:rPr>
        <w:t xml:space="preserve">resulting in a total </w:t>
      </w:r>
      <w:r w:rsidR="00D200E6">
        <w:rPr>
          <w:sz w:val="26"/>
          <w:szCs w:val="26"/>
        </w:rPr>
        <w:t xml:space="preserve">civil </w:t>
      </w:r>
      <w:r w:rsidR="00733EF7">
        <w:rPr>
          <w:sz w:val="26"/>
          <w:szCs w:val="26"/>
        </w:rPr>
        <w:t>penalty o</w:t>
      </w:r>
      <w:r w:rsidR="000B5B01">
        <w:rPr>
          <w:sz w:val="26"/>
          <w:szCs w:val="26"/>
        </w:rPr>
        <w:t>f $3,680.  I.D. at 23-24.</w:t>
      </w:r>
    </w:p>
    <w:p w:rsidR="000B5B01" w:rsidRDefault="000B5B01" w:rsidP="009546F8">
      <w:pPr>
        <w:widowControl/>
        <w:spacing w:line="360" w:lineRule="auto"/>
        <w:rPr>
          <w:sz w:val="26"/>
          <w:szCs w:val="26"/>
        </w:rPr>
      </w:pPr>
    </w:p>
    <w:p w:rsidR="000B5B01" w:rsidRDefault="00E95595" w:rsidP="009546F8">
      <w:pPr>
        <w:widowControl/>
        <w:spacing w:line="360" w:lineRule="auto"/>
        <w:rPr>
          <w:sz w:val="26"/>
          <w:szCs w:val="26"/>
        </w:rPr>
      </w:pPr>
      <w:r>
        <w:rPr>
          <w:sz w:val="26"/>
          <w:szCs w:val="26"/>
        </w:rPr>
        <w:tab/>
      </w:r>
      <w:r>
        <w:rPr>
          <w:sz w:val="26"/>
          <w:szCs w:val="26"/>
        </w:rPr>
        <w:tab/>
      </w:r>
      <w:r w:rsidR="000B5B01">
        <w:rPr>
          <w:sz w:val="26"/>
          <w:szCs w:val="26"/>
        </w:rPr>
        <w:t>Lastly, the ALJ did not find that the Complaina</w:t>
      </w:r>
      <w:r w:rsidR="00733EF7">
        <w:rPr>
          <w:sz w:val="26"/>
          <w:szCs w:val="26"/>
        </w:rPr>
        <w:t>nt sustained his burden of proving</w:t>
      </w:r>
      <w:r w:rsidR="000B5B01">
        <w:rPr>
          <w:sz w:val="26"/>
          <w:szCs w:val="26"/>
        </w:rPr>
        <w:t xml:space="preserve"> that PECO trespassed on his prop</w:t>
      </w:r>
      <w:r w:rsidR="00733EF7">
        <w:rPr>
          <w:sz w:val="26"/>
          <w:szCs w:val="26"/>
        </w:rPr>
        <w:t>erty.  The ALJ referenced PECO S</w:t>
      </w:r>
      <w:r w:rsidR="000B5B01">
        <w:rPr>
          <w:sz w:val="26"/>
          <w:szCs w:val="26"/>
        </w:rPr>
        <w:t>upplement No.</w:t>
      </w:r>
      <w:r w:rsidR="00211FD0">
        <w:rPr>
          <w:sz w:val="26"/>
          <w:szCs w:val="26"/>
        </w:rPr>
        <w:t xml:space="preserve"> 8 to Tariff Electric </w:t>
      </w:r>
      <w:r w:rsidR="00733EF7">
        <w:rPr>
          <w:sz w:val="26"/>
          <w:szCs w:val="26"/>
        </w:rPr>
        <w:t xml:space="preserve">- </w:t>
      </w:r>
      <w:r w:rsidR="00211FD0">
        <w:rPr>
          <w:sz w:val="26"/>
          <w:szCs w:val="26"/>
        </w:rPr>
        <w:t>Pa. P.U.C.</w:t>
      </w:r>
      <w:r w:rsidR="00D200E6">
        <w:rPr>
          <w:sz w:val="26"/>
          <w:szCs w:val="26"/>
        </w:rPr>
        <w:t>,</w:t>
      </w:r>
      <w:r w:rsidR="00211FD0">
        <w:rPr>
          <w:sz w:val="26"/>
          <w:szCs w:val="26"/>
        </w:rPr>
        <w:t xml:space="preserve"> First Revised P</w:t>
      </w:r>
      <w:r w:rsidR="000B5B01">
        <w:rPr>
          <w:sz w:val="26"/>
          <w:szCs w:val="26"/>
        </w:rPr>
        <w:t>age No. 18, Section 10.5</w:t>
      </w:r>
      <w:r w:rsidR="00733EF7">
        <w:rPr>
          <w:sz w:val="26"/>
          <w:szCs w:val="26"/>
        </w:rPr>
        <w:t xml:space="preserve"> for the proposition</w:t>
      </w:r>
      <w:r w:rsidR="00211FD0">
        <w:rPr>
          <w:sz w:val="26"/>
          <w:szCs w:val="26"/>
        </w:rPr>
        <w:t xml:space="preserve"> that the Company’s employees shall ha</w:t>
      </w:r>
      <w:r w:rsidR="00D200E6">
        <w:rPr>
          <w:sz w:val="26"/>
          <w:szCs w:val="26"/>
        </w:rPr>
        <w:t>ve access to the premises of a</w:t>
      </w:r>
      <w:r w:rsidR="00211FD0">
        <w:rPr>
          <w:sz w:val="26"/>
          <w:szCs w:val="26"/>
        </w:rPr>
        <w:t xml:space="preserve"> customer for inspection of any or all equipment belonging to the Company at all reasonable times.  I.D. at 24.</w:t>
      </w:r>
    </w:p>
    <w:p w:rsidR="00733EF7" w:rsidRDefault="00733EF7" w:rsidP="009546F8">
      <w:pPr>
        <w:widowControl/>
        <w:spacing w:line="360" w:lineRule="auto"/>
        <w:rPr>
          <w:sz w:val="26"/>
          <w:szCs w:val="26"/>
        </w:rPr>
      </w:pPr>
    </w:p>
    <w:p w:rsidR="00733EF7" w:rsidRPr="00733EF7" w:rsidRDefault="00733EF7" w:rsidP="003431A6">
      <w:pPr>
        <w:keepNext/>
        <w:widowControl/>
        <w:spacing w:line="360" w:lineRule="auto"/>
        <w:rPr>
          <w:b/>
          <w:sz w:val="26"/>
          <w:szCs w:val="26"/>
        </w:rPr>
      </w:pPr>
      <w:r>
        <w:rPr>
          <w:b/>
          <w:sz w:val="26"/>
          <w:szCs w:val="26"/>
        </w:rPr>
        <w:lastRenderedPageBreak/>
        <w:t>Exceptions</w:t>
      </w:r>
    </w:p>
    <w:p w:rsidR="00AF021F" w:rsidRDefault="00AF021F" w:rsidP="003431A6">
      <w:pPr>
        <w:keepNext/>
        <w:widowControl/>
        <w:spacing w:line="360" w:lineRule="auto"/>
        <w:rPr>
          <w:sz w:val="26"/>
          <w:szCs w:val="26"/>
        </w:rPr>
      </w:pPr>
    </w:p>
    <w:p w:rsidR="00605138" w:rsidRDefault="00AF021F" w:rsidP="009546F8">
      <w:pPr>
        <w:widowControl/>
        <w:spacing w:line="360" w:lineRule="auto"/>
        <w:rPr>
          <w:sz w:val="26"/>
          <w:szCs w:val="26"/>
        </w:rPr>
      </w:pPr>
      <w:r>
        <w:rPr>
          <w:sz w:val="26"/>
          <w:szCs w:val="26"/>
        </w:rPr>
        <w:tab/>
      </w:r>
      <w:r>
        <w:rPr>
          <w:sz w:val="26"/>
          <w:szCs w:val="26"/>
        </w:rPr>
        <w:tab/>
      </w:r>
      <w:r w:rsidR="00455CEA">
        <w:rPr>
          <w:sz w:val="26"/>
          <w:szCs w:val="26"/>
        </w:rPr>
        <w:t xml:space="preserve">In his Exceptions, the Complainant </w:t>
      </w:r>
      <w:r w:rsidR="0000486D">
        <w:rPr>
          <w:sz w:val="26"/>
          <w:szCs w:val="26"/>
        </w:rPr>
        <w:t xml:space="preserve">first states that the meters </w:t>
      </w:r>
      <w:r w:rsidR="00BF5B6B">
        <w:rPr>
          <w:sz w:val="26"/>
          <w:szCs w:val="26"/>
        </w:rPr>
        <w:t xml:space="preserve">at this location </w:t>
      </w:r>
      <w:r w:rsidR="0000486D">
        <w:rPr>
          <w:sz w:val="26"/>
          <w:szCs w:val="26"/>
        </w:rPr>
        <w:t>are in the basement of the property</w:t>
      </w:r>
      <w:r w:rsidR="00733EF7">
        <w:rPr>
          <w:sz w:val="26"/>
          <w:szCs w:val="26"/>
        </w:rPr>
        <w:t>,</w:t>
      </w:r>
      <w:r w:rsidR="0000486D">
        <w:rPr>
          <w:sz w:val="26"/>
          <w:szCs w:val="26"/>
        </w:rPr>
        <w:t xml:space="preserve"> and that the tenant had no legal access to the basement and</w:t>
      </w:r>
      <w:r w:rsidR="003431A6">
        <w:rPr>
          <w:sz w:val="26"/>
          <w:szCs w:val="26"/>
        </w:rPr>
        <w:t>,</w:t>
      </w:r>
      <w:r w:rsidR="0000486D">
        <w:rPr>
          <w:sz w:val="26"/>
          <w:szCs w:val="26"/>
        </w:rPr>
        <w:t xml:space="preserve"> therefore</w:t>
      </w:r>
      <w:r w:rsidR="003431A6">
        <w:rPr>
          <w:sz w:val="26"/>
          <w:szCs w:val="26"/>
        </w:rPr>
        <w:t>,</w:t>
      </w:r>
      <w:r w:rsidR="0000486D">
        <w:rPr>
          <w:sz w:val="26"/>
          <w:szCs w:val="26"/>
        </w:rPr>
        <w:t xml:space="preserve"> did not have the right to allow anyone into the basement without his permission.  According to the Complainant, the basement was not the premises of the customer and PECO had no right to enter the basement without his knowledge and consent.  The Complainant asserts that on this fact alone the case should be dismissed.  Exc. at 1.</w:t>
      </w:r>
    </w:p>
    <w:p w:rsidR="00605138" w:rsidRDefault="00605138" w:rsidP="009546F8">
      <w:pPr>
        <w:widowControl/>
        <w:spacing w:line="360" w:lineRule="auto"/>
        <w:rPr>
          <w:sz w:val="26"/>
          <w:szCs w:val="26"/>
        </w:rPr>
      </w:pPr>
    </w:p>
    <w:p w:rsidR="00605138" w:rsidRDefault="00605138" w:rsidP="009546F8">
      <w:pPr>
        <w:widowControl/>
        <w:spacing w:line="360" w:lineRule="auto"/>
        <w:rPr>
          <w:sz w:val="26"/>
          <w:szCs w:val="26"/>
        </w:rPr>
      </w:pPr>
      <w:r>
        <w:rPr>
          <w:sz w:val="26"/>
          <w:szCs w:val="26"/>
        </w:rPr>
        <w:tab/>
      </w:r>
      <w:r>
        <w:rPr>
          <w:sz w:val="26"/>
          <w:szCs w:val="26"/>
        </w:rPr>
        <w:tab/>
        <w:t>Next, the Complainant r</w:t>
      </w:r>
      <w:r w:rsidR="00733EF7">
        <w:rPr>
          <w:sz w:val="26"/>
          <w:szCs w:val="26"/>
        </w:rPr>
        <w:t xml:space="preserve">eferences the ALJ’s findings </w:t>
      </w:r>
      <w:r>
        <w:rPr>
          <w:sz w:val="26"/>
          <w:szCs w:val="26"/>
        </w:rPr>
        <w:t>regard</w:t>
      </w:r>
      <w:r w:rsidR="00733EF7">
        <w:rPr>
          <w:sz w:val="26"/>
          <w:szCs w:val="26"/>
        </w:rPr>
        <w:t>ing</w:t>
      </w:r>
      <w:r>
        <w:rPr>
          <w:sz w:val="26"/>
          <w:szCs w:val="26"/>
        </w:rPr>
        <w:t xml:space="preserve"> the incorrect billing of the tenant and the negligence on the part of PECO for the incorrect billings.  The Complainant asserts that “the PUC gets $3</w:t>
      </w:r>
      <w:r w:rsidR="00733EF7">
        <w:rPr>
          <w:sz w:val="26"/>
          <w:szCs w:val="26"/>
        </w:rPr>
        <w:t>,680.00” yet it was he who</w:t>
      </w:r>
      <w:r>
        <w:rPr>
          <w:sz w:val="26"/>
          <w:szCs w:val="26"/>
        </w:rPr>
        <w:t xml:space="preserve"> was harmed by PECO’s negligence</w:t>
      </w:r>
      <w:r w:rsidR="00733EF7">
        <w:rPr>
          <w:sz w:val="26"/>
          <w:szCs w:val="26"/>
        </w:rPr>
        <w:t xml:space="preserve">. </w:t>
      </w:r>
      <w:r>
        <w:rPr>
          <w:sz w:val="26"/>
          <w:szCs w:val="26"/>
        </w:rPr>
        <w:t xml:space="preserve"> </w:t>
      </w:r>
      <w:r w:rsidR="00733EF7">
        <w:rPr>
          <w:sz w:val="26"/>
          <w:szCs w:val="26"/>
        </w:rPr>
        <w:t xml:space="preserve">The Complainant </w:t>
      </w:r>
      <w:r>
        <w:rPr>
          <w:sz w:val="26"/>
          <w:szCs w:val="26"/>
        </w:rPr>
        <w:t xml:space="preserve">questions why he is not entitled to relief from the Commission.  </w:t>
      </w:r>
      <w:r>
        <w:rPr>
          <w:i/>
          <w:sz w:val="26"/>
          <w:szCs w:val="26"/>
        </w:rPr>
        <w:t>Id.</w:t>
      </w:r>
    </w:p>
    <w:p w:rsidR="00605138" w:rsidRDefault="00605138" w:rsidP="009546F8">
      <w:pPr>
        <w:widowControl/>
        <w:spacing w:line="360" w:lineRule="auto"/>
        <w:rPr>
          <w:sz w:val="26"/>
          <w:szCs w:val="26"/>
        </w:rPr>
      </w:pPr>
    </w:p>
    <w:p w:rsidR="002E2A46" w:rsidRDefault="00605138" w:rsidP="009546F8">
      <w:pPr>
        <w:widowControl/>
        <w:spacing w:line="360" w:lineRule="auto"/>
        <w:rPr>
          <w:i/>
          <w:sz w:val="26"/>
          <w:szCs w:val="26"/>
        </w:rPr>
      </w:pPr>
      <w:r>
        <w:rPr>
          <w:sz w:val="26"/>
          <w:szCs w:val="26"/>
        </w:rPr>
        <w:tab/>
      </w:r>
      <w:r>
        <w:rPr>
          <w:sz w:val="26"/>
          <w:szCs w:val="26"/>
        </w:rPr>
        <w:tab/>
      </w:r>
      <w:r w:rsidR="00AA5130">
        <w:rPr>
          <w:sz w:val="26"/>
          <w:szCs w:val="26"/>
        </w:rPr>
        <w:t>Finally</w:t>
      </w:r>
      <w:r>
        <w:rPr>
          <w:sz w:val="26"/>
          <w:szCs w:val="26"/>
        </w:rPr>
        <w:t>, the Complainant states that</w:t>
      </w:r>
      <w:r w:rsidR="00733EF7">
        <w:rPr>
          <w:sz w:val="26"/>
          <w:szCs w:val="26"/>
        </w:rPr>
        <w:t>,</w:t>
      </w:r>
      <w:r>
        <w:rPr>
          <w:sz w:val="26"/>
          <w:szCs w:val="26"/>
        </w:rPr>
        <w:t xml:space="preserve"> if the </w:t>
      </w:r>
      <w:r w:rsidR="00733EF7">
        <w:rPr>
          <w:sz w:val="26"/>
          <w:szCs w:val="26"/>
        </w:rPr>
        <w:t>tenant had done</w:t>
      </w:r>
      <w:r>
        <w:rPr>
          <w:sz w:val="26"/>
          <w:szCs w:val="26"/>
        </w:rPr>
        <w:t xml:space="preserve"> wha</w:t>
      </w:r>
      <w:r w:rsidR="00B652FA">
        <w:rPr>
          <w:sz w:val="26"/>
          <w:szCs w:val="26"/>
        </w:rPr>
        <w:t>t she was supposed to do and paid</w:t>
      </w:r>
      <w:r>
        <w:rPr>
          <w:sz w:val="26"/>
          <w:szCs w:val="26"/>
        </w:rPr>
        <w:t xml:space="preserve"> her bill every month</w:t>
      </w:r>
      <w:r w:rsidR="00AA5130">
        <w:rPr>
          <w:sz w:val="26"/>
          <w:szCs w:val="26"/>
        </w:rPr>
        <w:t>,</w:t>
      </w:r>
      <w:r w:rsidR="00B652FA">
        <w:rPr>
          <w:sz w:val="26"/>
          <w:szCs w:val="26"/>
        </w:rPr>
        <w:t xml:space="preserve"> </w:t>
      </w:r>
      <w:r>
        <w:rPr>
          <w:sz w:val="26"/>
          <w:szCs w:val="26"/>
        </w:rPr>
        <w:t>there would have been no balance to transfer.  He asserts that</w:t>
      </w:r>
      <w:r w:rsidR="00B652FA">
        <w:rPr>
          <w:sz w:val="26"/>
          <w:szCs w:val="26"/>
        </w:rPr>
        <w:t>,</w:t>
      </w:r>
      <w:r>
        <w:rPr>
          <w:sz w:val="26"/>
          <w:szCs w:val="26"/>
        </w:rPr>
        <w:t xml:space="preserve"> by not paying her bills, </w:t>
      </w:r>
      <w:r w:rsidR="00AA5130">
        <w:rPr>
          <w:sz w:val="26"/>
          <w:szCs w:val="26"/>
        </w:rPr>
        <w:t xml:space="preserve">or </w:t>
      </w:r>
      <w:r>
        <w:rPr>
          <w:sz w:val="26"/>
          <w:szCs w:val="26"/>
        </w:rPr>
        <w:t xml:space="preserve">by doing the </w:t>
      </w:r>
      <w:r w:rsidR="00B71033">
        <w:rPr>
          <w:sz w:val="26"/>
          <w:szCs w:val="26"/>
        </w:rPr>
        <w:t>wrong thing, the tenant benefitt</w:t>
      </w:r>
      <w:r w:rsidR="00AA5130">
        <w:rPr>
          <w:sz w:val="26"/>
          <w:szCs w:val="26"/>
        </w:rPr>
        <w:t>ed</w:t>
      </w:r>
      <w:r>
        <w:rPr>
          <w:sz w:val="26"/>
          <w:szCs w:val="26"/>
        </w:rPr>
        <w:t xml:space="preserve">.  According to the Complainant, the </w:t>
      </w:r>
      <w:r w:rsidR="005C3804">
        <w:rPr>
          <w:sz w:val="26"/>
          <w:szCs w:val="26"/>
        </w:rPr>
        <w:t>Commission</w:t>
      </w:r>
      <w:r w:rsidR="00B652FA">
        <w:rPr>
          <w:sz w:val="26"/>
          <w:szCs w:val="26"/>
        </w:rPr>
        <w:t xml:space="preserve"> is acting highly irresponsibly by taking a</w:t>
      </w:r>
      <w:r>
        <w:rPr>
          <w:sz w:val="26"/>
          <w:szCs w:val="26"/>
        </w:rPr>
        <w:t xml:space="preserve"> position </w:t>
      </w:r>
      <w:r w:rsidR="00B652FA">
        <w:rPr>
          <w:sz w:val="26"/>
          <w:szCs w:val="26"/>
        </w:rPr>
        <w:t>that</w:t>
      </w:r>
      <w:r>
        <w:rPr>
          <w:sz w:val="26"/>
          <w:szCs w:val="26"/>
        </w:rPr>
        <w:t xml:space="preserve"> lends itself to illegal actions and abuse by tenants.  The Complainant questions how PECO found the second case of foreign wiring in February 2012</w:t>
      </w:r>
      <w:r w:rsidR="00342E30">
        <w:rPr>
          <w:sz w:val="26"/>
          <w:szCs w:val="26"/>
        </w:rPr>
        <w:t>,</w:t>
      </w:r>
      <w:r>
        <w:rPr>
          <w:sz w:val="26"/>
          <w:szCs w:val="26"/>
        </w:rPr>
        <w:t xml:space="preserve"> and again </w:t>
      </w:r>
      <w:r w:rsidR="00BF5B6B">
        <w:rPr>
          <w:sz w:val="26"/>
          <w:szCs w:val="26"/>
        </w:rPr>
        <w:t xml:space="preserve">allowed </w:t>
      </w:r>
      <w:r w:rsidR="00AA5130">
        <w:rPr>
          <w:sz w:val="26"/>
          <w:szCs w:val="26"/>
        </w:rPr>
        <w:t xml:space="preserve">the tenant to </w:t>
      </w:r>
      <w:r>
        <w:rPr>
          <w:sz w:val="26"/>
          <w:szCs w:val="26"/>
        </w:rPr>
        <w:t xml:space="preserve">run up a high balance because she was not paying </w:t>
      </w:r>
      <w:r w:rsidR="00B652FA">
        <w:rPr>
          <w:sz w:val="26"/>
          <w:szCs w:val="26"/>
        </w:rPr>
        <w:t xml:space="preserve">the </w:t>
      </w:r>
      <w:r w:rsidR="002E2A46">
        <w:rPr>
          <w:sz w:val="26"/>
          <w:szCs w:val="26"/>
        </w:rPr>
        <w:t>monthly bill</w:t>
      </w:r>
      <w:r w:rsidR="00B652FA">
        <w:rPr>
          <w:sz w:val="26"/>
          <w:szCs w:val="26"/>
        </w:rPr>
        <w:t>s</w:t>
      </w:r>
      <w:r w:rsidR="002E2A46">
        <w:rPr>
          <w:sz w:val="26"/>
          <w:szCs w:val="26"/>
        </w:rPr>
        <w:t xml:space="preserve">.  The Complainant questions whether PECO was negligent in not clearing the foreign wiring the first time.  </w:t>
      </w:r>
      <w:r w:rsidR="002E2A46">
        <w:rPr>
          <w:i/>
          <w:sz w:val="26"/>
          <w:szCs w:val="26"/>
        </w:rPr>
        <w:t>Id.</w:t>
      </w:r>
    </w:p>
    <w:p w:rsidR="00B652FA" w:rsidRDefault="00B652FA" w:rsidP="009546F8">
      <w:pPr>
        <w:widowControl/>
        <w:spacing w:line="360" w:lineRule="auto"/>
        <w:rPr>
          <w:i/>
          <w:sz w:val="26"/>
          <w:szCs w:val="26"/>
        </w:rPr>
      </w:pPr>
    </w:p>
    <w:p w:rsidR="00B652FA" w:rsidRPr="00B652FA" w:rsidRDefault="00B652FA" w:rsidP="00342E30">
      <w:pPr>
        <w:keepNext/>
        <w:widowControl/>
        <w:spacing w:line="360" w:lineRule="auto"/>
        <w:rPr>
          <w:b/>
          <w:sz w:val="26"/>
          <w:szCs w:val="26"/>
        </w:rPr>
      </w:pPr>
      <w:r>
        <w:rPr>
          <w:b/>
          <w:sz w:val="26"/>
          <w:szCs w:val="26"/>
        </w:rPr>
        <w:lastRenderedPageBreak/>
        <w:t>Disposition</w:t>
      </w:r>
    </w:p>
    <w:p w:rsidR="002E2A46" w:rsidRDefault="002E2A46" w:rsidP="00342E30">
      <w:pPr>
        <w:keepNext/>
        <w:widowControl/>
        <w:spacing w:line="360" w:lineRule="auto"/>
        <w:rPr>
          <w:i/>
          <w:sz w:val="26"/>
          <w:szCs w:val="26"/>
        </w:rPr>
      </w:pPr>
    </w:p>
    <w:p w:rsidR="00D42FA9" w:rsidRDefault="00342E30" w:rsidP="009546F8">
      <w:pPr>
        <w:widowControl/>
        <w:spacing w:line="360" w:lineRule="auto"/>
        <w:rPr>
          <w:sz w:val="26"/>
          <w:szCs w:val="26"/>
        </w:rPr>
      </w:pPr>
      <w:r>
        <w:rPr>
          <w:sz w:val="26"/>
          <w:szCs w:val="26"/>
        </w:rPr>
        <w:tab/>
      </w:r>
      <w:r>
        <w:rPr>
          <w:sz w:val="26"/>
          <w:szCs w:val="26"/>
        </w:rPr>
        <w:tab/>
      </w:r>
      <w:r w:rsidR="00E5056C">
        <w:rPr>
          <w:sz w:val="26"/>
          <w:szCs w:val="26"/>
        </w:rPr>
        <w:t>Based upon our review of t</w:t>
      </w:r>
      <w:r w:rsidR="00D42FA9">
        <w:rPr>
          <w:sz w:val="26"/>
          <w:szCs w:val="26"/>
        </w:rPr>
        <w:t>he record of this proceeding</w:t>
      </w:r>
      <w:r w:rsidR="00E5056C">
        <w:rPr>
          <w:sz w:val="26"/>
          <w:szCs w:val="26"/>
        </w:rPr>
        <w:t xml:space="preserve">, we agree with the ALJ’s determination that, based on a plain reading of Section 1529.1 of the Code, 66 Pa. C.S. </w:t>
      </w:r>
      <w:r w:rsidR="00D42FA9">
        <w:rPr>
          <w:sz w:val="26"/>
          <w:szCs w:val="26"/>
        </w:rPr>
        <w:t>§ 1529.1 and</w:t>
      </w:r>
      <w:r w:rsidR="00E5056C">
        <w:rPr>
          <w:sz w:val="26"/>
          <w:szCs w:val="26"/>
        </w:rPr>
        <w:t xml:space="preserve"> the applicable Commission decision</w:t>
      </w:r>
      <w:r w:rsidR="00D42FA9">
        <w:rPr>
          <w:sz w:val="26"/>
          <w:szCs w:val="26"/>
        </w:rPr>
        <w:t xml:space="preserve">s, </w:t>
      </w:r>
      <w:r w:rsidR="00E5056C">
        <w:rPr>
          <w:sz w:val="26"/>
          <w:szCs w:val="26"/>
        </w:rPr>
        <w:t xml:space="preserve">PECO appropriately placed the tenant’s </w:t>
      </w:r>
      <w:r w:rsidR="00FD684C">
        <w:rPr>
          <w:sz w:val="26"/>
          <w:szCs w:val="26"/>
        </w:rPr>
        <w:t>account in the Complainant’s name.</w:t>
      </w:r>
      <w:r w:rsidR="00D42FA9">
        <w:rPr>
          <w:sz w:val="26"/>
          <w:szCs w:val="26"/>
        </w:rPr>
        <w:t xml:space="preserve">  Section 1529.1 of the Code, 66 Pa. C.S.</w:t>
      </w:r>
      <w:r>
        <w:rPr>
          <w:sz w:val="26"/>
          <w:szCs w:val="26"/>
        </w:rPr>
        <w:t xml:space="preserve"> </w:t>
      </w:r>
      <w:r w:rsidR="00D42FA9">
        <w:rPr>
          <w:sz w:val="26"/>
          <w:szCs w:val="26"/>
        </w:rPr>
        <w:t>§</w:t>
      </w:r>
      <w:r>
        <w:rPr>
          <w:sz w:val="26"/>
          <w:szCs w:val="26"/>
        </w:rPr>
        <w:t> </w:t>
      </w:r>
      <w:r w:rsidR="00D42FA9">
        <w:rPr>
          <w:sz w:val="26"/>
          <w:szCs w:val="26"/>
        </w:rPr>
        <w:t>1</w:t>
      </w:r>
      <w:r w:rsidR="009D395F">
        <w:rPr>
          <w:sz w:val="26"/>
          <w:szCs w:val="26"/>
        </w:rPr>
        <w:t xml:space="preserve">529.1 states the following: </w:t>
      </w:r>
    </w:p>
    <w:p w:rsidR="00D42FA9" w:rsidRDefault="00D42FA9" w:rsidP="009546F8">
      <w:pPr>
        <w:widowControl/>
        <w:spacing w:line="360" w:lineRule="auto"/>
        <w:rPr>
          <w:sz w:val="26"/>
          <w:szCs w:val="26"/>
        </w:rPr>
      </w:pPr>
    </w:p>
    <w:p w:rsidR="00D42FA9" w:rsidRPr="0074786E" w:rsidRDefault="00D42FA9" w:rsidP="00342E30">
      <w:pPr>
        <w:widowControl/>
        <w:autoSpaceDE w:val="0"/>
        <w:autoSpaceDN w:val="0"/>
        <w:adjustRightInd w:val="0"/>
        <w:ind w:left="1440" w:right="1440"/>
        <w:rPr>
          <w:b/>
          <w:bCs/>
          <w:color w:val="000000"/>
          <w:sz w:val="26"/>
          <w:szCs w:val="26"/>
        </w:rPr>
      </w:pPr>
      <w:r w:rsidRPr="0074786E">
        <w:rPr>
          <w:b/>
          <w:bCs/>
          <w:color w:val="000000"/>
          <w:sz w:val="26"/>
          <w:szCs w:val="26"/>
        </w:rPr>
        <w:t>§ 1529.1.</w:t>
      </w:r>
      <w:r>
        <w:rPr>
          <w:b/>
          <w:bCs/>
          <w:color w:val="000000"/>
          <w:sz w:val="26"/>
          <w:szCs w:val="26"/>
        </w:rPr>
        <w:t xml:space="preserve">  </w:t>
      </w:r>
      <w:r w:rsidRPr="0074786E">
        <w:rPr>
          <w:b/>
          <w:bCs/>
          <w:color w:val="000000"/>
          <w:sz w:val="26"/>
          <w:szCs w:val="26"/>
        </w:rPr>
        <w:t>Duty of owners of rental property.</w:t>
      </w:r>
    </w:p>
    <w:p w:rsidR="00D42FA9" w:rsidRDefault="00D42FA9" w:rsidP="00342E30">
      <w:pPr>
        <w:widowControl/>
        <w:autoSpaceDE w:val="0"/>
        <w:autoSpaceDN w:val="0"/>
        <w:adjustRightInd w:val="0"/>
        <w:ind w:left="1440" w:right="1440"/>
        <w:rPr>
          <w:b/>
          <w:bCs/>
          <w:color w:val="000000"/>
          <w:sz w:val="26"/>
          <w:szCs w:val="26"/>
        </w:rPr>
      </w:pPr>
    </w:p>
    <w:p w:rsidR="00D42FA9" w:rsidRPr="0074786E" w:rsidRDefault="00D42FA9" w:rsidP="00342E30">
      <w:pPr>
        <w:widowControl/>
        <w:autoSpaceDE w:val="0"/>
        <w:autoSpaceDN w:val="0"/>
        <w:adjustRightInd w:val="0"/>
        <w:ind w:left="1440" w:right="1440"/>
        <w:rPr>
          <w:color w:val="000000"/>
          <w:sz w:val="26"/>
          <w:szCs w:val="26"/>
        </w:rPr>
      </w:pPr>
      <w:r w:rsidRPr="0074786E">
        <w:rPr>
          <w:b/>
          <w:bCs/>
          <w:color w:val="000000"/>
          <w:sz w:val="26"/>
          <w:szCs w:val="26"/>
        </w:rPr>
        <w:t xml:space="preserve">(a) </w:t>
      </w:r>
      <w:r>
        <w:rPr>
          <w:b/>
          <w:bCs/>
          <w:color w:val="000000"/>
          <w:sz w:val="26"/>
          <w:szCs w:val="26"/>
        </w:rPr>
        <w:t xml:space="preserve"> </w:t>
      </w:r>
      <w:r w:rsidRPr="0074786E">
        <w:rPr>
          <w:b/>
          <w:bCs/>
          <w:color w:val="000000"/>
          <w:sz w:val="26"/>
          <w:szCs w:val="26"/>
        </w:rPr>
        <w:t>Notice to public utility.</w:t>
      </w:r>
      <w:r>
        <w:rPr>
          <w:b/>
          <w:bCs/>
          <w:color w:val="000000"/>
          <w:sz w:val="26"/>
          <w:szCs w:val="26"/>
        </w:rPr>
        <w:t>—</w:t>
      </w:r>
      <w:r w:rsidRPr="0074786E">
        <w:rPr>
          <w:color w:val="000000"/>
          <w:sz w:val="26"/>
          <w:szCs w:val="26"/>
        </w:rPr>
        <w:t>It</w:t>
      </w:r>
      <w:r>
        <w:rPr>
          <w:color w:val="000000"/>
          <w:sz w:val="26"/>
          <w:szCs w:val="26"/>
        </w:rPr>
        <w:t xml:space="preserve"> </w:t>
      </w:r>
      <w:r w:rsidRPr="0074786E">
        <w:rPr>
          <w:color w:val="000000"/>
          <w:sz w:val="26"/>
          <w:szCs w:val="26"/>
        </w:rPr>
        <w:t>is the duty of every owner of a residential building or mobile home park which contains one or more dwelling units, not individually metered, to notify each public utility from whom utility service is received of their ownership and the fact that the premises served are used for rental purposes.</w:t>
      </w:r>
      <w:bookmarkStart w:id="0" w:name="IN;3"/>
      <w:bookmarkStart w:id="1" w:name="SP;a83b000018c76"/>
      <w:bookmarkEnd w:id="0"/>
      <w:bookmarkEnd w:id="1"/>
    </w:p>
    <w:p w:rsidR="00D42FA9" w:rsidRPr="0074786E" w:rsidRDefault="00D42FA9" w:rsidP="00342E30">
      <w:pPr>
        <w:widowControl/>
        <w:autoSpaceDE w:val="0"/>
        <w:autoSpaceDN w:val="0"/>
        <w:adjustRightInd w:val="0"/>
        <w:ind w:left="1440" w:right="1440"/>
        <w:rPr>
          <w:b/>
          <w:bCs/>
          <w:color w:val="000000"/>
          <w:sz w:val="26"/>
          <w:szCs w:val="26"/>
        </w:rPr>
      </w:pPr>
    </w:p>
    <w:p w:rsidR="00D42FA9" w:rsidRPr="0074786E" w:rsidRDefault="00D42FA9" w:rsidP="00342E30">
      <w:pPr>
        <w:widowControl/>
        <w:ind w:left="1440" w:right="1440"/>
        <w:rPr>
          <w:color w:val="000000"/>
          <w:sz w:val="26"/>
          <w:szCs w:val="26"/>
        </w:rPr>
      </w:pPr>
      <w:r w:rsidRPr="0074786E">
        <w:rPr>
          <w:b/>
          <w:bCs/>
          <w:color w:val="000000"/>
          <w:sz w:val="26"/>
          <w:szCs w:val="26"/>
        </w:rPr>
        <w:t xml:space="preserve">(b) </w:t>
      </w:r>
      <w:r>
        <w:rPr>
          <w:b/>
          <w:bCs/>
          <w:color w:val="000000"/>
          <w:sz w:val="26"/>
          <w:szCs w:val="26"/>
        </w:rPr>
        <w:t xml:space="preserve"> </w:t>
      </w:r>
      <w:r w:rsidRPr="0074786E">
        <w:rPr>
          <w:b/>
          <w:bCs/>
          <w:color w:val="000000"/>
          <w:sz w:val="26"/>
          <w:szCs w:val="26"/>
        </w:rPr>
        <w:t>History of account.</w:t>
      </w:r>
      <w:r>
        <w:rPr>
          <w:b/>
          <w:bCs/>
          <w:color w:val="000000"/>
          <w:sz w:val="26"/>
          <w:szCs w:val="26"/>
        </w:rPr>
        <w:t>—</w:t>
      </w:r>
      <w:r w:rsidRPr="0074786E">
        <w:rPr>
          <w:color w:val="000000"/>
          <w:sz w:val="26"/>
          <w:szCs w:val="26"/>
        </w:rPr>
        <w:t xml:space="preserve">Upon receipt of the notice provided in this section, if the mobile home park or residential building contains one or more dwelling </w:t>
      </w:r>
      <w:bookmarkStart w:id="2" w:name="SDU_2"/>
      <w:bookmarkEnd w:id="2"/>
      <w:r w:rsidRPr="0074786E">
        <w:rPr>
          <w:color w:val="000000"/>
          <w:sz w:val="26"/>
          <w:szCs w:val="26"/>
        </w:rPr>
        <w:t xml:space="preserve">units not individually metered, an affected public utility shall forthwith list the account for the premises in question in the name of the owner, and the owner shall thereafter be responsible for the payment for the utility services rendered thereunto. </w:t>
      </w:r>
      <w:r>
        <w:rPr>
          <w:color w:val="000000"/>
          <w:sz w:val="26"/>
          <w:szCs w:val="26"/>
        </w:rPr>
        <w:t xml:space="preserve"> </w:t>
      </w:r>
      <w:r w:rsidRPr="0074786E">
        <w:rPr>
          <w:color w:val="000000"/>
          <w:sz w:val="26"/>
          <w:szCs w:val="26"/>
        </w:rPr>
        <w:t>In the case of individually metered dwelling units, unless notified to the contrary by the tenant or an authorized representative, an affected public utility shall list the account for the premises in question in the name of the owner, and the owner shall be responsible for the payment for utility services to the premises.</w:t>
      </w:r>
      <w:bookmarkStart w:id="3" w:name="IN;4"/>
      <w:bookmarkStart w:id="4" w:name="SP;4b24000003ba5"/>
      <w:bookmarkEnd w:id="3"/>
      <w:bookmarkEnd w:id="4"/>
    </w:p>
    <w:p w:rsidR="00D42FA9" w:rsidRPr="0074786E" w:rsidRDefault="00D42FA9" w:rsidP="00342E30">
      <w:pPr>
        <w:widowControl/>
        <w:ind w:left="1440" w:right="1440"/>
        <w:rPr>
          <w:b/>
          <w:bCs/>
          <w:color w:val="000000"/>
          <w:sz w:val="26"/>
          <w:szCs w:val="26"/>
        </w:rPr>
      </w:pPr>
    </w:p>
    <w:p w:rsidR="00D42FA9" w:rsidRDefault="00D42FA9" w:rsidP="00342E30">
      <w:pPr>
        <w:widowControl/>
        <w:ind w:left="1440" w:right="1440"/>
        <w:rPr>
          <w:color w:val="000000"/>
          <w:sz w:val="26"/>
          <w:szCs w:val="26"/>
        </w:rPr>
      </w:pPr>
      <w:r w:rsidRPr="0074786E">
        <w:rPr>
          <w:b/>
          <w:bCs/>
          <w:color w:val="000000"/>
          <w:sz w:val="26"/>
          <w:szCs w:val="26"/>
        </w:rPr>
        <w:t xml:space="preserve">(c) </w:t>
      </w:r>
      <w:r>
        <w:rPr>
          <w:b/>
          <w:bCs/>
          <w:color w:val="000000"/>
          <w:sz w:val="26"/>
          <w:szCs w:val="26"/>
        </w:rPr>
        <w:t xml:space="preserve"> </w:t>
      </w:r>
      <w:r w:rsidRPr="0074786E">
        <w:rPr>
          <w:b/>
          <w:bCs/>
          <w:color w:val="000000"/>
          <w:sz w:val="26"/>
          <w:szCs w:val="26"/>
        </w:rPr>
        <w:t>Failure to give notice.</w:t>
      </w:r>
      <w:r>
        <w:rPr>
          <w:b/>
          <w:bCs/>
          <w:color w:val="000000"/>
          <w:sz w:val="26"/>
          <w:szCs w:val="26"/>
        </w:rPr>
        <w:t>—</w:t>
      </w:r>
      <w:r w:rsidRPr="0074786E">
        <w:rPr>
          <w:color w:val="000000"/>
          <w:sz w:val="26"/>
          <w:szCs w:val="26"/>
        </w:rPr>
        <w:t>Any owner of a residential building or mobile home park failing to notify affected public utilities as required by this section shall nonetheless be responsible for payment of the utility services as if the required notice had been given.</w:t>
      </w:r>
    </w:p>
    <w:p w:rsidR="00D0442D" w:rsidRPr="0074786E" w:rsidRDefault="00D0442D" w:rsidP="009546F8">
      <w:pPr>
        <w:widowControl/>
        <w:rPr>
          <w:rFonts w:eastAsia="Calibri"/>
          <w:sz w:val="26"/>
          <w:szCs w:val="26"/>
        </w:rPr>
      </w:pPr>
    </w:p>
    <w:p w:rsidR="00D42FA9" w:rsidRDefault="00D42FA9" w:rsidP="009546F8">
      <w:pPr>
        <w:widowControl/>
        <w:spacing w:line="360" w:lineRule="auto"/>
        <w:rPr>
          <w:sz w:val="26"/>
          <w:szCs w:val="26"/>
        </w:rPr>
      </w:pPr>
      <w:r>
        <w:rPr>
          <w:sz w:val="26"/>
          <w:szCs w:val="26"/>
        </w:rPr>
        <w:lastRenderedPageBreak/>
        <w:t xml:space="preserve">The express language of </w:t>
      </w:r>
      <w:r w:rsidR="00B652FA">
        <w:rPr>
          <w:sz w:val="26"/>
          <w:szCs w:val="26"/>
        </w:rPr>
        <w:t>Section 1529.1 provides that the owner of a</w:t>
      </w:r>
      <w:r>
        <w:rPr>
          <w:sz w:val="26"/>
          <w:szCs w:val="26"/>
        </w:rPr>
        <w:t xml:space="preserve"> rental property is responsible for the payment of all utility services provided to the property when </w:t>
      </w:r>
      <w:r w:rsidR="00B652FA">
        <w:rPr>
          <w:sz w:val="26"/>
          <w:szCs w:val="26"/>
        </w:rPr>
        <w:t>foreign wiring is discovered</w:t>
      </w:r>
      <w:r>
        <w:rPr>
          <w:sz w:val="26"/>
          <w:szCs w:val="26"/>
        </w:rPr>
        <w:t xml:space="preserve">.  </w:t>
      </w:r>
    </w:p>
    <w:p w:rsidR="00D42FA9" w:rsidRDefault="00D42FA9" w:rsidP="009546F8">
      <w:pPr>
        <w:widowControl/>
        <w:spacing w:line="360" w:lineRule="auto"/>
        <w:rPr>
          <w:sz w:val="26"/>
          <w:szCs w:val="26"/>
        </w:rPr>
      </w:pPr>
    </w:p>
    <w:p w:rsidR="00D42FA9" w:rsidRDefault="00D42FA9" w:rsidP="009546F8">
      <w:pPr>
        <w:widowControl/>
        <w:spacing w:line="360" w:lineRule="auto"/>
        <w:rPr>
          <w:sz w:val="26"/>
          <w:szCs w:val="26"/>
        </w:rPr>
      </w:pPr>
      <w:r>
        <w:rPr>
          <w:sz w:val="26"/>
          <w:szCs w:val="26"/>
        </w:rPr>
        <w:tab/>
      </w:r>
      <w:r>
        <w:rPr>
          <w:sz w:val="26"/>
          <w:szCs w:val="26"/>
        </w:rPr>
        <w:tab/>
        <w:t xml:space="preserve">In interpreting this provision, the Commission has determined that well-established precedent “holds the property owner financially responsible for a tenant’s entire account, once foreign load is verified on the tenant’s service.”  </w:t>
      </w:r>
      <w:r w:rsidR="00342E30">
        <w:rPr>
          <w:i/>
          <w:sz w:val="26"/>
          <w:szCs w:val="26"/>
        </w:rPr>
        <w:t xml:space="preserve">Ace Check </w:t>
      </w:r>
      <w:r>
        <w:rPr>
          <w:i/>
          <w:sz w:val="26"/>
          <w:szCs w:val="26"/>
        </w:rPr>
        <w:t>Cashing, Inc. v. Philadelphia Gas Works</w:t>
      </w:r>
      <w:r>
        <w:rPr>
          <w:sz w:val="26"/>
          <w:szCs w:val="26"/>
        </w:rPr>
        <w:t xml:space="preserve">, Docket No. C-2008-2056428 (Order  entered May 21, 2010) at 6.  </w:t>
      </w:r>
      <w:r>
        <w:rPr>
          <w:i/>
          <w:sz w:val="26"/>
          <w:szCs w:val="26"/>
        </w:rPr>
        <w:t>See also, Santos v. Metropolitan Edison Co.</w:t>
      </w:r>
      <w:r w:rsidR="00A665F4">
        <w:rPr>
          <w:sz w:val="26"/>
          <w:szCs w:val="26"/>
        </w:rPr>
        <w:t>, 1997 Pa. PUC LEXIS 184 at </w:t>
      </w:r>
      <w:r>
        <w:rPr>
          <w:sz w:val="26"/>
          <w:szCs w:val="26"/>
        </w:rPr>
        <w:t>*21 (finding that,</w:t>
      </w:r>
      <w:r w:rsidR="00B652FA">
        <w:rPr>
          <w:sz w:val="26"/>
          <w:szCs w:val="26"/>
        </w:rPr>
        <w:t xml:space="preserve"> upon discovery of foreign load</w:t>
      </w:r>
      <w:r>
        <w:rPr>
          <w:sz w:val="26"/>
          <w:szCs w:val="26"/>
        </w:rPr>
        <w:t xml:space="preserve">, the utility must switch the account into the name of the landlord and bill the landlord’s account for any unpaid billing on the account).  The Commission’s foreign load policy was explained in detail in </w:t>
      </w:r>
      <w:r w:rsidRPr="007C455B">
        <w:rPr>
          <w:i/>
          <w:sz w:val="26"/>
          <w:szCs w:val="26"/>
        </w:rPr>
        <w:t>Ace Check Cashing</w:t>
      </w:r>
      <w:r>
        <w:rPr>
          <w:sz w:val="26"/>
          <w:szCs w:val="26"/>
        </w:rPr>
        <w:t xml:space="preserve">, </w:t>
      </w:r>
      <w:r w:rsidRPr="007C455B">
        <w:rPr>
          <w:i/>
          <w:sz w:val="26"/>
          <w:szCs w:val="26"/>
        </w:rPr>
        <w:t>supra</w:t>
      </w:r>
      <w:r>
        <w:rPr>
          <w:sz w:val="26"/>
          <w:szCs w:val="26"/>
        </w:rPr>
        <w:t xml:space="preserve">.  </w:t>
      </w:r>
      <w:r w:rsidRPr="00667954">
        <w:rPr>
          <w:sz w:val="26"/>
          <w:szCs w:val="26"/>
        </w:rPr>
        <w:t xml:space="preserve">Upon finding foreign load, the utility </w:t>
      </w:r>
      <w:r>
        <w:rPr>
          <w:sz w:val="26"/>
          <w:szCs w:val="26"/>
        </w:rPr>
        <w:t>must</w:t>
      </w:r>
      <w:r w:rsidRPr="00667954">
        <w:rPr>
          <w:sz w:val="26"/>
          <w:szCs w:val="26"/>
        </w:rPr>
        <w:t xml:space="preserve"> list the account, including any arrearages, in the landlord</w:t>
      </w:r>
      <w:r>
        <w:rPr>
          <w:sz w:val="26"/>
          <w:szCs w:val="26"/>
        </w:rPr>
        <w:t>’s name</w:t>
      </w:r>
      <w:r w:rsidRPr="00667954">
        <w:rPr>
          <w:sz w:val="26"/>
          <w:szCs w:val="26"/>
        </w:rPr>
        <w:t xml:space="preserve">.  The landlord </w:t>
      </w:r>
      <w:r>
        <w:rPr>
          <w:sz w:val="26"/>
          <w:szCs w:val="26"/>
        </w:rPr>
        <w:t>is</w:t>
      </w:r>
      <w:r w:rsidRPr="00667954">
        <w:rPr>
          <w:sz w:val="26"/>
          <w:szCs w:val="26"/>
        </w:rPr>
        <w:t xml:space="preserve"> responsibl</w:t>
      </w:r>
      <w:r>
        <w:rPr>
          <w:sz w:val="26"/>
          <w:szCs w:val="26"/>
        </w:rPr>
        <w:t>e</w:t>
      </w:r>
      <w:r w:rsidRPr="00667954">
        <w:rPr>
          <w:sz w:val="26"/>
          <w:szCs w:val="26"/>
        </w:rPr>
        <w:t xml:space="preserve"> </w:t>
      </w:r>
      <w:r>
        <w:rPr>
          <w:sz w:val="26"/>
          <w:szCs w:val="26"/>
        </w:rPr>
        <w:t>f</w:t>
      </w:r>
      <w:r w:rsidRPr="00667954">
        <w:rPr>
          <w:sz w:val="26"/>
          <w:szCs w:val="26"/>
        </w:rPr>
        <w:t>o</w:t>
      </w:r>
      <w:r>
        <w:rPr>
          <w:sz w:val="26"/>
          <w:szCs w:val="26"/>
        </w:rPr>
        <w:t>r</w:t>
      </w:r>
      <w:r w:rsidRPr="00667954">
        <w:rPr>
          <w:sz w:val="26"/>
          <w:szCs w:val="26"/>
        </w:rPr>
        <w:t xml:space="preserve"> pay</w:t>
      </w:r>
      <w:r>
        <w:rPr>
          <w:sz w:val="26"/>
          <w:szCs w:val="26"/>
        </w:rPr>
        <w:t>ing</w:t>
      </w:r>
      <w:r w:rsidRPr="00667954">
        <w:rPr>
          <w:sz w:val="26"/>
          <w:szCs w:val="26"/>
        </w:rPr>
        <w:t xml:space="preserve"> the utility bills until the foreign load </w:t>
      </w:r>
      <w:r>
        <w:rPr>
          <w:sz w:val="26"/>
          <w:szCs w:val="26"/>
        </w:rPr>
        <w:t>i</w:t>
      </w:r>
      <w:r w:rsidRPr="00667954">
        <w:rPr>
          <w:sz w:val="26"/>
          <w:szCs w:val="26"/>
        </w:rPr>
        <w:t xml:space="preserve">s corrected.  </w:t>
      </w:r>
      <w:r>
        <w:rPr>
          <w:sz w:val="26"/>
          <w:szCs w:val="26"/>
        </w:rPr>
        <w:t xml:space="preserve">After the foreign load is </w:t>
      </w:r>
      <w:r w:rsidRPr="00667954">
        <w:rPr>
          <w:sz w:val="26"/>
          <w:szCs w:val="26"/>
        </w:rPr>
        <w:t xml:space="preserve">corrected by the landlord and verified by the utility, the utility </w:t>
      </w:r>
      <w:r>
        <w:rPr>
          <w:sz w:val="26"/>
          <w:szCs w:val="26"/>
        </w:rPr>
        <w:t>is to</w:t>
      </w:r>
      <w:r w:rsidRPr="00667954">
        <w:rPr>
          <w:sz w:val="26"/>
          <w:szCs w:val="26"/>
        </w:rPr>
        <w:t xml:space="preserve"> place the account back in</w:t>
      </w:r>
      <w:r>
        <w:rPr>
          <w:sz w:val="26"/>
          <w:szCs w:val="26"/>
        </w:rPr>
        <w:t>to</w:t>
      </w:r>
      <w:r w:rsidRPr="00667954">
        <w:rPr>
          <w:sz w:val="26"/>
          <w:szCs w:val="26"/>
        </w:rPr>
        <w:t xml:space="preserve"> the tenant</w:t>
      </w:r>
      <w:r>
        <w:rPr>
          <w:sz w:val="26"/>
          <w:szCs w:val="26"/>
        </w:rPr>
        <w:t xml:space="preserve">’s name.  </w:t>
      </w:r>
      <w:r w:rsidRPr="00701370">
        <w:rPr>
          <w:i/>
          <w:sz w:val="26"/>
          <w:szCs w:val="26"/>
        </w:rPr>
        <w:t>Id</w:t>
      </w:r>
      <w:r>
        <w:rPr>
          <w:sz w:val="26"/>
          <w:szCs w:val="26"/>
        </w:rPr>
        <w:t>. at 7.  However, the landlord remains responsible for any arrearages on the tenant’s account</w:t>
      </w:r>
      <w:r w:rsidRPr="00667954">
        <w:rPr>
          <w:sz w:val="26"/>
          <w:szCs w:val="26"/>
        </w:rPr>
        <w:t>.</w:t>
      </w:r>
      <w:r>
        <w:rPr>
          <w:sz w:val="26"/>
          <w:szCs w:val="26"/>
        </w:rPr>
        <w:t xml:space="preserve">  </w:t>
      </w:r>
      <w:r w:rsidRPr="00701370">
        <w:rPr>
          <w:i/>
          <w:sz w:val="26"/>
          <w:szCs w:val="26"/>
        </w:rPr>
        <w:t>Id</w:t>
      </w:r>
      <w:r>
        <w:rPr>
          <w:sz w:val="26"/>
          <w:szCs w:val="26"/>
        </w:rPr>
        <w:t>. at 7-8.</w:t>
      </w:r>
    </w:p>
    <w:p w:rsidR="009D395F" w:rsidRDefault="009D395F" w:rsidP="009546F8">
      <w:pPr>
        <w:widowControl/>
        <w:spacing w:line="360" w:lineRule="auto"/>
        <w:rPr>
          <w:sz w:val="26"/>
          <w:szCs w:val="26"/>
        </w:rPr>
      </w:pPr>
    </w:p>
    <w:p w:rsidR="006D167A" w:rsidRDefault="00D42FA9" w:rsidP="009546F8">
      <w:pPr>
        <w:widowControl/>
        <w:spacing w:line="360" w:lineRule="auto"/>
        <w:rPr>
          <w:sz w:val="26"/>
          <w:szCs w:val="26"/>
        </w:rPr>
      </w:pPr>
      <w:r>
        <w:rPr>
          <w:sz w:val="26"/>
          <w:szCs w:val="26"/>
        </w:rPr>
        <w:tab/>
      </w:r>
      <w:r>
        <w:rPr>
          <w:sz w:val="26"/>
          <w:szCs w:val="26"/>
        </w:rPr>
        <w:tab/>
        <w:t>Based on th</w:t>
      </w:r>
      <w:r w:rsidR="00D0442D">
        <w:rPr>
          <w:sz w:val="26"/>
          <w:szCs w:val="26"/>
        </w:rPr>
        <w:t xml:space="preserve">e evidence in this case, </w:t>
      </w:r>
      <w:r w:rsidR="00AA5130">
        <w:rPr>
          <w:sz w:val="26"/>
          <w:szCs w:val="26"/>
        </w:rPr>
        <w:t xml:space="preserve">we conclude that </w:t>
      </w:r>
      <w:r w:rsidR="00D0442D">
        <w:rPr>
          <w:sz w:val="26"/>
          <w:szCs w:val="26"/>
        </w:rPr>
        <w:t>PECO</w:t>
      </w:r>
      <w:r>
        <w:rPr>
          <w:sz w:val="26"/>
          <w:szCs w:val="26"/>
        </w:rPr>
        <w:t xml:space="preserve"> complied wit</w:t>
      </w:r>
      <w:r w:rsidR="001D582A">
        <w:rPr>
          <w:sz w:val="26"/>
          <w:szCs w:val="26"/>
        </w:rPr>
        <w:t xml:space="preserve">h the law by placing the </w:t>
      </w:r>
      <w:r>
        <w:rPr>
          <w:sz w:val="26"/>
          <w:szCs w:val="26"/>
        </w:rPr>
        <w:t>first floor tenant’s account into the Complainant’s name.</w:t>
      </w:r>
      <w:r w:rsidR="00D0442D">
        <w:rPr>
          <w:sz w:val="26"/>
          <w:szCs w:val="26"/>
        </w:rPr>
        <w:t xml:space="preserve">  PECO</w:t>
      </w:r>
      <w:r>
        <w:rPr>
          <w:sz w:val="26"/>
          <w:szCs w:val="26"/>
        </w:rPr>
        <w:t xml:space="preserve"> presented evidence to show that it verified the exis</w:t>
      </w:r>
      <w:r w:rsidR="009D395F">
        <w:rPr>
          <w:sz w:val="26"/>
          <w:szCs w:val="26"/>
        </w:rPr>
        <w:t xml:space="preserve">tence of foreign load on April </w:t>
      </w:r>
      <w:r>
        <w:rPr>
          <w:sz w:val="26"/>
          <w:szCs w:val="26"/>
        </w:rPr>
        <w:t>1</w:t>
      </w:r>
      <w:r w:rsidR="009D395F">
        <w:rPr>
          <w:sz w:val="26"/>
          <w:szCs w:val="26"/>
        </w:rPr>
        <w:t>3</w:t>
      </w:r>
      <w:r>
        <w:rPr>
          <w:sz w:val="26"/>
          <w:szCs w:val="26"/>
        </w:rPr>
        <w:t>, 201</w:t>
      </w:r>
      <w:r w:rsidR="009D395F">
        <w:rPr>
          <w:sz w:val="26"/>
          <w:szCs w:val="26"/>
        </w:rPr>
        <w:t>1</w:t>
      </w:r>
      <w:r>
        <w:rPr>
          <w:sz w:val="26"/>
          <w:szCs w:val="26"/>
        </w:rPr>
        <w:t xml:space="preserve">, </w:t>
      </w:r>
      <w:r w:rsidR="009D395F">
        <w:rPr>
          <w:sz w:val="26"/>
          <w:szCs w:val="26"/>
        </w:rPr>
        <w:t xml:space="preserve">and again on February 8, 2012, </w:t>
      </w:r>
      <w:r>
        <w:rPr>
          <w:sz w:val="26"/>
          <w:szCs w:val="26"/>
        </w:rPr>
        <w:t>when its technician</w:t>
      </w:r>
      <w:r w:rsidR="009D395F">
        <w:rPr>
          <w:sz w:val="26"/>
          <w:szCs w:val="26"/>
        </w:rPr>
        <w:t>s</w:t>
      </w:r>
      <w:r>
        <w:rPr>
          <w:sz w:val="26"/>
          <w:szCs w:val="26"/>
        </w:rPr>
        <w:t xml:space="preserve"> </w:t>
      </w:r>
      <w:r w:rsidR="009D395F">
        <w:rPr>
          <w:sz w:val="26"/>
          <w:szCs w:val="26"/>
        </w:rPr>
        <w:t>found</w:t>
      </w:r>
      <w:r>
        <w:rPr>
          <w:sz w:val="26"/>
          <w:szCs w:val="26"/>
        </w:rPr>
        <w:t xml:space="preserve"> </w:t>
      </w:r>
      <w:r w:rsidR="009D395F">
        <w:rPr>
          <w:sz w:val="26"/>
          <w:szCs w:val="26"/>
        </w:rPr>
        <w:t>impr</w:t>
      </w:r>
      <w:r w:rsidR="001D582A">
        <w:rPr>
          <w:sz w:val="26"/>
          <w:szCs w:val="26"/>
        </w:rPr>
        <w:t xml:space="preserve">operly wired electric </w:t>
      </w:r>
      <w:r w:rsidR="009D395F">
        <w:rPr>
          <w:sz w:val="26"/>
          <w:szCs w:val="26"/>
        </w:rPr>
        <w:t>appliances.</w:t>
      </w:r>
      <w:r>
        <w:rPr>
          <w:sz w:val="26"/>
          <w:szCs w:val="26"/>
        </w:rPr>
        <w:t xml:space="preserve">  The Complainant did not deny that </w:t>
      </w:r>
      <w:r w:rsidR="009D395F">
        <w:rPr>
          <w:sz w:val="26"/>
          <w:szCs w:val="26"/>
        </w:rPr>
        <w:t xml:space="preserve">these </w:t>
      </w:r>
      <w:r>
        <w:rPr>
          <w:sz w:val="26"/>
          <w:szCs w:val="26"/>
        </w:rPr>
        <w:t>foreign load</w:t>
      </w:r>
      <w:r w:rsidR="009D395F">
        <w:rPr>
          <w:sz w:val="26"/>
          <w:szCs w:val="26"/>
        </w:rPr>
        <w:t>s</w:t>
      </w:r>
      <w:r>
        <w:rPr>
          <w:sz w:val="26"/>
          <w:szCs w:val="26"/>
        </w:rPr>
        <w:t xml:space="preserve"> existed and did not present any evidence to the</w:t>
      </w:r>
      <w:r w:rsidR="009D395F">
        <w:rPr>
          <w:sz w:val="26"/>
          <w:szCs w:val="26"/>
        </w:rPr>
        <w:t xml:space="preserve"> contrary.  Accordingly, PECO</w:t>
      </w:r>
      <w:r>
        <w:rPr>
          <w:sz w:val="26"/>
          <w:szCs w:val="26"/>
        </w:rPr>
        <w:t xml:space="preserve"> was required to place the tenant’s ent</w:t>
      </w:r>
      <w:r w:rsidR="009D395F">
        <w:rPr>
          <w:sz w:val="26"/>
          <w:szCs w:val="26"/>
        </w:rPr>
        <w:t>ire account balance</w:t>
      </w:r>
      <w:r>
        <w:rPr>
          <w:sz w:val="26"/>
          <w:szCs w:val="26"/>
        </w:rPr>
        <w:t xml:space="preserve"> into the Complainant’s name, regardless of the amount of the balance that may have been attributable to foreign load.  As such, the Complainant failed to meet his burden o</w:t>
      </w:r>
      <w:r w:rsidR="001D582A">
        <w:rPr>
          <w:sz w:val="26"/>
          <w:szCs w:val="26"/>
        </w:rPr>
        <w:t>f proving</w:t>
      </w:r>
      <w:r w:rsidR="003C42CD">
        <w:rPr>
          <w:sz w:val="26"/>
          <w:szCs w:val="26"/>
        </w:rPr>
        <w:t xml:space="preserve"> </w:t>
      </w:r>
      <w:r w:rsidR="001D582A">
        <w:rPr>
          <w:sz w:val="26"/>
          <w:szCs w:val="26"/>
        </w:rPr>
        <w:t>t</w:t>
      </w:r>
      <w:r w:rsidR="003C42CD">
        <w:rPr>
          <w:sz w:val="26"/>
          <w:szCs w:val="26"/>
        </w:rPr>
        <w:t>hat PECO</w:t>
      </w:r>
      <w:r w:rsidR="001D582A">
        <w:rPr>
          <w:sz w:val="26"/>
          <w:szCs w:val="26"/>
        </w:rPr>
        <w:t>’s</w:t>
      </w:r>
      <w:r>
        <w:rPr>
          <w:sz w:val="26"/>
          <w:szCs w:val="26"/>
        </w:rPr>
        <w:t xml:space="preserve"> </w:t>
      </w:r>
      <w:r w:rsidR="001D582A">
        <w:rPr>
          <w:sz w:val="26"/>
          <w:szCs w:val="26"/>
        </w:rPr>
        <w:t xml:space="preserve">actions </w:t>
      </w:r>
      <w:r>
        <w:rPr>
          <w:sz w:val="26"/>
          <w:szCs w:val="26"/>
        </w:rPr>
        <w:t xml:space="preserve">violated any </w:t>
      </w:r>
      <w:r>
        <w:rPr>
          <w:sz w:val="26"/>
          <w:szCs w:val="26"/>
        </w:rPr>
        <w:lastRenderedPageBreak/>
        <w:t xml:space="preserve">provisions of the Code or of the Commission’s Rules and Regulations.  </w:t>
      </w:r>
      <w:r w:rsidR="006D167A">
        <w:rPr>
          <w:sz w:val="26"/>
          <w:szCs w:val="26"/>
        </w:rPr>
        <w:t>Therefore, we shall deny the Exceptions of the Complainant on this issue.</w:t>
      </w:r>
    </w:p>
    <w:p w:rsidR="006D167A" w:rsidRDefault="006D167A" w:rsidP="009546F8">
      <w:pPr>
        <w:widowControl/>
        <w:spacing w:line="360" w:lineRule="auto"/>
        <w:rPr>
          <w:sz w:val="26"/>
          <w:szCs w:val="26"/>
        </w:rPr>
      </w:pPr>
    </w:p>
    <w:p w:rsidR="006D167A" w:rsidRDefault="006D167A" w:rsidP="009546F8">
      <w:pPr>
        <w:widowControl/>
        <w:spacing w:line="360" w:lineRule="auto"/>
        <w:rPr>
          <w:sz w:val="26"/>
          <w:szCs w:val="26"/>
        </w:rPr>
      </w:pPr>
      <w:r>
        <w:rPr>
          <w:sz w:val="26"/>
          <w:szCs w:val="26"/>
        </w:rPr>
        <w:tab/>
      </w:r>
      <w:r>
        <w:rPr>
          <w:sz w:val="26"/>
          <w:szCs w:val="26"/>
        </w:rPr>
        <w:tab/>
        <w:t xml:space="preserve">Additionally, we are not persuaded by the </w:t>
      </w:r>
      <w:r w:rsidR="00A74462">
        <w:rPr>
          <w:sz w:val="26"/>
          <w:szCs w:val="26"/>
        </w:rPr>
        <w:t xml:space="preserve">Complainant’s </w:t>
      </w:r>
      <w:r w:rsidR="009D65F5">
        <w:rPr>
          <w:sz w:val="26"/>
          <w:szCs w:val="26"/>
        </w:rPr>
        <w:t>Exceptions with</w:t>
      </w:r>
      <w:r>
        <w:rPr>
          <w:sz w:val="26"/>
          <w:szCs w:val="26"/>
        </w:rPr>
        <w:t xml:space="preserve"> regard to the alleged trespass by PECO personnel.  On this point, we are in agreement with the ALJ that nothing in the record of this proceeding supports the allegation that PECO personnel acted outside of the tariff</w:t>
      </w:r>
      <w:r w:rsidR="009D65F5">
        <w:rPr>
          <w:sz w:val="26"/>
          <w:szCs w:val="26"/>
        </w:rPr>
        <w:t xml:space="preserve">, which provides that PECO has the </w:t>
      </w:r>
      <w:r>
        <w:rPr>
          <w:sz w:val="26"/>
          <w:szCs w:val="26"/>
        </w:rPr>
        <w:t>right of access for the purpose of reading meters, and for installing, testing, inspecting, repairing, removing or changing Company-owned equipment.  Accordingly, we shall deny the Exceptions of the Complainant on this issue.</w:t>
      </w:r>
    </w:p>
    <w:p w:rsidR="009D65F5" w:rsidRDefault="009D65F5" w:rsidP="009546F8">
      <w:pPr>
        <w:widowControl/>
        <w:spacing w:line="360" w:lineRule="auto"/>
        <w:rPr>
          <w:sz w:val="26"/>
          <w:szCs w:val="26"/>
        </w:rPr>
      </w:pPr>
    </w:p>
    <w:p w:rsidR="009D65F5" w:rsidRDefault="009D65F5" w:rsidP="009546F8">
      <w:pPr>
        <w:widowControl/>
        <w:spacing w:line="360" w:lineRule="auto"/>
        <w:rPr>
          <w:sz w:val="26"/>
          <w:szCs w:val="26"/>
        </w:rPr>
      </w:pPr>
      <w:r>
        <w:rPr>
          <w:sz w:val="26"/>
          <w:szCs w:val="26"/>
        </w:rPr>
        <w:tab/>
      </w:r>
      <w:r>
        <w:rPr>
          <w:sz w:val="26"/>
          <w:szCs w:val="26"/>
        </w:rPr>
        <w:tab/>
      </w:r>
      <w:r w:rsidR="00255C49">
        <w:rPr>
          <w:sz w:val="26"/>
          <w:szCs w:val="26"/>
        </w:rPr>
        <w:t>W</w:t>
      </w:r>
      <w:r>
        <w:rPr>
          <w:sz w:val="26"/>
          <w:szCs w:val="26"/>
        </w:rPr>
        <w:t>e are in agreement with the ALJ that the Complainant met his burden of proving, in part, that there were incorrect charges on his bill due to PECO billing the tenants at the higher non-heating residential rate.  We note that PECO corrected this inaccurate billing in its amended Exhibits.</w:t>
      </w:r>
      <w:r w:rsidR="00255C49">
        <w:rPr>
          <w:sz w:val="26"/>
          <w:szCs w:val="26"/>
        </w:rPr>
        <w:t xml:space="preserve">  </w:t>
      </w:r>
    </w:p>
    <w:p w:rsidR="00255C49" w:rsidRDefault="00255C49" w:rsidP="00255C49">
      <w:pPr>
        <w:widowControl/>
        <w:spacing w:line="360" w:lineRule="auto"/>
        <w:rPr>
          <w:sz w:val="26"/>
          <w:szCs w:val="26"/>
        </w:rPr>
      </w:pPr>
    </w:p>
    <w:p w:rsidR="00502D3C" w:rsidRPr="000F4E9D" w:rsidRDefault="00255C49" w:rsidP="00502D3C">
      <w:pPr>
        <w:widowControl/>
        <w:spacing w:line="360" w:lineRule="auto"/>
        <w:rPr>
          <w:sz w:val="26"/>
          <w:szCs w:val="26"/>
        </w:rPr>
      </w:pPr>
      <w:r w:rsidRPr="000F4E9D">
        <w:rPr>
          <w:sz w:val="26"/>
          <w:szCs w:val="26"/>
        </w:rPr>
        <w:tab/>
      </w:r>
      <w:r w:rsidRPr="000F4E9D">
        <w:rPr>
          <w:sz w:val="26"/>
          <w:szCs w:val="26"/>
        </w:rPr>
        <w:tab/>
        <w:t>We also agree with the ALJ</w:t>
      </w:r>
      <w:r w:rsidR="005E6BDA" w:rsidRPr="000F4E9D">
        <w:rPr>
          <w:sz w:val="26"/>
          <w:szCs w:val="26"/>
        </w:rPr>
        <w:t xml:space="preserve"> that</w:t>
      </w:r>
      <w:r w:rsidR="000F4E9D">
        <w:rPr>
          <w:sz w:val="26"/>
          <w:szCs w:val="26"/>
        </w:rPr>
        <w:t>,</w:t>
      </w:r>
      <w:r w:rsidR="005E6BDA" w:rsidRPr="000F4E9D">
        <w:rPr>
          <w:sz w:val="26"/>
          <w:szCs w:val="26"/>
        </w:rPr>
        <w:t xml:space="preserve"> by billing the tenant of the service address at the incorrect rate for residential electric heating service, and transferring the incorrect billed charges to the Complainant from February 8</w:t>
      </w:r>
      <w:r w:rsidR="009A6317">
        <w:rPr>
          <w:sz w:val="26"/>
          <w:szCs w:val="26"/>
        </w:rPr>
        <w:t xml:space="preserve"> to </w:t>
      </w:r>
      <w:r w:rsidR="005E6BDA" w:rsidRPr="000F4E9D">
        <w:rPr>
          <w:sz w:val="26"/>
          <w:szCs w:val="26"/>
        </w:rPr>
        <w:t xml:space="preserve">August 9, 2012, that PECO violated Section 1501 of the Code, 66 Pa. C.S. § 1501.  I.D. at 25, Conclusion of Law No. 5.  We </w:t>
      </w:r>
      <w:r w:rsidR="000B15B2">
        <w:rPr>
          <w:sz w:val="26"/>
          <w:szCs w:val="26"/>
        </w:rPr>
        <w:t xml:space="preserve">are of the opinion </w:t>
      </w:r>
      <w:r w:rsidR="005E6BDA" w:rsidRPr="000F4E9D">
        <w:rPr>
          <w:sz w:val="26"/>
          <w:szCs w:val="26"/>
        </w:rPr>
        <w:t>that</w:t>
      </w:r>
      <w:r w:rsidR="000F4E9D">
        <w:rPr>
          <w:sz w:val="26"/>
          <w:szCs w:val="26"/>
        </w:rPr>
        <w:t xml:space="preserve">, </w:t>
      </w:r>
      <w:r w:rsidR="000F4E9D" w:rsidRPr="000F4E9D">
        <w:rPr>
          <w:sz w:val="26"/>
          <w:szCs w:val="26"/>
        </w:rPr>
        <w:t>pursuant to Section 3301(a) of the Code,</w:t>
      </w:r>
      <w:r w:rsidR="005E6BDA" w:rsidRPr="000F4E9D">
        <w:rPr>
          <w:sz w:val="26"/>
          <w:szCs w:val="26"/>
        </w:rPr>
        <w:t xml:space="preserve"> the ALJ properly assessed</w:t>
      </w:r>
      <w:r w:rsidR="000B15B2">
        <w:rPr>
          <w:sz w:val="26"/>
          <w:szCs w:val="26"/>
        </w:rPr>
        <w:t xml:space="preserve"> a</w:t>
      </w:r>
      <w:r w:rsidR="005E6BDA" w:rsidRPr="000F4E9D">
        <w:rPr>
          <w:sz w:val="26"/>
          <w:szCs w:val="26"/>
        </w:rPr>
        <w:t xml:space="preserve"> </w:t>
      </w:r>
      <w:r w:rsidR="001D6578" w:rsidRPr="000F4E9D">
        <w:rPr>
          <w:sz w:val="26"/>
          <w:szCs w:val="26"/>
        </w:rPr>
        <w:t xml:space="preserve">total </w:t>
      </w:r>
      <w:r w:rsidR="005E6BDA" w:rsidRPr="000F4E9D">
        <w:rPr>
          <w:sz w:val="26"/>
          <w:szCs w:val="26"/>
        </w:rPr>
        <w:t xml:space="preserve">civil </w:t>
      </w:r>
      <w:r w:rsidR="001D6578" w:rsidRPr="000F4E9D">
        <w:rPr>
          <w:sz w:val="26"/>
          <w:szCs w:val="26"/>
        </w:rPr>
        <w:t>penalty of $3,680 against PECO (</w:t>
      </w:r>
      <w:r w:rsidR="001D6578" w:rsidRPr="000F4E9D">
        <w:rPr>
          <w:i/>
          <w:sz w:val="26"/>
          <w:szCs w:val="26"/>
        </w:rPr>
        <w:t>i.e.</w:t>
      </w:r>
      <w:r w:rsidR="001D6578" w:rsidRPr="000F4E9D">
        <w:rPr>
          <w:sz w:val="26"/>
          <w:szCs w:val="26"/>
        </w:rPr>
        <w:t>, $20.00 per day for each of the 184 days that PECO was in violation of the Code)</w:t>
      </w:r>
      <w:r w:rsidR="000B15B2">
        <w:rPr>
          <w:sz w:val="26"/>
          <w:szCs w:val="26"/>
        </w:rPr>
        <w:t>.  In this regard, w</w:t>
      </w:r>
      <w:r w:rsidR="001C076E" w:rsidRPr="000F4E9D">
        <w:rPr>
          <w:sz w:val="26"/>
          <w:szCs w:val="26"/>
        </w:rPr>
        <w:t>e adopt the ALJ’s analysis on pages 19-24 of her Initial Decision in support of th</w:t>
      </w:r>
      <w:r w:rsidR="000B15B2">
        <w:rPr>
          <w:sz w:val="26"/>
          <w:szCs w:val="26"/>
        </w:rPr>
        <w:t xml:space="preserve">e assessed </w:t>
      </w:r>
      <w:r w:rsidR="001C076E" w:rsidRPr="000F4E9D">
        <w:rPr>
          <w:sz w:val="26"/>
          <w:szCs w:val="26"/>
        </w:rPr>
        <w:t xml:space="preserve">penalty consistent with </w:t>
      </w:r>
      <w:r w:rsidR="000F4E9D" w:rsidRPr="000F4E9D">
        <w:rPr>
          <w:sz w:val="26"/>
          <w:szCs w:val="26"/>
        </w:rPr>
        <w:t xml:space="preserve">the ten </w:t>
      </w:r>
      <w:r w:rsidR="000B15B2">
        <w:rPr>
          <w:sz w:val="26"/>
          <w:szCs w:val="26"/>
        </w:rPr>
        <w:t xml:space="preserve">evaluation factors and </w:t>
      </w:r>
      <w:r w:rsidR="000F4E9D" w:rsidRPr="000F4E9D">
        <w:rPr>
          <w:sz w:val="26"/>
          <w:szCs w:val="26"/>
        </w:rPr>
        <w:t xml:space="preserve">standards contained in </w:t>
      </w:r>
      <w:r w:rsidR="001C076E" w:rsidRPr="000F4E9D">
        <w:rPr>
          <w:sz w:val="26"/>
          <w:szCs w:val="26"/>
        </w:rPr>
        <w:t xml:space="preserve">our Policy Statement </w:t>
      </w:r>
      <w:r w:rsidR="000F4E9D" w:rsidRPr="000F4E9D">
        <w:rPr>
          <w:sz w:val="26"/>
          <w:szCs w:val="26"/>
        </w:rPr>
        <w:t xml:space="preserve">in Section 69.1201 of </w:t>
      </w:r>
      <w:r w:rsidR="000B15B2">
        <w:rPr>
          <w:sz w:val="26"/>
          <w:szCs w:val="26"/>
        </w:rPr>
        <w:t xml:space="preserve">our Regulations, 52 Pa. Code § 69.1201 </w:t>
      </w:r>
      <w:r w:rsidR="000F4E9D" w:rsidRPr="000F4E9D">
        <w:rPr>
          <w:sz w:val="26"/>
          <w:szCs w:val="26"/>
        </w:rPr>
        <w:t>(Factors and Standards for Evaluating Litigated and Settled Proceeding).</w:t>
      </w:r>
    </w:p>
    <w:p w:rsidR="006D167A" w:rsidRPr="000F4E9D" w:rsidRDefault="006D167A" w:rsidP="00255C49">
      <w:pPr>
        <w:widowControl/>
        <w:spacing w:line="360" w:lineRule="auto"/>
        <w:rPr>
          <w:sz w:val="26"/>
          <w:szCs w:val="26"/>
        </w:rPr>
      </w:pPr>
    </w:p>
    <w:p w:rsidR="00D42FA9" w:rsidRDefault="006D167A" w:rsidP="00502D3C">
      <w:pPr>
        <w:keepNext/>
        <w:widowControl/>
        <w:spacing w:line="360" w:lineRule="auto"/>
        <w:jc w:val="center"/>
        <w:rPr>
          <w:b/>
          <w:sz w:val="26"/>
          <w:szCs w:val="26"/>
        </w:rPr>
      </w:pPr>
      <w:r>
        <w:rPr>
          <w:b/>
          <w:sz w:val="26"/>
          <w:szCs w:val="26"/>
        </w:rPr>
        <w:lastRenderedPageBreak/>
        <w:t>Conclusion</w:t>
      </w:r>
    </w:p>
    <w:p w:rsidR="006D167A" w:rsidRDefault="006D167A" w:rsidP="00502D3C">
      <w:pPr>
        <w:keepNext/>
        <w:widowControl/>
        <w:spacing w:line="360" w:lineRule="auto"/>
        <w:jc w:val="center"/>
        <w:rPr>
          <w:b/>
          <w:sz w:val="26"/>
          <w:szCs w:val="26"/>
        </w:rPr>
      </w:pPr>
    </w:p>
    <w:p w:rsidR="006D167A" w:rsidRDefault="006D167A" w:rsidP="009546F8">
      <w:pPr>
        <w:widowControl/>
        <w:spacing w:line="360" w:lineRule="auto"/>
        <w:rPr>
          <w:sz w:val="26"/>
          <w:szCs w:val="26"/>
        </w:rPr>
      </w:pPr>
      <w:r>
        <w:rPr>
          <w:b/>
          <w:sz w:val="26"/>
          <w:szCs w:val="26"/>
        </w:rPr>
        <w:tab/>
      </w:r>
      <w:r>
        <w:rPr>
          <w:b/>
          <w:sz w:val="26"/>
          <w:szCs w:val="26"/>
        </w:rPr>
        <w:tab/>
      </w:r>
      <w:r w:rsidRPr="006D167A">
        <w:rPr>
          <w:sz w:val="26"/>
          <w:szCs w:val="26"/>
        </w:rPr>
        <w:t xml:space="preserve">Based upon the foregoing discussion, we shall deny the </w:t>
      </w:r>
      <w:r>
        <w:rPr>
          <w:sz w:val="26"/>
          <w:szCs w:val="26"/>
        </w:rPr>
        <w:t xml:space="preserve">Complainant’s </w:t>
      </w:r>
      <w:r w:rsidRPr="006D167A">
        <w:rPr>
          <w:sz w:val="26"/>
          <w:szCs w:val="26"/>
        </w:rPr>
        <w:t xml:space="preserve">Exceptions </w:t>
      </w:r>
      <w:r w:rsidR="00967A12">
        <w:rPr>
          <w:sz w:val="26"/>
          <w:szCs w:val="26"/>
        </w:rPr>
        <w:t>and adopt the Initial D</w:t>
      </w:r>
      <w:r>
        <w:rPr>
          <w:sz w:val="26"/>
          <w:szCs w:val="26"/>
        </w:rPr>
        <w:t xml:space="preserve">ecision, including the </w:t>
      </w:r>
      <w:r w:rsidR="00967A12">
        <w:rPr>
          <w:sz w:val="26"/>
          <w:szCs w:val="26"/>
        </w:rPr>
        <w:t xml:space="preserve">imposition of a $3,680.00 civil penalty on PECO, consistent with this Opinion and Order; </w:t>
      </w:r>
      <w:r w:rsidR="00967A12">
        <w:rPr>
          <w:b/>
          <w:sz w:val="26"/>
          <w:szCs w:val="26"/>
        </w:rPr>
        <w:t>THEREFORE</w:t>
      </w:r>
      <w:r w:rsidR="00967A12">
        <w:rPr>
          <w:sz w:val="26"/>
          <w:szCs w:val="26"/>
        </w:rPr>
        <w:t>,</w:t>
      </w:r>
    </w:p>
    <w:p w:rsidR="00967A12" w:rsidRDefault="00967A12" w:rsidP="009546F8">
      <w:pPr>
        <w:widowControl/>
        <w:spacing w:line="360" w:lineRule="auto"/>
        <w:rPr>
          <w:sz w:val="26"/>
          <w:szCs w:val="26"/>
        </w:rPr>
      </w:pPr>
    </w:p>
    <w:p w:rsidR="00967A12" w:rsidRDefault="00967A12" w:rsidP="009546F8">
      <w:pPr>
        <w:widowControl/>
        <w:spacing w:line="360" w:lineRule="auto"/>
        <w:rPr>
          <w:b/>
          <w:sz w:val="26"/>
          <w:szCs w:val="26"/>
        </w:rPr>
      </w:pPr>
      <w:r>
        <w:rPr>
          <w:sz w:val="26"/>
          <w:szCs w:val="26"/>
        </w:rPr>
        <w:tab/>
      </w:r>
      <w:r>
        <w:rPr>
          <w:sz w:val="26"/>
          <w:szCs w:val="26"/>
        </w:rPr>
        <w:tab/>
      </w:r>
      <w:r>
        <w:rPr>
          <w:b/>
          <w:sz w:val="26"/>
          <w:szCs w:val="26"/>
        </w:rPr>
        <w:t>IT IS ORDERED:</w:t>
      </w:r>
    </w:p>
    <w:p w:rsidR="00967A12" w:rsidRDefault="00967A12" w:rsidP="009546F8">
      <w:pPr>
        <w:widowControl/>
        <w:spacing w:line="360" w:lineRule="auto"/>
        <w:rPr>
          <w:b/>
          <w:sz w:val="26"/>
          <w:szCs w:val="26"/>
        </w:rPr>
      </w:pPr>
    </w:p>
    <w:p w:rsidR="00967A12" w:rsidRDefault="00967A12" w:rsidP="009546F8">
      <w:pPr>
        <w:widowControl/>
        <w:spacing w:line="360" w:lineRule="auto"/>
        <w:rPr>
          <w:sz w:val="26"/>
          <w:szCs w:val="26"/>
        </w:rPr>
      </w:pPr>
      <w:r>
        <w:rPr>
          <w:b/>
          <w:sz w:val="26"/>
          <w:szCs w:val="26"/>
        </w:rPr>
        <w:tab/>
      </w:r>
      <w:r>
        <w:rPr>
          <w:b/>
          <w:sz w:val="26"/>
          <w:szCs w:val="26"/>
        </w:rPr>
        <w:tab/>
      </w:r>
      <w:r>
        <w:rPr>
          <w:sz w:val="26"/>
          <w:szCs w:val="26"/>
        </w:rPr>
        <w:t>1.</w:t>
      </w:r>
      <w:r>
        <w:rPr>
          <w:sz w:val="26"/>
          <w:szCs w:val="26"/>
        </w:rPr>
        <w:tab/>
        <w:t>That the Exceptions of Jack Bleiman filed on December 18, 2012, are denied, consistent with this Opinion and Order.</w:t>
      </w:r>
    </w:p>
    <w:p w:rsidR="00967A12" w:rsidRPr="00967A12" w:rsidRDefault="00967A12" w:rsidP="009546F8">
      <w:pPr>
        <w:widowControl/>
        <w:spacing w:line="360" w:lineRule="auto"/>
        <w:rPr>
          <w:sz w:val="26"/>
          <w:szCs w:val="26"/>
        </w:rPr>
      </w:pPr>
    </w:p>
    <w:p w:rsidR="00967A12" w:rsidRDefault="007537EF" w:rsidP="009546F8">
      <w:pPr>
        <w:widowControl/>
        <w:spacing w:line="360" w:lineRule="auto"/>
        <w:rPr>
          <w:sz w:val="26"/>
          <w:szCs w:val="26"/>
        </w:rPr>
      </w:pPr>
      <w:r>
        <w:rPr>
          <w:sz w:val="26"/>
          <w:szCs w:val="26"/>
        </w:rPr>
        <w:t xml:space="preserve"> </w:t>
      </w:r>
      <w:r w:rsidR="00967A12">
        <w:rPr>
          <w:sz w:val="26"/>
          <w:szCs w:val="26"/>
        </w:rPr>
        <w:tab/>
      </w:r>
      <w:r w:rsidR="00967A12">
        <w:rPr>
          <w:sz w:val="26"/>
          <w:szCs w:val="26"/>
        </w:rPr>
        <w:tab/>
        <w:t>2.</w:t>
      </w:r>
      <w:r w:rsidR="00967A12">
        <w:rPr>
          <w:sz w:val="26"/>
          <w:szCs w:val="26"/>
        </w:rPr>
        <w:tab/>
        <w:t>That the Initial Decision of Administrative Law Judge Angela T. Jones issued on November 20, 2012, is adopted, consistent with this Opinion and Order.</w:t>
      </w:r>
    </w:p>
    <w:p w:rsidR="00967A12" w:rsidRDefault="00967A12" w:rsidP="009546F8">
      <w:pPr>
        <w:widowControl/>
        <w:spacing w:line="360" w:lineRule="auto"/>
        <w:rPr>
          <w:sz w:val="26"/>
          <w:szCs w:val="26"/>
        </w:rPr>
      </w:pPr>
    </w:p>
    <w:p w:rsidR="00356C61" w:rsidRDefault="00967A12" w:rsidP="009546F8">
      <w:pPr>
        <w:widowControl/>
        <w:spacing w:line="360" w:lineRule="auto"/>
        <w:rPr>
          <w:sz w:val="26"/>
          <w:szCs w:val="26"/>
        </w:rPr>
      </w:pPr>
      <w:r>
        <w:rPr>
          <w:sz w:val="26"/>
          <w:szCs w:val="26"/>
        </w:rPr>
        <w:tab/>
      </w:r>
      <w:r>
        <w:rPr>
          <w:sz w:val="26"/>
          <w:szCs w:val="26"/>
        </w:rPr>
        <w:tab/>
        <w:t>3.</w:t>
      </w:r>
      <w:r>
        <w:rPr>
          <w:sz w:val="26"/>
          <w:szCs w:val="26"/>
        </w:rPr>
        <w:tab/>
        <w:t xml:space="preserve">That the Formal Complaint of Jack Bleiman against PECO Energy Company at Docket No. F-2012-2284038 is </w:t>
      </w:r>
      <w:r w:rsidR="007148B6">
        <w:rPr>
          <w:sz w:val="26"/>
          <w:szCs w:val="26"/>
        </w:rPr>
        <w:t xml:space="preserve">sustained in part and </w:t>
      </w:r>
      <w:r>
        <w:rPr>
          <w:sz w:val="26"/>
          <w:szCs w:val="26"/>
        </w:rPr>
        <w:t>denied</w:t>
      </w:r>
      <w:r w:rsidR="007148B6">
        <w:rPr>
          <w:sz w:val="26"/>
          <w:szCs w:val="26"/>
        </w:rPr>
        <w:t xml:space="preserve"> in part</w:t>
      </w:r>
      <w:r>
        <w:rPr>
          <w:sz w:val="26"/>
          <w:szCs w:val="26"/>
        </w:rPr>
        <w:t>.</w:t>
      </w:r>
    </w:p>
    <w:p w:rsidR="00356C61" w:rsidRDefault="00356C61" w:rsidP="009546F8">
      <w:pPr>
        <w:widowControl/>
        <w:spacing w:line="360" w:lineRule="auto"/>
        <w:rPr>
          <w:sz w:val="26"/>
          <w:szCs w:val="26"/>
        </w:rPr>
      </w:pPr>
    </w:p>
    <w:p w:rsidR="00356C61" w:rsidRDefault="00A74462" w:rsidP="009546F8">
      <w:pPr>
        <w:widowControl/>
        <w:autoSpaceDE w:val="0"/>
        <w:autoSpaceDN w:val="0"/>
        <w:spacing w:line="360" w:lineRule="auto"/>
        <w:rPr>
          <w:sz w:val="26"/>
          <w:szCs w:val="26"/>
        </w:rPr>
      </w:pPr>
      <w:r>
        <w:rPr>
          <w:sz w:val="26"/>
          <w:szCs w:val="26"/>
        </w:rPr>
        <w:tab/>
      </w:r>
      <w:r>
        <w:rPr>
          <w:sz w:val="26"/>
          <w:szCs w:val="26"/>
        </w:rPr>
        <w:tab/>
      </w:r>
      <w:r w:rsidR="00356C61">
        <w:rPr>
          <w:sz w:val="26"/>
          <w:szCs w:val="26"/>
        </w:rPr>
        <w:t>4.</w:t>
      </w:r>
      <w:r w:rsidR="00356C61">
        <w:rPr>
          <w:sz w:val="26"/>
          <w:szCs w:val="26"/>
        </w:rPr>
        <w:tab/>
      </w:r>
      <w:r w:rsidR="00356C61" w:rsidRPr="00356C61">
        <w:rPr>
          <w:sz w:val="26"/>
          <w:szCs w:val="26"/>
        </w:rPr>
        <w:t>That</w:t>
      </w:r>
      <w:r>
        <w:rPr>
          <w:sz w:val="26"/>
          <w:szCs w:val="26"/>
        </w:rPr>
        <w:t xml:space="preserve">, </w:t>
      </w:r>
      <w:r w:rsidRPr="00356C61">
        <w:rPr>
          <w:sz w:val="26"/>
          <w:szCs w:val="26"/>
        </w:rPr>
        <w:t xml:space="preserve">within </w:t>
      </w:r>
      <w:r>
        <w:rPr>
          <w:sz w:val="26"/>
          <w:szCs w:val="26"/>
        </w:rPr>
        <w:t>thirty (</w:t>
      </w:r>
      <w:r w:rsidRPr="00356C61">
        <w:rPr>
          <w:sz w:val="26"/>
          <w:szCs w:val="26"/>
        </w:rPr>
        <w:t>30</w:t>
      </w:r>
      <w:r>
        <w:rPr>
          <w:sz w:val="26"/>
          <w:szCs w:val="26"/>
        </w:rPr>
        <w:t>)</w:t>
      </w:r>
      <w:r w:rsidRPr="00356C61">
        <w:rPr>
          <w:sz w:val="26"/>
          <w:szCs w:val="26"/>
        </w:rPr>
        <w:t xml:space="preserve"> days of the </w:t>
      </w:r>
      <w:r>
        <w:rPr>
          <w:sz w:val="26"/>
          <w:szCs w:val="26"/>
        </w:rPr>
        <w:t xml:space="preserve">date of </w:t>
      </w:r>
      <w:r w:rsidRPr="00356C61">
        <w:rPr>
          <w:sz w:val="26"/>
          <w:szCs w:val="26"/>
        </w:rPr>
        <w:t>entry of th</w:t>
      </w:r>
      <w:r>
        <w:rPr>
          <w:sz w:val="26"/>
          <w:szCs w:val="26"/>
        </w:rPr>
        <w:t xml:space="preserve">is Opinion and </w:t>
      </w:r>
      <w:r w:rsidRPr="00356C61">
        <w:rPr>
          <w:sz w:val="26"/>
          <w:szCs w:val="26"/>
        </w:rPr>
        <w:t>Order</w:t>
      </w:r>
      <w:r w:rsidR="00356C61" w:rsidRPr="00356C61">
        <w:rPr>
          <w:sz w:val="26"/>
          <w:szCs w:val="26"/>
        </w:rPr>
        <w:t xml:space="preserve"> Complainant, Jack Bleiman, is directed to pay the outstanding balance due, which PECO corrected to $3,509.27</w:t>
      </w:r>
      <w:r w:rsidR="007148B6">
        <w:rPr>
          <w:sz w:val="26"/>
          <w:szCs w:val="26"/>
        </w:rPr>
        <w:t>,</w:t>
      </w:r>
      <w:r w:rsidR="00356C61" w:rsidRPr="00356C61">
        <w:rPr>
          <w:sz w:val="26"/>
          <w:szCs w:val="26"/>
        </w:rPr>
        <w:t xml:space="preserve"> for the balances </w:t>
      </w:r>
      <w:r w:rsidR="007148B6">
        <w:rPr>
          <w:sz w:val="26"/>
          <w:szCs w:val="26"/>
        </w:rPr>
        <w:t xml:space="preserve">transferred to his account </w:t>
      </w:r>
      <w:r w:rsidR="00356C61" w:rsidRPr="00356C61">
        <w:rPr>
          <w:sz w:val="26"/>
          <w:szCs w:val="26"/>
        </w:rPr>
        <w:t>on April 13, 2011, and February 8, 2012.</w:t>
      </w:r>
    </w:p>
    <w:p w:rsidR="0077450A" w:rsidRDefault="0077450A" w:rsidP="009546F8">
      <w:pPr>
        <w:widowControl/>
        <w:autoSpaceDE w:val="0"/>
        <w:autoSpaceDN w:val="0"/>
        <w:spacing w:line="360" w:lineRule="auto"/>
        <w:rPr>
          <w:sz w:val="26"/>
          <w:szCs w:val="26"/>
        </w:rPr>
      </w:pPr>
    </w:p>
    <w:p w:rsidR="0049389B" w:rsidRPr="0049389B" w:rsidRDefault="00A74462" w:rsidP="009546F8">
      <w:pPr>
        <w:widowControl/>
        <w:autoSpaceDE w:val="0"/>
        <w:autoSpaceDN w:val="0"/>
        <w:spacing w:line="360" w:lineRule="auto"/>
        <w:rPr>
          <w:sz w:val="26"/>
          <w:szCs w:val="26"/>
        </w:rPr>
      </w:pPr>
      <w:r>
        <w:rPr>
          <w:sz w:val="26"/>
          <w:szCs w:val="26"/>
        </w:rPr>
        <w:tab/>
      </w:r>
      <w:r>
        <w:rPr>
          <w:sz w:val="26"/>
          <w:szCs w:val="26"/>
        </w:rPr>
        <w:tab/>
      </w:r>
      <w:r w:rsidR="0077450A">
        <w:rPr>
          <w:sz w:val="26"/>
          <w:szCs w:val="26"/>
        </w:rPr>
        <w:t>5.</w:t>
      </w:r>
      <w:r w:rsidR="0049389B">
        <w:rPr>
          <w:sz w:val="26"/>
          <w:szCs w:val="26"/>
        </w:rPr>
        <w:tab/>
      </w:r>
      <w:r w:rsidR="0049389B" w:rsidRPr="0049389B">
        <w:rPr>
          <w:sz w:val="26"/>
          <w:szCs w:val="26"/>
        </w:rPr>
        <w:t>That</w:t>
      </w:r>
      <w:r>
        <w:rPr>
          <w:sz w:val="26"/>
          <w:szCs w:val="26"/>
        </w:rPr>
        <w:t xml:space="preserve">, </w:t>
      </w:r>
      <w:r w:rsidRPr="0049389B">
        <w:rPr>
          <w:sz w:val="26"/>
          <w:szCs w:val="26"/>
        </w:rPr>
        <w:t xml:space="preserve">pursuant to Sections 3301 and </w:t>
      </w:r>
      <w:r>
        <w:rPr>
          <w:sz w:val="26"/>
          <w:szCs w:val="26"/>
        </w:rPr>
        <w:t xml:space="preserve">3315 of the Public Utility Code, 66 C.S. §§ 3301 and 3315, </w:t>
      </w:r>
      <w:r w:rsidRPr="0049389B">
        <w:rPr>
          <w:sz w:val="26"/>
          <w:szCs w:val="26"/>
        </w:rPr>
        <w:t xml:space="preserve">within </w:t>
      </w:r>
      <w:r>
        <w:rPr>
          <w:sz w:val="26"/>
          <w:szCs w:val="26"/>
        </w:rPr>
        <w:t>thirty (</w:t>
      </w:r>
      <w:r w:rsidRPr="0049389B">
        <w:rPr>
          <w:sz w:val="26"/>
          <w:szCs w:val="26"/>
        </w:rPr>
        <w:t>30</w:t>
      </w:r>
      <w:r>
        <w:rPr>
          <w:sz w:val="26"/>
          <w:szCs w:val="26"/>
        </w:rPr>
        <w:t>)</w:t>
      </w:r>
      <w:r w:rsidRPr="0049389B">
        <w:rPr>
          <w:sz w:val="26"/>
          <w:szCs w:val="26"/>
        </w:rPr>
        <w:t xml:space="preserve"> days</w:t>
      </w:r>
      <w:r>
        <w:rPr>
          <w:sz w:val="26"/>
          <w:szCs w:val="26"/>
        </w:rPr>
        <w:t xml:space="preserve"> of the date of entry of this Opinion and </w:t>
      </w:r>
      <w:r w:rsidRPr="0049389B">
        <w:rPr>
          <w:sz w:val="26"/>
          <w:szCs w:val="26"/>
        </w:rPr>
        <w:t>Order,</w:t>
      </w:r>
      <w:r>
        <w:rPr>
          <w:sz w:val="26"/>
          <w:szCs w:val="26"/>
        </w:rPr>
        <w:t xml:space="preserve"> </w:t>
      </w:r>
      <w:r w:rsidR="0049389B">
        <w:rPr>
          <w:sz w:val="26"/>
          <w:szCs w:val="26"/>
        </w:rPr>
        <w:t>PECO Energy Company</w:t>
      </w:r>
      <w:r w:rsidR="00B731B4">
        <w:rPr>
          <w:sz w:val="26"/>
          <w:szCs w:val="26"/>
        </w:rPr>
        <w:t xml:space="preserve"> is directed to </w:t>
      </w:r>
      <w:r w:rsidR="0049389B" w:rsidRPr="0049389B">
        <w:rPr>
          <w:sz w:val="26"/>
          <w:szCs w:val="26"/>
        </w:rPr>
        <w:t xml:space="preserve">pay </w:t>
      </w:r>
      <w:r w:rsidR="00B731B4">
        <w:rPr>
          <w:sz w:val="26"/>
          <w:szCs w:val="26"/>
        </w:rPr>
        <w:t xml:space="preserve">a </w:t>
      </w:r>
      <w:r w:rsidR="0049389B" w:rsidRPr="0049389B">
        <w:rPr>
          <w:sz w:val="26"/>
          <w:szCs w:val="26"/>
        </w:rPr>
        <w:t>$3,680.00 civil penalty</w:t>
      </w:r>
      <w:r w:rsidR="007148B6">
        <w:rPr>
          <w:sz w:val="26"/>
          <w:szCs w:val="26"/>
        </w:rPr>
        <w:t>,</w:t>
      </w:r>
      <w:r w:rsidR="0049389B" w:rsidRPr="0049389B">
        <w:rPr>
          <w:sz w:val="26"/>
          <w:szCs w:val="26"/>
        </w:rPr>
        <w:t xml:space="preserve"> payable by check, money order or certified funds to</w:t>
      </w:r>
      <w:r w:rsidR="00B731B4">
        <w:rPr>
          <w:sz w:val="26"/>
          <w:szCs w:val="26"/>
        </w:rPr>
        <w:t xml:space="preserve"> the </w:t>
      </w:r>
      <w:r w:rsidR="00E35F5B">
        <w:rPr>
          <w:sz w:val="26"/>
          <w:szCs w:val="26"/>
        </w:rPr>
        <w:t>“</w:t>
      </w:r>
      <w:r w:rsidR="00B731B4">
        <w:rPr>
          <w:sz w:val="26"/>
          <w:szCs w:val="26"/>
        </w:rPr>
        <w:t>Commonwealth of Pennsylvania</w:t>
      </w:r>
      <w:r w:rsidR="00E35F5B">
        <w:rPr>
          <w:sz w:val="26"/>
          <w:szCs w:val="26"/>
        </w:rPr>
        <w:t>”</w:t>
      </w:r>
      <w:r w:rsidR="00B731B4">
        <w:rPr>
          <w:sz w:val="26"/>
          <w:szCs w:val="26"/>
        </w:rPr>
        <w:t xml:space="preserve"> and s</w:t>
      </w:r>
      <w:r w:rsidR="00E35F5B">
        <w:rPr>
          <w:sz w:val="26"/>
          <w:szCs w:val="26"/>
        </w:rPr>
        <w:t xml:space="preserve">ent </w:t>
      </w:r>
      <w:r w:rsidR="00B731B4">
        <w:rPr>
          <w:sz w:val="26"/>
          <w:szCs w:val="26"/>
        </w:rPr>
        <w:t>to</w:t>
      </w:r>
      <w:r w:rsidR="0049389B" w:rsidRPr="0049389B">
        <w:rPr>
          <w:sz w:val="26"/>
          <w:szCs w:val="26"/>
        </w:rPr>
        <w:t>:</w:t>
      </w:r>
    </w:p>
    <w:p w:rsidR="0049389B" w:rsidRPr="0049389B" w:rsidRDefault="0049389B" w:rsidP="009546F8">
      <w:pPr>
        <w:pStyle w:val="ListParagraph"/>
        <w:ind w:left="0"/>
        <w:rPr>
          <w:rFonts w:ascii="Times New Roman" w:hAnsi="Times New Roman" w:cs="Times New Roman"/>
          <w:sz w:val="26"/>
          <w:szCs w:val="26"/>
        </w:rPr>
      </w:pPr>
    </w:p>
    <w:p w:rsidR="0049389B" w:rsidRPr="0049389B" w:rsidRDefault="00E35F5B" w:rsidP="000B15B2">
      <w:pPr>
        <w:keepNext/>
        <w:widowControl/>
        <w:rPr>
          <w:sz w:val="26"/>
          <w:szCs w:val="26"/>
        </w:rPr>
      </w:pPr>
      <w:r>
        <w:rPr>
          <w:sz w:val="26"/>
          <w:szCs w:val="26"/>
        </w:rPr>
        <w:lastRenderedPageBreak/>
        <w:tab/>
      </w:r>
      <w:r w:rsidR="00B731B4">
        <w:rPr>
          <w:sz w:val="26"/>
          <w:szCs w:val="26"/>
        </w:rPr>
        <w:tab/>
      </w:r>
      <w:r w:rsidR="00B731B4">
        <w:rPr>
          <w:sz w:val="26"/>
          <w:szCs w:val="26"/>
        </w:rPr>
        <w:tab/>
      </w:r>
      <w:r w:rsidR="00B731B4">
        <w:rPr>
          <w:sz w:val="26"/>
          <w:szCs w:val="26"/>
        </w:rPr>
        <w:tab/>
      </w:r>
      <w:r w:rsidR="0049389B" w:rsidRPr="0049389B">
        <w:rPr>
          <w:sz w:val="26"/>
          <w:szCs w:val="26"/>
        </w:rPr>
        <w:t>Secretary</w:t>
      </w:r>
    </w:p>
    <w:p w:rsidR="0049389B" w:rsidRPr="0049389B" w:rsidRDefault="00E35F5B" w:rsidP="000B15B2">
      <w:pPr>
        <w:keepNext/>
        <w:widowControl/>
        <w:rPr>
          <w:sz w:val="26"/>
          <w:szCs w:val="26"/>
        </w:rPr>
      </w:pPr>
      <w:r>
        <w:rPr>
          <w:sz w:val="26"/>
          <w:szCs w:val="26"/>
        </w:rPr>
        <w:tab/>
      </w:r>
      <w:r w:rsidR="00B731B4">
        <w:rPr>
          <w:sz w:val="26"/>
          <w:szCs w:val="26"/>
        </w:rPr>
        <w:tab/>
      </w:r>
      <w:r w:rsidR="00B731B4">
        <w:rPr>
          <w:sz w:val="26"/>
          <w:szCs w:val="26"/>
        </w:rPr>
        <w:tab/>
      </w:r>
      <w:r w:rsidR="00B731B4">
        <w:rPr>
          <w:sz w:val="26"/>
          <w:szCs w:val="26"/>
        </w:rPr>
        <w:tab/>
      </w:r>
      <w:r w:rsidR="0049389B" w:rsidRPr="0049389B">
        <w:rPr>
          <w:sz w:val="26"/>
          <w:szCs w:val="26"/>
        </w:rPr>
        <w:t>Pennsylvania Public Utility Commission</w:t>
      </w:r>
    </w:p>
    <w:p w:rsidR="0049389B" w:rsidRPr="0049389B" w:rsidRDefault="00E35F5B" w:rsidP="000B15B2">
      <w:pPr>
        <w:keepNext/>
        <w:widowControl/>
        <w:rPr>
          <w:sz w:val="26"/>
          <w:szCs w:val="26"/>
        </w:rPr>
      </w:pPr>
      <w:r>
        <w:rPr>
          <w:sz w:val="26"/>
          <w:szCs w:val="26"/>
        </w:rPr>
        <w:tab/>
      </w:r>
      <w:r w:rsidR="00B731B4">
        <w:rPr>
          <w:sz w:val="26"/>
          <w:szCs w:val="26"/>
        </w:rPr>
        <w:tab/>
      </w:r>
      <w:r w:rsidR="00B731B4">
        <w:rPr>
          <w:sz w:val="26"/>
          <w:szCs w:val="26"/>
        </w:rPr>
        <w:tab/>
      </w:r>
      <w:r w:rsidR="00B731B4">
        <w:rPr>
          <w:sz w:val="26"/>
          <w:szCs w:val="26"/>
        </w:rPr>
        <w:tab/>
      </w:r>
      <w:r w:rsidR="0049389B" w:rsidRPr="0049389B">
        <w:rPr>
          <w:sz w:val="26"/>
          <w:szCs w:val="26"/>
        </w:rPr>
        <w:t>P.O. Box 3265</w:t>
      </w:r>
    </w:p>
    <w:p w:rsidR="0049389B" w:rsidRDefault="00E35F5B" w:rsidP="000B15B2">
      <w:pPr>
        <w:keepNext/>
        <w:widowControl/>
        <w:rPr>
          <w:sz w:val="26"/>
          <w:szCs w:val="26"/>
        </w:rPr>
      </w:pPr>
      <w:r>
        <w:rPr>
          <w:sz w:val="26"/>
          <w:szCs w:val="26"/>
        </w:rPr>
        <w:tab/>
      </w:r>
      <w:r w:rsidR="00B731B4">
        <w:rPr>
          <w:sz w:val="26"/>
          <w:szCs w:val="26"/>
        </w:rPr>
        <w:tab/>
      </w:r>
      <w:r w:rsidR="00B731B4">
        <w:rPr>
          <w:sz w:val="26"/>
          <w:szCs w:val="26"/>
        </w:rPr>
        <w:tab/>
      </w:r>
      <w:r w:rsidR="00B731B4">
        <w:rPr>
          <w:sz w:val="26"/>
          <w:szCs w:val="26"/>
        </w:rPr>
        <w:tab/>
      </w:r>
      <w:r w:rsidR="0049389B" w:rsidRPr="0049389B">
        <w:rPr>
          <w:sz w:val="26"/>
          <w:szCs w:val="26"/>
        </w:rPr>
        <w:t>Harrisburg, PA 17105-3265</w:t>
      </w:r>
    </w:p>
    <w:p w:rsidR="0049389B" w:rsidRDefault="0049389B" w:rsidP="00B731B4">
      <w:pPr>
        <w:widowControl/>
        <w:spacing w:line="360" w:lineRule="auto"/>
        <w:rPr>
          <w:sz w:val="24"/>
          <w:szCs w:val="24"/>
        </w:rPr>
      </w:pPr>
    </w:p>
    <w:p w:rsidR="0049389B" w:rsidRPr="0049389B" w:rsidRDefault="00B731B4" w:rsidP="009546F8">
      <w:pPr>
        <w:widowControl/>
        <w:autoSpaceDE w:val="0"/>
        <w:autoSpaceDN w:val="0"/>
        <w:spacing w:line="360" w:lineRule="auto"/>
        <w:rPr>
          <w:sz w:val="26"/>
          <w:szCs w:val="26"/>
        </w:rPr>
      </w:pPr>
      <w:r>
        <w:rPr>
          <w:sz w:val="26"/>
          <w:szCs w:val="26"/>
        </w:rPr>
        <w:tab/>
      </w:r>
      <w:r>
        <w:rPr>
          <w:sz w:val="26"/>
          <w:szCs w:val="26"/>
        </w:rPr>
        <w:tab/>
      </w:r>
      <w:r w:rsidR="0049389B" w:rsidRPr="0049389B">
        <w:rPr>
          <w:sz w:val="26"/>
          <w:szCs w:val="26"/>
        </w:rPr>
        <w:t>6.</w:t>
      </w:r>
      <w:r w:rsidR="0049389B" w:rsidRPr="0049389B">
        <w:rPr>
          <w:sz w:val="26"/>
          <w:szCs w:val="26"/>
        </w:rPr>
        <w:tab/>
      </w:r>
      <w:r w:rsidR="007148B6">
        <w:rPr>
          <w:sz w:val="26"/>
          <w:szCs w:val="26"/>
        </w:rPr>
        <w:t xml:space="preserve">That </w:t>
      </w:r>
      <w:r w:rsidR="0049389B" w:rsidRPr="0049389B">
        <w:rPr>
          <w:sz w:val="26"/>
          <w:szCs w:val="26"/>
        </w:rPr>
        <w:t>PECO Energy Company shall cease and desist from further violations of the Public Utility Code, 66 Pa.</w:t>
      </w:r>
      <w:r w:rsidR="00A665F4">
        <w:rPr>
          <w:sz w:val="26"/>
          <w:szCs w:val="26"/>
        </w:rPr>
        <w:t xml:space="preserve"> </w:t>
      </w:r>
      <w:r w:rsidR="0049389B" w:rsidRPr="0049389B">
        <w:rPr>
          <w:sz w:val="26"/>
          <w:szCs w:val="26"/>
        </w:rPr>
        <w:t xml:space="preserve">C.S. § 101 </w:t>
      </w:r>
      <w:r w:rsidR="0049389B" w:rsidRPr="0049389B">
        <w:rPr>
          <w:i/>
          <w:sz w:val="26"/>
          <w:szCs w:val="26"/>
        </w:rPr>
        <w:t>et seq</w:t>
      </w:r>
      <w:r w:rsidR="0049389B" w:rsidRPr="0049389B">
        <w:rPr>
          <w:sz w:val="26"/>
          <w:szCs w:val="26"/>
        </w:rPr>
        <w:t>. and the regulations of the Pennsylvania Public Utility Commission, 52 Pa.</w:t>
      </w:r>
      <w:r w:rsidR="00A665F4">
        <w:rPr>
          <w:sz w:val="26"/>
          <w:szCs w:val="26"/>
        </w:rPr>
        <w:t xml:space="preserve"> </w:t>
      </w:r>
      <w:r w:rsidR="0049389B" w:rsidRPr="0049389B">
        <w:rPr>
          <w:sz w:val="26"/>
          <w:szCs w:val="26"/>
        </w:rPr>
        <w:t xml:space="preserve">Code § 1.1 </w:t>
      </w:r>
      <w:r w:rsidR="0049389B" w:rsidRPr="0049389B">
        <w:rPr>
          <w:i/>
          <w:sz w:val="26"/>
          <w:szCs w:val="26"/>
        </w:rPr>
        <w:t>et seq.</w:t>
      </w:r>
    </w:p>
    <w:p w:rsidR="0049389B" w:rsidRPr="0049389B" w:rsidRDefault="0049389B" w:rsidP="009546F8">
      <w:pPr>
        <w:pStyle w:val="ListParagraph"/>
        <w:ind w:left="0"/>
        <w:rPr>
          <w:rFonts w:ascii="Times New Roman" w:hAnsi="Times New Roman" w:cs="Times New Roman"/>
          <w:sz w:val="26"/>
          <w:szCs w:val="26"/>
        </w:rPr>
      </w:pPr>
    </w:p>
    <w:p w:rsidR="0049389B" w:rsidRDefault="00B731B4" w:rsidP="009546F8">
      <w:pPr>
        <w:widowControl/>
        <w:autoSpaceDE w:val="0"/>
        <w:autoSpaceDN w:val="0"/>
        <w:spacing w:line="360" w:lineRule="auto"/>
        <w:rPr>
          <w:sz w:val="26"/>
          <w:szCs w:val="26"/>
        </w:rPr>
      </w:pPr>
      <w:r>
        <w:rPr>
          <w:sz w:val="26"/>
          <w:szCs w:val="26"/>
        </w:rPr>
        <w:tab/>
      </w:r>
      <w:r>
        <w:rPr>
          <w:sz w:val="26"/>
          <w:szCs w:val="26"/>
        </w:rPr>
        <w:tab/>
      </w:r>
      <w:r w:rsidR="0049389B">
        <w:rPr>
          <w:sz w:val="26"/>
          <w:szCs w:val="26"/>
        </w:rPr>
        <w:t>7.</w:t>
      </w:r>
      <w:r w:rsidR="0049389B">
        <w:rPr>
          <w:sz w:val="26"/>
          <w:szCs w:val="26"/>
        </w:rPr>
        <w:tab/>
      </w:r>
      <w:r w:rsidR="0049389B" w:rsidRPr="0049389B">
        <w:rPr>
          <w:sz w:val="26"/>
          <w:szCs w:val="26"/>
        </w:rPr>
        <w:t xml:space="preserve">That a copy of this </w:t>
      </w:r>
      <w:r w:rsidR="0049389B">
        <w:rPr>
          <w:sz w:val="26"/>
          <w:szCs w:val="26"/>
        </w:rPr>
        <w:t xml:space="preserve">Opinion and </w:t>
      </w:r>
      <w:r w:rsidR="0049389B" w:rsidRPr="0049389B">
        <w:rPr>
          <w:sz w:val="26"/>
          <w:szCs w:val="26"/>
        </w:rPr>
        <w:t>Order shall be served upon the Financial and Assessment Chief, Office of Administration.</w:t>
      </w:r>
    </w:p>
    <w:p w:rsidR="0049389B" w:rsidRDefault="0049389B" w:rsidP="009546F8">
      <w:pPr>
        <w:widowControl/>
        <w:autoSpaceDE w:val="0"/>
        <w:autoSpaceDN w:val="0"/>
        <w:spacing w:line="360" w:lineRule="auto"/>
        <w:rPr>
          <w:sz w:val="26"/>
          <w:szCs w:val="26"/>
        </w:rPr>
      </w:pPr>
    </w:p>
    <w:p w:rsidR="0049389B" w:rsidRDefault="00B731B4" w:rsidP="00B731B4">
      <w:pPr>
        <w:keepNext/>
        <w:widowControl/>
        <w:autoSpaceDE w:val="0"/>
        <w:autoSpaceDN w:val="0"/>
        <w:spacing w:line="360" w:lineRule="auto"/>
        <w:rPr>
          <w:sz w:val="26"/>
          <w:szCs w:val="26"/>
        </w:rPr>
      </w:pPr>
      <w:r>
        <w:rPr>
          <w:sz w:val="26"/>
          <w:szCs w:val="26"/>
        </w:rPr>
        <w:tab/>
      </w:r>
      <w:r>
        <w:rPr>
          <w:sz w:val="26"/>
          <w:szCs w:val="26"/>
        </w:rPr>
        <w:tab/>
      </w:r>
      <w:r w:rsidR="0049389B">
        <w:rPr>
          <w:sz w:val="26"/>
          <w:szCs w:val="26"/>
        </w:rPr>
        <w:t>8.</w:t>
      </w:r>
      <w:r w:rsidR="0049389B">
        <w:rPr>
          <w:sz w:val="26"/>
          <w:szCs w:val="26"/>
        </w:rPr>
        <w:tab/>
        <w:t>That this proceeding be marked closed.</w:t>
      </w:r>
    </w:p>
    <w:p w:rsidR="00776A7E" w:rsidRDefault="00776A7E" w:rsidP="00B731B4">
      <w:pPr>
        <w:keepNext/>
        <w:widowControl/>
        <w:autoSpaceDE w:val="0"/>
        <w:autoSpaceDN w:val="0"/>
        <w:spacing w:line="360" w:lineRule="auto"/>
        <w:rPr>
          <w:sz w:val="26"/>
          <w:szCs w:val="26"/>
        </w:rPr>
      </w:pPr>
    </w:p>
    <w:p w:rsidR="00E35F5B" w:rsidRDefault="00E35F5B" w:rsidP="00B731B4">
      <w:pPr>
        <w:keepNext/>
        <w:widowControl/>
        <w:autoSpaceDE w:val="0"/>
        <w:autoSpaceDN w:val="0"/>
        <w:spacing w:line="360" w:lineRule="auto"/>
        <w:rPr>
          <w:sz w:val="26"/>
          <w:szCs w:val="26"/>
        </w:rPr>
      </w:pPr>
    </w:p>
    <w:p w:rsidR="00776A7E" w:rsidRPr="00CA43A5" w:rsidRDefault="001A0FCE" w:rsidP="00B731B4">
      <w:pPr>
        <w:keepNext/>
        <w:widowControl/>
        <w:tabs>
          <w:tab w:val="left" w:pos="-720"/>
        </w:tabs>
        <w:rPr>
          <w:sz w:val="26"/>
          <w:szCs w:val="26"/>
        </w:rPr>
      </w:pPr>
      <w:bookmarkStart w:id="5" w:name="_GoBack"/>
      <w:r>
        <w:rPr>
          <w:noProof/>
        </w:rPr>
        <w:drawing>
          <wp:anchor distT="0" distB="0" distL="114300" distR="114300" simplePos="0" relativeHeight="251659264" behindDoc="1" locked="0" layoutInCell="1" allowOverlap="1" wp14:anchorId="509B9085" wp14:editId="7B04112F">
            <wp:simplePos x="0" y="0"/>
            <wp:positionH relativeFrom="column">
              <wp:posOffset>2933700</wp:posOffset>
            </wp:positionH>
            <wp:positionV relativeFrom="paragraph">
              <wp:posOffset>25400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5"/>
      <w:r w:rsidR="00B731B4">
        <w:rPr>
          <w:b/>
          <w:sz w:val="26"/>
          <w:szCs w:val="26"/>
        </w:rPr>
        <w:tab/>
      </w:r>
      <w:r w:rsidR="00B731B4">
        <w:rPr>
          <w:b/>
          <w:sz w:val="26"/>
          <w:szCs w:val="26"/>
        </w:rPr>
        <w:tab/>
      </w:r>
      <w:r w:rsidR="00B731B4">
        <w:rPr>
          <w:b/>
          <w:sz w:val="26"/>
          <w:szCs w:val="26"/>
        </w:rPr>
        <w:tab/>
      </w:r>
      <w:r w:rsidR="00B731B4">
        <w:rPr>
          <w:b/>
          <w:sz w:val="26"/>
          <w:szCs w:val="26"/>
        </w:rPr>
        <w:tab/>
      </w:r>
      <w:r w:rsidR="00B731B4">
        <w:rPr>
          <w:b/>
          <w:sz w:val="26"/>
          <w:szCs w:val="26"/>
        </w:rPr>
        <w:tab/>
      </w:r>
      <w:r w:rsidR="00B731B4">
        <w:rPr>
          <w:b/>
          <w:sz w:val="26"/>
          <w:szCs w:val="26"/>
        </w:rPr>
        <w:tab/>
      </w:r>
      <w:r w:rsidR="00B731B4">
        <w:rPr>
          <w:b/>
          <w:sz w:val="26"/>
          <w:szCs w:val="26"/>
        </w:rPr>
        <w:tab/>
      </w:r>
      <w:r w:rsidR="00776A7E" w:rsidRPr="00CA43A5">
        <w:rPr>
          <w:b/>
          <w:sz w:val="26"/>
          <w:szCs w:val="26"/>
        </w:rPr>
        <w:t>BY THE COMMISSION,</w:t>
      </w:r>
    </w:p>
    <w:p w:rsidR="00776A7E" w:rsidRPr="00CA43A5" w:rsidRDefault="00776A7E" w:rsidP="00B731B4">
      <w:pPr>
        <w:keepNext/>
        <w:widowControl/>
        <w:tabs>
          <w:tab w:val="left" w:pos="-720"/>
        </w:tabs>
        <w:rPr>
          <w:sz w:val="26"/>
          <w:szCs w:val="26"/>
        </w:rPr>
      </w:pPr>
    </w:p>
    <w:p w:rsidR="00776A7E" w:rsidRDefault="00776A7E" w:rsidP="00B731B4">
      <w:pPr>
        <w:keepNext/>
        <w:widowControl/>
        <w:tabs>
          <w:tab w:val="left" w:pos="-720"/>
        </w:tabs>
        <w:rPr>
          <w:sz w:val="26"/>
          <w:szCs w:val="26"/>
        </w:rPr>
      </w:pPr>
    </w:p>
    <w:p w:rsidR="00E35F5B" w:rsidRDefault="00E35F5B" w:rsidP="00B731B4">
      <w:pPr>
        <w:keepNext/>
        <w:widowControl/>
        <w:tabs>
          <w:tab w:val="left" w:pos="-720"/>
        </w:tabs>
        <w:rPr>
          <w:sz w:val="26"/>
          <w:szCs w:val="26"/>
        </w:rPr>
      </w:pPr>
    </w:p>
    <w:p w:rsidR="00E35F5B" w:rsidRPr="00CA43A5" w:rsidRDefault="00E35F5B" w:rsidP="00B731B4">
      <w:pPr>
        <w:keepNext/>
        <w:widowControl/>
        <w:tabs>
          <w:tab w:val="left" w:pos="-720"/>
        </w:tabs>
        <w:rPr>
          <w:sz w:val="26"/>
          <w:szCs w:val="26"/>
        </w:rPr>
      </w:pPr>
    </w:p>
    <w:p w:rsidR="00776A7E" w:rsidRPr="00CA43A5" w:rsidRDefault="00B731B4" w:rsidP="00B731B4">
      <w:pPr>
        <w:keepNext/>
        <w:widowControl/>
        <w:tabs>
          <w:tab w:val="left" w:pos="-720"/>
        </w:tabs>
        <w:rPr>
          <w:b/>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00776A7E">
        <w:rPr>
          <w:sz w:val="26"/>
          <w:szCs w:val="26"/>
        </w:rPr>
        <w:t>Rosemary Chiavetta</w:t>
      </w:r>
    </w:p>
    <w:p w:rsidR="00776A7E" w:rsidRDefault="00B731B4" w:rsidP="00B731B4">
      <w:pPr>
        <w:keepNext/>
        <w:widowControl/>
        <w:tabs>
          <w:tab w:val="left" w:pos="-720"/>
        </w:tabs>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00776A7E" w:rsidRPr="00CA43A5">
        <w:rPr>
          <w:sz w:val="26"/>
          <w:szCs w:val="26"/>
        </w:rPr>
        <w:t>Secretary</w:t>
      </w:r>
    </w:p>
    <w:p w:rsidR="00776A7E" w:rsidRPr="00CA43A5" w:rsidRDefault="00776A7E" w:rsidP="00B731B4">
      <w:pPr>
        <w:keepNext/>
        <w:widowControl/>
        <w:tabs>
          <w:tab w:val="left" w:pos="-720"/>
        </w:tabs>
        <w:rPr>
          <w:sz w:val="26"/>
          <w:szCs w:val="26"/>
        </w:rPr>
      </w:pPr>
    </w:p>
    <w:p w:rsidR="00776A7E" w:rsidRPr="00CA43A5" w:rsidRDefault="00776A7E" w:rsidP="00B731B4">
      <w:pPr>
        <w:keepNext/>
        <w:widowControl/>
        <w:tabs>
          <w:tab w:val="left" w:pos="-720"/>
        </w:tabs>
        <w:rPr>
          <w:sz w:val="26"/>
          <w:szCs w:val="26"/>
        </w:rPr>
      </w:pPr>
    </w:p>
    <w:p w:rsidR="00776A7E" w:rsidRPr="00CA43A5" w:rsidRDefault="00776A7E" w:rsidP="00B731B4">
      <w:pPr>
        <w:keepNext/>
        <w:widowControl/>
        <w:tabs>
          <w:tab w:val="left" w:pos="-720"/>
        </w:tabs>
        <w:rPr>
          <w:sz w:val="26"/>
          <w:szCs w:val="26"/>
        </w:rPr>
      </w:pPr>
      <w:r w:rsidRPr="00CA43A5">
        <w:rPr>
          <w:sz w:val="26"/>
          <w:szCs w:val="26"/>
        </w:rPr>
        <w:t>(SEAL)</w:t>
      </w:r>
    </w:p>
    <w:p w:rsidR="00776A7E" w:rsidRPr="00CA43A5" w:rsidRDefault="00776A7E" w:rsidP="00B731B4">
      <w:pPr>
        <w:keepNext/>
        <w:widowControl/>
        <w:tabs>
          <w:tab w:val="left" w:pos="-720"/>
        </w:tabs>
        <w:rPr>
          <w:sz w:val="26"/>
          <w:szCs w:val="26"/>
        </w:rPr>
      </w:pPr>
    </w:p>
    <w:p w:rsidR="00776A7E" w:rsidRDefault="00776A7E" w:rsidP="00B731B4">
      <w:pPr>
        <w:keepNext/>
        <w:widowControl/>
        <w:tabs>
          <w:tab w:val="left" w:pos="-720"/>
        </w:tabs>
        <w:rPr>
          <w:sz w:val="26"/>
          <w:szCs w:val="26"/>
        </w:rPr>
      </w:pPr>
      <w:r w:rsidRPr="00CA43A5">
        <w:rPr>
          <w:sz w:val="26"/>
          <w:szCs w:val="26"/>
        </w:rPr>
        <w:t>ORDER ADOPTED:</w:t>
      </w:r>
      <w:r>
        <w:rPr>
          <w:sz w:val="26"/>
          <w:szCs w:val="26"/>
        </w:rPr>
        <w:t xml:space="preserve">  June 13, 2013</w:t>
      </w:r>
      <w:r w:rsidRPr="00CA43A5">
        <w:rPr>
          <w:sz w:val="26"/>
          <w:szCs w:val="26"/>
        </w:rPr>
        <w:t xml:space="preserve"> </w:t>
      </w:r>
    </w:p>
    <w:p w:rsidR="00776A7E" w:rsidRPr="00CA43A5" w:rsidRDefault="00776A7E" w:rsidP="00B731B4">
      <w:pPr>
        <w:keepNext/>
        <w:widowControl/>
        <w:tabs>
          <w:tab w:val="left" w:pos="-720"/>
        </w:tabs>
        <w:rPr>
          <w:sz w:val="26"/>
          <w:szCs w:val="26"/>
        </w:rPr>
      </w:pPr>
    </w:p>
    <w:p w:rsidR="00776A7E" w:rsidRPr="00CA43A5" w:rsidRDefault="00776A7E" w:rsidP="00B731B4">
      <w:pPr>
        <w:keepNext/>
        <w:widowControl/>
        <w:tabs>
          <w:tab w:val="left" w:pos="-720"/>
        </w:tabs>
        <w:rPr>
          <w:sz w:val="26"/>
          <w:szCs w:val="26"/>
        </w:rPr>
      </w:pPr>
      <w:r>
        <w:rPr>
          <w:sz w:val="26"/>
          <w:szCs w:val="26"/>
        </w:rPr>
        <w:t xml:space="preserve">ORDER ENTERED: </w:t>
      </w:r>
      <w:r w:rsidR="001A0FCE">
        <w:rPr>
          <w:sz w:val="26"/>
          <w:szCs w:val="26"/>
        </w:rPr>
        <w:t xml:space="preserve">  June 13, 2013</w:t>
      </w:r>
    </w:p>
    <w:p w:rsidR="00776A7E" w:rsidRPr="0049389B" w:rsidRDefault="00776A7E" w:rsidP="009546F8">
      <w:pPr>
        <w:widowControl/>
        <w:autoSpaceDE w:val="0"/>
        <w:autoSpaceDN w:val="0"/>
        <w:spacing w:line="360" w:lineRule="auto"/>
        <w:rPr>
          <w:sz w:val="26"/>
          <w:szCs w:val="26"/>
        </w:rPr>
      </w:pPr>
    </w:p>
    <w:sectPr w:rsidR="00776A7E" w:rsidRPr="0049389B">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1F3C" w:rsidRDefault="006E1F3C" w:rsidP="00C10C6C">
      <w:r>
        <w:separator/>
      </w:r>
    </w:p>
  </w:endnote>
  <w:endnote w:type="continuationSeparator" w:id="0">
    <w:p w:rsidR="006E1F3C" w:rsidRDefault="006E1F3C" w:rsidP="00C10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W1)">
    <w:altName w:val="Times New Roman"/>
    <w:charset w:val="00"/>
    <w:family w:val="roman"/>
    <w:pitch w:val="variable"/>
    <w:sig w:usb0="00000000"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4242525"/>
      <w:docPartObj>
        <w:docPartGallery w:val="Page Numbers (Bottom of Page)"/>
        <w:docPartUnique/>
      </w:docPartObj>
    </w:sdtPr>
    <w:sdtEndPr>
      <w:rPr>
        <w:noProof/>
        <w:sz w:val="26"/>
        <w:szCs w:val="26"/>
      </w:rPr>
    </w:sdtEndPr>
    <w:sdtContent>
      <w:p w:rsidR="006B5D10" w:rsidRPr="001A7B39" w:rsidRDefault="006B5D10">
        <w:pPr>
          <w:pStyle w:val="Footer"/>
          <w:jc w:val="center"/>
          <w:rPr>
            <w:sz w:val="26"/>
            <w:szCs w:val="26"/>
          </w:rPr>
        </w:pPr>
        <w:r w:rsidRPr="001A7B39">
          <w:rPr>
            <w:sz w:val="26"/>
            <w:szCs w:val="26"/>
          </w:rPr>
          <w:fldChar w:fldCharType="begin"/>
        </w:r>
        <w:r w:rsidRPr="001A7B39">
          <w:rPr>
            <w:sz w:val="26"/>
            <w:szCs w:val="26"/>
          </w:rPr>
          <w:instrText xml:space="preserve"> PAGE   \* MERGEFORMAT </w:instrText>
        </w:r>
        <w:r w:rsidRPr="001A7B39">
          <w:rPr>
            <w:sz w:val="26"/>
            <w:szCs w:val="26"/>
          </w:rPr>
          <w:fldChar w:fldCharType="separate"/>
        </w:r>
        <w:r w:rsidR="001A0FCE">
          <w:rPr>
            <w:noProof/>
            <w:sz w:val="26"/>
            <w:szCs w:val="26"/>
          </w:rPr>
          <w:t>14</w:t>
        </w:r>
        <w:r w:rsidRPr="001A7B39">
          <w:rPr>
            <w:noProof/>
            <w:sz w:val="26"/>
            <w:szCs w:val="26"/>
          </w:rPr>
          <w:fldChar w:fldCharType="end"/>
        </w:r>
      </w:p>
    </w:sdtContent>
  </w:sdt>
  <w:p w:rsidR="006B5D10" w:rsidRDefault="006B5D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1F3C" w:rsidRDefault="006E1F3C" w:rsidP="00C10C6C">
      <w:r>
        <w:separator/>
      </w:r>
    </w:p>
  </w:footnote>
  <w:footnote w:type="continuationSeparator" w:id="0">
    <w:p w:rsidR="006E1F3C" w:rsidRDefault="006E1F3C" w:rsidP="00C10C6C">
      <w:r>
        <w:continuationSeparator/>
      </w:r>
    </w:p>
  </w:footnote>
  <w:footnote w:id="1">
    <w:p w:rsidR="00C10C6C" w:rsidRPr="001B7DA2" w:rsidRDefault="00C10C6C" w:rsidP="00C10C6C">
      <w:pPr>
        <w:pStyle w:val="FootnoteText"/>
        <w:ind w:firstLine="720"/>
        <w:rPr>
          <w:rFonts w:ascii="CG Times" w:hAnsi="CG Times"/>
          <w:sz w:val="24"/>
        </w:rPr>
      </w:pPr>
      <w:r w:rsidRPr="001A7B39">
        <w:rPr>
          <w:rStyle w:val="FootnoteReference"/>
          <w:sz w:val="26"/>
          <w:szCs w:val="26"/>
        </w:rPr>
        <w:footnoteRef/>
      </w:r>
      <w:r w:rsidRPr="001A7B39">
        <w:rPr>
          <w:sz w:val="26"/>
          <w:szCs w:val="26"/>
        </w:rPr>
        <w:t xml:space="preserve"> </w:t>
      </w:r>
      <w:r>
        <w:tab/>
      </w:r>
      <w:r w:rsidRPr="001B7DA2">
        <w:rPr>
          <w:rFonts w:ascii="CG Times" w:hAnsi="CG Times"/>
          <w:sz w:val="26"/>
          <w:szCs w:val="26"/>
        </w:rPr>
        <w:t>T</w:t>
      </w:r>
      <w:r w:rsidRPr="001B7DA2">
        <w:rPr>
          <w:rFonts w:ascii="Times New (W1)" w:hAnsi="Times New (W1)"/>
          <w:sz w:val="26"/>
        </w:rPr>
        <w:t xml:space="preserve">he Complainant filed the Exceptions with the Commission’s Secretary’s Bureau on </w:t>
      </w:r>
      <w:r>
        <w:rPr>
          <w:rFonts w:ascii="Times New (W1)" w:hAnsi="Times New (W1)"/>
          <w:sz w:val="26"/>
        </w:rPr>
        <w:t>December 18</w:t>
      </w:r>
      <w:r w:rsidRPr="001B7DA2">
        <w:rPr>
          <w:rFonts w:ascii="Times New (W1)" w:hAnsi="Times New (W1)"/>
          <w:sz w:val="26"/>
        </w:rPr>
        <w:t>, 201</w:t>
      </w:r>
      <w:r>
        <w:rPr>
          <w:rFonts w:ascii="Times New (W1)" w:hAnsi="Times New (W1)"/>
          <w:sz w:val="26"/>
        </w:rPr>
        <w:t>2</w:t>
      </w:r>
      <w:r w:rsidR="009F5025">
        <w:rPr>
          <w:rFonts w:ascii="Times New (W1)" w:hAnsi="Times New (W1)"/>
          <w:sz w:val="26"/>
        </w:rPr>
        <w:t>;</w:t>
      </w:r>
      <w:r w:rsidRPr="001B7DA2">
        <w:rPr>
          <w:rFonts w:ascii="Times New (W1)" w:hAnsi="Times New (W1)"/>
          <w:sz w:val="26"/>
        </w:rPr>
        <w:t xml:space="preserve"> however, the Exceptions </w:t>
      </w:r>
      <w:r w:rsidRPr="001B7DA2">
        <w:rPr>
          <w:sz w:val="26"/>
          <w:szCs w:val="26"/>
        </w:rPr>
        <w:t xml:space="preserve">did not include a Certificate of Service.  By letter dated </w:t>
      </w:r>
      <w:r>
        <w:rPr>
          <w:sz w:val="26"/>
          <w:szCs w:val="26"/>
        </w:rPr>
        <w:t>December 21, 2012</w:t>
      </w:r>
      <w:r w:rsidRPr="001B7DA2">
        <w:rPr>
          <w:sz w:val="26"/>
          <w:szCs w:val="26"/>
        </w:rPr>
        <w:t xml:space="preserve">, the Secretary’s Bureau notified all Parties that the Complainant had timely filed Exceptions, but had failed to serve a copy of the Exceptions on the other Parties to the case.  The Secretary’s letter provided a copy of the Exceptions to all Parties, and </w:t>
      </w:r>
      <w:r>
        <w:rPr>
          <w:sz w:val="26"/>
          <w:szCs w:val="26"/>
        </w:rPr>
        <w:t>December 21</w:t>
      </w:r>
      <w:r w:rsidRPr="001B7DA2">
        <w:rPr>
          <w:sz w:val="26"/>
          <w:szCs w:val="26"/>
        </w:rPr>
        <w:t>, 201</w:t>
      </w:r>
      <w:r>
        <w:rPr>
          <w:sz w:val="26"/>
          <w:szCs w:val="26"/>
        </w:rPr>
        <w:t>2</w:t>
      </w:r>
      <w:r w:rsidRPr="001B7DA2">
        <w:rPr>
          <w:sz w:val="26"/>
          <w:szCs w:val="26"/>
        </w:rPr>
        <w:t>, was then deemed to be the filing date for the Exceptions in order to avoid prejudice to any Party.</w:t>
      </w:r>
    </w:p>
    <w:p w:rsidR="00C10C6C" w:rsidRDefault="00C10C6C" w:rsidP="00C10C6C">
      <w:pPr>
        <w:pStyle w:val="FootnoteText"/>
        <w:ind w:firstLine="720"/>
      </w:pPr>
    </w:p>
  </w:footnote>
  <w:footnote w:id="2">
    <w:p w:rsidR="00C10C6C" w:rsidRPr="00C10C6C" w:rsidRDefault="00C10C6C" w:rsidP="00C10C6C">
      <w:pPr>
        <w:pStyle w:val="FootnoteText"/>
        <w:ind w:firstLine="720"/>
        <w:rPr>
          <w:sz w:val="26"/>
          <w:szCs w:val="26"/>
        </w:rPr>
      </w:pPr>
      <w:r w:rsidRPr="00C10C6C">
        <w:rPr>
          <w:rStyle w:val="FootnoteReference"/>
          <w:sz w:val="26"/>
          <w:szCs w:val="26"/>
        </w:rPr>
        <w:footnoteRef/>
      </w:r>
      <w:r w:rsidRPr="00C10C6C">
        <w:rPr>
          <w:sz w:val="26"/>
          <w:szCs w:val="26"/>
        </w:rPr>
        <w:t xml:space="preserve"> </w:t>
      </w:r>
      <w:r>
        <w:rPr>
          <w:sz w:val="26"/>
          <w:szCs w:val="26"/>
        </w:rPr>
        <w:tab/>
      </w:r>
      <w:r w:rsidR="00781918">
        <w:rPr>
          <w:sz w:val="26"/>
          <w:szCs w:val="26"/>
        </w:rPr>
        <w:t>By Secretarial Letter of December 6, 2</w:t>
      </w:r>
      <w:r w:rsidR="009F5025">
        <w:rPr>
          <w:sz w:val="26"/>
          <w:szCs w:val="26"/>
        </w:rPr>
        <w:t xml:space="preserve">012, the Commission granted the Complainant’s </w:t>
      </w:r>
      <w:r w:rsidR="00781918">
        <w:rPr>
          <w:sz w:val="26"/>
          <w:szCs w:val="26"/>
        </w:rPr>
        <w:t xml:space="preserve">request </w:t>
      </w:r>
      <w:r w:rsidR="009F5025">
        <w:rPr>
          <w:sz w:val="26"/>
          <w:szCs w:val="26"/>
        </w:rPr>
        <w:t xml:space="preserve">for an extension of time for the filing of </w:t>
      </w:r>
      <w:r w:rsidR="000C711C">
        <w:rPr>
          <w:sz w:val="26"/>
          <w:szCs w:val="26"/>
        </w:rPr>
        <w:t>Exceptions and</w:t>
      </w:r>
      <w:r w:rsidR="00781918">
        <w:rPr>
          <w:sz w:val="26"/>
          <w:szCs w:val="26"/>
        </w:rPr>
        <w:t xml:space="preserve"> required that Exceptions be filed on or before December 20, 2012.</w:t>
      </w:r>
    </w:p>
  </w:footnote>
  <w:footnote w:id="3">
    <w:p w:rsidR="000F48DF" w:rsidRPr="00655657" w:rsidRDefault="000F48DF" w:rsidP="000F48DF">
      <w:pPr>
        <w:pStyle w:val="FootnoteText"/>
        <w:tabs>
          <w:tab w:val="left" w:pos="720"/>
          <w:tab w:val="left" w:pos="1440"/>
        </w:tabs>
      </w:pPr>
      <w:r>
        <w:tab/>
      </w:r>
      <w:r w:rsidRPr="001A7B39">
        <w:rPr>
          <w:rStyle w:val="FootnoteReference"/>
          <w:sz w:val="26"/>
          <w:szCs w:val="26"/>
        </w:rPr>
        <w:footnoteRef/>
      </w:r>
      <w:r w:rsidRPr="001A7B39">
        <w:rPr>
          <w:sz w:val="26"/>
          <w:szCs w:val="26"/>
        </w:rPr>
        <w:t xml:space="preserve"> </w:t>
      </w:r>
      <w:r>
        <w:tab/>
      </w:r>
      <w:r w:rsidRPr="00655657">
        <w:rPr>
          <w:sz w:val="26"/>
        </w:rPr>
        <w:t xml:space="preserve">We acknowledge that the format of the Complainant’s Exceptions does not strictly comply with Section 5.533(b) of our Regulations, 52 Pa. Code § 5.533(b), which requires that exceptions be numbered, </w:t>
      </w:r>
      <w:r w:rsidR="00215B6C">
        <w:rPr>
          <w:sz w:val="26"/>
        </w:rPr>
        <w:t>identify</w:t>
      </w:r>
      <w:r w:rsidRPr="00655657">
        <w:rPr>
          <w:sz w:val="26"/>
        </w:rPr>
        <w:t xml:space="preserve"> the finding of fact and conclusion of law to which exception is taken, and cite to the relevant pages of the Initial Decision.  Nevertheless, particularly because the Complainant is appearing </w:t>
      </w:r>
      <w:r w:rsidRPr="00655657">
        <w:rPr>
          <w:i/>
          <w:sz w:val="26"/>
        </w:rPr>
        <w:t>pro se</w:t>
      </w:r>
      <w:r w:rsidRPr="00655657">
        <w:rPr>
          <w:sz w:val="26"/>
        </w:rPr>
        <w:t>, we will accept the Exceptions as filed pursuant to Section 1.2(</w:t>
      </w:r>
      <w:r>
        <w:rPr>
          <w:sz w:val="26"/>
        </w:rPr>
        <w:t>a</w:t>
      </w:r>
      <w:r w:rsidRPr="00655657">
        <w:rPr>
          <w:sz w:val="26"/>
        </w:rPr>
        <w:t>) of our Regulations, 52 Pa.</w:t>
      </w:r>
      <w:r>
        <w:rPr>
          <w:sz w:val="26"/>
        </w:rPr>
        <w:t xml:space="preserve"> </w:t>
      </w:r>
      <w:r w:rsidRPr="00655657">
        <w:rPr>
          <w:sz w:val="26"/>
        </w:rPr>
        <w:t>Code §</w:t>
      </w:r>
      <w:r w:rsidR="009546F8">
        <w:rPr>
          <w:sz w:val="26"/>
        </w:rPr>
        <w:t> </w:t>
      </w:r>
      <w:r w:rsidRPr="00655657">
        <w:rPr>
          <w:sz w:val="26"/>
        </w:rPr>
        <w:t>1.2(</w:t>
      </w:r>
      <w:r>
        <w:rPr>
          <w:sz w:val="26"/>
        </w:rPr>
        <w:t>a</w:t>
      </w:r>
      <w:r w:rsidRPr="00655657">
        <w:rPr>
          <w:sz w:val="26"/>
        </w:rPr>
        <w:t>)</w:t>
      </w:r>
      <w:r>
        <w:rPr>
          <w:sz w:val="26"/>
        </w:rPr>
        <w:t>, in order to secure a just, speedy, and inexpensive determination</w:t>
      </w:r>
      <w:r w:rsidRPr="00655657">
        <w:rPr>
          <w:sz w:val="26"/>
        </w:rPr>
        <w:t>.</w:t>
      </w:r>
    </w:p>
    <w:p w:rsidR="000F48DF" w:rsidRDefault="000F48DF" w:rsidP="000F48DF">
      <w:pPr>
        <w:pStyle w:val="FootnoteText"/>
        <w:ind w:firstLine="720"/>
      </w:pPr>
    </w:p>
  </w:footnote>
  <w:footnote w:id="4">
    <w:p w:rsidR="007537EF" w:rsidRDefault="007537EF" w:rsidP="003431A6">
      <w:pPr>
        <w:pStyle w:val="FootnoteText"/>
        <w:ind w:firstLine="720"/>
      </w:pPr>
      <w:r w:rsidRPr="00B71033">
        <w:rPr>
          <w:rStyle w:val="FootnoteReference"/>
          <w:sz w:val="26"/>
          <w:szCs w:val="26"/>
        </w:rPr>
        <w:footnoteRef/>
      </w:r>
      <w:r w:rsidRPr="00B71033">
        <w:rPr>
          <w:sz w:val="26"/>
          <w:szCs w:val="26"/>
        </w:rPr>
        <w:t xml:space="preserve"> </w:t>
      </w:r>
      <w:r>
        <w:tab/>
      </w:r>
      <w:r w:rsidR="0032342A">
        <w:rPr>
          <w:sz w:val="26"/>
        </w:rPr>
        <w:t>In reaching her</w:t>
      </w:r>
      <w:r>
        <w:rPr>
          <w:sz w:val="26"/>
        </w:rPr>
        <w:t xml:space="preserve"> determination, t</w:t>
      </w:r>
      <w:r w:rsidRPr="004B07B9">
        <w:rPr>
          <w:sz w:val="26"/>
        </w:rPr>
        <w:t xml:space="preserve">he ALJ relied on the Commission’s decisions in </w:t>
      </w:r>
      <w:r w:rsidRPr="004B07B9">
        <w:rPr>
          <w:i/>
          <w:sz w:val="26"/>
        </w:rPr>
        <w:t>Ace Check Cashing, Inc. v. Philadelphia Gas Works</w:t>
      </w:r>
      <w:r w:rsidRPr="004B07B9">
        <w:rPr>
          <w:sz w:val="26"/>
        </w:rPr>
        <w:t>, Docket No. C</w:t>
      </w:r>
      <w:r w:rsidR="009546F8">
        <w:rPr>
          <w:sz w:val="26"/>
        </w:rPr>
        <w:noBreakHyphen/>
      </w:r>
      <w:r w:rsidRPr="004B07B9">
        <w:rPr>
          <w:sz w:val="26"/>
        </w:rPr>
        <w:t>2008</w:t>
      </w:r>
      <w:r w:rsidR="009546F8">
        <w:rPr>
          <w:sz w:val="26"/>
        </w:rPr>
        <w:noBreakHyphen/>
      </w:r>
      <w:r w:rsidRPr="004B07B9">
        <w:rPr>
          <w:sz w:val="26"/>
        </w:rPr>
        <w:t>2056428 (Order entered May 21, 2010)</w:t>
      </w:r>
      <w:r>
        <w:rPr>
          <w:sz w:val="26"/>
        </w:rPr>
        <w:t xml:space="preserve"> and </w:t>
      </w:r>
      <w:r w:rsidRPr="00B378C2">
        <w:rPr>
          <w:i/>
          <w:sz w:val="26"/>
        </w:rPr>
        <w:t>S</w:t>
      </w:r>
      <w:r w:rsidRPr="004B07B9">
        <w:rPr>
          <w:i/>
          <w:sz w:val="26"/>
        </w:rPr>
        <w:t>antos v. Metropolitan Edison</w:t>
      </w:r>
      <w:r>
        <w:rPr>
          <w:i/>
          <w:sz w:val="26"/>
        </w:rPr>
        <w:t xml:space="preserve"> Co.</w:t>
      </w:r>
      <w:r w:rsidRPr="004B07B9">
        <w:rPr>
          <w:sz w:val="26"/>
        </w:rPr>
        <w:t xml:space="preserve">, </w:t>
      </w:r>
      <w:r>
        <w:rPr>
          <w:sz w:val="26"/>
          <w:szCs w:val="26"/>
        </w:rPr>
        <w:t>1997 Pa. PUC LEXIS 184.</w:t>
      </w:r>
    </w:p>
  </w:footnote>
  <w:footnote w:id="5">
    <w:p w:rsidR="007773E6" w:rsidRPr="007773E6" w:rsidRDefault="00AA5130">
      <w:pPr>
        <w:pStyle w:val="FootnoteText"/>
        <w:rPr>
          <w:sz w:val="26"/>
          <w:szCs w:val="26"/>
        </w:rPr>
      </w:pPr>
      <w:r>
        <w:rPr>
          <w:sz w:val="26"/>
          <w:szCs w:val="26"/>
        </w:rPr>
        <w:tab/>
      </w:r>
      <w:r w:rsidR="007773E6" w:rsidRPr="007773E6">
        <w:rPr>
          <w:rStyle w:val="FootnoteReference"/>
          <w:sz w:val="26"/>
          <w:szCs w:val="26"/>
        </w:rPr>
        <w:footnoteRef/>
      </w:r>
      <w:r w:rsidR="007773E6">
        <w:rPr>
          <w:sz w:val="26"/>
          <w:szCs w:val="26"/>
        </w:rPr>
        <w:tab/>
        <w:t>The amount transferred to the Complainant when the foreign wiring was detected</w:t>
      </w:r>
      <w:r w:rsidR="00B26858">
        <w:rPr>
          <w:sz w:val="26"/>
          <w:szCs w:val="26"/>
        </w:rPr>
        <w:t xml:space="preserve"> on April 13, 2011,</w:t>
      </w:r>
      <w:r w:rsidR="005C3804">
        <w:rPr>
          <w:sz w:val="26"/>
          <w:szCs w:val="26"/>
        </w:rPr>
        <w:t xml:space="preserve"> through May 23, 2011,</w:t>
      </w:r>
      <w:r w:rsidR="007773E6">
        <w:rPr>
          <w:sz w:val="26"/>
          <w:szCs w:val="26"/>
        </w:rPr>
        <w:t xml:space="preserve"> when the foreign wiring was corrected and verified corrected</w:t>
      </w:r>
      <w:r w:rsidR="005C3804">
        <w:rPr>
          <w:sz w:val="26"/>
          <w:szCs w:val="26"/>
        </w:rPr>
        <w:t>,</w:t>
      </w:r>
      <w:r w:rsidR="00D323B3">
        <w:rPr>
          <w:sz w:val="26"/>
          <w:szCs w:val="26"/>
        </w:rPr>
        <w:t xml:space="preserve"> was</w:t>
      </w:r>
      <w:r w:rsidR="007773E6">
        <w:rPr>
          <w:sz w:val="26"/>
          <w:szCs w:val="26"/>
        </w:rPr>
        <w:t xml:space="preserve"> $2,077.96.  PECO Exh. </w:t>
      </w:r>
      <w:r w:rsidR="00733EF7">
        <w:rPr>
          <w:sz w:val="26"/>
          <w:szCs w:val="26"/>
        </w:rPr>
        <w:t>3;</w:t>
      </w:r>
      <w:r w:rsidR="007773E6">
        <w:rPr>
          <w:sz w:val="26"/>
          <w:szCs w:val="26"/>
        </w:rPr>
        <w:t xml:space="preserve"> I.D. at 15.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064B1E"/>
    <w:multiLevelType w:val="hybridMultilevel"/>
    <w:tmpl w:val="06705FE8"/>
    <w:lvl w:ilvl="0" w:tplc="D84088F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663B291A"/>
    <w:multiLevelType w:val="hybridMultilevel"/>
    <w:tmpl w:val="7B02646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C6C"/>
    <w:rsid w:val="0000486D"/>
    <w:rsid w:val="000B15B2"/>
    <w:rsid w:val="000B5B01"/>
    <w:rsid w:val="000C711C"/>
    <w:rsid w:val="000F48DF"/>
    <w:rsid w:val="000F4E9D"/>
    <w:rsid w:val="001006D8"/>
    <w:rsid w:val="00114593"/>
    <w:rsid w:val="001558F5"/>
    <w:rsid w:val="00190848"/>
    <w:rsid w:val="001A0FCE"/>
    <w:rsid w:val="001A7B39"/>
    <w:rsid w:val="001C076E"/>
    <w:rsid w:val="001D582A"/>
    <w:rsid w:val="001D6578"/>
    <w:rsid w:val="001D6860"/>
    <w:rsid w:val="002062F0"/>
    <w:rsid w:val="00211FD0"/>
    <w:rsid w:val="00215B6C"/>
    <w:rsid w:val="00243CA3"/>
    <w:rsid w:val="00255C49"/>
    <w:rsid w:val="00286B6E"/>
    <w:rsid w:val="002D6C48"/>
    <w:rsid w:val="002E2A46"/>
    <w:rsid w:val="0032342A"/>
    <w:rsid w:val="00342E30"/>
    <w:rsid w:val="003431A6"/>
    <w:rsid w:val="00356C61"/>
    <w:rsid w:val="003C3A64"/>
    <w:rsid w:val="003C42CD"/>
    <w:rsid w:val="003F637C"/>
    <w:rsid w:val="00450487"/>
    <w:rsid w:val="00455CEA"/>
    <w:rsid w:val="00460A29"/>
    <w:rsid w:val="0049389B"/>
    <w:rsid w:val="004B6BBE"/>
    <w:rsid w:val="00502D3C"/>
    <w:rsid w:val="0058136F"/>
    <w:rsid w:val="005C3804"/>
    <w:rsid w:val="005D2628"/>
    <w:rsid w:val="005E6BDA"/>
    <w:rsid w:val="00605138"/>
    <w:rsid w:val="00614036"/>
    <w:rsid w:val="006B5D10"/>
    <w:rsid w:val="006D0218"/>
    <w:rsid w:val="006D167A"/>
    <w:rsid w:val="006E1F3C"/>
    <w:rsid w:val="007028C1"/>
    <w:rsid w:val="007148B6"/>
    <w:rsid w:val="00733EF7"/>
    <w:rsid w:val="007537EF"/>
    <w:rsid w:val="0077450A"/>
    <w:rsid w:val="00776A7E"/>
    <w:rsid w:val="007773E6"/>
    <w:rsid w:val="00781918"/>
    <w:rsid w:val="0080662F"/>
    <w:rsid w:val="008935AE"/>
    <w:rsid w:val="008A7DAC"/>
    <w:rsid w:val="0092169A"/>
    <w:rsid w:val="00927C96"/>
    <w:rsid w:val="009546F8"/>
    <w:rsid w:val="00967A12"/>
    <w:rsid w:val="00971EE0"/>
    <w:rsid w:val="009968B6"/>
    <w:rsid w:val="009A6317"/>
    <w:rsid w:val="009D1540"/>
    <w:rsid w:val="009D395F"/>
    <w:rsid w:val="009D65F5"/>
    <w:rsid w:val="009F5025"/>
    <w:rsid w:val="00A07806"/>
    <w:rsid w:val="00A10C58"/>
    <w:rsid w:val="00A51EE6"/>
    <w:rsid w:val="00A65EFD"/>
    <w:rsid w:val="00A665F4"/>
    <w:rsid w:val="00A74462"/>
    <w:rsid w:val="00A8164D"/>
    <w:rsid w:val="00AA5130"/>
    <w:rsid w:val="00AB2EE8"/>
    <w:rsid w:val="00AB3C36"/>
    <w:rsid w:val="00AD354E"/>
    <w:rsid w:val="00AF021F"/>
    <w:rsid w:val="00B26858"/>
    <w:rsid w:val="00B652FA"/>
    <w:rsid w:val="00B71033"/>
    <w:rsid w:val="00B731B4"/>
    <w:rsid w:val="00BF5B6B"/>
    <w:rsid w:val="00C10C6C"/>
    <w:rsid w:val="00C656C5"/>
    <w:rsid w:val="00C707D3"/>
    <w:rsid w:val="00C768D7"/>
    <w:rsid w:val="00D0442D"/>
    <w:rsid w:val="00D05390"/>
    <w:rsid w:val="00D200E6"/>
    <w:rsid w:val="00D323B3"/>
    <w:rsid w:val="00D42FA9"/>
    <w:rsid w:val="00D56EE9"/>
    <w:rsid w:val="00DF7F23"/>
    <w:rsid w:val="00E2483C"/>
    <w:rsid w:val="00E26B82"/>
    <w:rsid w:val="00E35F5B"/>
    <w:rsid w:val="00E5056C"/>
    <w:rsid w:val="00E93891"/>
    <w:rsid w:val="00E95595"/>
    <w:rsid w:val="00EA458A"/>
    <w:rsid w:val="00EA57C8"/>
    <w:rsid w:val="00EC1F9E"/>
    <w:rsid w:val="00EE0C9D"/>
    <w:rsid w:val="00F244F4"/>
    <w:rsid w:val="00FD684C"/>
    <w:rsid w:val="00FE5A9C"/>
    <w:rsid w:val="00FE5B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0C6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10C6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otnoteReference">
    <w:name w:val="footnote reference"/>
    <w:basedOn w:val="DefaultParagraphFont"/>
    <w:semiHidden/>
    <w:rsid w:val="00C10C6C"/>
    <w:rPr>
      <w:vertAlign w:val="superscript"/>
    </w:rPr>
  </w:style>
  <w:style w:type="paragraph" w:styleId="FootnoteText">
    <w:name w:val="footnote text"/>
    <w:basedOn w:val="Normal"/>
    <w:link w:val="FootnoteTextChar"/>
    <w:uiPriority w:val="99"/>
    <w:semiHidden/>
    <w:unhideWhenUsed/>
    <w:rsid w:val="00C10C6C"/>
  </w:style>
  <w:style w:type="character" w:customStyle="1" w:styleId="FootnoteTextChar">
    <w:name w:val="Footnote Text Char"/>
    <w:basedOn w:val="DefaultParagraphFont"/>
    <w:link w:val="FootnoteText"/>
    <w:uiPriority w:val="99"/>
    <w:semiHidden/>
    <w:rsid w:val="00C10C6C"/>
    <w:rPr>
      <w:rFonts w:ascii="Times New Roman" w:eastAsia="Times New Roman" w:hAnsi="Times New Roman" w:cs="Times New Roman"/>
      <w:sz w:val="20"/>
      <w:szCs w:val="20"/>
    </w:rPr>
  </w:style>
  <w:style w:type="character" w:styleId="Hyperlink">
    <w:name w:val="Hyperlink"/>
    <w:basedOn w:val="DefaultParagraphFont"/>
    <w:rsid w:val="009968B6"/>
    <w:rPr>
      <w:color w:val="0000FF"/>
      <w:u w:val="single"/>
    </w:rPr>
  </w:style>
  <w:style w:type="character" w:customStyle="1" w:styleId="term1">
    <w:name w:val="term1"/>
    <w:basedOn w:val="DefaultParagraphFont"/>
    <w:rsid w:val="009968B6"/>
    <w:rPr>
      <w:b/>
      <w:bCs/>
    </w:rPr>
  </w:style>
  <w:style w:type="character" w:styleId="Emphasis">
    <w:name w:val="Emphasis"/>
    <w:basedOn w:val="DefaultParagraphFont"/>
    <w:qFormat/>
    <w:rsid w:val="009968B6"/>
    <w:rPr>
      <w:i/>
      <w:iCs/>
    </w:rPr>
  </w:style>
  <w:style w:type="paragraph" w:styleId="BalloonText">
    <w:name w:val="Balloon Text"/>
    <w:basedOn w:val="Normal"/>
    <w:link w:val="BalloonTextChar"/>
    <w:uiPriority w:val="99"/>
    <w:semiHidden/>
    <w:unhideWhenUsed/>
    <w:rsid w:val="00AD354E"/>
    <w:rPr>
      <w:rFonts w:ascii="Tahoma" w:hAnsi="Tahoma" w:cs="Tahoma"/>
      <w:sz w:val="16"/>
      <w:szCs w:val="16"/>
    </w:rPr>
  </w:style>
  <w:style w:type="character" w:customStyle="1" w:styleId="BalloonTextChar">
    <w:name w:val="Balloon Text Char"/>
    <w:basedOn w:val="DefaultParagraphFont"/>
    <w:link w:val="BalloonText"/>
    <w:uiPriority w:val="99"/>
    <w:semiHidden/>
    <w:rsid w:val="00AD354E"/>
    <w:rPr>
      <w:rFonts w:ascii="Tahoma" w:eastAsia="Times New Roman" w:hAnsi="Tahoma" w:cs="Tahoma"/>
      <w:sz w:val="16"/>
      <w:szCs w:val="16"/>
    </w:rPr>
  </w:style>
  <w:style w:type="paragraph" w:styleId="ListParagraph">
    <w:name w:val="List Paragraph"/>
    <w:basedOn w:val="Normal"/>
    <w:uiPriority w:val="34"/>
    <w:qFormat/>
    <w:rsid w:val="0049389B"/>
    <w:pPr>
      <w:widowControl/>
      <w:autoSpaceDE w:val="0"/>
      <w:autoSpaceDN w:val="0"/>
      <w:ind w:left="720"/>
    </w:pPr>
    <w:rPr>
      <w:rFonts w:ascii="CG Times" w:hAnsi="CG Times" w:cs="CG Times"/>
    </w:rPr>
  </w:style>
  <w:style w:type="paragraph" w:styleId="Header">
    <w:name w:val="header"/>
    <w:basedOn w:val="Normal"/>
    <w:link w:val="HeaderChar"/>
    <w:uiPriority w:val="99"/>
    <w:unhideWhenUsed/>
    <w:rsid w:val="006B5D10"/>
    <w:pPr>
      <w:tabs>
        <w:tab w:val="center" w:pos="4680"/>
        <w:tab w:val="right" w:pos="9360"/>
      </w:tabs>
    </w:pPr>
  </w:style>
  <w:style w:type="character" w:customStyle="1" w:styleId="HeaderChar">
    <w:name w:val="Header Char"/>
    <w:basedOn w:val="DefaultParagraphFont"/>
    <w:link w:val="Header"/>
    <w:uiPriority w:val="99"/>
    <w:rsid w:val="006B5D1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B5D10"/>
    <w:pPr>
      <w:tabs>
        <w:tab w:val="center" w:pos="4680"/>
        <w:tab w:val="right" w:pos="9360"/>
      </w:tabs>
    </w:pPr>
  </w:style>
  <w:style w:type="character" w:customStyle="1" w:styleId="FooterChar">
    <w:name w:val="Footer Char"/>
    <w:basedOn w:val="DefaultParagraphFont"/>
    <w:link w:val="Footer"/>
    <w:uiPriority w:val="99"/>
    <w:rsid w:val="006B5D10"/>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0C6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10C6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otnoteReference">
    <w:name w:val="footnote reference"/>
    <w:basedOn w:val="DefaultParagraphFont"/>
    <w:semiHidden/>
    <w:rsid w:val="00C10C6C"/>
    <w:rPr>
      <w:vertAlign w:val="superscript"/>
    </w:rPr>
  </w:style>
  <w:style w:type="paragraph" w:styleId="FootnoteText">
    <w:name w:val="footnote text"/>
    <w:basedOn w:val="Normal"/>
    <w:link w:val="FootnoteTextChar"/>
    <w:uiPriority w:val="99"/>
    <w:semiHidden/>
    <w:unhideWhenUsed/>
    <w:rsid w:val="00C10C6C"/>
  </w:style>
  <w:style w:type="character" w:customStyle="1" w:styleId="FootnoteTextChar">
    <w:name w:val="Footnote Text Char"/>
    <w:basedOn w:val="DefaultParagraphFont"/>
    <w:link w:val="FootnoteText"/>
    <w:uiPriority w:val="99"/>
    <w:semiHidden/>
    <w:rsid w:val="00C10C6C"/>
    <w:rPr>
      <w:rFonts w:ascii="Times New Roman" w:eastAsia="Times New Roman" w:hAnsi="Times New Roman" w:cs="Times New Roman"/>
      <w:sz w:val="20"/>
      <w:szCs w:val="20"/>
    </w:rPr>
  </w:style>
  <w:style w:type="character" w:styleId="Hyperlink">
    <w:name w:val="Hyperlink"/>
    <w:basedOn w:val="DefaultParagraphFont"/>
    <w:rsid w:val="009968B6"/>
    <w:rPr>
      <w:color w:val="0000FF"/>
      <w:u w:val="single"/>
    </w:rPr>
  </w:style>
  <w:style w:type="character" w:customStyle="1" w:styleId="term1">
    <w:name w:val="term1"/>
    <w:basedOn w:val="DefaultParagraphFont"/>
    <w:rsid w:val="009968B6"/>
    <w:rPr>
      <w:b/>
      <w:bCs/>
    </w:rPr>
  </w:style>
  <w:style w:type="character" w:styleId="Emphasis">
    <w:name w:val="Emphasis"/>
    <w:basedOn w:val="DefaultParagraphFont"/>
    <w:qFormat/>
    <w:rsid w:val="009968B6"/>
    <w:rPr>
      <w:i/>
      <w:iCs/>
    </w:rPr>
  </w:style>
  <w:style w:type="paragraph" w:styleId="BalloonText">
    <w:name w:val="Balloon Text"/>
    <w:basedOn w:val="Normal"/>
    <w:link w:val="BalloonTextChar"/>
    <w:uiPriority w:val="99"/>
    <w:semiHidden/>
    <w:unhideWhenUsed/>
    <w:rsid w:val="00AD354E"/>
    <w:rPr>
      <w:rFonts w:ascii="Tahoma" w:hAnsi="Tahoma" w:cs="Tahoma"/>
      <w:sz w:val="16"/>
      <w:szCs w:val="16"/>
    </w:rPr>
  </w:style>
  <w:style w:type="character" w:customStyle="1" w:styleId="BalloonTextChar">
    <w:name w:val="Balloon Text Char"/>
    <w:basedOn w:val="DefaultParagraphFont"/>
    <w:link w:val="BalloonText"/>
    <w:uiPriority w:val="99"/>
    <w:semiHidden/>
    <w:rsid w:val="00AD354E"/>
    <w:rPr>
      <w:rFonts w:ascii="Tahoma" w:eastAsia="Times New Roman" w:hAnsi="Tahoma" w:cs="Tahoma"/>
      <w:sz w:val="16"/>
      <w:szCs w:val="16"/>
    </w:rPr>
  </w:style>
  <w:style w:type="paragraph" w:styleId="ListParagraph">
    <w:name w:val="List Paragraph"/>
    <w:basedOn w:val="Normal"/>
    <w:uiPriority w:val="34"/>
    <w:qFormat/>
    <w:rsid w:val="0049389B"/>
    <w:pPr>
      <w:widowControl/>
      <w:autoSpaceDE w:val="0"/>
      <w:autoSpaceDN w:val="0"/>
      <w:ind w:left="720"/>
    </w:pPr>
    <w:rPr>
      <w:rFonts w:ascii="CG Times" w:hAnsi="CG Times" w:cs="CG Times"/>
    </w:rPr>
  </w:style>
  <w:style w:type="paragraph" w:styleId="Header">
    <w:name w:val="header"/>
    <w:basedOn w:val="Normal"/>
    <w:link w:val="HeaderChar"/>
    <w:uiPriority w:val="99"/>
    <w:unhideWhenUsed/>
    <w:rsid w:val="006B5D10"/>
    <w:pPr>
      <w:tabs>
        <w:tab w:val="center" w:pos="4680"/>
        <w:tab w:val="right" w:pos="9360"/>
      </w:tabs>
    </w:pPr>
  </w:style>
  <w:style w:type="character" w:customStyle="1" w:styleId="HeaderChar">
    <w:name w:val="Header Char"/>
    <w:basedOn w:val="DefaultParagraphFont"/>
    <w:link w:val="Header"/>
    <w:uiPriority w:val="99"/>
    <w:rsid w:val="006B5D1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B5D10"/>
    <w:pPr>
      <w:tabs>
        <w:tab w:val="center" w:pos="4680"/>
        <w:tab w:val="right" w:pos="9360"/>
      </w:tabs>
    </w:pPr>
  </w:style>
  <w:style w:type="character" w:customStyle="1" w:styleId="FooterChar">
    <w:name w:val="Footer Char"/>
    <w:basedOn w:val="DefaultParagraphFont"/>
    <w:link w:val="Footer"/>
    <w:uiPriority w:val="99"/>
    <w:rsid w:val="006B5D10"/>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4" Type="http://schemas.microsoft.com/office/2007/relationships/stylesWithEffects" Target="stylesWithEffects.xml"/><Relationship Id="rId9"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ADE519-D1B8-4D4F-90EB-F57725919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14</Pages>
  <Words>3437</Words>
  <Characters>19591</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22983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rocarran</dc:creator>
  <cp:lastModifiedBy>Miller, Sara</cp:lastModifiedBy>
  <cp:revision>7</cp:revision>
  <cp:lastPrinted>2013-06-13T13:09:00Z</cp:lastPrinted>
  <dcterms:created xsi:type="dcterms:W3CDTF">2013-05-30T18:03:00Z</dcterms:created>
  <dcterms:modified xsi:type="dcterms:W3CDTF">2013-06-13T13:10:00Z</dcterms:modified>
</cp:coreProperties>
</file>