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D26B65">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bookmarkStart w:id="0" w:name="_GoBack"/>
            <w:bookmarkEnd w:id="0"/>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65296E" w:rsidRPr="00FB7F72" w:rsidRDefault="0065296E" w:rsidP="0065296E">
      <w:pPr>
        <w:ind w:right="-720"/>
        <w:jc w:val="right"/>
      </w:pPr>
      <w:r w:rsidRPr="00FB7F72">
        <w:lastRenderedPageBreak/>
        <w:t>F-2012-2300790</w:t>
      </w:r>
      <w:r w:rsidRPr="00FB7F72">
        <w:fldChar w:fldCharType="begin">
          <w:ffData>
            <w:name w:val="Text15"/>
            <w:enabled/>
            <w:calcOnExit w:val="0"/>
            <w:textInput/>
          </w:ffData>
        </w:fldChar>
      </w:r>
      <w:r w:rsidRPr="00FB7F72">
        <w:instrText xml:space="preserve"> FORMTEXT </w:instrText>
      </w:r>
      <w:r w:rsidRPr="00FB7F72">
        <w:fldChar w:fldCharType="end"/>
      </w:r>
    </w:p>
    <w:p w:rsidR="00656596" w:rsidRPr="00FB7F72" w:rsidRDefault="00656596" w:rsidP="006721B8">
      <w:pPr>
        <w:ind w:left="7920" w:right="-630" w:firstLine="270"/>
        <w:jc w:val="center"/>
      </w:pPr>
    </w:p>
    <w:p w:rsidR="006721B8" w:rsidRPr="00FB7F72" w:rsidRDefault="0065296E" w:rsidP="0065296E">
      <w:pPr>
        <w:ind w:left="720" w:hanging="720"/>
        <w:jc w:val="center"/>
      </w:pPr>
      <w:r w:rsidRPr="00FB7F72">
        <w:t xml:space="preserve">June </w:t>
      </w:r>
      <w:r w:rsidR="00FB7F72" w:rsidRPr="00FB7F72">
        <w:t>17</w:t>
      </w:r>
      <w:r w:rsidRPr="00FB7F72">
        <w:t>, 2013</w:t>
      </w:r>
    </w:p>
    <w:p w:rsidR="00A65F00" w:rsidRPr="00FB7F72" w:rsidRDefault="00A65F00" w:rsidP="00A65F00">
      <w:pPr>
        <w:ind w:left="720" w:hanging="720"/>
        <w:jc w:val="center"/>
      </w:pPr>
    </w:p>
    <w:p w:rsidR="000B521A" w:rsidRPr="00FB7F72" w:rsidRDefault="000B521A" w:rsidP="0065296E">
      <w:pPr>
        <w:jc w:val="right"/>
      </w:pPr>
    </w:p>
    <w:p w:rsidR="000B521A" w:rsidRPr="00FB7F72" w:rsidRDefault="000B521A" w:rsidP="000B521A">
      <w:pPr>
        <w:tabs>
          <w:tab w:val="left" w:pos="-720"/>
        </w:tabs>
        <w:suppressAutoHyphens/>
        <w:jc w:val="both"/>
        <w:rPr>
          <w:rFonts w:ascii="Arial" w:hAnsi="Arial" w:cs="Arial"/>
          <w:spacing w:val="-3"/>
        </w:rPr>
      </w:pPr>
      <w:r w:rsidRPr="00FB7F72">
        <w:rPr>
          <w:rFonts w:ascii="Arial" w:hAnsi="Arial" w:cs="Arial"/>
          <w:spacing w:val="-3"/>
        </w:rPr>
        <w:t>LAURETO FARINAS ESQUIRE</w:t>
      </w:r>
    </w:p>
    <w:p w:rsidR="000B521A" w:rsidRPr="00FB7F72" w:rsidRDefault="000B521A" w:rsidP="000B521A">
      <w:pPr>
        <w:tabs>
          <w:tab w:val="left" w:pos="-720"/>
        </w:tabs>
        <w:suppressAutoHyphens/>
        <w:jc w:val="both"/>
        <w:rPr>
          <w:rFonts w:ascii="Arial" w:hAnsi="Arial" w:cs="Arial"/>
          <w:spacing w:val="-3"/>
        </w:rPr>
      </w:pPr>
      <w:r w:rsidRPr="00FB7F72">
        <w:rPr>
          <w:rFonts w:ascii="Arial" w:hAnsi="Arial" w:cs="Arial"/>
          <w:spacing w:val="-3"/>
        </w:rPr>
        <w:t xml:space="preserve">PHILADELPHIA </w:t>
      </w:r>
      <w:smartTag w:uri="urn:schemas-microsoft-com:office:smarttags" w:element="stockticker">
        <w:r w:rsidRPr="00FB7F72">
          <w:rPr>
            <w:rFonts w:ascii="Arial" w:hAnsi="Arial" w:cs="Arial"/>
            <w:spacing w:val="-3"/>
          </w:rPr>
          <w:t>GAS</w:t>
        </w:r>
      </w:smartTag>
      <w:r w:rsidRPr="00FB7F72">
        <w:rPr>
          <w:rFonts w:ascii="Arial" w:hAnsi="Arial" w:cs="Arial"/>
          <w:spacing w:val="-3"/>
        </w:rPr>
        <w:t xml:space="preserve"> WORKS</w:t>
      </w:r>
    </w:p>
    <w:p w:rsidR="000B521A" w:rsidRPr="00FB7F72" w:rsidRDefault="000B521A" w:rsidP="000B521A">
      <w:pPr>
        <w:tabs>
          <w:tab w:val="left" w:pos="-720"/>
        </w:tabs>
        <w:suppressAutoHyphens/>
        <w:jc w:val="both"/>
        <w:rPr>
          <w:rFonts w:ascii="Arial" w:hAnsi="Arial" w:cs="Arial"/>
          <w:spacing w:val="-3"/>
        </w:rPr>
      </w:pPr>
      <w:r w:rsidRPr="00FB7F72">
        <w:rPr>
          <w:rFonts w:ascii="Arial" w:hAnsi="Arial" w:cs="Arial"/>
          <w:spacing w:val="-3"/>
        </w:rPr>
        <w:t xml:space="preserve">800 W MONTGOMERY </w:t>
      </w:r>
      <w:smartTag w:uri="urn:schemas-microsoft-com:office:smarttags" w:element="stockticker">
        <w:r w:rsidRPr="00FB7F72">
          <w:rPr>
            <w:rFonts w:ascii="Arial" w:hAnsi="Arial" w:cs="Arial"/>
            <w:spacing w:val="-3"/>
          </w:rPr>
          <w:t>AVE</w:t>
        </w:r>
      </w:smartTag>
    </w:p>
    <w:p w:rsidR="000B521A" w:rsidRPr="00FB7F72" w:rsidRDefault="000B521A" w:rsidP="000B521A">
      <w:pPr>
        <w:tabs>
          <w:tab w:val="left" w:pos="-720"/>
        </w:tabs>
        <w:suppressAutoHyphens/>
        <w:jc w:val="both"/>
        <w:rPr>
          <w:rFonts w:ascii="Arial" w:hAnsi="Arial" w:cs="Arial"/>
          <w:spacing w:val="-3"/>
        </w:rPr>
      </w:pPr>
      <w:r w:rsidRPr="00FB7F72">
        <w:rPr>
          <w:rFonts w:ascii="Arial" w:hAnsi="Arial" w:cs="Arial"/>
          <w:spacing w:val="-3"/>
        </w:rPr>
        <w:t>PHILADELPHIA PA  19122-2898</w:t>
      </w:r>
    </w:p>
    <w:p w:rsidR="000B521A" w:rsidRPr="00FB7F72" w:rsidRDefault="000B521A" w:rsidP="000B521A">
      <w:pPr>
        <w:ind w:left="-90" w:firstLine="90"/>
        <w:jc w:val="both"/>
      </w:pPr>
    </w:p>
    <w:p w:rsidR="00D55A27" w:rsidRPr="00FB7F72" w:rsidRDefault="000B521A" w:rsidP="000B521A">
      <w:pPr>
        <w:ind w:left="1440" w:hanging="720"/>
        <w:jc w:val="both"/>
      </w:pPr>
      <w:r w:rsidRPr="00FB7F72">
        <w:t>Re:</w:t>
      </w:r>
      <w:r w:rsidRPr="00FB7F72">
        <w:tab/>
        <w:t xml:space="preserve">Anne </w:t>
      </w:r>
      <w:proofErr w:type="spellStart"/>
      <w:r w:rsidRPr="00FB7F72">
        <w:t>Te</w:t>
      </w:r>
      <w:proofErr w:type="spellEnd"/>
      <w:r w:rsidRPr="00FB7F72">
        <w:t xml:space="preserve"> v</w:t>
      </w:r>
      <w:r w:rsidR="0007055E" w:rsidRPr="00FB7F72">
        <w:t>.</w:t>
      </w:r>
      <w:r w:rsidRPr="00FB7F72">
        <w:t xml:space="preserve"> Philadelphia Gas Works</w:t>
      </w:r>
      <w:r w:rsidR="0065296E" w:rsidRPr="00FB7F72">
        <w:t>; Docket No. F-2012-2300790</w:t>
      </w:r>
    </w:p>
    <w:p w:rsidR="0065296E" w:rsidRPr="00FB7F72" w:rsidRDefault="0065296E" w:rsidP="000B521A">
      <w:pPr>
        <w:ind w:left="1440" w:hanging="720"/>
        <w:jc w:val="both"/>
        <w:rPr>
          <w:rFonts w:eastAsia="Calibri"/>
        </w:rPr>
      </w:pPr>
    </w:p>
    <w:p w:rsidR="000B521A" w:rsidRPr="00FB7F72" w:rsidRDefault="000B521A" w:rsidP="00D55A27">
      <w:pPr>
        <w:ind w:left="720" w:hanging="720"/>
        <w:rPr>
          <w:rFonts w:eastAsia="Calibri"/>
        </w:rPr>
      </w:pPr>
    </w:p>
    <w:p w:rsidR="00D55A27" w:rsidRPr="00FB7F72" w:rsidRDefault="000B521A" w:rsidP="00D55A27">
      <w:pPr>
        <w:ind w:left="720" w:hanging="720"/>
        <w:rPr>
          <w:rFonts w:eastAsia="Calibri"/>
        </w:rPr>
      </w:pPr>
      <w:r w:rsidRPr="00FB7F72">
        <w:rPr>
          <w:rFonts w:eastAsia="Calibri"/>
        </w:rPr>
        <w:t>Dear Mr. Farinas</w:t>
      </w:r>
      <w:r w:rsidR="00D55A27" w:rsidRPr="00FB7F72">
        <w:rPr>
          <w:rFonts w:eastAsia="Calibri"/>
        </w:rPr>
        <w:t>:</w:t>
      </w:r>
    </w:p>
    <w:p w:rsidR="00D55A27" w:rsidRPr="00FB7F72" w:rsidRDefault="00D55A27" w:rsidP="00D55A27">
      <w:pPr>
        <w:rPr>
          <w:rFonts w:eastAsia="Calibri"/>
        </w:rPr>
      </w:pPr>
    </w:p>
    <w:p w:rsidR="000B521A" w:rsidRPr="00FB7F72" w:rsidRDefault="00D55A27" w:rsidP="00D55A27">
      <w:pPr>
        <w:rPr>
          <w:rFonts w:eastAsia="Calibri"/>
        </w:rPr>
      </w:pPr>
      <w:r w:rsidRPr="00FB7F72">
        <w:rPr>
          <w:rFonts w:eastAsia="Calibri"/>
        </w:rPr>
        <w:tab/>
      </w:r>
      <w:r w:rsidR="00943E8B" w:rsidRPr="00FB7F72">
        <w:rPr>
          <w:rFonts w:eastAsia="Calibri"/>
        </w:rPr>
        <w:t xml:space="preserve">On April 21, 2012, Anne </w:t>
      </w:r>
      <w:proofErr w:type="spellStart"/>
      <w:r w:rsidR="00943E8B" w:rsidRPr="00FB7F72">
        <w:rPr>
          <w:rFonts w:eastAsia="Calibri"/>
        </w:rPr>
        <w:t>Te</w:t>
      </w:r>
      <w:proofErr w:type="spellEnd"/>
      <w:r w:rsidR="00943E8B" w:rsidRPr="00FB7F72">
        <w:rPr>
          <w:rFonts w:eastAsia="Calibri"/>
        </w:rPr>
        <w:t xml:space="preserve"> (Complainant) filed a Formal Complaint (Complaint) against Philadelphia Gas Works (PGW) at the above referenced docket number, alleging that PGW unjustly and unreasonably back</w:t>
      </w:r>
      <w:r w:rsidR="0007055E" w:rsidRPr="00FB7F72">
        <w:rPr>
          <w:rFonts w:eastAsia="Calibri"/>
        </w:rPr>
        <w:t>-</w:t>
      </w:r>
      <w:r w:rsidR="00943E8B" w:rsidRPr="00FB7F72">
        <w:rPr>
          <w:rFonts w:eastAsia="Calibri"/>
        </w:rPr>
        <w:t>billed her for four years of prior usage.  On May 16, 2012, PGW filed an Answer to the Complaint in which it denied the material allegations of the Complaint and averred</w:t>
      </w:r>
      <w:r w:rsidR="00280264" w:rsidRPr="00FB7F72">
        <w:rPr>
          <w:rFonts w:eastAsia="Calibri"/>
        </w:rPr>
        <w:t xml:space="preserve">, </w:t>
      </w:r>
      <w:r w:rsidR="00280264" w:rsidRPr="00FB7F72">
        <w:rPr>
          <w:rFonts w:eastAsia="Calibri"/>
          <w:i/>
        </w:rPr>
        <w:t>inter alia</w:t>
      </w:r>
      <w:r w:rsidR="00280264" w:rsidRPr="00FB7F72">
        <w:rPr>
          <w:rFonts w:eastAsia="Calibri"/>
        </w:rPr>
        <w:t>,</w:t>
      </w:r>
      <w:r w:rsidR="00943E8B" w:rsidRPr="00FB7F72">
        <w:rPr>
          <w:rFonts w:eastAsia="Calibri"/>
        </w:rPr>
        <w:t xml:space="preserve"> that the automatic meter reading (AMR) device at the Complainant’s Service Address was not transmitting all of the natural gas being used by the Complainant</w:t>
      </w:r>
      <w:r w:rsidR="00280264" w:rsidRPr="00FB7F72">
        <w:rPr>
          <w:rFonts w:eastAsia="Calibri"/>
        </w:rPr>
        <w:t xml:space="preserve"> and registering on the meter at the Service Address.  On August 6, 2012, an evidentiary hearing was held in this matter.  At this hearing, a witness for PGW testified that unknown internal magnetic interference affected the accuracy of the AMR device at the Complainant’s Service Address between October 2006 and December 2011, causing the Complainant to be </w:t>
      </w:r>
      <w:proofErr w:type="spellStart"/>
      <w:r w:rsidR="00280264" w:rsidRPr="00FB7F72">
        <w:rPr>
          <w:rFonts w:eastAsia="Calibri"/>
        </w:rPr>
        <w:t>underbilled</w:t>
      </w:r>
      <w:proofErr w:type="spellEnd"/>
      <w:r w:rsidR="00280264" w:rsidRPr="00FB7F72">
        <w:rPr>
          <w:rFonts w:eastAsia="Calibri"/>
        </w:rPr>
        <w:t xml:space="preserve"> for her natural gas usage.</w:t>
      </w:r>
    </w:p>
    <w:p w:rsidR="00280264" w:rsidRPr="00FB7F72" w:rsidRDefault="00280264" w:rsidP="00D55A27">
      <w:pPr>
        <w:rPr>
          <w:rFonts w:eastAsia="Calibri"/>
        </w:rPr>
      </w:pPr>
    </w:p>
    <w:p w:rsidR="00280264" w:rsidRPr="00FB7F72" w:rsidRDefault="00280264" w:rsidP="00D55A27">
      <w:pPr>
        <w:rPr>
          <w:rFonts w:eastAsia="Calibri"/>
        </w:rPr>
      </w:pPr>
      <w:r w:rsidRPr="00FB7F72">
        <w:rPr>
          <w:rFonts w:eastAsia="Calibri"/>
        </w:rPr>
        <w:tab/>
        <w:t>On December 27, 2012, the Commission issued the Initial Decision of Administrative Law Judge (ALJ) Cynthia Williams Fordham.  In this Initial Decision, the ALJ dismissed the Complaint in its entirety.  Subsequent to this, on January 15, 2013, the Complainant filed Exceptions to the Initial Decision.  On January 28, 2013, PGW filed Replies to Exceptions.</w:t>
      </w:r>
    </w:p>
    <w:p w:rsidR="00280264" w:rsidRPr="00FB7F72" w:rsidRDefault="00280264" w:rsidP="00D55A27">
      <w:pPr>
        <w:rPr>
          <w:rFonts w:eastAsia="Calibri"/>
        </w:rPr>
      </w:pPr>
    </w:p>
    <w:p w:rsidR="00280264" w:rsidRPr="00FB7F72" w:rsidRDefault="00280264" w:rsidP="00D55A27">
      <w:pPr>
        <w:rPr>
          <w:rFonts w:eastAsia="Calibri"/>
        </w:rPr>
      </w:pPr>
      <w:r w:rsidRPr="00FB7F72">
        <w:rPr>
          <w:rFonts w:eastAsia="Calibri"/>
        </w:rPr>
        <w:tab/>
        <w:t>Our Regulations at 52 Pa</w:t>
      </w:r>
      <w:r w:rsidR="000D4151" w:rsidRPr="00FB7F72">
        <w:rPr>
          <w:rFonts w:eastAsia="Calibri"/>
        </w:rPr>
        <w:t>.</w:t>
      </w:r>
      <w:r w:rsidRPr="00FB7F72">
        <w:rPr>
          <w:rFonts w:eastAsia="Calibri"/>
        </w:rPr>
        <w:t xml:space="preserve"> Code </w:t>
      </w:r>
      <w:r w:rsidR="007B7EEB" w:rsidRPr="00FB7F72">
        <w:rPr>
          <w:rFonts w:eastAsia="Calibri"/>
        </w:rPr>
        <w:t>§ 56.12(5)</w:t>
      </w:r>
      <w:r w:rsidRPr="00FB7F72">
        <w:rPr>
          <w:rFonts w:eastAsia="Calibri"/>
        </w:rPr>
        <w:t xml:space="preserve"> state the following</w:t>
      </w:r>
      <w:r w:rsidR="000D4151" w:rsidRPr="00FB7F72">
        <w:rPr>
          <w:rFonts w:eastAsia="Calibri"/>
        </w:rPr>
        <w:t>, in pertinent part,</w:t>
      </w:r>
      <w:r w:rsidRPr="00FB7F72">
        <w:rPr>
          <w:rFonts w:eastAsia="Calibri"/>
        </w:rPr>
        <w:t xml:space="preserve"> with regard to </w:t>
      </w:r>
      <w:r w:rsidR="00A46955" w:rsidRPr="00FB7F72">
        <w:rPr>
          <w:rFonts w:eastAsia="Calibri"/>
        </w:rPr>
        <w:t>the use of remote reading devices</w:t>
      </w:r>
      <w:r w:rsidR="007B7EEB" w:rsidRPr="00FB7F72">
        <w:rPr>
          <w:rFonts w:eastAsia="Calibri"/>
        </w:rPr>
        <w:t>:</w:t>
      </w:r>
    </w:p>
    <w:p w:rsidR="007B7EEB" w:rsidRPr="00FB7F72" w:rsidRDefault="007B7EEB" w:rsidP="00D55A27">
      <w:pPr>
        <w:rPr>
          <w:rFonts w:eastAsia="Calibri"/>
        </w:rPr>
      </w:pPr>
    </w:p>
    <w:p w:rsidR="007B7EEB" w:rsidRPr="00FB7F72" w:rsidRDefault="007B7EEB" w:rsidP="007B7EEB">
      <w:pPr>
        <w:autoSpaceDE w:val="0"/>
        <w:autoSpaceDN w:val="0"/>
        <w:ind w:left="1440" w:right="1440"/>
        <w:rPr>
          <w:rFonts w:eastAsia="Calibri"/>
          <w:b/>
        </w:rPr>
      </w:pPr>
      <w:r w:rsidRPr="00FB7F72">
        <w:rPr>
          <w:rFonts w:eastAsia="Calibri"/>
          <w:b/>
        </w:rPr>
        <w:t>§ 56.12</w:t>
      </w:r>
      <w:r w:rsidR="000D4151" w:rsidRPr="00FB7F72">
        <w:rPr>
          <w:rFonts w:eastAsia="Calibri"/>
          <w:b/>
        </w:rPr>
        <w:t>.</w:t>
      </w:r>
      <w:r w:rsidRPr="00FB7F72">
        <w:rPr>
          <w:rFonts w:eastAsia="Calibri"/>
          <w:b/>
        </w:rPr>
        <w:t xml:space="preserve"> </w:t>
      </w:r>
      <w:proofErr w:type="gramStart"/>
      <w:r w:rsidRPr="00FB7F72">
        <w:rPr>
          <w:rFonts w:eastAsia="Calibri"/>
          <w:b/>
        </w:rPr>
        <w:t>Meter reading; estimated billing; customer readings.</w:t>
      </w:r>
      <w:proofErr w:type="gramEnd"/>
    </w:p>
    <w:p w:rsidR="007B7EEB" w:rsidRPr="00FB7F72" w:rsidRDefault="007B7EEB" w:rsidP="007B7EEB">
      <w:pPr>
        <w:autoSpaceDE w:val="0"/>
        <w:autoSpaceDN w:val="0"/>
        <w:ind w:left="1440" w:right="1440"/>
        <w:rPr>
          <w:rFonts w:eastAsia="Calibri"/>
        </w:rPr>
      </w:pPr>
    </w:p>
    <w:p w:rsidR="007B7EEB" w:rsidRPr="00FB7F72" w:rsidRDefault="007B7EEB" w:rsidP="007B7EEB">
      <w:pPr>
        <w:autoSpaceDE w:val="0"/>
        <w:autoSpaceDN w:val="0"/>
        <w:ind w:left="1440" w:right="1440"/>
        <w:jc w:val="center"/>
        <w:rPr>
          <w:rFonts w:eastAsia="Calibri"/>
        </w:rPr>
      </w:pPr>
      <w:r w:rsidRPr="00FB7F72">
        <w:rPr>
          <w:rFonts w:eastAsia="Calibri"/>
        </w:rPr>
        <w:t>*</w:t>
      </w:r>
      <w:r w:rsidRPr="00FB7F72">
        <w:rPr>
          <w:rFonts w:eastAsia="Calibri"/>
        </w:rPr>
        <w:tab/>
        <w:t>*</w:t>
      </w:r>
      <w:r w:rsidRPr="00FB7F72">
        <w:rPr>
          <w:rFonts w:eastAsia="Calibri"/>
        </w:rPr>
        <w:tab/>
        <w:t>*</w:t>
      </w:r>
    </w:p>
    <w:p w:rsidR="007B7EEB" w:rsidRPr="00FB7F72" w:rsidRDefault="007B7EEB" w:rsidP="007B7EEB">
      <w:pPr>
        <w:autoSpaceDE w:val="0"/>
        <w:autoSpaceDN w:val="0"/>
        <w:ind w:left="1440" w:right="1440"/>
        <w:rPr>
          <w:rFonts w:eastAsia="Calibri"/>
        </w:rPr>
      </w:pPr>
    </w:p>
    <w:p w:rsidR="007B7EEB" w:rsidRPr="00FB7F72" w:rsidRDefault="007B7EEB" w:rsidP="007B7EEB">
      <w:pPr>
        <w:autoSpaceDE w:val="0"/>
        <w:autoSpaceDN w:val="0"/>
        <w:ind w:left="1440" w:right="1440"/>
        <w:rPr>
          <w:rFonts w:eastAsia="Calibri"/>
        </w:rPr>
      </w:pPr>
      <w:r w:rsidRPr="00FB7F72">
        <w:rPr>
          <w:rFonts w:eastAsia="Calibri"/>
        </w:rPr>
        <w:t xml:space="preserve">  (5)  </w:t>
      </w:r>
      <w:r w:rsidRPr="00FB7F72">
        <w:rPr>
          <w:rFonts w:eastAsia="Calibri"/>
          <w:i/>
        </w:rPr>
        <w:t>Remote reading devices for water, gas, and electric public utilities.</w:t>
      </w:r>
      <w:r w:rsidRPr="00FB7F72">
        <w:rPr>
          <w:rFonts w:eastAsia="Calibri"/>
        </w:rPr>
        <w:t xml:space="preserve"> </w:t>
      </w:r>
      <w:r w:rsidR="0065296E" w:rsidRPr="00FB7F72">
        <w:rPr>
          <w:rFonts w:eastAsia="Calibri"/>
        </w:rPr>
        <w:t xml:space="preserve"> </w:t>
      </w:r>
      <w:r w:rsidRPr="00FB7F72">
        <w:rPr>
          <w:rFonts w:eastAsia="Calibri"/>
        </w:rPr>
        <w:t>A public utility may render a bill on the basis of readings from a remote reading device under the following conditions:</w:t>
      </w:r>
    </w:p>
    <w:p w:rsidR="007B7EEB" w:rsidRPr="00FB7F72" w:rsidRDefault="007B7EEB" w:rsidP="007B7EEB">
      <w:pPr>
        <w:autoSpaceDE w:val="0"/>
        <w:autoSpaceDN w:val="0"/>
        <w:ind w:left="1440" w:right="1440"/>
        <w:rPr>
          <w:rFonts w:eastAsia="Calibri"/>
        </w:rPr>
      </w:pPr>
    </w:p>
    <w:p w:rsidR="007B7EEB" w:rsidRPr="00FB7F72" w:rsidRDefault="007B7EEB" w:rsidP="007B7EEB">
      <w:pPr>
        <w:autoSpaceDE w:val="0"/>
        <w:autoSpaceDN w:val="0"/>
        <w:ind w:left="1440" w:right="1440"/>
        <w:rPr>
          <w:rFonts w:eastAsia="Calibri"/>
        </w:rPr>
      </w:pPr>
      <w:r w:rsidRPr="00FB7F72">
        <w:rPr>
          <w:rFonts w:eastAsia="Calibri"/>
        </w:rPr>
        <w:t xml:space="preserve">  (i) When a gas, electric or water public utility uses readings from a remote reading device to render bills, the public utility </w:t>
      </w:r>
    </w:p>
    <w:p w:rsidR="007B7EEB" w:rsidRPr="00FB7F72" w:rsidRDefault="007B7EEB" w:rsidP="007B7EEB">
      <w:pPr>
        <w:autoSpaceDE w:val="0"/>
        <w:autoSpaceDN w:val="0"/>
        <w:ind w:left="1440" w:right="1440"/>
        <w:rPr>
          <w:rFonts w:eastAsia="Calibri"/>
        </w:rPr>
      </w:pPr>
      <w:proofErr w:type="gramStart"/>
      <w:r w:rsidRPr="00FB7F72">
        <w:rPr>
          <w:rFonts w:eastAsia="Calibri"/>
        </w:rPr>
        <w:t>shall</w:t>
      </w:r>
      <w:proofErr w:type="gramEnd"/>
      <w:r w:rsidRPr="00FB7F72">
        <w:rPr>
          <w:rFonts w:eastAsia="Calibri"/>
        </w:rPr>
        <w:t xml:space="preserve"> obtain an actual meter reading at least once every 5 years to verify the accuracy of the remote reading device</w:t>
      </w:r>
      <w:r w:rsidR="000D4151" w:rsidRPr="00FB7F72">
        <w:rPr>
          <w:rFonts w:eastAsia="Calibri"/>
        </w:rPr>
        <w:t xml:space="preserve">… </w:t>
      </w:r>
      <w:r w:rsidRPr="00FB7F72">
        <w:rPr>
          <w:rFonts w:eastAsia="Calibri"/>
        </w:rPr>
        <w:t xml:space="preserve">. </w:t>
      </w:r>
    </w:p>
    <w:p w:rsidR="00A46955" w:rsidRPr="00FB7F72" w:rsidRDefault="00A46955" w:rsidP="00D55A27">
      <w:pPr>
        <w:rPr>
          <w:rFonts w:eastAsia="Calibri"/>
        </w:rPr>
      </w:pPr>
    </w:p>
    <w:p w:rsidR="00A46955" w:rsidRPr="00FB7F72" w:rsidRDefault="00A46955" w:rsidP="00D55A27">
      <w:pPr>
        <w:rPr>
          <w:rFonts w:eastAsia="Calibri"/>
        </w:rPr>
      </w:pPr>
    </w:p>
    <w:p w:rsidR="00D55A27" w:rsidRPr="00FB7F72" w:rsidRDefault="00A46955" w:rsidP="00D55A27">
      <w:pPr>
        <w:rPr>
          <w:rFonts w:eastAsia="Calibri"/>
        </w:rPr>
      </w:pPr>
      <w:r w:rsidRPr="00FB7F72">
        <w:rPr>
          <w:rFonts w:eastAsia="Calibri"/>
        </w:rPr>
        <w:tab/>
        <w:t xml:space="preserve">Although the record evidence in this proceeding indicates that </w:t>
      </w:r>
      <w:r w:rsidR="00B2540E" w:rsidRPr="00FB7F72">
        <w:rPr>
          <w:rFonts w:eastAsia="Calibri"/>
        </w:rPr>
        <w:t>PGW removed the meter at the Complainant’s Service Address on January 20, 2012, and tested the meter on January 30, 2012</w:t>
      </w:r>
      <w:r w:rsidRPr="00FB7F72">
        <w:rPr>
          <w:rFonts w:eastAsia="Calibri"/>
        </w:rPr>
        <w:t xml:space="preserve">, the record is not clear regarding when </w:t>
      </w:r>
      <w:r w:rsidR="00B2540E" w:rsidRPr="00FB7F72">
        <w:rPr>
          <w:rFonts w:eastAsia="Calibri"/>
        </w:rPr>
        <w:t xml:space="preserve">PGW last obtained </w:t>
      </w:r>
      <w:r w:rsidRPr="00FB7F72">
        <w:rPr>
          <w:rFonts w:eastAsia="Calibri"/>
        </w:rPr>
        <w:t xml:space="preserve">an actual meter reading at the Complainant’s Service Address prior to </w:t>
      </w:r>
      <w:r w:rsidR="00B2540E" w:rsidRPr="00FB7F72">
        <w:rPr>
          <w:rFonts w:eastAsia="Calibri"/>
        </w:rPr>
        <w:t>these dates</w:t>
      </w:r>
      <w:r w:rsidRPr="00FB7F72">
        <w:rPr>
          <w:rFonts w:eastAsia="Calibri"/>
        </w:rPr>
        <w:t>.</w:t>
      </w:r>
      <w:r w:rsidR="00B2540E" w:rsidRPr="00FB7F72">
        <w:rPr>
          <w:rFonts w:eastAsia="Calibri"/>
        </w:rPr>
        <w:t xml:space="preserve">  </w:t>
      </w:r>
      <w:r w:rsidR="006410C2" w:rsidRPr="00FB7F72">
        <w:rPr>
          <w:rFonts w:eastAsia="Calibri"/>
        </w:rPr>
        <w:t xml:space="preserve">Pursuant to our Regulation at 52 Pa. Code </w:t>
      </w:r>
      <w:r w:rsidR="006410C2" w:rsidRPr="00FB7F72">
        <w:rPr>
          <w:rFonts w:eastAsia="Calibri"/>
        </w:rPr>
        <w:br/>
        <w:t xml:space="preserve">§ 5.404 (regarding additional evidence), the Commission is calling for further admissible evidence regarding </w:t>
      </w:r>
      <w:r w:rsidR="00B2540E" w:rsidRPr="00FB7F72">
        <w:rPr>
          <w:rFonts w:eastAsia="Calibri"/>
        </w:rPr>
        <w:t>the date of the last actual meter reading at the Complainant’s Service Address prior to January 2012.</w:t>
      </w:r>
    </w:p>
    <w:p w:rsidR="00D55A27" w:rsidRPr="00FB7F72" w:rsidRDefault="00D55A27" w:rsidP="00D55A27">
      <w:pPr>
        <w:rPr>
          <w:rFonts w:eastAsia="Calibri"/>
        </w:rPr>
      </w:pPr>
    </w:p>
    <w:p w:rsidR="00D55A27" w:rsidRPr="00FB7F72" w:rsidRDefault="00D55A27" w:rsidP="00D55A27">
      <w:pPr>
        <w:rPr>
          <w:rFonts w:eastAsia="Calibri"/>
        </w:rPr>
      </w:pPr>
    </w:p>
    <w:p w:rsidR="00D55A27" w:rsidRPr="00FB7F72" w:rsidRDefault="00D55A27" w:rsidP="00D55A27">
      <w:pPr>
        <w:rPr>
          <w:rFonts w:eastAsia="Calibri"/>
        </w:rPr>
      </w:pPr>
      <w:r w:rsidRPr="00FB7F72">
        <w:rPr>
          <w:rFonts w:eastAsia="Calibri"/>
        </w:rPr>
        <w:lastRenderedPageBreak/>
        <w:tab/>
      </w:r>
      <w:r w:rsidR="00D942D8" w:rsidRPr="00FB7F72">
        <w:rPr>
          <w:rFonts w:eastAsia="Calibri"/>
        </w:rPr>
        <w:t xml:space="preserve">As such, we are </w:t>
      </w:r>
      <w:r w:rsidR="00E64E74" w:rsidRPr="00FB7F72">
        <w:rPr>
          <w:rFonts w:eastAsia="Calibri"/>
        </w:rPr>
        <w:t xml:space="preserve">directing </w:t>
      </w:r>
      <w:r w:rsidR="00D942D8" w:rsidRPr="00FB7F72">
        <w:rPr>
          <w:rFonts w:eastAsia="Calibri"/>
        </w:rPr>
        <w:t xml:space="preserve">that </w:t>
      </w:r>
      <w:r w:rsidR="00B2540E" w:rsidRPr="00FB7F72">
        <w:rPr>
          <w:rFonts w:eastAsia="Calibri"/>
        </w:rPr>
        <w:t xml:space="preserve">PGW </w:t>
      </w:r>
      <w:r w:rsidR="00E64E74" w:rsidRPr="00FB7F72">
        <w:rPr>
          <w:rFonts w:eastAsia="Calibri"/>
        </w:rPr>
        <w:t>provide answers to the following questions, along with appropriate supporting</w:t>
      </w:r>
      <w:r w:rsidR="00B2540E" w:rsidRPr="00FB7F72">
        <w:rPr>
          <w:rFonts w:eastAsia="Calibri"/>
        </w:rPr>
        <w:t xml:space="preserve"> documentation</w:t>
      </w:r>
      <w:r w:rsidR="00D942D8" w:rsidRPr="00FB7F72">
        <w:rPr>
          <w:rFonts w:eastAsia="Calibri"/>
        </w:rPr>
        <w:t>:</w:t>
      </w:r>
    </w:p>
    <w:p w:rsidR="007B2C69" w:rsidRPr="00FB7F72" w:rsidRDefault="007B2C69" w:rsidP="00D55A27">
      <w:pPr>
        <w:rPr>
          <w:rFonts w:eastAsia="Calibri"/>
        </w:rPr>
      </w:pPr>
    </w:p>
    <w:p w:rsidR="007B2C69" w:rsidRPr="00FB7F72" w:rsidRDefault="007B2C69" w:rsidP="00D942D8">
      <w:pPr>
        <w:ind w:left="720" w:hanging="720"/>
        <w:rPr>
          <w:rFonts w:eastAsia="Calibri"/>
        </w:rPr>
      </w:pPr>
      <w:r w:rsidRPr="00FB7F72">
        <w:rPr>
          <w:rFonts w:eastAsia="Calibri"/>
        </w:rPr>
        <w:t>1.</w:t>
      </w:r>
      <w:r w:rsidRPr="00FB7F72">
        <w:rPr>
          <w:rFonts w:eastAsia="Calibri"/>
        </w:rPr>
        <w:tab/>
        <w:t>The date PGW last obtained an actual meter reading at the Complainant’s Service Address prior to removing the meter in January 2012</w:t>
      </w:r>
      <w:r w:rsidR="009C5986" w:rsidRPr="00FB7F72">
        <w:rPr>
          <w:rFonts w:eastAsia="Calibri"/>
        </w:rPr>
        <w:t>;</w:t>
      </w:r>
    </w:p>
    <w:p w:rsidR="007B2C69" w:rsidRPr="00FB7F72" w:rsidRDefault="007B2C69" w:rsidP="00D942D8">
      <w:pPr>
        <w:ind w:left="720" w:hanging="720"/>
        <w:rPr>
          <w:rFonts w:eastAsia="Calibri"/>
        </w:rPr>
      </w:pPr>
    </w:p>
    <w:p w:rsidR="007B2C69" w:rsidRPr="00FB7F72" w:rsidRDefault="007B2C69" w:rsidP="00D942D8">
      <w:pPr>
        <w:ind w:left="720" w:hanging="720"/>
        <w:rPr>
          <w:rFonts w:eastAsia="Calibri"/>
        </w:rPr>
      </w:pPr>
      <w:r w:rsidRPr="00FB7F72">
        <w:rPr>
          <w:rFonts w:eastAsia="Calibri"/>
        </w:rPr>
        <w:t>2.</w:t>
      </w:r>
      <w:r w:rsidRPr="00FB7F72">
        <w:rPr>
          <w:rFonts w:eastAsia="Calibri"/>
        </w:rPr>
        <w:tab/>
        <w:t xml:space="preserve">The </w:t>
      </w:r>
      <w:r w:rsidR="006410C2" w:rsidRPr="00FB7F72">
        <w:rPr>
          <w:rFonts w:eastAsia="Calibri"/>
        </w:rPr>
        <w:t>actual meter</w:t>
      </w:r>
      <w:r w:rsidRPr="00FB7F72">
        <w:rPr>
          <w:rFonts w:eastAsia="Calibri"/>
        </w:rPr>
        <w:t xml:space="preserve"> reading on the Complainant’s meter in </w:t>
      </w:r>
      <w:proofErr w:type="spellStart"/>
      <w:r w:rsidRPr="00FB7F72">
        <w:rPr>
          <w:rFonts w:eastAsia="Calibri"/>
        </w:rPr>
        <w:t>ccfs</w:t>
      </w:r>
      <w:proofErr w:type="spellEnd"/>
      <w:r w:rsidRPr="00FB7F72">
        <w:rPr>
          <w:rFonts w:eastAsia="Calibri"/>
        </w:rPr>
        <w:t xml:space="preserve"> </w:t>
      </w:r>
      <w:r w:rsidR="006410C2" w:rsidRPr="00FB7F72">
        <w:rPr>
          <w:rFonts w:eastAsia="Calibri"/>
        </w:rPr>
        <w:t>on the date described in question 1 above</w:t>
      </w:r>
      <w:r w:rsidR="009C5986" w:rsidRPr="00FB7F72">
        <w:rPr>
          <w:rFonts w:eastAsia="Calibri"/>
        </w:rPr>
        <w:t>; and</w:t>
      </w:r>
    </w:p>
    <w:p w:rsidR="007B2C69" w:rsidRPr="00FB7F72" w:rsidRDefault="007B2C69" w:rsidP="00D942D8">
      <w:pPr>
        <w:ind w:left="720" w:hanging="720"/>
        <w:rPr>
          <w:rFonts w:eastAsia="Calibri"/>
        </w:rPr>
      </w:pPr>
    </w:p>
    <w:p w:rsidR="007B2C69" w:rsidRPr="00FB7F72" w:rsidRDefault="007B2C69" w:rsidP="00D942D8">
      <w:pPr>
        <w:ind w:left="720" w:hanging="720"/>
        <w:rPr>
          <w:rFonts w:eastAsia="Calibri"/>
        </w:rPr>
      </w:pPr>
      <w:r w:rsidRPr="00FB7F72">
        <w:rPr>
          <w:rFonts w:eastAsia="Calibri"/>
        </w:rPr>
        <w:t>3.</w:t>
      </w:r>
      <w:r w:rsidRPr="00FB7F72">
        <w:rPr>
          <w:rFonts w:eastAsia="Calibri"/>
        </w:rPr>
        <w:tab/>
      </w:r>
      <w:r w:rsidR="00C70F33" w:rsidRPr="00FB7F72">
        <w:rPr>
          <w:rFonts w:eastAsia="Calibri"/>
        </w:rPr>
        <w:t xml:space="preserve">The amount </w:t>
      </w:r>
      <w:r w:rsidR="00D942D8" w:rsidRPr="00FB7F72">
        <w:rPr>
          <w:rFonts w:eastAsia="Calibri"/>
        </w:rPr>
        <w:t xml:space="preserve">that </w:t>
      </w:r>
      <w:r w:rsidR="00C70F33" w:rsidRPr="00FB7F72">
        <w:rPr>
          <w:rFonts w:eastAsia="Calibri"/>
        </w:rPr>
        <w:t>the Complainant was billed based on the actual meter reading.</w:t>
      </w:r>
    </w:p>
    <w:p w:rsidR="00D55A27" w:rsidRPr="00FB7F72" w:rsidRDefault="00D55A27" w:rsidP="00D942D8">
      <w:pPr>
        <w:ind w:left="720" w:hanging="720"/>
        <w:rPr>
          <w:rFonts w:eastAsia="Calibri"/>
        </w:rPr>
      </w:pPr>
    </w:p>
    <w:p w:rsidR="00D55A27" w:rsidRPr="00FB7F72" w:rsidRDefault="00D55A27" w:rsidP="00D55A27">
      <w:pPr>
        <w:spacing w:after="200"/>
        <w:ind w:left="720"/>
        <w:contextualSpacing/>
        <w:rPr>
          <w:rFonts w:eastAsia="Calibri"/>
        </w:rPr>
      </w:pPr>
    </w:p>
    <w:p w:rsidR="00A46955" w:rsidRPr="00FB7F72" w:rsidRDefault="00A46955" w:rsidP="00A46955">
      <w:pPr>
        <w:ind w:right="-86" w:firstLine="720"/>
      </w:pPr>
      <w:r w:rsidRPr="00FB7F72">
        <w:rPr>
          <w:b/>
        </w:rPr>
        <w:t>Your responses must be verified per 52 Pa. Code § 1.36.</w:t>
      </w:r>
      <w:r w:rsidRPr="00FB7F72">
        <w:t xml:space="preserve">  </w:t>
      </w:r>
      <w:r w:rsidR="0049432D" w:rsidRPr="00FB7F72">
        <w:t xml:space="preserve"> </w:t>
      </w:r>
      <w:r w:rsidRPr="00FB7F72">
        <w:t>Accordingly, you must provide the following statement with your responses:</w:t>
      </w:r>
    </w:p>
    <w:p w:rsidR="00A46955" w:rsidRPr="00FB7F72" w:rsidRDefault="00A46955" w:rsidP="00A46955">
      <w:pPr>
        <w:ind w:right="-86" w:firstLine="720"/>
      </w:pPr>
    </w:p>
    <w:p w:rsidR="00A46955" w:rsidRPr="00FB7F72" w:rsidRDefault="00A46955" w:rsidP="00A46955">
      <w:pPr>
        <w:ind w:left="720"/>
      </w:pPr>
      <w:r w:rsidRPr="00FB7F72">
        <w:t xml:space="preserve">I, ________________, hereby state that the facts above set forth are true and correct to the best of my knowledge, information and belief.  I understand that the statements herein are made subject to the penalties of 18 </w:t>
      </w:r>
      <w:proofErr w:type="spellStart"/>
      <w:r w:rsidRPr="00FB7F72">
        <w:t>Pa.C.S</w:t>
      </w:r>
      <w:proofErr w:type="spellEnd"/>
      <w:r w:rsidRPr="00FB7F72">
        <w:t>. § 4904 (relating to unsworn falsification to authorities).</w:t>
      </w:r>
    </w:p>
    <w:p w:rsidR="00A46955" w:rsidRPr="00FB7F72" w:rsidRDefault="00A46955" w:rsidP="00A46955">
      <w:pPr>
        <w:ind w:left="720"/>
      </w:pPr>
    </w:p>
    <w:p w:rsidR="00D55A27" w:rsidRPr="00FB7F72" w:rsidRDefault="00D55A27" w:rsidP="00D55A27">
      <w:pPr>
        <w:ind w:firstLine="720"/>
        <w:rPr>
          <w:rFonts w:eastAsia="Calibri"/>
        </w:rPr>
      </w:pPr>
    </w:p>
    <w:p w:rsidR="00E64E74" w:rsidRPr="00FB7F72" w:rsidRDefault="00E64E74" w:rsidP="00E64E74">
      <w:pPr>
        <w:ind w:firstLine="720"/>
        <w:rPr>
          <w:rFonts w:eastAsia="Calibri"/>
        </w:rPr>
      </w:pPr>
      <w:r w:rsidRPr="00FB7F72">
        <w:rPr>
          <w:rFonts w:eastAsia="Calibri"/>
        </w:rPr>
        <w:t>Please submit the requested information no later than ten (10) business days from the date of this letter to the Secretary of the Commission at the following address:</w:t>
      </w:r>
    </w:p>
    <w:p w:rsidR="00E64E74" w:rsidRPr="00FB7F72" w:rsidRDefault="00E64E74" w:rsidP="00E64E74">
      <w:pPr>
        <w:ind w:firstLine="720"/>
        <w:rPr>
          <w:rFonts w:eastAsia="Calibri"/>
        </w:rPr>
      </w:pPr>
    </w:p>
    <w:p w:rsidR="00E64E74" w:rsidRPr="00FB7F72" w:rsidRDefault="00E64E74" w:rsidP="00E64E74">
      <w:r w:rsidRPr="00FB7F72">
        <w:tab/>
      </w:r>
      <w:r w:rsidRPr="00FB7F72">
        <w:tab/>
      </w:r>
      <w:r w:rsidRPr="00FB7F72">
        <w:tab/>
      </w:r>
      <w:r w:rsidRPr="00FB7F72">
        <w:tab/>
        <w:t>Rosemary Chiavetta, Secretary</w:t>
      </w:r>
    </w:p>
    <w:p w:rsidR="00E64E74" w:rsidRPr="00FB7F72" w:rsidRDefault="00E64E74" w:rsidP="00E64E74">
      <w:r w:rsidRPr="00FB7F72">
        <w:tab/>
      </w:r>
      <w:r w:rsidRPr="00FB7F72">
        <w:tab/>
      </w:r>
      <w:r w:rsidRPr="00FB7F72">
        <w:tab/>
      </w:r>
      <w:r w:rsidRPr="00FB7F72">
        <w:tab/>
        <w:t>Pennsylvania Public Utility Commission</w:t>
      </w:r>
    </w:p>
    <w:p w:rsidR="00E64E74" w:rsidRPr="00FB7F72" w:rsidRDefault="00E64E74" w:rsidP="00E64E74">
      <w:r w:rsidRPr="00FB7F72">
        <w:tab/>
      </w:r>
      <w:r w:rsidRPr="00FB7F72">
        <w:tab/>
      </w:r>
      <w:r w:rsidRPr="00FB7F72">
        <w:tab/>
      </w:r>
      <w:r w:rsidRPr="00FB7F72">
        <w:tab/>
        <w:t>P.O. Box 3265</w:t>
      </w:r>
    </w:p>
    <w:p w:rsidR="00E64E74" w:rsidRPr="00FB7F72" w:rsidRDefault="00E64E74" w:rsidP="00E64E74">
      <w:r w:rsidRPr="00FB7F72">
        <w:tab/>
      </w:r>
      <w:r w:rsidRPr="00FB7F72">
        <w:tab/>
      </w:r>
      <w:r w:rsidRPr="00FB7F72">
        <w:tab/>
      </w:r>
      <w:r w:rsidRPr="00FB7F72">
        <w:tab/>
        <w:t>Harrisburg, PA  17105-3265</w:t>
      </w:r>
    </w:p>
    <w:p w:rsidR="00E64E74" w:rsidRPr="00FB7F72" w:rsidRDefault="00E64E74" w:rsidP="00E64E74">
      <w:pPr>
        <w:ind w:firstLine="720"/>
        <w:rPr>
          <w:rFonts w:eastAsia="Calibri"/>
        </w:rPr>
      </w:pPr>
    </w:p>
    <w:p w:rsidR="00E64E74" w:rsidRPr="00FB7F72" w:rsidRDefault="00E64E74" w:rsidP="00E64E74">
      <w:pPr>
        <w:rPr>
          <w:rFonts w:eastAsia="Calibri"/>
        </w:rPr>
      </w:pPr>
      <w:r w:rsidRPr="00FB7F72">
        <w:rPr>
          <w:rFonts w:eastAsia="Calibri"/>
        </w:rPr>
        <w:t xml:space="preserve">A copy shall be served on the Complainant, who shall have ten days from the date of service to submit a response to the Secretary of the Commission at the address listed above. </w:t>
      </w:r>
    </w:p>
    <w:p w:rsidR="00E64E74" w:rsidRPr="00FB7F72" w:rsidRDefault="00E64E74" w:rsidP="00E64E74">
      <w:pPr>
        <w:ind w:firstLine="720"/>
        <w:rPr>
          <w:rFonts w:eastAsia="Calibri"/>
        </w:rPr>
      </w:pPr>
    </w:p>
    <w:p w:rsidR="00D55A27" w:rsidRPr="00FB7F72" w:rsidRDefault="00D55A27" w:rsidP="00D55A27">
      <w:pPr>
        <w:ind w:firstLine="720"/>
        <w:rPr>
          <w:rFonts w:eastAsia="Calibri"/>
        </w:rPr>
      </w:pPr>
      <w:r w:rsidRPr="00FB7F72">
        <w:rPr>
          <w:rFonts w:eastAsia="Calibri"/>
        </w:rPr>
        <w:t>For any additional information regarding this matter</w:t>
      </w:r>
      <w:r w:rsidR="006525BE" w:rsidRPr="00FB7F72">
        <w:rPr>
          <w:rFonts w:eastAsia="Calibri"/>
        </w:rPr>
        <w:t>,</w:t>
      </w:r>
      <w:r w:rsidRPr="00FB7F72">
        <w:rPr>
          <w:rFonts w:eastAsia="Calibri"/>
        </w:rPr>
        <w:t xml:space="preserve"> please contact Mr. </w:t>
      </w:r>
      <w:r w:rsidR="000B521A" w:rsidRPr="00FB7F72">
        <w:rPr>
          <w:rFonts w:eastAsia="Calibri"/>
        </w:rPr>
        <w:t>Andrew Showers</w:t>
      </w:r>
      <w:r w:rsidRPr="00FB7F72">
        <w:rPr>
          <w:rFonts w:eastAsia="Calibri"/>
        </w:rPr>
        <w:t xml:space="preserve"> of the Office of Special Assistants, at (717) </w:t>
      </w:r>
      <w:r w:rsidR="000B521A" w:rsidRPr="00FB7F72">
        <w:rPr>
          <w:rFonts w:eastAsia="Calibri"/>
        </w:rPr>
        <w:t>214-2186</w:t>
      </w:r>
      <w:r w:rsidRPr="00FB7F72">
        <w:rPr>
          <w:rFonts w:eastAsia="Calibri"/>
        </w:rPr>
        <w:t xml:space="preserve"> or </w:t>
      </w:r>
      <w:hyperlink r:id="rId10" w:history="1">
        <w:r w:rsidR="00A65F00" w:rsidRPr="00FB7F72">
          <w:rPr>
            <w:rStyle w:val="Hyperlink"/>
            <w:rFonts w:eastAsia="Calibri"/>
          </w:rPr>
          <w:t>ashowers@pa.gov</w:t>
        </w:r>
      </w:hyperlink>
      <w:r w:rsidRPr="00FB7F72">
        <w:rPr>
          <w:rFonts w:eastAsia="Calibri"/>
        </w:rPr>
        <w:t>.</w:t>
      </w:r>
    </w:p>
    <w:p w:rsidR="00D55A27" w:rsidRPr="00FB7F72" w:rsidRDefault="00D55A27" w:rsidP="00D55A27">
      <w:pPr>
        <w:ind w:firstLine="720"/>
        <w:rPr>
          <w:rFonts w:eastAsia="Calibri"/>
        </w:rPr>
      </w:pPr>
    </w:p>
    <w:p w:rsidR="00D55A27" w:rsidRPr="00FB7F72" w:rsidRDefault="00D55A27" w:rsidP="00D55A27">
      <w:pPr>
        <w:ind w:firstLine="720"/>
        <w:rPr>
          <w:rFonts w:eastAsia="Calibri"/>
        </w:rPr>
      </w:pPr>
    </w:p>
    <w:p w:rsidR="00D55A27" w:rsidRPr="00FB7F72" w:rsidRDefault="00FB7F72" w:rsidP="00D55A27">
      <w:pPr>
        <w:ind w:left="5760"/>
        <w:rPr>
          <w:rFonts w:eastAsia="Calibri"/>
        </w:rPr>
      </w:pPr>
      <w:r w:rsidRPr="00FB7F72">
        <w:rPr>
          <w:noProof/>
        </w:rPr>
        <w:drawing>
          <wp:anchor distT="0" distB="0" distL="114300" distR="114300" simplePos="0" relativeHeight="251659264" behindDoc="1" locked="0" layoutInCell="1" allowOverlap="1" wp14:anchorId="3B184EE6" wp14:editId="2E978E4B">
            <wp:simplePos x="0" y="0"/>
            <wp:positionH relativeFrom="column">
              <wp:posOffset>3356610</wp:posOffset>
            </wp:positionH>
            <wp:positionV relativeFrom="paragraph">
              <wp:posOffset>46355</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55A27" w:rsidRPr="00FB7F72">
        <w:rPr>
          <w:rFonts w:eastAsia="Calibri"/>
          <w:b/>
        </w:rPr>
        <w:t>BY THE COMMISSION,</w:t>
      </w:r>
    </w:p>
    <w:p w:rsidR="00D55A27" w:rsidRPr="00FB7F72" w:rsidRDefault="00D55A27" w:rsidP="00D55A27">
      <w:pPr>
        <w:ind w:left="5760"/>
        <w:rPr>
          <w:rFonts w:eastAsia="Calibri"/>
        </w:rPr>
      </w:pPr>
    </w:p>
    <w:p w:rsidR="00D55A27" w:rsidRPr="00FB7F72" w:rsidRDefault="00D55A27" w:rsidP="00D55A27">
      <w:pPr>
        <w:ind w:left="5760"/>
        <w:rPr>
          <w:rFonts w:eastAsia="Calibri"/>
        </w:rPr>
      </w:pPr>
    </w:p>
    <w:p w:rsidR="00D55A27" w:rsidRPr="00FB7F72" w:rsidRDefault="00D55A27" w:rsidP="00D55A27">
      <w:pPr>
        <w:ind w:left="5760"/>
        <w:rPr>
          <w:rFonts w:eastAsia="Calibri"/>
        </w:rPr>
      </w:pPr>
    </w:p>
    <w:p w:rsidR="00D55A27" w:rsidRPr="00FB7F72" w:rsidRDefault="00D55A27" w:rsidP="00D55A27">
      <w:pPr>
        <w:ind w:left="5760"/>
        <w:rPr>
          <w:rFonts w:eastAsia="Calibri"/>
        </w:rPr>
      </w:pPr>
      <w:r w:rsidRPr="00FB7F72">
        <w:rPr>
          <w:rFonts w:eastAsia="Calibri"/>
        </w:rPr>
        <w:t>Rosemary Chiavetta</w:t>
      </w:r>
    </w:p>
    <w:p w:rsidR="00D55A27" w:rsidRPr="00FB7F72" w:rsidRDefault="00D55A27" w:rsidP="00D55A27">
      <w:pPr>
        <w:ind w:left="5760"/>
      </w:pPr>
      <w:r w:rsidRPr="00FB7F72">
        <w:rPr>
          <w:rFonts w:eastAsia="Calibri"/>
        </w:rPr>
        <w:t>Secretary</w:t>
      </w:r>
    </w:p>
    <w:p w:rsidR="004C0816" w:rsidRPr="00FB7F72" w:rsidRDefault="004C0816" w:rsidP="004C0816">
      <w:pPr>
        <w:ind w:left="720" w:hanging="720"/>
        <w:rPr>
          <w:rFonts w:eastAsia="Calibri"/>
        </w:rPr>
      </w:pPr>
    </w:p>
    <w:p w:rsidR="000B521A" w:rsidRPr="00FB7F72" w:rsidRDefault="000B521A" w:rsidP="004C0816">
      <w:pPr>
        <w:ind w:left="720" w:hanging="720"/>
        <w:rPr>
          <w:rFonts w:eastAsia="Calibri"/>
        </w:rPr>
      </w:pPr>
    </w:p>
    <w:p w:rsidR="0065296E" w:rsidRPr="00FB7F72" w:rsidRDefault="0065296E" w:rsidP="004C0816">
      <w:pPr>
        <w:ind w:left="720" w:hanging="720"/>
        <w:rPr>
          <w:rFonts w:eastAsia="Calibri"/>
        </w:rPr>
      </w:pPr>
    </w:p>
    <w:p w:rsidR="000B521A" w:rsidRPr="00FB7F72" w:rsidRDefault="000B521A" w:rsidP="000B521A">
      <w:r w:rsidRPr="00FB7F72">
        <w:t>cc:</w:t>
      </w:r>
      <w:r w:rsidRPr="00FB7F72">
        <w:tab/>
        <w:t>All Parties of Record</w:t>
      </w:r>
    </w:p>
    <w:p w:rsidR="000B521A" w:rsidRPr="00FB7F72" w:rsidRDefault="000B521A" w:rsidP="000B521A">
      <w:pPr>
        <w:ind w:left="720" w:hanging="720"/>
        <w:rPr>
          <w:rFonts w:eastAsia="Calibri"/>
        </w:rPr>
      </w:pPr>
    </w:p>
    <w:sectPr w:rsidR="000B521A" w:rsidRPr="00FB7F72" w:rsidSect="00A65F00">
      <w:footerReference w:type="default" r:id="rId12"/>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23B" w:rsidRDefault="0087423B">
      <w:r>
        <w:separator/>
      </w:r>
    </w:p>
  </w:endnote>
  <w:endnote w:type="continuationSeparator" w:id="0">
    <w:p w:rsidR="0087423B" w:rsidRDefault="0087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16" w:rsidRPr="009426D5" w:rsidRDefault="004C0816">
    <w:pPr>
      <w:pStyle w:val="Footer"/>
      <w:jc w:val="center"/>
      <w:rPr>
        <w:sz w:val="16"/>
        <w:szCs w:val="16"/>
      </w:rPr>
    </w:pPr>
  </w:p>
  <w:p w:rsidR="004C0816" w:rsidRPr="009426D5" w:rsidRDefault="00B4054B">
    <w:pPr>
      <w:pStyle w:val="Footer"/>
      <w:jc w:val="center"/>
    </w:pPr>
    <w:r w:rsidRPr="009426D5">
      <w:fldChar w:fldCharType="begin"/>
    </w:r>
    <w:r w:rsidR="004C0816" w:rsidRPr="009426D5">
      <w:instrText xml:space="preserve"> PAGE   \* MERGEFORMAT </w:instrText>
    </w:r>
    <w:r w:rsidRPr="009426D5">
      <w:fldChar w:fldCharType="separate"/>
    </w:r>
    <w:r w:rsidR="00FB7F72">
      <w:rPr>
        <w:noProof/>
      </w:rPr>
      <w:t>2</w:t>
    </w:r>
    <w:r w:rsidRPr="009426D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23B" w:rsidRDefault="0087423B">
      <w:r>
        <w:separator/>
      </w:r>
    </w:p>
  </w:footnote>
  <w:footnote w:type="continuationSeparator" w:id="0">
    <w:p w:rsidR="0087423B" w:rsidRDefault="008742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1D0649F"/>
    <w:multiLevelType w:val="hybridMultilevel"/>
    <w:tmpl w:val="F1446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D77"/>
    <w:rsid w:val="00006A62"/>
    <w:rsid w:val="00016793"/>
    <w:rsid w:val="00035BAB"/>
    <w:rsid w:val="0007055E"/>
    <w:rsid w:val="00072396"/>
    <w:rsid w:val="000774AF"/>
    <w:rsid w:val="000865F3"/>
    <w:rsid w:val="000A5ADF"/>
    <w:rsid w:val="000A659E"/>
    <w:rsid w:val="000B521A"/>
    <w:rsid w:val="000C3831"/>
    <w:rsid w:val="000D020B"/>
    <w:rsid w:val="000D2464"/>
    <w:rsid w:val="000D26F3"/>
    <w:rsid w:val="000D4151"/>
    <w:rsid w:val="000D6753"/>
    <w:rsid w:val="000E32E1"/>
    <w:rsid w:val="000E3737"/>
    <w:rsid w:val="000F03BA"/>
    <w:rsid w:val="00105E0E"/>
    <w:rsid w:val="00114529"/>
    <w:rsid w:val="001209F1"/>
    <w:rsid w:val="001352D9"/>
    <w:rsid w:val="001368E7"/>
    <w:rsid w:val="00136BAB"/>
    <w:rsid w:val="00145471"/>
    <w:rsid w:val="00157590"/>
    <w:rsid w:val="001737A8"/>
    <w:rsid w:val="0018285B"/>
    <w:rsid w:val="00186DF9"/>
    <w:rsid w:val="00192A0E"/>
    <w:rsid w:val="001C1E78"/>
    <w:rsid w:val="001E512D"/>
    <w:rsid w:val="001E6BA6"/>
    <w:rsid w:val="00201137"/>
    <w:rsid w:val="00201518"/>
    <w:rsid w:val="00211BED"/>
    <w:rsid w:val="0021794B"/>
    <w:rsid w:val="002229C3"/>
    <w:rsid w:val="002462B6"/>
    <w:rsid w:val="00246F3A"/>
    <w:rsid w:val="00257A86"/>
    <w:rsid w:val="0026602D"/>
    <w:rsid w:val="00280264"/>
    <w:rsid w:val="00280CC0"/>
    <w:rsid w:val="00287550"/>
    <w:rsid w:val="00291197"/>
    <w:rsid w:val="0029471C"/>
    <w:rsid w:val="00295B24"/>
    <w:rsid w:val="002A1408"/>
    <w:rsid w:val="002C6659"/>
    <w:rsid w:val="002D30CE"/>
    <w:rsid w:val="002D695B"/>
    <w:rsid w:val="002E1B6E"/>
    <w:rsid w:val="002E28AA"/>
    <w:rsid w:val="002F0883"/>
    <w:rsid w:val="003049C8"/>
    <w:rsid w:val="003267D4"/>
    <w:rsid w:val="0033738E"/>
    <w:rsid w:val="00341563"/>
    <w:rsid w:val="0034399B"/>
    <w:rsid w:val="00356A9D"/>
    <w:rsid w:val="00364199"/>
    <w:rsid w:val="003677ED"/>
    <w:rsid w:val="00381FBA"/>
    <w:rsid w:val="00391858"/>
    <w:rsid w:val="00396503"/>
    <w:rsid w:val="003A072B"/>
    <w:rsid w:val="003A3D25"/>
    <w:rsid w:val="003A50C3"/>
    <w:rsid w:val="003D2057"/>
    <w:rsid w:val="003E04EE"/>
    <w:rsid w:val="003E1A76"/>
    <w:rsid w:val="003E2571"/>
    <w:rsid w:val="003E2A66"/>
    <w:rsid w:val="003E3BF1"/>
    <w:rsid w:val="003E67DD"/>
    <w:rsid w:val="003E7ACE"/>
    <w:rsid w:val="003F053B"/>
    <w:rsid w:val="00402500"/>
    <w:rsid w:val="00430047"/>
    <w:rsid w:val="00430574"/>
    <w:rsid w:val="004324B2"/>
    <w:rsid w:val="00435B44"/>
    <w:rsid w:val="004446DC"/>
    <w:rsid w:val="00445B6A"/>
    <w:rsid w:val="00466663"/>
    <w:rsid w:val="00474FC3"/>
    <w:rsid w:val="0049432D"/>
    <w:rsid w:val="004A07E5"/>
    <w:rsid w:val="004C0816"/>
    <w:rsid w:val="004E7F64"/>
    <w:rsid w:val="00501CC5"/>
    <w:rsid w:val="00530441"/>
    <w:rsid w:val="00532F02"/>
    <w:rsid w:val="005543C3"/>
    <w:rsid w:val="005716BB"/>
    <w:rsid w:val="00575439"/>
    <w:rsid w:val="00576EB4"/>
    <w:rsid w:val="00593F13"/>
    <w:rsid w:val="005A37A2"/>
    <w:rsid w:val="005B02D0"/>
    <w:rsid w:val="005B5AA7"/>
    <w:rsid w:val="005C1783"/>
    <w:rsid w:val="005D4825"/>
    <w:rsid w:val="005D6619"/>
    <w:rsid w:val="005E25C5"/>
    <w:rsid w:val="0060010C"/>
    <w:rsid w:val="00601B8D"/>
    <w:rsid w:val="0062238E"/>
    <w:rsid w:val="00636D03"/>
    <w:rsid w:val="006410C2"/>
    <w:rsid w:val="006430DB"/>
    <w:rsid w:val="006525BE"/>
    <w:rsid w:val="0065296E"/>
    <w:rsid w:val="00656596"/>
    <w:rsid w:val="00663A7A"/>
    <w:rsid w:val="0066634A"/>
    <w:rsid w:val="006721B8"/>
    <w:rsid w:val="00672877"/>
    <w:rsid w:val="006755C0"/>
    <w:rsid w:val="00683D7A"/>
    <w:rsid w:val="006A1B5E"/>
    <w:rsid w:val="006A4CBA"/>
    <w:rsid w:val="006B0DE7"/>
    <w:rsid w:val="006B410F"/>
    <w:rsid w:val="006B6701"/>
    <w:rsid w:val="006D0288"/>
    <w:rsid w:val="006D2C48"/>
    <w:rsid w:val="006D3665"/>
    <w:rsid w:val="006D6EB5"/>
    <w:rsid w:val="006E31DA"/>
    <w:rsid w:val="00706FBE"/>
    <w:rsid w:val="00726821"/>
    <w:rsid w:val="00746EC2"/>
    <w:rsid w:val="0075719D"/>
    <w:rsid w:val="00762E1D"/>
    <w:rsid w:val="007726C0"/>
    <w:rsid w:val="00780E39"/>
    <w:rsid w:val="00794C32"/>
    <w:rsid w:val="007B2C69"/>
    <w:rsid w:val="007B5EAF"/>
    <w:rsid w:val="007B7EEB"/>
    <w:rsid w:val="007D1483"/>
    <w:rsid w:val="007D39E8"/>
    <w:rsid w:val="007D663A"/>
    <w:rsid w:val="007E463D"/>
    <w:rsid w:val="007F1A0B"/>
    <w:rsid w:val="00801B2B"/>
    <w:rsid w:val="00807300"/>
    <w:rsid w:val="00816AFB"/>
    <w:rsid w:val="00851948"/>
    <w:rsid w:val="008532AF"/>
    <w:rsid w:val="008563AA"/>
    <w:rsid w:val="00864980"/>
    <w:rsid w:val="0087423B"/>
    <w:rsid w:val="00887C03"/>
    <w:rsid w:val="00895AF3"/>
    <w:rsid w:val="008A3D86"/>
    <w:rsid w:val="008A7E23"/>
    <w:rsid w:val="008C645A"/>
    <w:rsid w:val="008D17D5"/>
    <w:rsid w:val="008F27DC"/>
    <w:rsid w:val="009029ED"/>
    <w:rsid w:val="00914D71"/>
    <w:rsid w:val="00943E8B"/>
    <w:rsid w:val="009520ED"/>
    <w:rsid w:val="009521C2"/>
    <w:rsid w:val="009639DE"/>
    <w:rsid w:val="00980429"/>
    <w:rsid w:val="009C5986"/>
    <w:rsid w:val="009F5F66"/>
    <w:rsid w:val="009F723A"/>
    <w:rsid w:val="00A15B68"/>
    <w:rsid w:val="00A16BD8"/>
    <w:rsid w:val="00A43D2E"/>
    <w:rsid w:val="00A46364"/>
    <w:rsid w:val="00A46955"/>
    <w:rsid w:val="00A54E58"/>
    <w:rsid w:val="00A65B48"/>
    <w:rsid w:val="00A65F00"/>
    <w:rsid w:val="00AA5EF6"/>
    <w:rsid w:val="00AA618A"/>
    <w:rsid w:val="00AB05CA"/>
    <w:rsid w:val="00AE4380"/>
    <w:rsid w:val="00AE54EE"/>
    <w:rsid w:val="00B1313D"/>
    <w:rsid w:val="00B2540E"/>
    <w:rsid w:val="00B3131B"/>
    <w:rsid w:val="00B4054B"/>
    <w:rsid w:val="00B54C9E"/>
    <w:rsid w:val="00B62617"/>
    <w:rsid w:val="00B665C0"/>
    <w:rsid w:val="00BC2FB9"/>
    <w:rsid w:val="00BC3334"/>
    <w:rsid w:val="00BD1065"/>
    <w:rsid w:val="00BE5119"/>
    <w:rsid w:val="00BF2F0E"/>
    <w:rsid w:val="00C013A1"/>
    <w:rsid w:val="00C13718"/>
    <w:rsid w:val="00C24EB9"/>
    <w:rsid w:val="00C402A0"/>
    <w:rsid w:val="00C440DB"/>
    <w:rsid w:val="00C70F33"/>
    <w:rsid w:val="00C74A51"/>
    <w:rsid w:val="00C77630"/>
    <w:rsid w:val="00CA50D1"/>
    <w:rsid w:val="00CA797D"/>
    <w:rsid w:val="00CB5738"/>
    <w:rsid w:val="00CB640F"/>
    <w:rsid w:val="00CC369B"/>
    <w:rsid w:val="00CC3BBB"/>
    <w:rsid w:val="00CC410F"/>
    <w:rsid w:val="00CC4949"/>
    <w:rsid w:val="00CD0D33"/>
    <w:rsid w:val="00CD4B72"/>
    <w:rsid w:val="00CF73EC"/>
    <w:rsid w:val="00D12C93"/>
    <w:rsid w:val="00D17649"/>
    <w:rsid w:val="00D26B65"/>
    <w:rsid w:val="00D26C3C"/>
    <w:rsid w:val="00D331FE"/>
    <w:rsid w:val="00D42512"/>
    <w:rsid w:val="00D526C2"/>
    <w:rsid w:val="00D55A27"/>
    <w:rsid w:val="00D62DCF"/>
    <w:rsid w:val="00D76FA9"/>
    <w:rsid w:val="00D942D8"/>
    <w:rsid w:val="00DA2D61"/>
    <w:rsid w:val="00DB2119"/>
    <w:rsid w:val="00DB6D5A"/>
    <w:rsid w:val="00DC2605"/>
    <w:rsid w:val="00DD4DF4"/>
    <w:rsid w:val="00DE4157"/>
    <w:rsid w:val="00DE6FF9"/>
    <w:rsid w:val="00DF0D09"/>
    <w:rsid w:val="00E06CDF"/>
    <w:rsid w:val="00E229FE"/>
    <w:rsid w:val="00E32D3B"/>
    <w:rsid w:val="00E4103B"/>
    <w:rsid w:val="00E41821"/>
    <w:rsid w:val="00E528E4"/>
    <w:rsid w:val="00E57330"/>
    <w:rsid w:val="00E63F99"/>
    <w:rsid w:val="00E64E74"/>
    <w:rsid w:val="00E70913"/>
    <w:rsid w:val="00E77445"/>
    <w:rsid w:val="00E87F23"/>
    <w:rsid w:val="00E90D5D"/>
    <w:rsid w:val="00E928F1"/>
    <w:rsid w:val="00E9545B"/>
    <w:rsid w:val="00EB13E4"/>
    <w:rsid w:val="00EB6F1D"/>
    <w:rsid w:val="00EC7F84"/>
    <w:rsid w:val="00EE7EB6"/>
    <w:rsid w:val="00EF3F2F"/>
    <w:rsid w:val="00EF3FBF"/>
    <w:rsid w:val="00EF7F10"/>
    <w:rsid w:val="00F04CF8"/>
    <w:rsid w:val="00F10506"/>
    <w:rsid w:val="00F255A3"/>
    <w:rsid w:val="00F42C1D"/>
    <w:rsid w:val="00F50FDD"/>
    <w:rsid w:val="00F649C8"/>
    <w:rsid w:val="00F65AE7"/>
    <w:rsid w:val="00F7094C"/>
    <w:rsid w:val="00F750D7"/>
    <w:rsid w:val="00F8044D"/>
    <w:rsid w:val="00F90E04"/>
    <w:rsid w:val="00F912E6"/>
    <w:rsid w:val="00F9452A"/>
    <w:rsid w:val="00F9546C"/>
    <w:rsid w:val="00FA2411"/>
    <w:rsid w:val="00FA7D17"/>
    <w:rsid w:val="00FB6742"/>
    <w:rsid w:val="00FB7F72"/>
    <w:rsid w:val="00FD52BB"/>
    <w:rsid w:val="00FE0954"/>
    <w:rsid w:val="00FE0C46"/>
    <w:rsid w:val="00FE5827"/>
    <w:rsid w:val="00FF6387"/>
    <w:rsid w:val="00FF7440"/>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408"/>
  </w:style>
  <w:style w:type="paragraph" w:styleId="Heading1">
    <w:name w:val="heading 1"/>
    <w:basedOn w:val="Normal"/>
    <w:next w:val="Normal"/>
    <w:qFormat/>
    <w:rsid w:val="002A140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1408"/>
    <w:pPr>
      <w:ind w:left="360"/>
    </w:pPr>
    <w:rPr>
      <w:sz w:val="24"/>
    </w:rPr>
  </w:style>
  <w:style w:type="paragraph" w:styleId="Header">
    <w:name w:val="header"/>
    <w:basedOn w:val="Normal"/>
    <w:rsid w:val="002A1408"/>
    <w:pPr>
      <w:tabs>
        <w:tab w:val="center" w:pos="4320"/>
        <w:tab w:val="right" w:pos="8640"/>
      </w:tabs>
    </w:pPr>
  </w:style>
  <w:style w:type="paragraph" w:styleId="Footer">
    <w:name w:val="footer"/>
    <w:basedOn w:val="Normal"/>
    <w:rsid w:val="002A140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paragraph" w:styleId="FootnoteText">
    <w:name w:val="footnote text"/>
    <w:basedOn w:val="Normal"/>
    <w:link w:val="FootnoteTextChar"/>
    <w:rsid w:val="00396503"/>
  </w:style>
  <w:style w:type="character" w:customStyle="1" w:styleId="FootnoteTextChar">
    <w:name w:val="Footnote Text Char"/>
    <w:basedOn w:val="DefaultParagraphFont"/>
    <w:link w:val="FootnoteText"/>
    <w:rsid w:val="00396503"/>
  </w:style>
  <w:style w:type="character" w:styleId="FootnoteReference">
    <w:name w:val="footnote reference"/>
    <w:uiPriority w:val="99"/>
    <w:rsid w:val="00396503"/>
    <w:rPr>
      <w:vertAlign w:val="superscript"/>
    </w:rPr>
  </w:style>
  <w:style w:type="paragraph" w:styleId="BodyText">
    <w:name w:val="Body Text"/>
    <w:basedOn w:val="Normal"/>
    <w:link w:val="BodyTextChar"/>
    <w:rsid w:val="000B521A"/>
    <w:pPr>
      <w:spacing w:after="120"/>
    </w:pPr>
  </w:style>
  <w:style w:type="character" w:customStyle="1" w:styleId="BodyTextChar">
    <w:name w:val="Body Text Char"/>
    <w:basedOn w:val="DefaultParagraphFont"/>
    <w:link w:val="BodyText"/>
    <w:rsid w:val="000B521A"/>
  </w:style>
  <w:style w:type="character" w:styleId="CommentReference">
    <w:name w:val="annotation reference"/>
    <w:rsid w:val="00381FBA"/>
    <w:rPr>
      <w:sz w:val="16"/>
      <w:szCs w:val="16"/>
    </w:rPr>
  </w:style>
  <w:style w:type="paragraph" w:styleId="CommentText">
    <w:name w:val="annotation text"/>
    <w:basedOn w:val="Normal"/>
    <w:link w:val="CommentTextChar"/>
    <w:rsid w:val="00381FBA"/>
  </w:style>
  <w:style w:type="character" w:customStyle="1" w:styleId="CommentTextChar">
    <w:name w:val="Comment Text Char"/>
    <w:basedOn w:val="DefaultParagraphFont"/>
    <w:link w:val="CommentText"/>
    <w:rsid w:val="00381FBA"/>
  </w:style>
  <w:style w:type="paragraph" w:styleId="CommentSubject">
    <w:name w:val="annotation subject"/>
    <w:basedOn w:val="CommentText"/>
    <w:next w:val="CommentText"/>
    <w:link w:val="CommentSubjectChar"/>
    <w:rsid w:val="00381FBA"/>
    <w:rPr>
      <w:b/>
      <w:bCs/>
    </w:rPr>
  </w:style>
  <w:style w:type="character" w:customStyle="1" w:styleId="CommentSubjectChar">
    <w:name w:val="Comment Subject Char"/>
    <w:link w:val="CommentSubject"/>
    <w:rsid w:val="00381F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408"/>
  </w:style>
  <w:style w:type="paragraph" w:styleId="Heading1">
    <w:name w:val="heading 1"/>
    <w:basedOn w:val="Normal"/>
    <w:next w:val="Normal"/>
    <w:qFormat/>
    <w:rsid w:val="002A140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1408"/>
    <w:pPr>
      <w:ind w:left="360"/>
    </w:pPr>
    <w:rPr>
      <w:sz w:val="24"/>
    </w:rPr>
  </w:style>
  <w:style w:type="paragraph" w:styleId="Header">
    <w:name w:val="header"/>
    <w:basedOn w:val="Normal"/>
    <w:rsid w:val="002A1408"/>
    <w:pPr>
      <w:tabs>
        <w:tab w:val="center" w:pos="4320"/>
        <w:tab w:val="right" w:pos="8640"/>
      </w:tabs>
    </w:pPr>
  </w:style>
  <w:style w:type="paragraph" w:styleId="Footer">
    <w:name w:val="footer"/>
    <w:basedOn w:val="Normal"/>
    <w:rsid w:val="002A140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paragraph" w:styleId="FootnoteText">
    <w:name w:val="footnote text"/>
    <w:basedOn w:val="Normal"/>
    <w:link w:val="FootnoteTextChar"/>
    <w:rsid w:val="00396503"/>
  </w:style>
  <w:style w:type="character" w:customStyle="1" w:styleId="FootnoteTextChar">
    <w:name w:val="Footnote Text Char"/>
    <w:basedOn w:val="DefaultParagraphFont"/>
    <w:link w:val="FootnoteText"/>
    <w:rsid w:val="00396503"/>
  </w:style>
  <w:style w:type="character" w:styleId="FootnoteReference">
    <w:name w:val="footnote reference"/>
    <w:uiPriority w:val="99"/>
    <w:rsid w:val="00396503"/>
    <w:rPr>
      <w:vertAlign w:val="superscript"/>
    </w:rPr>
  </w:style>
  <w:style w:type="paragraph" w:styleId="BodyText">
    <w:name w:val="Body Text"/>
    <w:basedOn w:val="Normal"/>
    <w:link w:val="BodyTextChar"/>
    <w:rsid w:val="000B521A"/>
    <w:pPr>
      <w:spacing w:after="120"/>
    </w:pPr>
  </w:style>
  <w:style w:type="character" w:customStyle="1" w:styleId="BodyTextChar">
    <w:name w:val="Body Text Char"/>
    <w:basedOn w:val="DefaultParagraphFont"/>
    <w:link w:val="BodyText"/>
    <w:rsid w:val="000B521A"/>
  </w:style>
  <w:style w:type="character" w:styleId="CommentReference">
    <w:name w:val="annotation reference"/>
    <w:rsid w:val="00381FBA"/>
    <w:rPr>
      <w:sz w:val="16"/>
      <w:szCs w:val="16"/>
    </w:rPr>
  </w:style>
  <w:style w:type="paragraph" w:styleId="CommentText">
    <w:name w:val="annotation text"/>
    <w:basedOn w:val="Normal"/>
    <w:link w:val="CommentTextChar"/>
    <w:rsid w:val="00381FBA"/>
  </w:style>
  <w:style w:type="character" w:customStyle="1" w:styleId="CommentTextChar">
    <w:name w:val="Comment Text Char"/>
    <w:basedOn w:val="DefaultParagraphFont"/>
    <w:link w:val="CommentText"/>
    <w:rsid w:val="00381FBA"/>
  </w:style>
  <w:style w:type="paragraph" w:styleId="CommentSubject">
    <w:name w:val="annotation subject"/>
    <w:basedOn w:val="CommentText"/>
    <w:next w:val="CommentText"/>
    <w:link w:val="CommentSubjectChar"/>
    <w:rsid w:val="00381FBA"/>
    <w:rPr>
      <w:b/>
      <w:bCs/>
    </w:rPr>
  </w:style>
  <w:style w:type="character" w:customStyle="1" w:styleId="CommentSubjectChar">
    <w:name w:val="Comment Subject Char"/>
    <w:link w:val="CommentSubject"/>
    <w:rsid w:val="00381F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7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ashowers@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B8C9-20F9-4328-892A-8C717C5C1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Farner, Joyce</cp:lastModifiedBy>
  <cp:revision>4</cp:revision>
  <cp:lastPrinted>2013-06-17T17:52:00Z</cp:lastPrinted>
  <dcterms:created xsi:type="dcterms:W3CDTF">2013-06-17T17:23:00Z</dcterms:created>
  <dcterms:modified xsi:type="dcterms:W3CDTF">2013-06-17T17:52:00Z</dcterms:modified>
</cp:coreProperties>
</file>