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2F2E90" w:rsidP="002F2E90">
      <w:pPr>
        <w:spacing w:line="240" w:lineRule="auto"/>
        <w:rPr>
          <w:b/>
        </w:rPr>
      </w:pPr>
      <w:bookmarkStart w:id="0" w:name="_GoBack"/>
      <w:bookmarkEnd w:id="0"/>
      <w:r>
        <w:rPr>
          <w:b/>
        </w:rPr>
        <w:t>BEFORE THE</w:t>
      </w:r>
    </w:p>
    <w:p w:rsidR="002F2E90" w:rsidRDefault="002F2E90" w:rsidP="002F2E90">
      <w:pPr>
        <w:spacing w:line="240" w:lineRule="auto"/>
        <w:rPr>
          <w:b/>
        </w:rPr>
      </w:pPr>
      <w:r>
        <w:rPr>
          <w:b/>
        </w:rPr>
        <w:t>PENNSYLVANIA PUBLIC UTILITY COMMISSION</w:t>
      </w:r>
    </w:p>
    <w:p w:rsidR="002F2E90" w:rsidRDefault="002F2E90" w:rsidP="002F2E90">
      <w:pPr>
        <w:spacing w:line="240" w:lineRule="auto"/>
        <w:rPr>
          <w:b/>
        </w:rPr>
      </w:pPr>
    </w:p>
    <w:p w:rsidR="002F2E90" w:rsidRDefault="002F2E90" w:rsidP="002F2E90">
      <w:pPr>
        <w:spacing w:line="240" w:lineRule="auto"/>
        <w:rPr>
          <w:b/>
        </w:rPr>
      </w:pPr>
    </w:p>
    <w:p w:rsidR="002F2E90" w:rsidRDefault="002F2E90" w:rsidP="002F2E90">
      <w:pPr>
        <w:spacing w:line="240" w:lineRule="auto"/>
        <w:jc w:val="left"/>
      </w:pPr>
      <w:r>
        <w:t>Pennsylvania Public Utility Commission,</w:t>
      </w:r>
      <w:r>
        <w:tab/>
      </w:r>
      <w:r>
        <w:tab/>
        <w:t>:</w:t>
      </w:r>
    </w:p>
    <w:p w:rsidR="002F2E90" w:rsidRDefault="002F2E90" w:rsidP="002F2E90">
      <w:pPr>
        <w:spacing w:line="240" w:lineRule="auto"/>
        <w:jc w:val="left"/>
      </w:pPr>
      <w:r>
        <w:t>Bureau of Investigation and Enforcement</w:t>
      </w:r>
      <w:r>
        <w:tab/>
      </w:r>
      <w:r>
        <w:tab/>
        <w:t>:</w:t>
      </w:r>
    </w:p>
    <w:p w:rsidR="002F2E90" w:rsidRDefault="002F2E90" w:rsidP="002F2E90">
      <w:pPr>
        <w:spacing w:line="240" w:lineRule="auto"/>
        <w:jc w:val="left"/>
      </w:pPr>
      <w:r>
        <w:tab/>
      </w:r>
      <w:r>
        <w:tab/>
      </w:r>
      <w:r>
        <w:tab/>
      </w:r>
      <w:r>
        <w:tab/>
      </w:r>
      <w:r>
        <w:tab/>
      </w:r>
      <w:r>
        <w:tab/>
      </w:r>
      <w:r>
        <w:tab/>
        <w:t>:</w:t>
      </w:r>
    </w:p>
    <w:p w:rsidR="002F2E90" w:rsidRDefault="002F2E90" w:rsidP="002F2E90">
      <w:pPr>
        <w:spacing w:line="240" w:lineRule="auto"/>
        <w:jc w:val="left"/>
      </w:pPr>
      <w:r>
        <w:tab/>
        <w:t>v.</w:t>
      </w:r>
      <w:r>
        <w:tab/>
      </w:r>
      <w:r>
        <w:tab/>
      </w:r>
      <w:r>
        <w:tab/>
      </w:r>
      <w:r>
        <w:tab/>
      </w:r>
      <w:r>
        <w:tab/>
      </w:r>
      <w:r>
        <w:tab/>
        <w:t>:</w:t>
      </w:r>
      <w:r>
        <w:tab/>
      </w:r>
      <w:r>
        <w:tab/>
      </w:r>
      <w:r>
        <w:tab/>
        <w:t>C-2012-2325083</w:t>
      </w:r>
    </w:p>
    <w:p w:rsidR="00067703" w:rsidRDefault="00067703" w:rsidP="002F2E90">
      <w:pPr>
        <w:spacing w:line="240" w:lineRule="auto"/>
        <w:jc w:val="left"/>
      </w:pPr>
      <w:r>
        <w:tab/>
      </w:r>
      <w:r>
        <w:tab/>
      </w:r>
      <w:r>
        <w:tab/>
      </w:r>
      <w:r>
        <w:tab/>
      </w:r>
      <w:r>
        <w:tab/>
      </w:r>
      <w:r>
        <w:tab/>
      </w:r>
      <w:r>
        <w:tab/>
        <w:t>:</w:t>
      </w:r>
    </w:p>
    <w:p w:rsidR="002F2E90" w:rsidRDefault="002F2E90" w:rsidP="002F2E90">
      <w:pPr>
        <w:spacing w:line="240" w:lineRule="auto"/>
        <w:jc w:val="left"/>
      </w:pPr>
      <w:r>
        <w:t>Steven J. Butts</w:t>
      </w:r>
      <w:r>
        <w:tab/>
      </w:r>
      <w:r>
        <w:tab/>
      </w:r>
      <w:r>
        <w:tab/>
      </w:r>
      <w:r>
        <w:tab/>
      </w:r>
      <w:r>
        <w:tab/>
      </w:r>
      <w:r>
        <w:tab/>
        <w:t>:</w:t>
      </w:r>
    </w:p>
    <w:p w:rsidR="002F2E90" w:rsidRDefault="002F2E90" w:rsidP="002F2E90">
      <w:pPr>
        <w:spacing w:line="240" w:lineRule="auto"/>
        <w:jc w:val="left"/>
      </w:pPr>
    </w:p>
    <w:p w:rsidR="002F2E90" w:rsidRDefault="002F2E90" w:rsidP="002F2E90">
      <w:pPr>
        <w:spacing w:line="240" w:lineRule="auto"/>
        <w:jc w:val="left"/>
      </w:pPr>
    </w:p>
    <w:p w:rsidR="002F2E90" w:rsidRDefault="002F2E90" w:rsidP="002F2E90">
      <w:pPr>
        <w:spacing w:line="240" w:lineRule="auto"/>
        <w:rPr>
          <w:b/>
          <w:u w:val="single"/>
        </w:rPr>
      </w:pPr>
      <w:r>
        <w:rPr>
          <w:b/>
          <w:u w:val="single"/>
        </w:rPr>
        <w:t>INITIAL DECISION</w:t>
      </w:r>
    </w:p>
    <w:p w:rsidR="002F2E90" w:rsidRDefault="002F2E90" w:rsidP="002F2E90">
      <w:pPr>
        <w:spacing w:line="240" w:lineRule="auto"/>
        <w:rPr>
          <w:b/>
          <w:u w:val="single"/>
        </w:rPr>
      </w:pPr>
    </w:p>
    <w:p w:rsidR="002F2E90" w:rsidRPr="00B372ED" w:rsidRDefault="002F2E90" w:rsidP="002F2E90">
      <w:pPr>
        <w:spacing w:line="240" w:lineRule="auto"/>
        <w:rPr>
          <w:b/>
        </w:rPr>
      </w:pPr>
    </w:p>
    <w:p w:rsidR="002F2E90" w:rsidRDefault="002F2E90" w:rsidP="002F2E90">
      <w:pPr>
        <w:spacing w:line="240" w:lineRule="auto"/>
      </w:pPr>
      <w:r>
        <w:t>Before</w:t>
      </w:r>
    </w:p>
    <w:p w:rsidR="002F2E90" w:rsidRDefault="002F2E90" w:rsidP="002F2E90">
      <w:pPr>
        <w:spacing w:line="240" w:lineRule="auto"/>
      </w:pPr>
      <w:r>
        <w:t>Susan D. Colwell</w:t>
      </w:r>
    </w:p>
    <w:p w:rsidR="002F2E90" w:rsidRDefault="002F2E90" w:rsidP="002F2E90">
      <w:pPr>
        <w:spacing w:line="240" w:lineRule="auto"/>
      </w:pPr>
      <w:r>
        <w:t>Administrative Law Judge</w:t>
      </w:r>
    </w:p>
    <w:p w:rsidR="002F2E90" w:rsidRDefault="002F2E90" w:rsidP="002F2E90">
      <w:pPr>
        <w:spacing w:line="240" w:lineRule="auto"/>
      </w:pPr>
    </w:p>
    <w:p w:rsidR="002F2E90" w:rsidRDefault="002F2E90" w:rsidP="002F2E90">
      <w:pPr>
        <w:spacing w:line="240" w:lineRule="auto"/>
      </w:pPr>
    </w:p>
    <w:p w:rsidR="002F2E90" w:rsidRDefault="002F2E90" w:rsidP="002F2E90">
      <w:pPr>
        <w:spacing w:line="240" w:lineRule="auto"/>
        <w:rPr>
          <w:u w:val="single"/>
        </w:rPr>
      </w:pPr>
      <w:r>
        <w:rPr>
          <w:u w:val="single"/>
        </w:rPr>
        <w:t>HISTORY OF THE PROCEEDINGS</w:t>
      </w:r>
    </w:p>
    <w:p w:rsidR="002F2E90" w:rsidRDefault="002F2E90" w:rsidP="002F2E90">
      <w:pPr>
        <w:spacing w:line="240" w:lineRule="auto"/>
        <w:rPr>
          <w:u w:val="single"/>
        </w:rPr>
      </w:pPr>
    </w:p>
    <w:p w:rsidR="002F2E90" w:rsidRDefault="002F2E90" w:rsidP="002F2E90">
      <w:pPr>
        <w:spacing w:line="240" w:lineRule="auto"/>
        <w:rPr>
          <w:u w:val="single"/>
        </w:rPr>
      </w:pPr>
    </w:p>
    <w:p w:rsidR="00290872" w:rsidRDefault="002F2E90" w:rsidP="002F2E90">
      <w:pPr>
        <w:jc w:val="left"/>
      </w:pPr>
      <w:r>
        <w:tab/>
      </w:r>
      <w:r>
        <w:tab/>
        <w:t>On September 19, 2012, the Commission's Bureau of Investigation and Enforcement (I&amp;E) filed a formal Complaint against Steven J. Butts (Respondent), holder of a certificate of public convenience at A-00122545 for paratransit authority, alleging that Respondent failed to</w:t>
      </w:r>
      <w:r w:rsidR="004E27BF">
        <w:t xml:space="preserve"> file assessment reports and to</w:t>
      </w:r>
      <w:r>
        <w:t xml:space="preserve"> pay his assessments for fiscal years 2010-2011 and 2011-2012.  </w:t>
      </w:r>
      <w:r w:rsidR="00290872">
        <w:t>The Complaint was served by the Commission's Secretary on September 19, 2012, by certified mail, and was returned as not deliverable as addressed, unable to forward, on September 26, 2013.</w:t>
      </w:r>
    </w:p>
    <w:p w:rsidR="00290872" w:rsidRDefault="00290872" w:rsidP="002F2E90">
      <w:pPr>
        <w:jc w:val="left"/>
      </w:pPr>
    </w:p>
    <w:p w:rsidR="00593D5D" w:rsidRDefault="00290872" w:rsidP="002F2E90">
      <w:pPr>
        <w:jc w:val="left"/>
      </w:pPr>
      <w:r>
        <w:tab/>
      </w:r>
      <w:r>
        <w:tab/>
      </w:r>
      <w:r w:rsidR="00593D5D">
        <w:t xml:space="preserve">By letter dated October 6, 2012, Respondent's estranged wife informed the Commission that Respondent had ceased offering service in 2008 and had moved to Florida with no intent to return.  In addition, the letter reflected an interest in transferring the certificate of public convenience to Respondent's wife so that she and her daughter could earn money without undergoing the expense of applying for a new certificate.  </w:t>
      </w:r>
    </w:p>
    <w:p w:rsidR="00593D5D" w:rsidRDefault="00593D5D" w:rsidP="002F2E90">
      <w:pPr>
        <w:jc w:val="left"/>
      </w:pPr>
    </w:p>
    <w:p w:rsidR="00B372ED" w:rsidRDefault="00593D5D" w:rsidP="002F2E90">
      <w:pPr>
        <w:jc w:val="left"/>
      </w:pPr>
      <w:r>
        <w:lastRenderedPageBreak/>
        <w:tab/>
      </w:r>
      <w:r>
        <w:tab/>
        <w:t>By Notice issued March 15, 2013, and subsequently published in the Pennsylvania Bulletin</w:t>
      </w:r>
      <w:r w:rsidR="00B372ED">
        <w:t xml:space="preserve"> on March 30, 2013, at 43 Pa. B. 1832,</w:t>
      </w:r>
      <w:r>
        <w:t xml:space="preserve"> a hearing was scheduled for Thursday, May 16, 2013.  </w:t>
      </w:r>
      <w:r w:rsidR="00B372ED">
        <w:t xml:space="preserve">At that time, the matter was assigned to me.  </w:t>
      </w:r>
    </w:p>
    <w:p w:rsidR="00B372ED" w:rsidRDefault="00B372ED" w:rsidP="002F2E90">
      <w:pPr>
        <w:jc w:val="left"/>
      </w:pPr>
    </w:p>
    <w:p w:rsidR="000E1996" w:rsidRDefault="00B372ED" w:rsidP="002F2E90">
      <w:pPr>
        <w:jc w:val="left"/>
      </w:pPr>
      <w:r>
        <w:tab/>
      </w:r>
      <w:r>
        <w:tab/>
        <w:t>I issued a prehearing o</w:t>
      </w:r>
      <w:r w:rsidR="000E1996">
        <w:t xml:space="preserve">rder on March 27, 2013, which informed the parties of some of the requirements for a formal hearing before the Commission.  The </w:t>
      </w:r>
      <w:r>
        <w:t>p</w:t>
      </w:r>
      <w:r w:rsidR="000E1996">
        <w:t xml:space="preserve">rehearing </w:t>
      </w:r>
      <w:r>
        <w:t>o</w:t>
      </w:r>
      <w:r w:rsidR="000E1996">
        <w:t xml:space="preserve">rder included a paragraph which stated that the scope of the case is the formal Complaint against the Respondent, and that Commission regulations do not permit the transfer of a certificate of public convenience from one holder to another without a thorough review of the application to transfer or without the specific agreement of the present certificate holder.  Neither </w:t>
      </w:r>
      <w:r>
        <w:t xml:space="preserve">the hearing notice nor the prehearing order </w:t>
      </w:r>
      <w:r w:rsidR="000E1996">
        <w:t>was returned as undeliverable.</w:t>
      </w:r>
    </w:p>
    <w:p w:rsidR="000E1996" w:rsidRDefault="000E1996" w:rsidP="002F2E90">
      <w:pPr>
        <w:jc w:val="left"/>
      </w:pPr>
    </w:p>
    <w:p w:rsidR="000E1996" w:rsidRDefault="000E1996" w:rsidP="002F2E90">
      <w:pPr>
        <w:jc w:val="left"/>
      </w:pPr>
      <w:r>
        <w:tab/>
      </w:r>
      <w:r>
        <w:tab/>
        <w:t>The hearing was held as scheduled, with Stephanie Wimer, Esq., appearing on behalf of I&amp;E.  She presented one witness, who sponsored six exhibits.  Respondent did not appear.</w:t>
      </w:r>
    </w:p>
    <w:p w:rsidR="000E1996" w:rsidRDefault="000E1996" w:rsidP="002F2E90">
      <w:pPr>
        <w:jc w:val="left"/>
      </w:pPr>
    </w:p>
    <w:p w:rsidR="000E1996" w:rsidRDefault="000E1996" w:rsidP="002F2E90">
      <w:pPr>
        <w:jc w:val="left"/>
      </w:pPr>
      <w:r>
        <w:tab/>
      </w:r>
      <w:r>
        <w:tab/>
        <w:t>The hearing resulted in a transcript of 22 pages, and the evidentiary record closed upon its receipt on May 21, 2013.  The matter is ripe for disposition.</w:t>
      </w:r>
    </w:p>
    <w:p w:rsidR="000E1996" w:rsidRDefault="000E1996" w:rsidP="002F2E90">
      <w:pPr>
        <w:jc w:val="left"/>
      </w:pPr>
    </w:p>
    <w:p w:rsidR="002F2E90" w:rsidRDefault="000E1996" w:rsidP="000E1996">
      <w:pPr>
        <w:rPr>
          <w:u w:val="single"/>
        </w:rPr>
      </w:pPr>
      <w:r>
        <w:rPr>
          <w:u w:val="single"/>
        </w:rPr>
        <w:t>FINDINGS OF FACT</w:t>
      </w:r>
    </w:p>
    <w:p w:rsidR="000E1996" w:rsidRDefault="000E1996" w:rsidP="000E1996">
      <w:pPr>
        <w:rPr>
          <w:u w:val="single"/>
        </w:rPr>
      </w:pPr>
    </w:p>
    <w:p w:rsidR="000E1996" w:rsidRDefault="000E1996" w:rsidP="000E1996">
      <w:pPr>
        <w:jc w:val="left"/>
      </w:pPr>
      <w:r>
        <w:tab/>
      </w:r>
      <w:r>
        <w:tab/>
        <w:t>1.</w:t>
      </w:r>
      <w:r>
        <w:tab/>
        <w:t>Complainant is the Commission's Bureau of I&amp;E, an office created pursuant to the Public Utility Code, 66 Pa. C.S. § 308.2(a)(1), for the purpose of prosecuting complaints against jurisdictional public utilities.</w:t>
      </w:r>
    </w:p>
    <w:p w:rsidR="000E1996" w:rsidRDefault="000E1996" w:rsidP="000E1996">
      <w:pPr>
        <w:jc w:val="left"/>
      </w:pPr>
    </w:p>
    <w:p w:rsidR="000E1996" w:rsidRDefault="000E1996" w:rsidP="000E1996">
      <w:pPr>
        <w:jc w:val="left"/>
      </w:pPr>
      <w:r>
        <w:tab/>
      </w:r>
      <w:r>
        <w:tab/>
        <w:t>2.</w:t>
      </w:r>
      <w:r>
        <w:tab/>
        <w:t>Respondent is Steven J. Butts, whose principal place of business is listed in Commission records as 339 Churchtown Road, Narvon PA 17555.  Cplt. ¶2.</w:t>
      </w:r>
    </w:p>
    <w:p w:rsidR="000E1996" w:rsidRDefault="000E1996" w:rsidP="000E1996">
      <w:pPr>
        <w:jc w:val="left"/>
      </w:pPr>
    </w:p>
    <w:p w:rsidR="000E1996" w:rsidRDefault="000E1996" w:rsidP="000E1996">
      <w:pPr>
        <w:jc w:val="left"/>
      </w:pPr>
      <w:r>
        <w:tab/>
      </w:r>
      <w:r>
        <w:tab/>
        <w:t>3.</w:t>
      </w:r>
      <w:r>
        <w:tab/>
        <w:t>Susan Daub, currently a fixed utility financial analyst trainee in the Bureau of I&amp;E, worked in the Commission's Assessment Office from June 2008 until September 2012.  Tr. 6.</w:t>
      </w:r>
    </w:p>
    <w:p w:rsidR="000E1996" w:rsidRDefault="000E1996" w:rsidP="000E1996">
      <w:pPr>
        <w:jc w:val="left"/>
      </w:pPr>
    </w:p>
    <w:p w:rsidR="000E1996" w:rsidRDefault="000E1996" w:rsidP="000E1996">
      <w:pPr>
        <w:jc w:val="left"/>
      </w:pPr>
      <w:r>
        <w:tab/>
      </w:r>
      <w:r>
        <w:tab/>
        <w:t>4.</w:t>
      </w:r>
      <w:r>
        <w:tab/>
        <w:t>Ms. Daub received and reviewed assessment reports, contacted utilities with questions concerning those reports, scanned reports into a computer, and aided in the preparation and mailing of the assessment invoices, as well as processed assessment objections.  Tr. 7.</w:t>
      </w:r>
    </w:p>
    <w:p w:rsidR="000E1996" w:rsidRDefault="000E1996" w:rsidP="000E1996">
      <w:pPr>
        <w:jc w:val="left"/>
      </w:pPr>
    </w:p>
    <w:p w:rsidR="000E1996" w:rsidRDefault="000E1996" w:rsidP="000E1996">
      <w:pPr>
        <w:jc w:val="left"/>
      </w:pPr>
      <w:r>
        <w:tab/>
      </w:r>
      <w:r>
        <w:tab/>
        <w:t>5.</w:t>
      </w:r>
      <w:r>
        <w:tab/>
      </w:r>
      <w:r w:rsidR="00FF37B3">
        <w:t>Respondent is currently listed as an active utility in Commission records.  Tr. 8.</w:t>
      </w:r>
    </w:p>
    <w:p w:rsidR="00FF37B3" w:rsidRDefault="00FF37B3" w:rsidP="000E1996">
      <w:pPr>
        <w:jc w:val="left"/>
      </w:pPr>
    </w:p>
    <w:p w:rsidR="00FF37B3" w:rsidRDefault="00FF37B3" w:rsidP="000E1996">
      <w:pPr>
        <w:jc w:val="left"/>
      </w:pPr>
      <w:r>
        <w:tab/>
      </w:r>
      <w:r>
        <w:tab/>
        <w:t>6.</w:t>
      </w:r>
      <w:r>
        <w:tab/>
        <w:t>I&amp;E Exhibit 1 is the 2010-2011 fiscal year invoice for Steven J. Butts.  Tr. 9.</w:t>
      </w:r>
    </w:p>
    <w:p w:rsidR="00FF37B3" w:rsidRDefault="00FF37B3" w:rsidP="000E1996">
      <w:pPr>
        <w:jc w:val="left"/>
      </w:pPr>
    </w:p>
    <w:p w:rsidR="00FF37B3" w:rsidRDefault="00FF37B3" w:rsidP="000E1996">
      <w:pPr>
        <w:jc w:val="left"/>
      </w:pPr>
      <w:r>
        <w:tab/>
      </w:r>
      <w:r>
        <w:tab/>
        <w:t>7.</w:t>
      </w:r>
      <w:r>
        <w:tab/>
        <w:t>I&amp;E Exhibit 2 is the notice of assessment for the fiscal year 2010-2011</w:t>
      </w:r>
      <w:r w:rsidR="00B372ED">
        <w:t>, in the amount of $566</w:t>
      </w:r>
      <w:r>
        <w:t>.  Tr. 10.</w:t>
      </w:r>
    </w:p>
    <w:p w:rsidR="00FF37B3" w:rsidRDefault="00FF37B3" w:rsidP="000E1996">
      <w:pPr>
        <w:jc w:val="left"/>
      </w:pPr>
    </w:p>
    <w:p w:rsidR="00FF37B3" w:rsidRDefault="00FF37B3" w:rsidP="000E1996">
      <w:pPr>
        <w:jc w:val="left"/>
      </w:pPr>
      <w:r>
        <w:tab/>
      </w:r>
      <w:r>
        <w:tab/>
        <w:t>8.</w:t>
      </w:r>
      <w:r>
        <w:tab/>
      </w:r>
      <w:r w:rsidR="00CD79F7">
        <w:t>Assessment reports are mailed to utilities in February and due back to the Commission on March 31</w:t>
      </w:r>
      <w:r w:rsidR="00CD79F7" w:rsidRPr="00CD79F7">
        <w:rPr>
          <w:vertAlign w:val="superscript"/>
        </w:rPr>
        <w:t>st</w:t>
      </w:r>
      <w:r w:rsidR="00CD79F7">
        <w:t xml:space="preserve"> with a report of the jurisdictional revenues.  Tr. 12.</w:t>
      </w:r>
    </w:p>
    <w:p w:rsidR="00CD79F7" w:rsidRDefault="00CD79F7" w:rsidP="000E1996">
      <w:pPr>
        <w:jc w:val="left"/>
      </w:pPr>
    </w:p>
    <w:p w:rsidR="00CD79F7" w:rsidRDefault="00CD79F7" w:rsidP="000E1996">
      <w:pPr>
        <w:jc w:val="left"/>
      </w:pPr>
      <w:r>
        <w:tab/>
      </w:r>
      <w:r>
        <w:tab/>
        <w:t>9.</w:t>
      </w:r>
      <w:r>
        <w:tab/>
        <w:t>Respondent did not file an assessment report for his 2009 calendar year revenues.  Tr. 12.</w:t>
      </w:r>
    </w:p>
    <w:p w:rsidR="00CD79F7" w:rsidRDefault="00CD79F7" w:rsidP="000E1996">
      <w:pPr>
        <w:jc w:val="left"/>
      </w:pPr>
    </w:p>
    <w:p w:rsidR="00CD79F7" w:rsidRDefault="00CD79F7" w:rsidP="000E1996">
      <w:pPr>
        <w:jc w:val="left"/>
      </w:pPr>
      <w:r>
        <w:tab/>
      </w:r>
      <w:r>
        <w:tab/>
        <w:t>10.</w:t>
      </w:r>
      <w:r>
        <w:tab/>
        <w:t>Respondent's revenues were estimated at $42,699 based on his reported revenues for 2008.  Tr. 12.</w:t>
      </w:r>
    </w:p>
    <w:p w:rsidR="00CD79F7" w:rsidRDefault="00CD79F7" w:rsidP="000E1996">
      <w:pPr>
        <w:jc w:val="left"/>
      </w:pPr>
    </w:p>
    <w:p w:rsidR="00CD79F7" w:rsidRDefault="00CD79F7" w:rsidP="000E1996">
      <w:pPr>
        <w:jc w:val="left"/>
      </w:pPr>
      <w:r>
        <w:tab/>
      </w:r>
      <w:r>
        <w:tab/>
        <w:t>11.</w:t>
      </w:r>
      <w:r>
        <w:tab/>
        <w:t xml:space="preserve">Assessment invoices </w:t>
      </w:r>
      <w:r w:rsidR="00067703">
        <w:t>under</w:t>
      </w:r>
      <w:r>
        <w:t xml:space="preserve"> $100 are sent first-class mail and those over $100 are sent certified mail.  Tr. 13.</w:t>
      </w:r>
    </w:p>
    <w:p w:rsidR="00CD79F7" w:rsidRDefault="00CD79F7" w:rsidP="000E1996">
      <w:pPr>
        <w:jc w:val="left"/>
      </w:pPr>
    </w:p>
    <w:p w:rsidR="00CD79F7" w:rsidRDefault="00CD79F7" w:rsidP="000E1996">
      <w:pPr>
        <w:jc w:val="left"/>
      </w:pPr>
      <w:r>
        <w:tab/>
      </w:r>
      <w:r>
        <w:tab/>
        <w:t>12.</w:t>
      </w:r>
      <w:r>
        <w:tab/>
        <w:t>I&amp;E Exhibit 3 is a copy of the green certified mail receipt for Respondent's 2010-2011 fiscal year invoice, signed by Damian Butts.  Tr. 14.</w:t>
      </w:r>
    </w:p>
    <w:p w:rsidR="00CD79F7" w:rsidRDefault="00CD79F7" w:rsidP="000E1996">
      <w:pPr>
        <w:jc w:val="left"/>
      </w:pPr>
    </w:p>
    <w:p w:rsidR="00CD79F7" w:rsidRDefault="00CD79F7" w:rsidP="000E1996">
      <w:pPr>
        <w:jc w:val="left"/>
      </w:pPr>
      <w:r>
        <w:tab/>
      </w:r>
      <w:r>
        <w:tab/>
        <w:t>13.</w:t>
      </w:r>
      <w:r>
        <w:tab/>
        <w:t xml:space="preserve"> No objection to the assessment was received in the Fiscal Office.  Tr. 15.</w:t>
      </w:r>
    </w:p>
    <w:p w:rsidR="00CD79F7" w:rsidRDefault="00CD79F7" w:rsidP="000E1996">
      <w:pPr>
        <w:jc w:val="left"/>
      </w:pPr>
    </w:p>
    <w:p w:rsidR="00CD79F7" w:rsidRDefault="00CD79F7" w:rsidP="000E1996">
      <w:pPr>
        <w:jc w:val="left"/>
      </w:pPr>
      <w:r>
        <w:tab/>
      </w:r>
      <w:r>
        <w:tab/>
        <w:t>14.</w:t>
      </w:r>
      <w:r>
        <w:tab/>
        <w:t>I&amp;E Exhibit 4 is the 2011-2012 fiscal year invoice for Steven J. Butts</w:t>
      </w:r>
      <w:r w:rsidR="00B372ED">
        <w:t>, in the amount of $665</w:t>
      </w:r>
      <w:r>
        <w:t>.  Tr. 16.</w:t>
      </w:r>
    </w:p>
    <w:p w:rsidR="00CD79F7" w:rsidRDefault="00CD79F7" w:rsidP="000E1996">
      <w:pPr>
        <w:jc w:val="left"/>
      </w:pPr>
    </w:p>
    <w:p w:rsidR="00CD79F7" w:rsidRDefault="00CD79F7" w:rsidP="000E1996">
      <w:pPr>
        <w:jc w:val="left"/>
      </w:pPr>
      <w:r>
        <w:tab/>
      </w:r>
      <w:r>
        <w:tab/>
        <w:t>15.</w:t>
      </w:r>
      <w:r>
        <w:tab/>
        <w:t>I&amp;E Exhibit 5 is the notice of assessment that was mailed with the 2011-2012 fiscal year invoice.  Tr. 16.</w:t>
      </w:r>
    </w:p>
    <w:p w:rsidR="00CD79F7" w:rsidRDefault="00CD79F7" w:rsidP="000E1996">
      <w:pPr>
        <w:jc w:val="left"/>
      </w:pPr>
    </w:p>
    <w:p w:rsidR="00CD79F7" w:rsidRDefault="00CD79F7" w:rsidP="000E1996">
      <w:pPr>
        <w:jc w:val="left"/>
      </w:pPr>
      <w:r>
        <w:tab/>
      </w:r>
      <w:r>
        <w:tab/>
        <w:t>16.</w:t>
      </w:r>
      <w:r>
        <w:tab/>
        <w:t>The 2011-2012 assessment is based on the revenues from calendar year 2010.  Tr. 17.</w:t>
      </w:r>
    </w:p>
    <w:p w:rsidR="00CD79F7" w:rsidRDefault="00CD79F7" w:rsidP="000E1996">
      <w:pPr>
        <w:jc w:val="left"/>
      </w:pPr>
    </w:p>
    <w:p w:rsidR="00CD79F7" w:rsidRDefault="00CD79F7" w:rsidP="000E1996">
      <w:pPr>
        <w:jc w:val="left"/>
      </w:pPr>
      <w:r>
        <w:tab/>
      </w:r>
      <w:r>
        <w:tab/>
        <w:t>17.</w:t>
      </w:r>
      <w:r>
        <w:tab/>
        <w:t>The Commission's Fiscal Office did not receive an assessment report from Respondent showing his 2010 calendar year revenues.  Tr. 17.</w:t>
      </w:r>
    </w:p>
    <w:p w:rsidR="00CD79F7" w:rsidRDefault="00CD79F7" w:rsidP="000E1996">
      <w:pPr>
        <w:jc w:val="left"/>
      </w:pPr>
    </w:p>
    <w:p w:rsidR="00CD79F7" w:rsidRDefault="00CD79F7" w:rsidP="000E1996">
      <w:pPr>
        <w:jc w:val="left"/>
      </w:pPr>
      <w:r>
        <w:tab/>
      </w:r>
      <w:r>
        <w:tab/>
        <w:t>18.</w:t>
      </w:r>
      <w:r>
        <w:tab/>
        <w:t>The estimate of 2010 calendar year revenues was based on the estimate of the 2009 calendar year revenues.  Tr. 17.</w:t>
      </w:r>
    </w:p>
    <w:p w:rsidR="00CD79F7" w:rsidRDefault="00CD79F7" w:rsidP="000E1996">
      <w:pPr>
        <w:jc w:val="left"/>
      </w:pPr>
    </w:p>
    <w:p w:rsidR="00CD79F7" w:rsidRDefault="00CD79F7" w:rsidP="000E1996">
      <w:pPr>
        <w:jc w:val="left"/>
      </w:pPr>
      <w:r>
        <w:tab/>
      </w:r>
      <w:r>
        <w:tab/>
        <w:t>19.</w:t>
      </w:r>
      <w:r>
        <w:tab/>
        <w:t>The assessment was sent certified mail.  Tr. 18.</w:t>
      </w:r>
    </w:p>
    <w:p w:rsidR="00CD79F7" w:rsidRDefault="00CD79F7" w:rsidP="000E1996">
      <w:pPr>
        <w:jc w:val="left"/>
      </w:pPr>
    </w:p>
    <w:p w:rsidR="00CD79F7" w:rsidRDefault="00CD79F7" w:rsidP="000E1996">
      <w:pPr>
        <w:jc w:val="left"/>
      </w:pPr>
      <w:r>
        <w:tab/>
      </w:r>
      <w:r>
        <w:tab/>
        <w:t>20.</w:t>
      </w:r>
      <w:r>
        <w:tab/>
        <w:t>I&amp;E Exhibit 6 is a copy of the green certified mail receipt card for the 2011-2012 assessment invoice signed by Donna Butts.  Tr. 18-19.</w:t>
      </w:r>
    </w:p>
    <w:p w:rsidR="00CD79F7" w:rsidRDefault="00CD79F7" w:rsidP="000E1996">
      <w:pPr>
        <w:jc w:val="left"/>
      </w:pPr>
    </w:p>
    <w:p w:rsidR="00CD79F7" w:rsidRDefault="00CD79F7" w:rsidP="000E1996">
      <w:pPr>
        <w:jc w:val="left"/>
      </w:pPr>
      <w:r>
        <w:tab/>
      </w:r>
      <w:r>
        <w:tab/>
        <w:t>21.</w:t>
      </w:r>
      <w:r>
        <w:tab/>
        <w:t>Respondent has not informed the Commission of a different address.  Tr. 19.</w:t>
      </w:r>
    </w:p>
    <w:p w:rsidR="00CD79F7" w:rsidRDefault="00CD79F7" w:rsidP="000E1996">
      <w:pPr>
        <w:jc w:val="left"/>
      </w:pPr>
    </w:p>
    <w:p w:rsidR="00CD79F7" w:rsidRDefault="00CD79F7" w:rsidP="000E1996">
      <w:pPr>
        <w:jc w:val="left"/>
      </w:pPr>
      <w:r>
        <w:tab/>
      </w:r>
      <w:r>
        <w:tab/>
        <w:t>22.</w:t>
      </w:r>
      <w:r>
        <w:tab/>
        <w:t>Respondent has not paid the assessment for the 2012-2013 fiscal year.  Tr. 20.</w:t>
      </w:r>
    </w:p>
    <w:p w:rsidR="00B15874" w:rsidRDefault="00B15874" w:rsidP="000E1996">
      <w:pPr>
        <w:jc w:val="left"/>
      </w:pPr>
    </w:p>
    <w:p w:rsidR="00B15874" w:rsidRDefault="00B15874" w:rsidP="00B15874">
      <w:pPr>
        <w:rPr>
          <w:u w:val="single"/>
        </w:rPr>
      </w:pPr>
      <w:r>
        <w:rPr>
          <w:u w:val="single"/>
        </w:rPr>
        <w:t>FINDINGS OF FACT</w:t>
      </w:r>
    </w:p>
    <w:p w:rsidR="00B15874" w:rsidRDefault="00B15874" w:rsidP="00B15874">
      <w:pPr>
        <w:rPr>
          <w:u w:val="single"/>
        </w:rPr>
      </w:pPr>
    </w:p>
    <w:p w:rsidR="00B15874" w:rsidRPr="00252A6B" w:rsidRDefault="00B15874" w:rsidP="00B15874">
      <w:pPr>
        <w:jc w:val="left"/>
      </w:pPr>
      <w:r>
        <w:tab/>
      </w:r>
      <w:r>
        <w:tab/>
      </w:r>
      <w:r w:rsidRPr="00252A6B">
        <w:t>The Complaint charges that Respondent has failed to</w:t>
      </w:r>
      <w:r w:rsidR="004E27BF">
        <w:t xml:space="preserve"> file his assessment reports and failed to</w:t>
      </w:r>
      <w:r w:rsidRPr="00252A6B">
        <w:t xml:space="preserve"> pay his annual assessment for two consecutive fiscal years.</w:t>
      </w:r>
      <w:r w:rsidR="00B372ED">
        <w:t xml:space="preserve">  Complainant seeks </w:t>
      </w:r>
      <w:r w:rsidR="00761F63">
        <w:t xml:space="preserve">the </w:t>
      </w:r>
      <w:r w:rsidR="00761F63">
        <w:lastRenderedPageBreak/>
        <w:t xml:space="preserve">total amount of the overdue assessments, $1,231, plus a civil penalty of $2,180, for a total of $3,411.  </w:t>
      </w:r>
    </w:p>
    <w:p w:rsidR="00B15874" w:rsidRPr="00252A6B" w:rsidRDefault="00B15874" w:rsidP="00B15874">
      <w:pPr>
        <w:jc w:val="left"/>
      </w:pPr>
      <w:r w:rsidRPr="00252A6B">
        <w:tab/>
      </w:r>
      <w:r w:rsidRPr="00252A6B">
        <w:tab/>
      </w:r>
    </w:p>
    <w:p w:rsidR="00B15874" w:rsidRPr="00B15874" w:rsidRDefault="00B15874" w:rsidP="00B15874">
      <w:pPr>
        <w:jc w:val="left"/>
      </w:pPr>
      <w:r w:rsidRPr="00252A6B">
        <w:tab/>
      </w:r>
      <w:r w:rsidRPr="00252A6B">
        <w:tab/>
        <w:t xml:space="preserve">Pursuant to Section 701 of </w:t>
      </w:r>
      <w:r w:rsidRPr="00B15874">
        <w:t xml:space="preserve">the </w:t>
      </w:r>
      <w:r w:rsidRPr="00B15874">
        <w:rPr>
          <w:rStyle w:val="term1"/>
          <w:b w:val="0"/>
        </w:rPr>
        <w:t>Public</w:t>
      </w:r>
      <w:r w:rsidRPr="00B15874">
        <w:rPr>
          <w:b/>
        </w:rPr>
        <w:t xml:space="preserve"> </w:t>
      </w:r>
      <w:r w:rsidRPr="00B15874">
        <w:t xml:space="preserve">Utility Code (Code), </w:t>
      </w:r>
      <w:hyperlink r:id="rId8" w:history="1">
        <w:r w:rsidRPr="00B15874">
          <w:rPr>
            <w:rStyle w:val="Hyperlink"/>
            <w:color w:val="auto"/>
            <w:u w:val="none"/>
          </w:rPr>
          <w:t>66 Pa. C.S. § 701</w:t>
        </w:r>
      </w:hyperlink>
      <w:r w:rsidRPr="00B15874">
        <w:t xml:space="preserve">, the Commission may file a complaint against a </w:t>
      </w:r>
      <w:r w:rsidRPr="00B15874">
        <w:rPr>
          <w:rStyle w:val="term1"/>
          <w:b w:val="0"/>
        </w:rPr>
        <w:t>public</w:t>
      </w:r>
      <w:r w:rsidRPr="00B15874">
        <w:t xml:space="preserve"> utility for violation of any section of the Code, or any regulation or order of the Commission.  Because I&amp;E is the complainant in this proceeding, it bears the burden of proof.  </w:t>
      </w:r>
      <w:hyperlink r:id="rId9" w:history="1">
        <w:r w:rsidRPr="00B15874">
          <w:rPr>
            <w:rStyle w:val="Hyperlink"/>
            <w:color w:val="auto"/>
            <w:u w:val="none"/>
          </w:rPr>
          <w:t>66 Pa. C.S. § 332(a)</w:t>
        </w:r>
      </w:hyperlink>
      <w:r w:rsidRPr="00B15874">
        <w:t>.  The term "burden of proof" means a duty to establish a fact by a preponderance of the evidence</w:t>
      </w:r>
      <w:r w:rsidRPr="00B15874">
        <w:rPr>
          <w:i/>
        </w:rPr>
        <w:t>.  Se-Ling Hosiery v. Margulies</w:t>
      </w:r>
      <w:r w:rsidRPr="00B15874">
        <w:t xml:space="preserve">, 364 Pa. 45, 70 A.2d 854 (1950).  The term "preponderance of the evidence" means that one party has presented evidence which is more convincing, by even the smallest degree, than the evidence presented by the other party.  To establish a sufficient case against a utility and satisfy the burden of proof, a complainant must show that the utility is responsible or accountable for the problem described in the complaint.  </w:t>
      </w:r>
      <w:hyperlink r:id="rId10" w:history="1">
        <w:r w:rsidRPr="00B15874">
          <w:rPr>
            <w:rStyle w:val="Hyperlink"/>
            <w:i/>
            <w:color w:val="auto"/>
          </w:rPr>
          <w:t>Feinstein v. Philadelphia Suburban Water Company</w:t>
        </w:r>
        <w:r w:rsidRPr="00B15874">
          <w:rPr>
            <w:rStyle w:val="Hyperlink"/>
            <w:color w:val="auto"/>
          </w:rPr>
          <w:t>, 50 Pa. PUC 300 (1986).</w:t>
        </w:r>
      </w:hyperlink>
      <w:r w:rsidRPr="00B15874">
        <w:t xml:space="preserve">  Therefore, I&amp;E is charged with the burden of proof in this matter.</w:t>
      </w:r>
    </w:p>
    <w:p w:rsidR="00B15874" w:rsidRPr="00252A6B" w:rsidRDefault="00B15874" w:rsidP="00B15874">
      <w:pPr>
        <w:jc w:val="left"/>
      </w:pPr>
    </w:p>
    <w:p w:rsidR="00047FD9" w:rsidRDefault="00B15874" w:rsidP="00047FD9">
      <w:pPr>
        <w:jc w:val="left"/>
      </w:pPr>
      <w:r w:rsidRPr="00252A6B">
        <w:tab/>
      </w:r>
      <w:r w:rsidRPr="00252A6B">
        <w:tab/>
        <w:t>The cost of regulating public utilities is borne by the public utilities that are regulated.  Section 510 of the Public Utility Code, 66 Pa. C.S. § 510, requires that, on or before March 31</w:t>
      </w:r>
      <w:r w:rsidRPr="00252A6B">
        <w:rPr>
          <w:vertAlign w:val="superscript"/>
        </w:rPr>
        <w:t>st</w:t>
      </w:r>
      <w:r w:rsidRPr="00252A6B">
        <w:t xml:space="preserve"> of each year, each jurisdictional public utility provide a statement of jurisdictional operating revenues for the preceding calendar year.  </w:t>
      </w:r>
      <w:r w:rsidR="00047FD9" w:rsidRPr="00252A6B">
        <w:t>The Public Utility Code requires that a utility file a report of its jurisdictional operating revenues for the preceding calendar year on or before March 31</w:t>
      </w:r>
      <w:r w:rsidR="00047FD9" w:rsidRPr="00252A6B">
        <w:rPr>
          <w:vertAlign w:val="superscript"/>
        </w:rPr>
        <w:t>st</w:t>
      </w:r>
      <w:r w:rsidR="00047FD9" w:rsidRPr="00252A6B">
        <w:t xml:space="preserve">.  The record shows that the revenue report was sent to Respondent by first-class mail and was </w:t>
      </w:r>
      <w:r w:rsidR="00047FD9">
        <w:t xml:space="preserve">not </w:t>
      </w:r>
      <w:r w:rsidR="00047FD9" w:rsidRPr="00252A6B">
        <w:t xml:space="preserve">returned by Respondent as required.  </w:t>
      </w:r>
      <w:r w:rsidR="00047FD9">
        <w:t>FOF 8, 9.</w:t>
      </w:r>
    </w:p>
    <w:p w:rsidR="00047FD9" w:rsidRDefault="00047FD9" w:rsidP="00047FD9">
      <w:pPr>
        <w:jc w:val="left"/>
      </w:pPr>
    </w:p>
    <w:p w:rsidR="00047FD9" w:rsidRPr="00252A6B" w:rsidRDefault="00047FD9" w:rsidP="00047FD9">
      <w:pPr>
        <w:jc w:val="left"/>
      </w:pPr>
      <w:r>
        <w:tab/>
      </w:r>
      <w:r>
        <w:tab/>
      </w:r>
      <w:r w:rsidRPr="00252A6B">
        <w:t>The next step in the process is for the Commission to develop the invoices based on the information provided in the report form, and to send out the invoices to the utilities.  Ms. Daub testified that assessments lower than $100 are sent by regular mail, and invoices for more than $100 are sent</w:t>
      </w:r>
      <w:r>
        <w:t xml:space="preserve"> by certified mail. FOF 11</w:t>
      </w:r>
      <w:r w:rsidRPr="00252A6B">
        <w:t>.</w:t>
      </w:r>
    </w:p>
    <w:p w:rsidR="00047FD9" w:rsidRPr="00252A6B" w:rsidRDefault="00047FD9" w:rsidP="00047FD9">
      <w:pPr>
        <w:jc w:val="left"/>
      </w:pPr>
    </w:p>
    <w:p w:rsidR="00B15874" w:rsidRPr="00252A6B" w:rsidRDefault="00B15874" w:rsidP="00B15874">
      <w:pPr>
        <w:jc w:val="left"/>
      </w:pPr>
      <w:r w:rsidRPr="00252A6B">
        <w:tab/>
      </w:r>
      <w:r w:rsidRPr="00252A6B">
        <w:tab/>
        <w:t xml:space="preserve">The Public Utility Code requires that the Commission serve the assessment on each utility by registered or certified mail, 66 Pa. C.S. § 510(c).  Under that same subsection, a </w:t>
      </w:r>
      <w:r w:rsidRPr="00252A6B">
        <w:lastRenderedPageBreak/>
        <w:t xml:space="preserve">utility has thirty days to pay the assessment.  The utility has only fifteen days to object to the assessment, but an objected-to assessment must still be paid pending the outcome of the objection.  </w:t>
      </w:r>
      <w:r w:rsidRPr="00252A6B">
        <w:rPr>
          <w:i/>
        </w:rPr>
        <w:t>See Pittsburgh Limousine, Inc. v. Pa. PUC, Bureau of Transportation and Safety</w:t>
      </w:r>
      <w:r w:rsidRPr="00252A6B">
        <w:t>, 762 A.2d 1150 (Pa. Cmwlth. Ct. 2000).</w:t>
      </w:r>
    </w:p>
    <w:p w:rsidR="00B15874" w:rsidRPr="00252A6B" w:rsidRDefault="00B15874" w:rsidP="00047FD9">
      <w:pPr>
        <w:jc w:val="left"/>
      </w:pPr>
      <w:r w:rsidRPr="00252A6B">
        <w:tab/>
      </w:r>
      <w:r w:rsidRPr="00252A6B">
        <w:tab/>
      </w:r>
    </w:p>
    <w:p w:rsidR="00B15874" w:rsidRPr="00252A6B" w:rsidRDefault="00B15874" w:rsidP="00B15874">
      <w:pPr>
        <w:jc w:val="left"/>
      </w:pPr>
      <w:r w:rsidRPr="00252A6B">
        <w:tab/>
      </w:r>
      <w:r w:rsidRPr="00252A6B">
        <w:tab/>
      </w:r>
      <w:r>
        <w:t xml:space="preserve">While there is a letter from Respondent's wife indicating that he no longer resides at the address on file with the Commission, and no longer operates under his certificate of public convenience, there is no formal communication from the Respondent which states that information.  A letter from a family member cannot operate as a pleading, as the law requires an individual to either represent himself or be represented by an attorney </w:t>
      </w:r>
      <w:r w:rsidR="00F21982">
        <w:t xml:space="preserve">in an adversarial matter.  52 Pa. Code § 1.21.  Therefore, Respondent is under a duty to keep the Commission apprised of an address.  52 Pa. Code § 1.24.  </w:t>
      </w:r>
    </w:p>
    <w:p w:rsidR="00B15874" w:rsidRPr="00252A6B" w:rsidRDefault="00B15874" w:rsidP="00B15874">
      <w:pPr>
        <w:jc w:val="left"/>
      </w:pPr>
    </w:p>
    <w:p w:rsidR="00B15874" w:rsidRPr="00252A6B" w:rsidRDefault="00B15874" w:rsidP="00B15874">
      <w:pPr>
        <w:jc w:val="left"/>
      </w:pPr>
      <w:r w:rsidRPr="00252A6B">
        <w:tab/>
      </w:r>
      <w:r w:rsidRPr="00252A6B">
        <w:tab/>
        <w:t>As the holder of a certificate of public convenience, Respondent is deemed to have knowledge of his regulatory requirements, including the responsibility to pay his annual as</w:t>
      </w:r>
      <w:r>
        <w:t xml:space="preserve">sessment in a timely fashion.  </w:t>
      </w:r>
      <w:r w:rsidRPr="00252A6B">
        <w:t xml:space="preserve">I&amp;E established that Respondent had failed to </w:t>
      </w:r>
      <w:r w:rsidR="00047FD9">
        <w:t xml:space="preserve">return his assessment reports and had failed to </w:t>
      </w:r>
      <w:r w:rsidRPr="00252A6B">
        <w:t xml:space="preserve">pay </w:t>
      </w:r>
      <w:r w:rsidR="00F21982">
        <w:t>the assessments</w:t>
      </w:r>
      <w:r w:rsidR="00047FD9">
        <w:t xml:space="preserve"> for two consecutive fiscal years in</w:t>
      </w:r>
      <w:r w:rsidRPr="00252A6B">
        <w:t xml:space="preserve"> violat</w:t>
      </w:r>
      <w:r w:rsidR="00047FD9">
        <w:t>ion of the Public Utility Code.</w:t>
      </w:r>
    </w:p>
    <w:p w:rsidR="00047FD9" w:rsidRDefault="00047FD9" w:rsidP="00B15874">
      <w:pPr>
        <w:jc w:val="left"/>
        <w:rPr>
          <w:b/>
        </w:rPr>
      </w:pPr>
    </w:p>
    <w:p w:rsidR="00B15874" w:rsidRPr="00252A6B" w:rsidRDefault="00B15874" w:rsidP="00B15874">
      <w:pPr>
        <w:jc w:val="left"/>
        <w:rPr>
          <w:b/>
        </w:rPr>
      </w:pPr>
      <w:r w:rsidRPr="00252A6B">
        <w:rPr>
          <w:b/>
        </w:rPr>
        <w:t>Civil Penalty</w:t>
      </w:r>
    </w:p>
    <w:p w:rsidR="00B15874" w:rsidRPr="00252A6B" w:rsidRDefault="00B15874" w:rsidP="00B15874">
      <w:pPr>
        <w:jc w:val="left"/>
      </w:pPr>
    </w:p>
    <w:p w:rsidR="0055659B" w:rsidRDefault="00B15874" w:rsidP="00B15874">
      <w:pPr>
        <w:jc w:val="left"/>
      </w:pPr>
      <w:r w:rsidRPr="00252A6B">
        <w:tab/>
      </w:r>
      <w:r w:rsidRPr="00252A6B">
        <w:tab/>
        <w:t>Having established violations of the Public Utility Code, the analysis turns to the appropriate remedy.  I&amp;E</w:t>
      </w:r>
      <w:r w:rsidR="005660CF">
        <w:t>, stating that the civil penalty must be sufficiently large enough to deter future violations,</w:t>
      </w:r>
      <w:r w:rsidRPr="00252A6B">
        <w:t xml:space="preserve"> has asked for a civil penalty of </w:t>
      </w:r>
      <w:r w:rsidR="005660CF">
        <w:t>$2,000 for the</w:t>
      </w:r>
      <w:r w:rsidR="00047FD9">
        <w:t xml:space="preserve"> failure to file the assessment reports</w:t>
      </w:r>
      <w:r w:rsidR="005660CF">
        <w:t xml:space="preserve">, and </w:t>
      </w:r>
      <w:r w:rsidRPr="00252A6B">
        <w:t xml:space="preserve">15% of the total assessment for the </w:t>
      </w:r>
      <w:r w:rsidR="00047FD9">
        <w:t xml:space="preserve">failure to pay the assessments for </w:t>
      </w:r>
      <w:r w:rsidRPr="00252A6B">
        <w:t>two fiscal years</w:t>
      </w:r>
      <w:r w:rsidR="00047FD9">
        <w:t xml:space="preserve">.  </w:t>
      </w:r>
    </w:p>
    <w:p w:rsidR="0055659B" w:rsidRDefault="0055659B" w:rsidP="00B15874">
      <w:pPr>
        <w:jc w:val="left"/>
      </w:pPr>
    </w:p>
    <w:p w:rsidR="00B15874" w:rsidRPr="00252A6B" w:rsidRDefault="0055659B" w:rsidP="00B15874">
      <w:pPr>
        <w:jc w:val="left"/>
      </w:pPr>
      <w:r>
        <w:tab/>
      </w:r>
      <w:r>
        <w:tab/>
        <w:t xml:space="preserve">While the </w:t>
      </w:r>
      <w:r w:rsidR="00B15874" w:rsidRPr="00252A6B">
        <w:t xml:space="preserve">Commission has </w:t>
      </w:r>
      <w:r>
        <w:t xml:space="preserve">granted I&amp;E civil penalties without analysis, </w:t>
      </w:r>
      <w:r>
        <w:rPr>
          <w:i/>
        </w:rPr>
        <w:t>see</w:t>
      </w:r>
      <w:r w:rsidR="00B15874" w:rsidRPr="00252A6B">
        <w:t xml:space="preserve"> </w:t>
      </w:r>
      <w:r w:rsidR="00B15874" w:rsidRPr="00252A6B">
        <w:rPr>
          <w:i/>
        </w:rPr>
        <w:t xml:space="preserve">Pa. P.U.C., Bureau of Investigation and Enforcement v. Trimac Transportation East, </w:t>
      </w:r>
      <w:r w:rsidR="00B15874" w:rsidRPr="00252A6B">
        <w:t>Docket No. C-2012-2311750 (Opi</w:t>
      </w:r>
      <w:r w:rsidR="00B15874">
        <w:t>nion and Order entered December 20, </w:t>
      </w:r>
      <w:r w:rsidR="00B15874" w:rsidRPr="00252A6B">
        <w:t>2012)(</w:t>
      </w:r>
      <w:r w:rsidR="00B15874" w:rsidRPr="00252A6B">
        <w:rPr>
          <w:i/>
        </w:rPr>
        <w:t>Trimac)</w:t>
      </w:r>
      <w:r>
        <w:rPr>
          <w:i/>
        </w:rPr>
        <w:t>,</w:t>
      </w:r>
      <w:r>
        <w:t xml:space="preserve"> that occurred in unopposed cases not subject to litigation</w:t>
      </w:r>
      <w:r w:rsidR="00B15874" w:rsidRPr="00252A6B">
        <w:t>.</w:t>
      </w:r>
      <w:r>
        <w:t xml:space="preserve">  </w:t>
      </w:r>
      <w:r w:rsidR="00B15874" w:rsidRPr="00252A6B">
        <w:t xml:space="preserve">In </w:t>
      </w:r>
      <w:r w:rsidR="00B15874" w:rsidRPr="00252A6B">
        <w:rPr>
          <w:i/>
        </w:rPr>
        <w:t>Trimac,</w:t>
      </w:r>
      <w:r w:rsidR="00B15874" w:rsidRPr="00252A6B">
        <w:t xml:space="preserve"> the Commission was ruling on a motion for </w:t>
      </w:r>
      <w:r w:rsidR="00B15874" w:rsidRPr="00252A6B">
        <w:lastRenderedPageBreak/>
        <w:t>default judgment filed by I&amp;E as the utility had not filed an answer to the complaint.  Procedurally, this means that the failure to file a timely answer enables the Commission to deem all of the facts averred in the complaint to be admitted.  52 Pa. Code § 5.61(c).  Under these circumstances, the Commission granted the complaint and the requested civil penalty without further analysis.</w:t>
      </w:r>
    </w:p>
    <w:p w:rsidR="00B15874" w:rsidRPr="00252A6B" w:rsidRDefault="00B15874" w:rsidP="00B15874">
      <w:pPr>
        <w:jc w:val="left"/>
      </w:pPr>
    </w:p>
    <w:p w:rsidR="00B15874" w:rsidRPr="00252A6B" w:rsidRDefault="00B15874" w:rsidP="00B15874">
      <w:pPr>
        <w:jc w:val="left"/>
      </w:pPr>
      <w:r w:rsidRPr="00252A6B">
        <w:tab/>
      </w:r>
      <w:r w:rsidRPr="00252A6B">
        <w:tab/>
        <w:t>The instant case was presented as litigated, despite the lack of an actual answer from the Respondent, and as such, each element of the violations needed to be proven.  After the violations were established, the penalty needed to be supported as well.  Accordingly, the analysis turns to the appropriate standard for establishing a civil penalty.</w:t>
      </w:r>
    </w:p>
    <w:p w:rsidR="00B15874" w:rsidRPr="00252A6B" w:rsidRDefault="00B15874" w:rsidP="00B15874">
      <w:pPr>
        <w:jc w:val="left"/>
      </w:pPr>
    </w:p>
    <w:p w:rsidR="00B15874" w:rsidRPr="00252A6B" w:rsidRDefault="00B15874" w:rsidP="00B15874">
      <w:pPr>
        <w:jc w:val="left"/>
      </w:pPr>
      <w:r w:rsidRPr="00252A6B">
        <w:tab/>
      </w:r>
      <w:r w:rsidRPr="00252A6B">
        <w:tab/>
        <w:t xml:space="preserve">The present day standard was developed in </w:t>
      </w:r>
      <w:r w:rsidRPr="00252A6B">
        <w:rPr>
          <w:i/>
        </w:rPr>
        <w:t xml:space="preserve">Joseph A. Rosi v. Bell-Atlantic – Pennsylvania, Inc. and Sprint Communications, L.P., </w:t>
      </w:r>
      <w:r w:rsidRPr="00252A6B">
        <w:t xml:space="preserve">Docket No. C-00992409 (Order entered March 16, 2000), and in </w:t>
      </w:r>
      <w:r w:rsidRPr="00252A6B">
        <w:rPr>
          <w:i/>
        </w:rPr>
        <w:t xml:space="preserve">Pa. Publ. Util. Comm'n v. NCIC Operator Serv., </w:t>
      </w:r>
      <w:r w:rsidRPr="00252A6B">
        <w:t xml:space="preserve">Docket No. </w:t>
      </w:r>
    </w:p>
    <w:p w:rsidR="00B15874" w:rsidRPr="00252A6B" w:rsidRDefault="00B15874" w:rsidP="00B15874">
      <w:pPr>
        <w:jc w:val="left"/>
      </w:pPr>
      <w:r w:rsidRPr="00252A6B">
        <w:t xml:space="preserve">M-00001440 (Order entered December 21, 2000), </w:t>
      </w:r>
      <w:r w:rsidR="00067703">
        <w:t xml:space="preserve">where </w:t>
      </w:r>
      <w:r w:rsidRPr="00252A6B">
        <w:t xml:space="preserve">the Commission held that violations would be subject to the </w:t>
      </w:r>
      <w:r w:rsidRPr="00252A6B">
        <w:rPr>
          <w:i/>
        </w:rPr>
        <w:t>Rosi</w:t>
      </w:r>
      <w:r w:rsidRPr="00252A6B">
        <w:t xml:space="preserve"> standards.  Subsequently, the Commission adopted the policy statement enumerating the same standards.  Through case law, the Commission has directed that litigated proceedings seeking to impose a civil penalty include an analysis of these standards:</w:t>
      </w:r>
    </w:p>
    <w:p w:rsidR="00B15874" w:rsidRPr="00252A6B" w:rsidRDefault="00B15874" w:rsidP="00B15874">
      <w:pPr>
        <w:spacing w:before="100" w:beforeAutospacing="1" w:after="100" w:afterAutospacing="1" w:line="240" w:lineRule="auto"/>
        <w:ind w:left="1440" w:right="1440"/>
        <w:jc w:val="left"/>
        <w:outlineLvl w:val="3"/>
        <w:rPr>
          <w:rFonts w:eastAsia="Times New Roman"/>
          <w:b/>
          <w:bCs/>
        </w:rPr>
      </w:pPr>
      <w:bookmarkStart w:id="1" w:name="69.1201."/>
      <w:r w:rsidRPr="00252A6B">
        <w:rPr>
          <w:rFonts w:eastAsia="Times New Roman"/>
          <w:b/>
          <w:bCs/>
        </w:rPr>
        <w:t>§ 69.1201. Factors and standards for evaluating litigated and settled proceedings involving violations of the Public Utility Code and Commission regulations—statement of policy.</w:t>
      </w:r>
    </w:p>
    <w:p w:rsidR="00B15874" w:rsidRPr="00252A6B" w:rsidRDefault="00B15874" w:rsidP="00B15874">
      <w:pPr>
        <w:spacing w:before="100" w:beforeAutospacing="1" w:after="100" w:afterAutospacing="1" w:line="240" w:lineRule="auto"/>
        <w:ind w:left="1440" w:right="1440"/>
        <w:jc w:val="left"/>
        <w:rPr>
          <w:rFonts w:eastAsia="Times New Roman"/>
        </w:rPr>
      </w:pPr>
      <w:r w:rsidRPr="00252A6B">
        <w:rPr>
          <w:rFonts w:eastAsia="Times New Roman"/>
        </w:rPr>
        <w:t xml:space="preserve"> (a)  The Commission will consider specific factors and standards in evaluating litigated and settled cases involving violations of 66 Pa.C.S. (relating to Public Utility Code) and this title. </w:t>
      </w:r>
      <w:r>
        <w:rPr>
          <w:rFonts w:eastAsia="Times New Roman"/>
        </w:rPr>
        <w:t xml:space="preserve"> </w:t>
      </w:r>
      <w:r w:rsidRPr="00252A6B">
        <w:rPr>
          <w:rFonts w:eastAsia="Times New Roman"/>
        </w:rPr>
        <w:t>These factors and standards will be utilized by the Commission in determining if a fine for violating a Commission order, regulation or statute is appropriate, as well as if a proposed settlement for a violation is reasonable and approval of the settlement agree</w:t>
      </w:r>
      <w:r>
        <w:rPr>
          <w:rFonts w:eastAsia="Times New Roman"/>
        </w:rPr>
        <w:t>ment is in the public interest.</w:t>
      </w:r>
    </w:p>
    <w:p w:rsidR="00B15874" w:rsidRPr="00252A6B" w:rsidRDefault="00B15874" w:rsidP="00B15874">
      <w:pPr>
        <w:spacing w:before="100" w:beforeAutospacing="1" w:after="100" w:afterAutospacing="1" w:line="240" w:lineRule="auto"/>
        <w:ind w:left="1440" w:right="1440"/>
        <w:jc w:val="left"/>
        <w:rPr>
          <w:rFonts w:eastAsia="Times New Roman"/>
        </w:rPr>
      </w:pPr>
      <w:r w:rsidRPr="00252A6B">
        <w:rPr>
          <w:rFonts w:eastAsia="Times New Roman"/>
        </w:rPr>
        <w:t xml:space="preserve"> (b)  Many of the same factors and standards may be considered in the evaluation of both litigated and settled cases. </w:t>
      </w:r>
      <w:r>
        <w:rPr>
          <w:rFonts w:eastAsia="Times New Roman"/>
        </w:rPr>
        <w:t xml:space="preserve"> </w:t>
      </w:r>
      <w:r w:rsidRPr="00252A6B">
        <w:rPr>
          <w:rFonts w:eastAsia="Times New Roman"/>
        </w:rPr>
        <w:t xml:space="preserve">When applied in settled cases, these factors and standards will not be applied in as strict a fashion as in a litigated proceeding. </w:t>
      </w:r>
      <w:r>
        <w:rPr>
          <w:rFonts w:eastAsia="Times New Roman"/>
        </w:rPr>
        <w:t xml:space="preserve"> </w:t>
      </w:r>
      <w:r w:rsidRPr="00252A6B">
        <w:rPr>
          <w:rFonts w:eastAsia="Times New Roman"/>
        </w:rPr>
        <w:t xml:space="preserve">The parties in settled cases will be afforded flexibility in reaching amicable resolutions </w:t>
      </w:r>
      <w:r w:rsidRPr="00252A6B">
        <w:rPr>
          <w:rFonts w:eastAsia="Times New Roman"/>
        </w:rPr>
        <w:lastRenderedPageBreak/>
        <w:t xml:space="preserve">to complaints and other matters so long as the settlement is in the public interest. </w:t>
      </w:r>
      <w:r>
        <w:rPr>
          <w:rFonts w:eastAsia="Times New Roman"/>
        </w:rPr>
        <w:t xml:space="preserve"> </w:t>
      </w:r>
      <w:r w:rsidRPr="00252A6B">
        <w:rPr>
          <w:rFonts w:eastAsia="Times New Roman"/>
        </w:rPr>
        <w:t xml:space="preserve">The parties to a settlement should include in the settlement agreement a statement in support of settlement explaining how and why the settlement is in the public interest. </w:t>
      </w:r>
      <w:r>
        <w:rPr>
          <w:rFonts w:eastAsia="Times New Roman"/>
        </w:rPr>
        <w:t xml:space="preserve"> </w:t>
      </w:r>
      <w:r w:rsidRPr="00252A6B">
        <w:rPr>
          <w:rFonts w:eastAsia="Times New Roman"/>
        </w:rPr>
        <w:t>The statement may be filed jointly by the parties or separ</w:t>
      </w:r>
      <w:r>
        <w:rPr>
          <w:rFonts w:eastAsia="Times New Roman"/>
        </w:rPr>
        <w:t>ately by each individual party.</w:t>
      </w:r>
    </w:p>
    <w:p w:rsidR="00B15874" w:rsidRPr="00252A6B" w:rsidRDefault="00B15874" w:rsidP="00B15874">
      <w:pPr>
        <w:spacing w:before="100" w:beforeAutospacing="1" w:after="100" w:afterAutospacing="1" w:line="240" w:lineRule="auto"/>
        <w:ind w:left="1440" w:right="1440"/>
        <w:jc w:val="left"/>
        <w:rPr>
          <w:rFonts w:eastAsia="Times New Roman"/>
        </w:rPr>
      </w:pPr>
      <w:r w:rsidRPr="00252A6B">
        <w:rPr>
          <w:rFonts w:eastAsia="Times New Roman"/>
        </w:rPr>
        <w:t> (c)  The factors and standards that will be considered by the Commission include the following:</w:t>
      </w:r>
    </w:p>
    <w:p w:rsidR="00B15874" w:rsidRPr="00252A6B" w:rsidRDefault="00B15874" w:rsidP="00B15874">
      <w:pPr>
        <w:spacing w:before="100" w:beforeAutospacing="1" w:after="100" w:afterAutospacing="1" w:line="240" w:lineRule="auto"/>
        <w:ind w:left="1440" w:right="1440"/>
        <w:jc w:val="left"/>
        <w:rPr>
          <w:rFonts w:eastAsia="Times New Roman"/>
        </w:rPr>
      </w:pPr>
      <w:r w:rsidRPr="00252A6B">
        <w:rPr>
          <w:rFonts w:eastAsia="Times New Roman"/>
        </w:rPr>
        <w:t xml:space="preserve">   (1)  Whether the conduct at issue was of a serious nature. </w:t>
      </w:r>
      <w:r>
        <w:rPr>
          <w:rFonts w:eastAsia="Times New Roman"/>
        </w:rPr>
        <w:t xml:space="preserve"> </w:t>
      </w:r>
      <w:r w:rsidRPr="00252A6B">
        <w:rPr>
          <w:rFonts w:eastAsia="Times New Roman"/>
        </w:rPr>
        <w:t xml:space="preserve">When conduct of a serious nature is involved, such as willful fraud or misrepresentation, the conduct may warrant a higher penalty. </w:t>
      </w:r>
      <w:r>
        <w:rPr>
          <w:rFonts w:eastAsia="Times New Roman"/>
        </w:rPr>
        <w:t xml:space="preserve"> </w:t>
      </w:r>
      <w:r w:rsidRPr="00252A6B">
        <w:rPr>
          <w:rFonts w:eastAsia="Times New Roman"/>
        </w:rPr>
        <w:t>When the conduct is less egregious, such as administrative filing or technical errors, it may warrant a lower penalty.</w:t>
      </w:r>
    </w:p>
    <w:p w:rsidR="00B15874" w:rsidRPr="00252A6B" w:rsidRDefault="00B15874" w:rsidP="00B15874">
      <w:pPr>
        <w:spacing w:before="100" w:beforeAutospacing="1" w:after="100" w:afterAutospacing="1" w:line="240" w:lineRule="auto"/>
        <w:ind w:left="1440" w:right="1440"/>
        <w:jc w:val="left"/>
        <w:rPr>
          <w:rFonts w:eastAsia="Times New Roman"/>
        </w:rPr>
      </w:pPr>
      <w:r w:rsidRPr="00252A6B">
        <w:rPr>
          <w:rFonts w:eastAsia="Times New Roman"/>
        </w:rPr>
        <w:t xml:space="preserve">   (2)  Whether the resulting consequences of the conduct at issue were of a serious nature. </w:t>
      </w:r>
      <w:r>
        <w:rPr>
          <w:rFonts w:eastAsia="Times New Roman"/>
        </w:rPr>
        <w:t xml:space="preserve"> </w:t>
      </w:r>
      <w:r w:rsidRPr="00252A6B">
        <w:rPr>
          <w:rFonts w:eastAsia="Times New Roman"/>
        </w:rPr>
        <w:t>When consequences of a serious nature are involved, such as personal injury or property damage, the consequences may warrant a higher penalty.</w:t>
      </w:r>
    </w:p>
    <w:p w:rsidR="00B15874" w:rsidRPr="00252A6B" w:rsidRDefault="00B15874" w:rsidP="00B15874">
      <w:pPr>
        <w:spacing w:before="100" w:beforeAutospacing="1" w:after="100" w:afterAutospacing="1" w:line="240" w:lineRule="auto"/>
        <w:ind w:left="1440" w:right="1440"/>
        <w:jc w:val="left"/>
        <w:rPr>
          <w:rFonts w:eastAsia="Times New Roman"/>
        </w:rPr>
      </w:pPr>
      <w:r w:rsidRPr="00252A6B">
        <w:rPr>
          <w:rFonts w:eastAsia="Times New Roman"/>
        </w:rPr>
        <w:t xml:space="preserve">   (3)  Whether the conduct at issue was deemed intentional or negligent. </w:t>
      </w:r>
      <w:r>
        <w:rPr>
          <w:rFonts w:eastAsia="Times New Roman"/>
        </w:rPr>
        <w:t xml:space="preserve"> </w:t>
      </w:r>
      <w:r w:rsidRPr="00252A6B">
        <w:rPr>
          <w:rFonts w:eastAsia="Times New Roman"/>
        </w:rPr>
        <w:t xml:space="preserve">This factor may only be considered in evaluating litigated cases. </w:t>
      </w:r>
      <w:r>
        <w:rPr>
          <w:rFonts w:eastAsia="Times New Roman"/>
        </w:rPr>
        <w:t xml:space="preserve"> </w:t>
      </w:r>
      <w:r w:rsidRPr="00252A6B">
        <w:rPr>
          <w:rFonts w:eastAsia="Times New Roman"/>
        </w:rPr>
        <w:t>When conduct has been deemed intentional, the conduct may result in a higher penalty.</w:t>
      </w:r>
    </w:p>
    <w:p w:rsidR="00B15874" w:rsidRPr="00252A6B" w:rsidRDefault="00B15874" w:rsidP="00B15874">
      <w:pPr>
        <w:spacing w:before="100" w:beforeAutospacing="1" w:after="100" w:afterAutospacing="1" w:line="240" w:lineRule="auto"/>
        <w:ind w:left="1440" w:right="1440"/>
        <w:jc w:val="left"/>
        <w:rPr>
          <w:rFonts w:eastAsia="Times New Roman"/>
        </w:rPr>
      </w:pPr>
      <w:r w:rsidRPr="00252A6B">
        <w:rPr>
          <w:rFonts w:eastAsia="Times New Roman"/>
        </w:rPr>
        <w:t xml:space="preserve">   (4)  Whether the regulated entity made efforts to modify internal practices and procedures to address the conduct at issue and prevent similar conduct in the future. </w:t>
      </w:r>
      <w:r>
        <w:rPr>
          <w:rFonts w:eastAsia="Times New Roman"/>
        </w:rPr>
        <w:t xml:space="preserve"> </w:t>
      </w:r>
      <w:r w:rsidRPr="00252A6B">
        <w:rPr>
          <w:rFonts w:eastAsia="Times New Roman"/>
        </w:rPr>
        <w:t xml:space="preserve">These modifications may include activities such as training and improving company techniques and supervision. </w:t>
      </w:r>
      <w:r>
        <w:rPr>
          <w:rFonts w:eastAsia="Times New Roman"/>
        </w:rPr>
        <w:t xml:space="preserve"> </w:t>
      </w:r>
      <w:r w:rsidRPr="00252A6B">
        <w:rPr>
          <w:rFonts w:eastAsia="Times New Roman"/>
        </w:rPr>
        <w:t>The amount of time it took the utility to correct the conduct once it was discovered and the involvement of top-level management in correcting the conduct may be considered.</w:t>
      </w:r>
    </w:p>
    <w:p w:rsidR="00B15874" w:rsidRPr="00252A6B" w:rsidRDefault="00B15874" w:rsidP="00B15874">
      <w:pPr>
        <w:spacing w:before="100" w:beforeAutospacing="1" w:after="100" w:afterAutospacing="1" w:line="240" w:lineRule="auto"/>
        <w:ind w:left="1440" w:right="1440"/>
        <w:jc w:val="left"/>
        <w:rPr>
          <w:rFonts w:eastAsia="Times New Roman"/>
        </w:rPr>
      </w:pPr>
      <w:r w:rsidRPr="00252A6B">
        <w:rPr>
          <w:rFonts w:eastAsia="Times New Roman"/>
        </w:rPr>
        <w:t>   (5)  The number of customers affected and the duration of the violation.</w:t>
      </w:r>
    </w:p>
    <w:p w:rsidR="00B15874" w:rsidRPr="00252A6B" w:rsidRDefault="00B15874" w:rsidP="00B15874">
      <w:pPr>
        <w:spacing w:before="100" w:beforeAutospacing="1" w:after="100" w:afterAutospacing="1" w:line="240" w:lineRule="auto"/>
        <w:ind w:left="1440" w:right="1440"/>
        <w:jc w:val="left"/>
        <w:rPr>
          <w:rFonts w:eastAsia="Times New Roman"/>
        </w:rPr>
      </w:pPr>
      <w:r w:rsidRPr="00252A6B">
        <w:rPr>
          <w:rFonts w:eastAsia="Times New Roman"/>
        </w:rPr>
        <w:t xml:space="preserve">   (6)  The compliance history of the regulated entity which committed the violation. </w:t>
      </w:r>
      <w:r>
        <w:rPr>
          <w:rFonts w:eastAsia="Times New Roman"/>
        </w:rPr>
        <w:t xml:space="preserve"> </w:t>
      </w:r>
      <w:r w:rsidRPr="00252A6B">
        <w:rPr>
          <w:rFonts w:eastAsia="Times New Roman"/>
        </w:rPr>
        <w:t>An isolated incident from an otherwise compliant utility may result in a lower penalty, whereas frequent, recurrent violations by a utility may result in a higher penalty.</w:t>
      </w:r>
    </w:p>
    <w:p w:rsidR="00B15874" w:rsidRPr="00252A6B" w:rsidRDefault="00B15874" w:rsidP="00B15874">
      <w:pPr>
        <w:spacing w:before="100" w:beforeAutospacing="1" w:after="100" w:afterAutospacing="1" w:line="240" w:lineRule="auto"/>
        <w:ind w:left="1440" w:right="1440"/>
        <w:jc w:val="left"/>
        <w:rPr>
          <w:rFonts w:eastAsia="Times New Roman"/>
        </w:rPr>
      </w:pPr>
      <w:r w:rsidRPr="00252A6B">
        <w:rPr>
          <w:rFonts w:eastAsia="Times New Roman"/>
        </w:rPr>
        <w:t xml:space="preserve">   (7)  Whether the regulated entity cooperated with the Commission’s investigation. </w:t>
      </w:r>
      <w:r>
        <w:rPr>
          <w:rFonts w:eastAsia="Times New Roman"/>
        </w:rPr>
        <w:t xml:space="preserve"> </w:t>
      </w:r>
      <w:r w:rsidRPr="00252A6B">
        <w:rPr>
          <w:rFonts w:eastAsia="Times New Roman"/>
        </w:rPr>
        <w:t xml:space="preserve">Facts establishing bad faith, active </w:t>
      </w:r>
      <w:r w:rsidRPr="00252A6B">
        <w:rPr>
          <w:rFonts w:eastAsia="Times New Roman"/>
        </w:rPr>
        <w:lastRenderedPageBreak/>
        <w:t>concealment of violations, or attempts to interfere with Commission investigations may result in a higher penalty.</w:t>
      </w:r>
    </w:p>
    <w:p w:rsidR="00B15874" w:rsidRPr="00252A6B" w:rsidRDefault="00B15874" w:rsidP="00B15874">
      <w:pPr>
        <w:spacing w:before="100" w:beforeAutospacing="1" w:after="100" w:afterAutospacing="1" w:line="240" w:lineRule="auto"/>
        <w:ind w:left="1440" w:right="1440"/>
        <w:jc w:val="left"/>
        <w:rPr>
          <w:rFonts w:eastAsia="Times New Roman"/>
        </w:rPr>
      </w:pPr>
      <w:r w:rsidRPr="00252A6B">
        <w:rPr>
          <w:rFonts w:eastAsia="Times New Roman"/>
        </w:rPr>
        <w:t xml:space="preserve">   (8)  The amount of the civil penalty or fine necessary to deter future violations. </w:t>
      </w:r>
      <w:r>
        <w:rPr>
          <w:rFonts w:eastAsia="Times New Roman"/>
        </w:rPr>
        <w:t xml:space="preserve"> </w:t>
      </w:r>
      <w:r w:rsidRPr="00252A6B">
        <w:rPr>
          <w:rFonts w:eastAsia="Times New Roman"/>
        </w:rPr>
        <w:t>The size of the utility may be considered to determine an appropriate penalty amount.</w:t>
      </w:r>
    </w:p>
    <w:p w:rsidR="00B15874" w:rsidRPr="00252A6B" w:rsidRDefault="00B15874" w:rsidP="00B15874">
      <w:pPr>
        <w:spacing w:before="100" w:beforeAutospacing="1" w:after="100" w:afterAutospacing="1" w:line="240" w:lineRule="auto"/>
        <w:ind w:left="1440" w:right="1440"/>
        <w:jc w:val="left"/>
        <w:rPr>
          <w:rFonts w:eastAsia="Times New Roman"/>
        </w:rPr>
      </w:pPr>
      <w:r w:rsidRPr="00252A6B">
        <w:rPr>
          <w:rFonts w:eastAsia="Times New Roman"/>
        </w:rPr>
        <w:t>   (9)  Past Commission decisions in similar situations.</w:t>
      </w:r>
    </w:p>
    <w:p w:rsidR="00B15874" w:rsidRPr="00252A6B" w:rsidRDefault="00B15874" w:rsidP="00B15874">
      <w:pPr>
        <w:spacing w:before="100" w:beforeAutospacing="1" w:after="100" w:afterAutospacing="1" w:line="240" w:lineRule="auto"/>
        <w:ind w:left="1440" w:right="1440"/>
        <w:jc w:val="left"/>
        <w:rPr>
          <w:rFonts w:eastAsia="Times New Roman"/>
        </w:rPr>
      </w:pPr>
      <w:r w:rsidRPr="00252A6B">
        <w:rPr>
          <w:rFonts w:eastAsia="Times New Roman"/>
        </w:rPr>
        <w:t>   (10)  Other relevant factors.</w:t>
      </w:r>
    </w:p>
    <w:bookmarkEnd w:id="1"/>
    <w:p w:rsidR="00B15874" w:rsidRPr="00252A6B" w:rsidRDefault="00B15874" w:rsidP="00B15874">
      <w:pPr>
        <w:jc w:val="left"/>
      </w:pPr>
      <w:r w:rsidRPr="00252A6B">
        <w:t>52 Pa. Code § 69.1201.</w:t>
      </w:r>
    </w:p>
    <w:p w:rsidR="00B15874" w:rsidRPr="00252A6B" w:rsidRDefault="00B15874" w:rsidP="00B15874">
      <w:pPr>
        <w:jc w:val="left"/>
      </w:pPr>
    </w:p>
    <w:p w:rsidR="00B15874" w:rsidRPr="00252A6B" w:rsidRDefault="00B15874" w:rsidP="00B15874">
      <w:pPr>
        <w:jc w:val="left"/>
      </w:pPr>
      <w:r w:rsidRPr="00252A6B">
        <w:tab/>
      </w:r>
      <w:r w:rsidRPr="00252A6B">
        <w:tab/>
      </w:r>
      <w:r w:rsidR="00F21982">
        <w:t>T</w:t>
      </w:r>
      <w:r w:rsidRPr="00252A6B">
        <w:t>he Commission has expressed its desire that litigated proceedings handled by the Office of Administrative Law Judge address these factors, and has remanded cases where the analysis of these factors did not take place.  Accordingly, the factors in subsection (c) are addressed below.</w:t>
      </w:r>
    </w:p>
    <w:p w:rsidR="00B15874" w:rsidRPr="00252A6B" w:rsidRDefault="00B15874" w:rsidP="00B15874">
      <w:pPr>
        <w:pStyle w:val="NormalWeb"/>
      </w:pPr>
      <w:r w:rsidRPr="00252A6B">
        <w:t>    </w:t>
      </w:r>
      <w:r w:rsidRPr="00252A6B">
        <w:rPr>
          <w:i/>
        </w:rPr>
        <w:t xml:space="preserve">(1)  Whether the conduct at issue was of a serious nature. </w:t>
      </w:r>
      <w:r>
        <w:rPr>
          <w:i/>
        </w:rPr>
        <w:t xml:space="preserve"> </w:t>
      </w:r>
      <w:r w:rsidRPr="00252A6B">
        <w:rPr>
          <w:i/>
        </w:rPr>
        <w:t xml:space="preserve">When conduct of a serious nature is involved, such as willful fraud or misrepresentation, the conduct may warrant a higher penalty. </w:t>
      </w:r>
      <w:r>
        <w:rPr>
          <w:i/>
        </w:rPr>
        <w:t xml:space="preserve"> </w:t>
      </w:r>
      <w:r w:rsidRPr="00252A6B">
        <w:rPr>
          <w:i/>
        </w:rPr>
        <w:t>When the conduct is less egregious, such as administrative filing or technical errors, it may warrant a lower penalty</w:t>
      </w:r>
      <w:r w:rsidRPr="00252A6B">
        <w:t>.</w:t>
      </w:r>
    </w:p>
    <w:p w:rsidR="00B15874" w:rsidRPr="00252A6B" w:rsidRDefault="00B15874" w:rsidP="00B15874">
      <w:pPr>
        <w:pStyle w:val="NormalWeb"/>
        <w:spacing w:line="360" w:lineRule="auto"/>
      </w:pPr>
      <w:r w:rsidRPr="00252A6B">
        <w:tab/>
      </w:r>
      <w:r w:rsidRPr="00252A6B">
        <w:tab/>
        <w:t xml:space="preserve">Evidence supports a finding of willful misconduct as </w:t>
      </w:r>
      <w:r w:rsidR="00F21982">
        <w:t>Respondent has neither reported revenues and paid assessments nor informed the Commission that he no longer offers service.  This</w:t>
      </w:r>
      <w:r w:rsidRPr="00252A6B">
        <w:t xml:space="preserve"> support</w:t>
      </w:r>
      <w:r w:rsidR="00F21982">
        <w:t>s</w:t>
      </w:r>
      <w:r w:rsidRPr="00252A6B">
        <w:t xml:space="preserve"> a higher penalty.</w:t>
      </w:r>
    </w:p>
    <w:p w:rsidR="00B15874" w:rsidRPr="00252A6B" w:rsidRDefault="00B15874" w:rsidP="00B15874">
      <w:pPr>
        <w:pStyle w:val="NormalWeb"/>
        <w:rPr>
          <w:i/>
        </w:rPr>
      </w:pPr>
      <w:r w:rsidRPr="00252A6B">
        <w:rPr>
          <w:i/>
        </w:rPr>
        <w:t xml:space="preserve">   (2)  Whether the resulting consequences of the conduct at issue were of a serious nature. </w:t>
      </w:r>
      <w:r>
        <w:rPr>
          <w:i/>
        </w:rPr>
        <w:t xml:space="preserve"> </w:t>
      </w:r>
      <w:r w:rsidRPr="00252A6B">
        <w:rPr>
          <w:i/>
        </w:rPr>
        <w:t>When consequences of a serious nature are involved, such as personal injury or property damage, the consequences may warrant a higher penalty.</w:t>
      </w:r>
    </w:p>
    <w:p w:rsidR="00B15874" w:rsidRPr="00252A6B" w:rsidRDefault="00B15874" w:rsidP="00B15874">
      <w:pPr>
        <w:pStyle w:val="NormalWeb"/>
        <w:spacing w:line="360" w:lineRule="auto"/>
      </w:pPr>
      <w:r w:rsidRPr="00252A6B">
        <w:tab/>
      </w:r>
      <w:r w:rsidRPr="00252A6B">
        <w:tab/>
        <w:t>There is no question of personal or property damage, merely a lack of financial support for the regulator.</w:t>
      </w:r>
    </w:p>
    <w:p w:rsidR="00B15874" w:rsidRPr="00252A6B" w:rsidRDefault="00B15874" w:rsidP="00B15874">
      <w:pPr>
        <w:pStyle w:val="NormalWeb"/>
        <w:rPr>
          <w:i/>
        </w:rPr>
      </w:pPr>
      <w:r w:rsidRPr="00252A6B">
        <w:t>   (</w:t>
      </w:r>
      <w:r w:rsidRPr="00252A6B">
        <w:rPr>
          <w:i/>
        </w:rPr>
        <w:t xml:space="preserve">3)  Whether the conduct at issue was deemed intentional or negligent. </w:t>
      </w:r>
      <w:r>
        <w:rPr>
          <w:i/>
        </w:rPr>
        <w:t xml:space="preserve"> </w:t>
      </w:r>
      <w:r w:rsidRPr="00252A6B">
        <w:rPr>
          <w:i/>
        </w:rPr>
        <w:t xml:space="preserve">This factor may only be considered in evaluating litigated cases. </w:t>
      </w:r>
      <w:r>
        <w:rPr>
          <w:i/>
        </w:rPr>
        <w:t xml:space="preserve"> </w:t>
      </w:r>
      <w:r w:rsidRPr="00252A6B">
        <w:rPr>
          <w:i/>
        </w:rPr>
        <w:t>When conduct has been deemed intentional, the conduct may result in a higher penalty.</w:t>
      </w:r>
    </w:p>
    <w:p w:rsidR="00B15874" w:rsidRPr="00252A6B" w:rsidRDefault="00B15874" w:rsidP="00B15874">
      <w:pPr>
        <w:pStyle w:val="NormalWeb"/>
      </w:pPr>
      <w:r w:rsidRPr="00252A6B">
        <w:tab/>
      </w:r>
      <w:r w:rsidRPr="00252A6B">
        <w:tab/>
        <w:t>The conduct was intentional, supporting a higher penalty.</w:t>
      </w:r>
    </w:p>
    <w:p w:rsidR="00B15874" w:rsidRPr="00252A6B" w:rsidRDefault="00B15874" w:rsidP="00B15874">
      <w:pPr>
        <w:pStyle w:val="NormalWeb"/>
        <w:rPr>
          <w:i/>
        </w:rPr>
      </w:pPr>
      <w:r w:rsidRPr="00252A6B">
        <w:lastRenderedPageBreak/>
        <w:t>   </w:t>
      </w:r>
      <w:r w:rsidRPr="00252A6B">
        <w:rPr>
          <w:i/>
        </w:rPr>
        <w:t xml:space="preserve">(4)  Whether the regulated entity made efforts to modify internal practices and procedures to address the conduct at issue and prevent similar conduct in the future. </w:t>
      </w:r>
      <w:r>
        <w:rPr>
          <w:i/>
        </w:rPr>
        <w:t xml:space="preserve"> </w:t>
      </w:r>
      <w:r w:rsidRPr="00252A6B">
        <w:rPr>
          <w:i/>
        </w:rPr>
        <w:t xml:space="preserve">These modifications may include activities such as training and improving company techniques and supervision. </w:t>
      </w:r>
      <w:r>
        <w:rPr>
          <w:i/>
        </w:rPr>
        <w:t xml:space="preserve"> </w:t>
      </w:r>
      <w:r w:rsidRPr="00252A6B">
        <w:rPr>
          <w:i/>
        </w:rPr>
        <w:t>The amount of time it took the utility to correct the conduct once it was discovered and the involvement of top-level management in correcting the conduct may be considered.</w:t>
      </w:r>
    </w:p>
    <w:p w:rsidR="00B15874" w:rsidRPr="00252A6B" w:rsidRDefault="00B15874" w:rsidP="00B15874">
      <w:pPr>
        <w:pStyle w:val="NormalWeb"/>
        <w:spacing w:line="360" w:lineRule="auto"/>
      </w:pPr>
      <w:r w:rsidRPr="00252A6B">
        <w:tab/>
      </w:r>
      <w:r w:rsidRPr="00252A6B">
        <w:tab/>
        <w:t>No further evidence is available.</w:t>
      </w:r>
    </w:p>
    <w:p w:rsidR="00B15874" w:rsidRPr="00252A6B" w:rsidRDefault="00B15874" w:rsidP="00B15874">
      <w:pPr>
        <w:pStyle w:val="NormalWeb"/>
      </w:pPr>
      <w:r w:rsidRPr="00252A6B">
        <w:t>   (5</w:t>
      </w:r>
      <w:r w:rsidRPr="00252A6B">
        <w:rPr>
          <w:i/>
        </w:rPr>
        <w:t>)  The number of customers affected and the duration of the violation</w:t>
      </w:r>
      <w:r w:rsidRPr="00252A6B">
        <w:t>.</w:t>
      </w:r>
    </w:p>
    <w:p w:rsidR="00B15874" w:rsidRPr="00252A6B" w:rsidRDefault="00B15874" w:rsidP="00B15874">
      <w:pPr>
        <w:pStyle w:val="NormalWeb"/>
      </w:pPr>
      <w:r w:rsidRPr="00252A6B">
        <w:tab/>
      </w:r>
      <w:r w:rsidRPr="00252A6B">
        <w:tab/>
        <w:t>No customers were affected by this action, supporting a reduced penalty.</w:t>
      </w:r>
    </w:p>
    <w:p w:rsidR="00B15874" w:rsidRPr="00252A6B" w:rsidRDefault="00B15874" w:rsidP="00B15874">
      <w:pPr>
        <w:pStyle w:val="NormalWeb"/>
        <w:rPr>
          <w:i/>
        </w:rPr>
      </w:pPr>
      <w:r w:rsidRPr="00252A6B">
        <w:t>   (</w:t>
      </w:r>
      <w:r w:rsidRPr="00252A6B">
        <w:rPr>
          <w:i/>
        </w:rPr>
        <w:t xml:space="preserve">6)  The compliance history of the regulated entity which committed the violation. </w:t>
      </w:r>
      <w:r>
        <w:rPr>
          <w:i/>
        </w:rPr>
        <w:t xml:space="preserve"> </w:t>
      </w:r>
      <w:r w:rsidRPr="00252A6B">
        <w:rPr>
          <w:i/>
        </w:rPr>
        <w:t>An isolated incident from an otherwise compliant utility may result in a lower penalty, whereas frequent, recurrent violations by a utility may result in a higher penalty.</w:t>
      </w:r>
    </w:p>
    <w:p w:rsidR="00B15874" w:rsidRPr="00252A6B" w:rsidRDefault="00B15874" w:rsidP="00F21982">
      <w:pPr>
        <w:pStyle w:val="NormalWeb"/>
        <w:spacing w:line="360" w:lineRule="auto"/>
        <w:contextualSpacing/>
      </w:pPr>
      <w:r w:rsidRPr="00252A6B">
        <w:tab/>
      </w:r>
      <w:r w:rsidRPr="00252A6B">
        <w:tab/>
      </w:r>
      <w:r w:rsidR="00F21982">
        <w:t>This is the first violation of the Respondent.  Tr. 21.</w:t>
      </w:r>
    </w:p>
    <w:p w:rsidR="00B15874" w:rsidRPr="00252A6B" w:rsidRDefault="00B15874" w:rsidP="00B15874">
      <w:pPr>
        <w:pStyle w:val="NormalWeb"/>
        <w:spacing w:line="360" w:lineRule="auto"/>
        <w:contextualSpacing/>
      </w:pPr>
    </w:p>
    <w:p w:rsidR="00B15874" w:rsidRPr="00252A6B" w:rsidRDefault="00B15874" w:rsidP="00B15874">
      <w:pPr>
        <w:pStyle w:val="NormalWeb"/>
        <w:rPr>
          <w:i/>
        </w:rPr>
      </w:pPr>
      <w:r w:rsidRPr="00252A6B">
        <w:t>   </w:t>
      </w:r>
      <w:r w:rsidRPr="00252A6B">
        <w:rPr>
          <w:i/>
        </w:rPr>
        <w:t xml:space="preserve">(7)  Whether the regulated entity cooperated with the Commission’s investigation. </w:t>
      </w:r>
      <w:r>
        <w:rPr>
          <w:i/>
        </w:rPr>
        <w:t xml:space="preserve"> </w:t>
      </w:r>
      <w:r w:rsidRPr="00252A6B">
        <w:rPr>
          <w:i/>
        </w:rPr>
        <w:t>Facts establishing bad faith, active concealment of violations, or attempts to interfere with Commission investigations may result in a higher penalty.</w:t>
      </w:r>
    </w:p>
    <w:p w:rsidR="00B15874" w:rsidRPr="00252A6B" w:rsidRDefault="00B15874" w:rsidP="00B15874">
      <w:pPr>
        <w:pStyle w:val="NormalWeb"/>
        <w:spacing w:line="360" w:lineRule="auto"/>
      </w:pPr>
      <w:r w:rsidRPr="00252A6B">
        <w:tab/>
      </w:r>
      <w:r w:rsidRPr="00252A6B">
        <w:tab/>
      </w:r>
      <w:r w:rsidR="00F21982">
        <w:t xml:space="preserve">Respondent has not responded to Commission mailings.  </w:t>
      </w:r>
      <w:r w:rsidRPr="00252A6B">
        <w:t>This neither supports nor mitigates against the imposition of a penalty.</w:t>
      </w:r>
    </w:p>
    <w:p w:rsidR="00B15874" w:rsidRPr="00252A6B" w:rsidRDefault="00B15874" w:rsidP="00B15874">
      <w:pPr>
        <w:pStyle w:val="NormalWeb"/>
        <w:rPr>
          <w:i/>
        </w:rPr>
      </w:pPr>
      <w:r w:rsidRPr="00252A6B">
        <w:rPr>
          <w:i/>
        </w:rPr>
        <w:t xml:space="preserve">   (8)  The amount of the civil penalty or fine necessary to deter future violations. </w:t>
      </w:r>
      <w:r>
        <w:rPr>
          <w:i/>
        </w:rPr>
        <w:t xml:space="preserve"> </w:t>
      </w:r>
      <w:r w:rsidRPr="00252A6B">
        <w:rPr>
          <w:i/>
        </w:rPr>
        <w:t>The size of the utility may be considered to determine an appropriate penalty amount.</w:t>
      </w:r>
    </w:p>
    <w:p w:rsidR="00B15874" w:rsidRPr="00252A6B" w:rsidRDefault="00B15874" w:rsidP="00B15874">
      <w:pPr>
        <w:pStyle w:val="NormalWeb"/>
        <w:spacing w:line="360" w:lineRule="auto"/>
      </w:pPr>
      <w:r w:rsidRPr="00252A6B">
        <w:tab/>
      </w:r>
      <w:r w:rsidRPr="00252A6B">
        <w:tab/>
        <w:t>This is a small utility which was assessed only $</w:t>
      </w:r>
      <w:r w:rsidR="006333F8">
        <w:t>566</w:t>
      </w:r>
      <w:r w:rsidRPr="00252A6B">
        <w:t xml:space="preserve"> for the 2010-2011 fiscal year, and $</w:t>
      </w:r>
      <w:r w:rsidR="006333F8">
        <w:t>665</w:t>
      </w:r>
      <w:r w:rsidRPr="00252A6B">
        <w:t xml:space="preserve"> for the 2011-2012 fiscal year.  A large penalty would not be proportionate with</w:t>
      </w:r>
      <w:r w:rsidR="005660CF">
        <w:t xml:space="preserve"> even its estimated</w:t>
      </w:r>
      <w:r w:rsidRPr="00252A6B">
        <w:t xml:space="preserve"> revenues.</w:t>
      </w:r>
    </w:p>
    <w:p w:rsidR="00B15874" w:rsidRPr="00252A6B" w:rsidRDefault="00B15874" w:rsidP="00B15874">
      <w:pPr>
        <w:pStyle w:val="NormalWeb"/>
        <w:rPr>
          <w:i/>
        </w:rPr>
      </w:pPr>
      <w:r w:rsidRPr="00252A6B">
        <w:t> </w:t>
      </w:r>
      <w:r w:rsidRPr="00252A6B">
        <w:rPr>
          <w:i/>
        </w:rPr>
        <w:t>  (9)  Past Commission decisions in similar situations.</w:t>
      </w:r>
    </w:p>
    <w:p w:rsidR="00B15874" w:rsidRPr="00252A6B" w:rsidRDefault="00B15874" w:rsidP="00B15874">
      <w:pPr>
        <w:pStyle w:val="NormalWeb"/>
        <w:spacing w:line="360" w:lineRule="auto"/>
      </w:pPr>
      <w:r w:rsidRPr="00252A6B">
        <w:tab/>
      </w:r>
      <w:r w:rsidRPr="00252A6B">
        <w:tab/>
        <w:t xml:space="preserve">I&amp;E </w:t>
      </w:r>
      <w:r w:rsidR="00787F76">
        <w:t>has asked for and</w:t>
      </w:r>
      <w:r w:rsidRPr="00252A6B">
        <w:t xml:space="preserve"> the Commission regularly approves 15% of the outstanding assessment in similar cases.</w:t>
      </w:r>
    </w:p>
    <w:p w:rsidR="00B15874" w:rsidRPr="00252A6B" w:rsidRDefault="00B15874" w:rsidP="00B15874">
      <w:pPr>
        <w:pStyle w:val="NormalWeb"/>
        <w:rPr>
          <w:i/>
        </w:rPr>
      </w:pPr>
      <w:r w:rsidRPr="00252A6B">
        <w:rPr>
          <w:i/>
        </w:rPr>
        <w:t>   (10)  Other relevant factors.</w:t>
      </w:r>
    </w:p>
    <w:p w:rsidR="00B15874" w:rsidRPr="00252A6B" w:rsidRDefault="00B15874" w:rsidP="00B15874">
      <w:pPr>
        <w:pStyle w:val="NormalWeb"/>
        <w:spacing w:line="360" w:lineRule="auto"/>
      </w:pPr>
      <w:r w:rsidRPr="00252A6B">
        <w:rPr>
          <w:i/>
        </w:rPr>
        <w:tab/>
      </w:r>
      <w:r w:rsidRPr="00252A6B">
        <w:rPr>
          <w:i/>
        </w:rPr>
        <w:tab/>
      </w:r>
      <w:r w:rsidRPr="00252A6B">
        <w:t>None were presented.</w:t>
      </w:r>
    </w:p>
    <w:p w:rsidR="00B15874" w:rsidRPr="00252A6B" w:rsidRDefault="00B15874" w:rsidP="00B15874">
      <w:pPr>
        <w:pStyle w:val="NormalWeb"/>
        <w:spacing w:line="360" w:lineRule="auto"/>
      </w:pPr>
      <w:r w:rsidRPr="00252A6B">
        <w:lastRenderedPageBreak/>
        <w:tab/>
      </w:r>
      <w:r w:rsidRPr="00252A6B">
        <w:tab/>
      </w:r>
      <w:r w:rsidR="006333F8">
        <w:t>Respondent's apparent abandonment of the responsibilities that accompany a certificate of public convenience justif</w:t>
      </w:r>
      <w:r w:rsidR="0055659B">
        <w:t>ies</w:t>
      </w:r>
      <w:r w:rsidR="006333F8">
        <w:t xml:space="preserve"> a penalty here, with the Respondent's certificate to be revoked if Respondent does not pay the assessments and penalties.  Accordingly, the Complaint is sustained</w:t>
      </w:r>
      <w:r w:rsidR="005660CF">
        <w:t>, and a civil penalty of 15%</w:t>
      </w:r>
      <w:r w:rsidR="0055659B">
        <w:t>,</w:t>
      </w:r>
      <w:r w:rsidR="005660CF">
        <w:t xml:space="preserve"> </w:t>
      </w:r>
      <w:r w:rsidR="0055659B">
        <w:t>rounded up to $2</w:t>
      </w:r>
      <w:r w:rsidR="005660CF">
        <w:t>00, is assessed</w:t>
      </w:r>
      <w:r w:rsidR="006333F8">
        <w:t>.</w:t>
      </w:r>
    </w:p>
    <w:p w:rsidR="00B15874" w:rsidRPr="00252A6B" w:rsidRDefault="00B15874" w:rsidP="00B15874">
      <w:pPr>
        <w:jc w:val="left"/>
      </w:pPr>
    </w:p>
    <w:p w:rsidR="00B15874" w:rsidRPr="00252A6B" w:rsidRDefault="00B15874" w:rsidP="00B15874">
      <w:r w:rsidRPr="00252A6B">
        <w:rPr>
          <w:u w:val="single"/>
        </w:rPr>
        <w:t>CONCLUSIONS OF LAW</w:t>
      </w:r>
    </w:p>
    <w:p w:rsidR="00B15874" w:rsidRPr="00252A6B" w:rsidRDefault="00B15874" w:rsidP="00B15874"/>
    <w:p w:rsidR="00B15874" w:rsidRPr="00252A6B" w:rsidRDefault="00B15874" w:rsidP="00B15874">
      <w:pPr>
        <w:jc w:val="left"/>
      </w:pPr>
      <w:r w:rsidRPr="00252A6B">
        <w:tab/>
      </w:r>
      <w:r w:rsidRPr="00252A6B">
        <w:tab/>
        <w:t>1.</w:t>
      </w:r>
      <w:r w:rsidRPr="00252A6B">
        <w:tab/>
        <w:t>The Commission has jurisdiction over the parties and the subject matter of this proceeding.  66 Pa. C.S. § 701.</w:t>
      </w:r>
    </w:p>
    <w:p w:rsidR="00B15874" w:rsidRPr="00252A6B" w:rsidRDefault="00B15874" w:rsidP="00B15874">
      <w:pPr>
        <w:jc w:val="left"/>
      </w:pPr>
    </w:p>
    <w:p w:rsidR="00B15874" w:rsidRPr="00252A6B" w:rsidRDefault="00B15874" w:rsidP="00B15874">
      <w:pPr>
        <w:jc w:val="left"/>
      </w:pPr>
      <w:r w:rsidRPr="00252A6B">
        <w:tab/>
      </w:r>
      <w:r w:rsidRPr="00252A6B">
        <w:tab/>
        <w:t>2.</w:t>
      </w:r>
      <w:r w:rsidRPr="00252A6B">
        <w:tab/>
        <w:t xml:space="preserve">Notice mailed to a party’s last known address and not returned by the post office is presumed to have been received.  </w:t>
      </w:r>
      <w:r w:rsidRPr="00252A6B">
        <w:rPr>
          <w:i/>
        </w:rPr>
        <w:t>Chartiers Industrial and Commercial Development Authority v. Allegheny County Board of Property Assessment Appeals and Review</w:t>
      </w:r>
      <w:r w:rsidRPr="00252A6B">
        <w:t xml:space="preserve">, 645 A.2d 944 (Pa. Cmwlth.1994), </w:t>
      </w:r>
      <w:r w:rsidRPr="00252A6B">
        <w:rPr>
          <w:i/>
        </w:rPr>
        <w:t>appeal denied</w:t>
      </w:r>
      <w:r w:rsidRPr="00252A6B">
        <w:t xml:space="preserve"> 539 Pa. 696, 653 A.2d 1234 (1994).</w:t>
      </w:r>
    </w:p>
    <w:p w:rsidR="00B15874" w:rsidRPr="00252A6B" w:rsidRDefault="00B15874" w:rsidP="00B15874">
      <w:pPr>
        <w:jc w:val="left"/>
      </w:pPr>
    </w:p>
    <w:p w:rsidR="00B15874" w:rsidRPr="00252A6B" w:rsidRDefault="00B15874" w:rsidP="00B15874">
      <w:pPr>
        <w:jc w:val="left"/>
      </w:pPr>
      <w:r w:rsidRPr="00252A6B">
        <w:tab/>
      </w:r>
      <w:r w:rsidRPr="00252A6B">
        <w:tab/>
        <w:t>3.</w:t>
      </w:r>
      <w:r w:rsidRPr="00252A6B">
        <w:tab/>
        <w:t xml:space="preserve">Due process is provided when the parties are afforded notice and the opportunity to appear and be heard.  </w:t>
      </w:r>
      <w:r w:rsidRPr="00252A6B">
        <w:rPr>
          <w:i/>
        </w:rPr>
        <w:t>Schneider v. Pa. Publ. Util. Comm’n</w:t>
      </w:r>
      <w:r w:rsidRPr="00252A6B">
        <w:t>, 479 A.2d 10 (Pa. Cmwlth. 1984).</w:t>
      </w:r>
    </w:p>
    <w:p w:rsidR="00B15874" w:rsidRPr="00252A6B" w:rsidRDefault="00B15874" w:rsidP="00B15874">
      <w:pPr>
        <w:jc w:val="left"/>
      </w:pPr>
    </w:p>
    <w:p w:rsidR="00B15874" w:rsidRPr="00252A6B" w:rsidRDefault="00B15874" w:rsidP="00B15874">
      <w:pPr>
        <w:jc w:val="left"/>
      </w:pPr>
      <w:r w:rsidRPr="00252A6B">
        <w:tab/>
      </w:r>
      <w:r w:rsidRPr="00252A6B">
        <w:tab/>
        <w:t>4.</w:t>
      </w:r>
      <w:r w:rsidRPr="00252A6B">
        <w:tab/>
        <w:t>The Public Utility Code requires that the Commission serve the assessment on each utility by registered or certified mail, 66 Pa. C.S. § 510(c).</w:t>
      </w:r>
    </w:p>
    <w:p w:rsidR="00B15874" w:rsidRPr="00252A6B" w:rsidRDefault="00B15874" w:rsidP="00B15874">
      <w:pPr>
        <w:jc w:val="left"/>
      </w:pPr>
    </w:p>
    <w:p w:rsidR="00B15874" w:rsidRPr="00252A6B" w:rsidRDefault="00B15874" w:rsidP="00B15874">
      <w:pPr>
        <w:jc w:val="left"/>
      </w:pPr>
      <w:r w:rsidRPr="00252A6B">
        <w:tab/>
      </w:r>
      <w:r w:rsidRPr="00252A6B">
        <w:tab/>
        <w:t>5.</w:t>
      </w:r>
      <w:r w:rsidRPr="00252A6B">
        <w:tab/>
        <w:t xml:space="preserve">A utility has thirty days to pay the assessment, and only fifteen days to object to the assessment; an objected-to assessment must still be paid pending the outcome of the objection.  </w:t>
      </w:r>
      <w:r w:rsidRPr="00252A6B">
        <w:rPr>
          <w:i/>
        </w:rPr>
        <w:t>See Pittsburgh Limousine, Inc. v. Pa. PUC, Bureau of Transportation and Safety</w:t>
      </w:r>
      <w:r w:rsidRPr="00252A6B">
        <w:t>, 762 A.2d 1150 (Pa. Cmwlth. Ct. 2000).</w:t>
      </w:r>
    </w:p>
    <w:p w:rsidR="00B15874" w:rsidRPr="00252A6B" w:rsidRDefault="00B15874" w:rsidP="00B15874">
      <w:pPr>
        <w:jc w:val="left"/>
      </w:pPr>
    </w:p>
    <w:p w:rsidR="00B15874" w:rsidRPr="00252A6B" w:rsidRDefault="00B15874" w:rsidP="00B15874">
      <w:pPr>
        <w:jc w:val="left"/>
      </w:pPr>
      <w:r w:rsidRPr="00252A6B">
        <w:tab/>
      </w:r>
      <w:r w:rsidRPr="00252A6B">
        <w:tab/>
        <w:t>6.</w:t>
      </w:r>
      <w:r w:rsidRPr="00252A6B">
        <w:tab/>
        <w:t xml:space="preserve">The present day standard of evaluating civil penalties in litigated proceedings was developed in </w:t>
      </w:r>
      <w:r w:rsidRPr="00252A6B">
        <w:rPr>
          <w:i/>
        </w:rPr>
        <w:t xml:space="preserve">Joseph A Rosi v. Bell-Atlantic – Pennsylvania, Inc. and Sprint Communications, L.P., </w:t>
      </w:r>
      <w:r w:rsidRPr="00252A6B">
        <w:t>Docket No. C-00992409 (Order entered March 16, 2000).</w:t>
      </w:r>
    </w:p>
    <w:p w:rsidR="00B15874" w:rsidRPr="00252A6B" w:rsidRDefault="00B15874" w:rsidP="00B15874">
      <w:pPr>
        <w:jc w:val="left"/>
      </w:pPr>
    </w:p>
    <w:p w:rsidR="00B15874" w:rsidRPr="00252A6B" w:rsidRDefault="0055659B" w:rsidP="00B15874">
      <w:pPr>
        <w:jc w:val="left"/>
      </w:pPr>
      <w:r>
        <w:tab/>
      </w:r>
      <w:r>
        <w:tab/>
        <w:t>7</w:t>
      </w:r>
      <w:r w:rsidR="00B15874" w:rsidRPr="00252A6B">
        <w:t>.</w:t>
      </w:r>
      <w:r w:rsidR="00B15874" w:rsidRPr="00252A6B">
        <w:tab/>
        <w:t xml:space="preserve">In </w:t>
      </w:r>
      <w:r w:rsidR="00B15874" w:rsidRPr="00252A6B">
        <w:rPr>
          <w:i/>
        </w:rPr>
        <w:t xml:space="preserve">Pa. Publ. Util. Comm'n v. NCIC Operator Serv., </w:t>
      </w:r>
      <w:r w:rsidR="00B15874" w:rsidRPr="00252A6B">
        <w:t xml:space="preserve">Docket No. </w:t>
      </w:r>
    </w:p>
    <w:p w:rsidR="00B15874" w:rsidRPr="00252A6B" w:rsidRDefault="00B15874" w:rsidP="00B15874">
      <w:pPr>
        <w:jc w:val="left"/>
      </w:pPr>
      <w:r w:rsidRPr="00252A6B">
        <w:t xml:space="preserve">M-00001440 (Order entered December 21, 2000), the Commission held that violations would be subject to the </w:t>
      </w:r>
      <w:r w:rsidRPr="00252A6B">
        <w:rPr>
          <w:i/>
        </w:rPr>
        <w:t>Rosi</w:t>
      </w:r>
      <w:r w:rsidRPr="00252A6B">
        <w:t xml:space="preserve"> standards.</w:t>
      </w:r>
    </w:p>
    <w:p w:rsidR="00B15874" w:rsidRPr="00252A6B" w:rsidRDefault="00B15874" w:rsidP="00B15874">
      <w:pPr>
        <w:jc w:val="left"/>
      </w:pPr>
    </w:p>
    <w:p w:rsidR="00B15874" w:rsidRPr="00252A6B" w:rsidRDefault="0055659B" w:rsidP="00B15874">
      <w:pPr>
        <w:jc w:val="left"/>
      </w:pPr>
      <w:r>
        <w:tab/>
      </w:r>
      <w:r>
        <w:tab/>
        <w:t>8</w:t>
      </w:r>
      <w:r w:rsidR="00B15874" w:rsidRPr="00252A6B">
        <w:t>.</w:t>
      </w:r>
      <w:r w:rsidR="00B15874" w:rsidRPr="00252A6B">
        <w:tab/>
        <w:t>The Commission has adopted a policy statement which enumerates the standards that it uses to evaluate civil penalties.  52 Pa. Code § 69.1201.</w:t>
      </w:r>
    </w:p>
    <w:p w:rsidR="00B15874" w:rsidRPr="00252A6B" w:rsidRDefault="00B15874" w:rsidP="00B15874">
      <w:pPr>
        <w:jc w:val="left"/>
      </w:pPr>
    </w:p>
    <w:p w:rsidR="00B15874" w:rsidRPr="00252A6B" w:rsidRDefault="0055659B" w:rsidP="00B15874">
      <w:pPr>
        <w:jc w:val="left"/>
      </w:pPr>
      <w:r>
        <w:tab/>
      </w:r>
      <w:r>
        <w:tab/>
        <w:t>9</w:t>
      </w:r>
      <w:r w:rsidR="00B15874" w:rsidRPr="00252A6B">
        <w:t>.</w:t>
      </w:r>
      <w:r w:rsidR="00B15874" w:rsidRPr="00252A6B">
        <w:tab/>
        <w:t>Respondent has violated the Public Utility Code by failing to</w:t>
      </w:r>
      <w:r w:rsidR="00067703">
        <w:t xml:space="preserve"> file two fiscal year assessment reports and by failing to</w:t>
      </w:r>
      <w:r w:rsidR="00B15874" w:rsidRPr="00252A6B">
        <w:t xml:space="preserve"> pay the two invoices within thirty days of their receipt.</w:t>
      </w:r>
    </w:p>
    <w:p w:rsidR="00B15874" w:rsidRPr="00252A6B" w:rsidRDefault="00B15874" w:rsidP="00B15874">
      <w:pPr>
        <w:jc w:val="left"/>
      </w:pPr>
    </w:p>
    <w:p w:rsidR="00B15874" w:rsidRPr="00252A6B" w:rsidRDefault="00B15874" w:rsidP="00B15874">
      <w:pPr>
        <w:jc w:val="left"/>
      </w:pPr>
      <w:r w:rsidRPr="00252A6B">
        <w:tab/>
      </w:r>
      <w:r w:rsidRPr="00252A6B">
        <w:tab/>
        <w:t>1</w:t>
      </w:r>
      <w:r w:rsidR="0055659B">
        <w:t>0</w:t>
      </w:r>
      <w:r w:rsidRPr="00252A6B">
        <w:t>.</w:t>
      </w:r>
      <w:r w:rsidRPr="00252A6B">
        <w:tab/>
      </w:r>
      <w:r w:rsidR="00067703">
        <w:t xml:space="preserve">A </w:t>
      </w:r>
      <w:r w:rsidRPr="00252A6B">
        <w:t>$</w:t>
      </w:r>
      <w:r w:rsidR="0055659B">
        <w:t>2</w:t>
      </w:r>
      <w:r w:rsidR="006333F8">
        <w:t>00</w:t>
      </w:r>
      <w:r w:rsidRPr="00252A6B">
        <w:t xml:space="preserve"> civil penalty is reasonable under applicable standards.</w:t>
      </w:r>
    </w:p>
    <w:p w:rsidR="00B15874" w:rsidRDefault="00B15874" w:rsidP="00B15874">
      <w:pPr>
        <w:jc w:val="both"/>
      </w:pPr>
    </w:p>
    <w:p w:rsidR="00067703" w:rsidRPr="00252A6B" w:rsidRDefault="00067703" w:rsidP="00B15874">
      <w:pPr>
        <w:jc w:val="both"/>
      </w:pPr>
    </w:p>
    <w:p w:rsidR="00B15874" w:rsidRPr="003F6FD8" w:rsidRDefault="00B15874" w:rsidP="00B15874">
      <w:pPr>
        <w:rPr>
          <w:b/>
          <w:u w:val="single"/>
        </w:rPr>
      </w:pPr>
      <w:r w:rsidRPr="003F6FD8">
        <w:rPr>
          <w:b/>
          <w:u w:val="single"/>
        </w:rPr>
        <w:t>ORDER</w:t>
      </w:r>
    </w:p>
    <w:p w:rsidR="00B15874" w:rsidRDefault="00B15874" w:rsidP="00B15874">
      <w:pPr>
        <w:jc w:val="left"/>
      </w:pPr>
    </w:p>
    <w:p w:rsidR="00B15874" w:rsidRPr="00252A6B" w:rsidRDefault="00B15874" w:rsidP="00B15874">
      <w:pPr>
        <w:jc w:val="left"/>
      </w:pPr>
    </w:p>
    <w:p w:rsidR="00B15874" w:rsidRPr="00252A6B" w:rsidRDefault="00B15874" w:rsidP="00B15874">
      <w:pPr>
        <w:jc w:val="left"/>
      </w:pPr>
      <w:r w:rsidRPr="00252A6B">
        <w:tab/>
      </w:r>
      <w:r w:rsidRPr="00252A6B">
        <w:tab/>
        <w:t>THEREFORE:</w:t>
      </w:r>
    </w:p>
    <w:p w:rsidR="00B15874" w:rsidRPr="00252A6B" w:rsidRDefault="00B15874" w:rsidP="00B15874">
      <w:pPr>
        <w:jc w:val="left"/>
      </w:pPr>
    </w:p>
    <w:p w:rsidR="00B15874" w:rsidRPr="00252A6B" w:rsidRDefault="00B15874" w:rsidP="00B15874">
      <w:pPr>
        <w:jc w:val="left"/>
      </w:pPr>
      <w:r w:rsidRPr="00252A6B">
        <w:tab/>
      </w:r>
      <w:r w:rsidRPr="00252A6B">
        <w:tab/>
        <w:t>IT IS ORDERED:</w:t>
      </w:r>
    </w:p>
    <w:p w:rsidR="00B15874" w:rsidRPr="00252A6B" w:rsidRDefault="00B15874" w:rsidP="00B15874">
      <w:pPr>
        <w:jc w:val="left"/>
      </w:pPr>
    </w:p>
    <w:p w:rsidR="00B15874" w:rsidRPr="00252A6B" w:rsidRDefault="00B15874" w:rsidP="00B15874">
      <w:pPr>
        <w:jc w:val="left"/>
      </w:pPr>
      <w:r w:rsidRPr="00252A6B">
        <w:tab/>
      </w:r>
      <w:r w:rsidRPr="00252A6B">
        <w:tab/>
        <w:t>1.</w:t>
      </w:r>
      <w:r w:rsidRPr="00252A6B">
        <w:tab/>
        <w:t xml:space="preserve">That the violations averred by the Commission's Bureau of Investigation and Enforcement in the Complaint filed against </w:t>
      </w:r>
      <w:r w:rsidR="00787F76">
        <w:t>Steven J. Butts,</w:t>
      </w:r>
      <w:r w:rsidRPr="00252A6B">
        <w:t xml:space="preserve"> at Docket No. C-2012-23</w:t>
      </w:r>
      <w:r w:rsidR="00787F76">
        <w:t>25083</w:t>
      </w:r>
      <w:r w:rsidRPr="00252A6B">
        <w:t>, are sustained.</w:t>
      </w:r>
    </w:p>
    <w:p w:rsidR="00B15874" w:rsidRPr="00252A6B" w:rsidRDefault="00B15874" w:rsidP="00B15874">
      <w:pPr>
        <w:jc w:val="left"/>
      </w:pPr>
    </w:p>
    <w:p w:rsidR="00067703" w:rsidRDefault="00B15874" w:rsidP="00B15874">
      <w:pPr>
        <w:jc w:val="left"/>
      </w:pPr>
      <w:r w:rsidRPr="00252A6B">
        <w:tab/>
      </w:r>
      <w:r w:rsidRPr="00252A6B">
        <w:tab/>
        <w:t>2.</w:t>
      </w:r>
      <w:r w:rsidRPr="00252A6B">
        <w:tab/>
        <w:t xml:space="preserve">That within thirty days of the entry date of the Commission's final order in this matter, </w:t>
      </w:r>
      <w:r w:rsidR="00787F76">
        <w:t>Steven J. Butts</w:t>
      </w:r>
      <w:r w:rsidRPr="00252A6B">
        <w:t>, shall remit $</w:t>
      </w:r>
      <w:r w:rsidR="00787F76">
        <w:t>1</w:t>
      </w:r>
      <w:r w:rsidR="0055659B">
        <w:t>4</w:t>
      </w:r>
      <w:r w:rsidR="00787F76">
        <w:t>31</w:t>
      </w:r>
      <w:r w:rsidRPr="00252A6B">
        <w:t>, payable by check, money order, or certified funds, to:</w:t>
      </w:r>
    </w:p>
    <w:p w:rsidR="00067703" w:rsidRDefault="00067703">
      <w:r>
        <w:br w:type="page"/>
      </w:r>
    </w:p>
    <w:p w:rsidR="00B15874" w:rsidRPr="00252A6B" w:rsidRDefault="00B15874" w:rsidP="00B15874">
      <w:pPr>
        <w:jc w:val="left"/>
      </w:pPr>
    </w:p>
    <w:p w:rsidR="00B15874" w:rsidRPr="00252A6B" w:rsidRDefault="00B15874" w:rsidP="00B15874">
      <w:pPr>
        <w:spacing w:line="240" w:lineRule="auto"/>
        <w:jc w:val="left"/>
      </w:pPr>
    </w:p>
    <w:p w:rsidR="00B15874" w:rsidRPr="00252A6B" w:rsidRDefault="00B15874" w:rsidP="00B15874">
      <w:pPr>
        <w:spacing w:line="240" w:lineRule="auto"/>
        <w:ind w:firstLine="1440"/>
        <w:jc w:val="left"/>
      </w:pPr>
      <w:r w:rsidRPr="00252A6B">
        <w:t>Secretary</w:t>
      </w:r>
    </w:p>
    <w:p w:rsidR="00B15874" w:rsidRPr="00252A6B" w:rsidRDefault="00B15874" w:rsidP="00B15874">
      <w:pPr>
        <w:spacing w:line="240" w:lineRule="auto"/>
        <w:ind w:firstLine="1440"/>
        <w:jc w:val="left"/>
      </w:pPr>
      <w:r w:rsidRPr="00252A6B">
        <w:t>Pennsylvania Public Utility Commission</w:t>
      </w:r>
    </w:p>
    <w:p w:rsidR="00B15874" w:rsidRPr="00252A6B" w:rsidRDefault="00B15874" w:rsidP="00B15874">
      <w:pPr>
        <w:spacing w:line="240" w:lineRule="auto"/>
        <w:ind w:firstLine="1440"/>
        <w:jc w:val="left"/>
      </w:pPr>
      <w:r w:rsidRPr="00252A6B">
        <w:t>P.O. Box 3265</w:t>
      </w:r>
    </w:p>
    <w:p w:rsidR="00B15874" w:rsidRPr="00252A6B" w:rsidRDefault="00B15874" w:rsidP="00B15874">
      <w:pPr>
        <w:spacing w:line="240" w:lineRule="auto"/>
        <w:ind w:firstLine="1440"/>
        <w:jc w:val="left"/>
      </w:pPr>
      <w:r w:rsidRPr="00252A6B">
        <w:t>Harrisburg, PA, 17105-3265</w:t>
      </w:r>
    </w:p>
    <w:p w:rsidR="00B15874" w:rsidRPr="00252A6B" w:rsidRDefault="00B15874" w:rsidP="00B15874">
      <w:pPr>
        <w:ind w:firstLine="1440"/>
        <w:jc w:val="left"/>
      </w:pPr>
    </w:p>
    <w:p w:rsidR="00B15874" w:rsidRPr="00252A6B" w:rsidRDefault="00B15874" w:rsidP="00B15874">
      <w:pPr>
        <w:ind w:firstLine="1440"/>
        <w:jc w:val="left"/>
      </w:pPr>
      <w:r w:rsidRPr="00252A6B">
        <w:t>4.</w:t>
      </w:r>
      <w:r w:rsidRPr="00252A6B">
        <w:tab/>
        <w:t>That a copy of this Initial Decision shall be served upon the Financial and Assessment Chief, Office of Administrative Services.</w:t>
      </w:r>
    </w:p>
    <w:p w:rsidR="00B15874" w:rsidRPr="00252A6B" w:rsidRDefault="00B15874" w:rsidP="00B15874">
      <w:pPr>
        <w:ind w:firstLine="1440"/>
        <w:jc w:val="left"/>
      </w:pPr>
    </w:p>
    <w:p w:rsidR="00B15874" w:rsidRPr="00252A6B" w:rsidRDefault="00B15874" w:rsidP="00B15874">
      <w:pPr>
        <w:ind w:firstLine="1440"/>
        <w:jc w:val="left"/>
      </w:pPr>
      <w:r w:rsidRPr="00252A6B">
        <w:t>5.</w:t>
      </w:r>
      <w:r w:rsidRPr="00252A6B">
        <w:tab/>
        <w:t>That a copy of this Initial Decision shall be served upon the Bureau of Technical Utility Services for monitoring of compliance.</w:t>
      </w:r>
    </w:p>
    <w:p w:rsidR="00B15874" w:rsidRPr="00252A6B" w:rsidRDefault="00B15874" w:rsidP="00B15874">
      <w:pPr>
        <w:ind w:firstLine="1440"/>
        <w:jc w:val="left"/>
      </w:pPr>
    </w:p>
    <w:p w:rsidR="00B15874" w:rsidRPr="00252A6B" w:rsidRDefault="00B15874" w:rsidP="00B15874">
      <w:pPr>
        <w:ind w:firstLine="1440"/>
        <w:jc w:val="left"/>
      </w:pPr>
      <w:r w:rsidRPr="00252A6B">
        <w:t>6.</w:t>
      </w:r>
      <w:r w:rsidRPr="00252A6B">
        <w:tab/>
        <w:t xml:space="preserve">That, if </w:t>
      </w:r>
      <w:r w:rsidR="00787F76">
        <w:t>Steven J. Butts</w:t>
      </w:r>
      <w:r w:rsidRPr="00252A6B">
        <w:t xml:space="preserve">, fails to make the payment required by Ordering Paragraph No. </w:t>
      </w:r>
      <w:r w:rsidR="00067703">
        <w:t>2</w:t>
      </w:r>
      <w:r w:rsidRPr="00252A6B">
        <w:t xml:space="preserve"> above within thirty days of the entry date of this Opinion and Order:</w:t>
      </w:r>
    </w:p>
    <w:p w:rsidR="00B15874" w:rsidRPr="00252A6B" w:rsidRDefault="00B15874" w:rsidP="00B15874">
      <w:pPr>
        <w:ind w:left="2880" w:hanging="720"/>
        <w:jc w:val="left"/>
      </w:pPr>
    </w:p>
    <w:p w:rsidR="00B15874" w:rsidRPr="00252A6B" w:rsidRDefault="00B15874" w:rsidP="00B15874">
      <w:pPr>
        <w:ind w:left="2880" w:hanging="720"/>
        <w:jc w:val="left"/>
      </w:pPr>
      <w:r w:rsidRPr="00252A6B">
        <w:t>a.</w:t>
      </w:r>
      <w:r w:rsidRPr="00252A6B">
        <w:tab/>
        <w:t xml:space="preserve">The Certificate of Public Convenience held by </w:t>
      </w:r>
      <w:r w:rsidR="00787F76">
        <w:t>Steven J. Butts</w:t>
      </w:r>
      <w:r w:rsidRPr="00252A6B">
        <w:t xml:space="preserve">, shall be cancelled without further action by this Commission; </w:t>
      </w:r>
    </w:p>
    <w:p w:rsidR="00B15874" w:rsidRPr="00252A6B" w:rsidRDefault="00B15874" w:rsidP="00B15874">
      <w:pPr>
        <w:ind w:left="2880" w:hanging="720"/>
        <w:jc w:val="left"/>
      </w:pPr>
    </w:p>
    <w:p w:rsidR="00B15874" w:rsidRPr="00252A6B" w:rsidRDefault="00B15874" w:rsidP="00B15874">
      <w:pPr>
        <w:ind w:left="2880" w:hanging="720"/>
        <w:jc w:val="left"/>
      </w:pPr>
      <w:r w:rsidRPr="00252A6B">
        <w:t>b.</w:t>
      </w:r>
      <w:r w:rsidRPr="00252A6B">
        <w:tab/>
        <w:t>The Bureau of Administrative Services, Assessment Section, shall refer this matter to the Pennsylvania Office of Attorney General for appropriate action; and</w:t>
      </w:r>
    </w:p>
    <w:p w:rsidR="00B15874" w:rsidRPr="00252A6B" w:rsidRDefault="00B15874" w:rsidP="00B15874">
      <w:pPr>
        <w:ind w:firstLine="1440"/>
        <w:jc w:val="left"/>
      </w:pPr>
    </w:p>
    <w:p w:rsidR="00B15874" w:rsidRPr="00252A6B" w:rsidRDefault="00B15874" w:rsidP="00B15874">
      <w:pPr>
        <w:ind w:left="2880" w:hanging="720"/>
        <w:jc w:val="left"/>
      </w:pPr>
      <w:r w:rsidRPr="00252A6B">
        <w:t>c.</w:t>
      </w:r>
      <w:r w:rsidRPr="00252A6B">
        <w:tab/>
        <w:t>A copy of this Opinion and Order shall be served upon the Pennsylvania Department of Trans</w:t>
      </w:r>
      <w:r>
        <w:t>portation,  pursuant to Chapter </w:t>
      </w:r>
      <w:r w:rsidRPr="00252A6B">
        <w:t xml:space="preserve">13 of the Vehicle Code, 75 Pa. C.S. §§ 1301-1379, and the Commission will request that the Pennsylvania Department of Transportation put an administrative hold on </w:t>
      </w:r>
      <w:r w:rsidR="00787F76">
        <w:t>Steven J. Butts'</w:t>
      </w:r>
      <w:r w:rsidRPr="00252A6B">
        <w:t xml:space="preserve"> vehicle registrations.  </w:t>
      </w:r>
      <w:r w:rsidR="00787F76">
        <w:t>Steven J. Butts</w:t>
      </w:r>
      <w:r w:rsidRPr="00252A6B">
        <w:t>, will not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rsidR="00B15874" w:rsidRPr="00252A6B" w:rsidRDefault="00B15874" w:rsidP="00B15874">
      <w:pPr>
        <w:ind w:firstLine="1440"/>
        <w:jc w:val="left"/>
      </w:pPr>
    </w:p>
    <w:p w:rsidR="00B15874" w:rsidRPr="00252A6B" w:rsidRDefault="00B15874" w:rsidP="00B15874">
      <w:pPr>
        <w:ind w:firstLine="1440"/>
        <w:jc w:val="left"/>
      </w:pPr>
      <w:r w:rsidRPr="00252A6B">
        <w:t>7.</w:t>
      </w:r>
      <w:r w:rsidRPr="00252A6B">
        <w:tab/>
        <w:t xml:space="preserve">That, after </w:t>
      </w:r>
      <w:r w:rsidR="00787F76">
        <w:t>Steven J. Butts</w:t>
      </w:r>
      <w:r w:rsidRPr="00252A6B">
        <w:t xml:space="preserve">, </w:t>
      </w:r>
      <w:r w:rsidR="0055659B">
        <w:t>remits $1</w:t>
      </w:r>
      <w:r w:rsidR="00067703">
        <w:t>,</w:t>
      </w:r>
      <w:r w:rsidR="0055659B">
        <w:t>4</w:t>
      </w:r>
      <w:r w:rsidR="00787F76">
        <w:t>31</w:t>
      </w:r>
      <w:r w:rsidRPr="00252A6B">
        <w:t xml:space="preserve"> as requ</w:t>
      </w:r>
      <w:r w:rsidR="00067703">
        <w:t>ired by Ordering Paragraph No. 2</w:t>
      </w:r>
      <w:r w:rsidRPr="00252A6B">
        <w:t>, the Secretary’s Bureau shall mark this proceeding closed.</w:t>
      </w:r>
    </w:p>
    <w:p w:rsidR="00B15874" w:rsidRDefault="00B15874" w:rsidP="00B15874">
      <w:pPr>
        <w:ind w:firstLine="1440"/>
        <w:jc w:val="left"/>
      </w:pPr>
    </w:p>
    <w:p w:rsidR="00B15874" w:rsidRPr="00252A6B" w:rsidRDefault="00B15874" w:rsidP="00B15874">
      <w:pPr>
        <w:ind w:firstLine="1440"/>
        <w:jc w:val="left"/>
      </w:pPr>
    </w:p>
    <w:p w:rsidR="00B15874" w:rsidRPr="00252A6B" w:rsidRDefault="00B15874" w:rsidP="00B15874">
      <w:pPr>
        <w:spacing w:line="240" w:lineRule="auto"/>
        <w:jc w:val="both"/>
      </w:pPr>
      <w:r w:rsidRPr="00252A6B">
        <w:t>Dated:</w:t>
      </w:r>
      <w:r w:rsidRPr="00252A6B">
        <w:tab/>
      </w:r>
      <w:r w:rsidR="00787F76">
        <w:rPr>
          <w:u w:val="single"/>
        </w:rPr>
        <w:t>June 4</w:t>
      </w:r>
      <w:r w:rsidRPr="00252A6B">
        <w:rPr>
          <w:u w:val="single"/>
        </w:rPr>
        <w:t>, 2013</w:t>
      </w:r>
      <w:r w:rsidRPr="00252A6B">
        <w:tab/>
      </w:r>
      <w:r w:rsidRPr="00252A6B">
        <w:tab/>
      </w:r>
      <w:r w:rsidRPr="00252A6B">
        <w:tab/>
      </w:r>
      <w:r w:rsidRPr="00252A6B">
        <w:tab/>
      </w:r>
      <w:r w:rsidRPr="00252A6B">
        <w:tab/>
        <w:t>__</w:t>
      </w:r>
      <w:r>
        <w:rPr>
          <w:u w:val="single"/>
        </w:rPr>
        <w:t>/</w:t>
      </w:r>
      <w:r>
        <w:rPr>
          <w:rFonts w:ascii="Berlin Sans FB" w:hAnsi="Berlin Sans FB"/>
          <w:u w:val="single"/>
        </w:rPr>
        <w:t>s</w:t>
      </w:r>
      <w:r>
        <w:rPr>
          <w:u w:val="single"/>
        </w:rPr>
        <w:t>/</w:t>
      </w:r>
      <w:r w:rsidRPr="00252A6B">
        <w:t>________________________________</w:t>
      </w:r>
    </w:p>
    <w:p w:rsidR="00B15874" w:rsidRPr="00252A6B" w:rsidRDefault="00B15874" w:rsidP="00B15874">
      <w:pPr>
        <w:spacing w:line="240" w:lineRule="auto"/>
        <w:jc w:val="both"/>
      </w:pPr>
      <w:r w:rsidRPr="00252A6B">
        <w:tab/>
      </w:r>
      <w:r w:rsidRPr="00252A6B">
        <w:tab/>
      </w:r>
      <w:r w:rsidRPr="00252A6B">
        <w:tab/>
      </w:r>
      <w:r w:rsidRPr="00252A6B">
        <w:tab/>
      </w:r>
      <w:r w:rsidRPr="00252A6B">
        <w:tab/>
      </w:r>
      <w:r w:rsidRPr="00252A6B">
        <w:tab/>
      </w:r>
      <w:r w:rsidRPr="00252A6B">
        <w:tab/>
        <w:t>Susan D. Colwell</w:t>
      </w:r>
    </w:p>
    <w:p w:rsidR="00B15874" w:rsidRPr="00252A6B" w:rsidRDefault="00B15874" w:rsidP="00B15874">
      <w:pPr>
        <w:spacing w:line="240" w:lineRule="auto"/>
        <w:jc w:val="both"/>
      </w:pPr>
      <w:r w:rsidRPr="00252A6B">
        <w:tab/>
      </w:r>
      <w:r w:rsidRPr="00252A6B">
        <w:tab/>
      </w:r>
      <w:r w:rsidRPr="00252A6B">
        <w:tab/>
      </w:r>
      <w:r w:rsidRPr="00252A6B">
        <w:tab/>
      </w:r>
      <w:r w:rsidRPr="00252A6B">
        <w:tab/>
      </w:r>
      <w:r w:rsidRPr="00252A6B">
        <w:tab/>
      </w:r>
      <w:r w:rsidRPr="00252A6B">
        <w:tab/>
        <w:t>Administrative Law Judge</w:t>
      </w:r>
    </w:p>
    <w:p w:rsidR="00B15874" w:rsidRPr="00252A6B" w:rsidRDefault="00B15874" w:rsidP="00B15874">
      <w:pPr>
        <w:spacing w:line="240" w:lineRule="auto"/>
        <w:jc w:val="both"/>
      </w:pPr>
    </w:p>
    <w:p w:rsidR="00B15874" w:rsidRPr="00252A6B" w:rsidRDefault="00B15874" w:rsidP="00B15874">
      <w:pPr>
        <w:jc w:val="left"/>
      </w:pPr>
    </w:p>
    <w:p w:rsidR="00B15874" w:rsidRPr="00252A6B" w:rsidRDefault="00B15874" w:rsidP="00B15874">
      <w:pPr>
        <w:spacing w:line="240" w:lineRule="auto"/>
        <w:jc w:val="left"/>
      </w:pPr>
    </w:p>
    <w:p w:rsidR="00B15874" w:rsidRPr="00B15874" w:rsidRDefault="00B15874" w:rsidP="00B15874">
      <w:pPr>
        <w:jc w:val="left"/>
      </w:pPr>
      <w:r>
        <w:tab/>
      </w:r>
    </w:p>
    <w:sectPr w:rsidR="00B15874" w:rsidRPr="00B15874" w:rsidSect="00C049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F58" w:rsidRDefault="00681F58" w:rsidP="00593D5D">
      <w:pPr>
        <w:spacing w:line="240" w:lineRule="auto"/>
      </w:pPr>
      <w:r>
        <w:separator/>
      </w:r>
    </w:p>
  </w:endnote>
  <w:endnote w:type="continuationSeparator" w:id="0">
    <w:p w:rsidR="00681F58" w:rsidRDefault="00681F58" w:rsidP="00593D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F58" w:rsidRDefault="00681F58" w:rsidP="00593D5D">
      <w:pPr>
        <w:spacing w:line="240" w:lineRule="auto"/>
      </w:pPr>
      <w:r>
        <w:separator/>
      </w:r>
    </w:p>
  </w:footnote>
  <w:footnote w:type="continuationSeparator" w:id="0">
    <w:p w:rsidR="00681F58" w:rsidRDefault="00681F58" w:rsidP="00593D5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E90"/>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39B3"/>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47FD9"/>
    <w:rsid w:val="000541C0"/>
    <w:rsid w:val="0005423F"/>
    <w:rsid w:val="00055078"/>
    <w:rsid w:val="00055CC5"/>
    <w:rsid w:val="000576ED"/>
    <w:rsid w:val="000605B6"/>
    <w:rsid w:val="00061278"/>
    <w:rsid w:val="000634EB"/>
    <w:rsid w:val="00063801"/>
    <w:rsid w:val="0006752D"/>
    <w:rsid w:val="000676B2"/>
    <w:rsid w:val="00067703"/>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1996"/>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7A0"/>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872"/>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2E90"/>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69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27BF"/>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5659B"/>
    <w:rsid w:val="005623DE"/>
    <w:rsid w:val="00562A9A"/>
    <w:rsid w:val="00564A3A"/>
    <w:rsid w:val="005650FF"/>
    <w:rsid w:val="005660C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D5D"/>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33F8"/>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58"/>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1F63"/>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87F76"/>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1FA0"/>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2D99"/>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5874"/>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2ED"/>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17B4"/>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52BE1"/>
    <w:rsid w:val="00C57894"/>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D79F7"/>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B84"/>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982"/>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37B3"/>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93D5D"/>
    <w:pPr>
      <w:spacing w:line="240" w:lineRule="auto"/>
    </w:pPr>
    <w:rPr>
      <w:sz w:val="20"/>
      <w:szCs w:val="20"/>
    </w:rPr>
  </w:style>
  <w:style w:type="character" w:customStyle="1" w:styleId="FootnoteTextChar">
    <w:name w:val="Footnote Text Char"/>
    <w:basedOn w:val="DefaultParagraphFont"/>
    <w:link w:val="FootnoteText"/>
    <w:uiPriority w:val="99"/>
    <w:semiHidden/>
    <w:rsid w:val="00593D5D"/>
    <w:rPr>
      <w:sz w:val="20"/>
      <w:szCs w:val="20"/>
    </w:rPr>
  </w:style>
  <w:style w:type="character" w:styleId="FootnoteReference">
    <w:name w:val="footnote reference"/>
    <w:basedOn w:val="DefaultParagraphFont"/>
    <w:uiPriority w:val="99"/>
    <w:semiHidden/>
    <w:unhideWhenUsed/>
    <w:rsid w:val="00593D5D"/>
    <w:rPr>
      <w:vertAlign w:val="superscript"/>
    </w:rPr>
  </w:style>
  <w:style w:type="character" w:styleId="Hyperlink">
    <w:name w:val="Hyperlink"/>
    <w:basedOn w:val="DefaultParagraphFont"/>
    <w:rsid w:val="00B15874"/>
    <w:rPr>
      <w:color w:val="0000FF"/>
      <w:u w:val="single"/>
    </w:rPr>
  </w:style>
  <w:style w:type="character" w:customStyle="1" w:styleId="term1">
    <w:name w:val="term1"/>
    <w:basedOn w:val="DefaultParagraphFont"/>
    <w:rsid w:val="00B15874"/>
    <w:rPr>
      <w:b/>
      <w:bCs/>
    </w:rPr>
  </w:style>
  <w:style w:type="paragraph" w:styleId="NormalWeb">
    <w:name w:val="Normal (Web)"/>
    <w:basedOn w:val="Normal"/>
    <w:uiPriority w:val="99"/>
    <w:unhideWhenUsed/>
    <w:rsid w:val="00B15874"/>
    <w:pPr>
      <w:spacing w:before="100" w:beforeAutospacing="1" w:after="100" w:afterAutospacing="1" w:line="240" w:lineRule="auto"/>
      <w:jc w:val="left"/>
    </w:pPr>
    <w:rPr>
      <w:rFonts w:eastAsia="Times New Roman"/>
    </w:rPr>
  </w:style>
  <w:style w:type="paragraph" w:styleId="BalloonText">
    <w:name w:val="Balloon Text"/>
    <w:basedOn w:val="Normal"/>
    <w:link w:val="BalloonTextChar"/>
    <w:uiPriority w:val="99"/>
    <w:semiHidden/>
    <w:unhideWhenUsed/>
    <w:rsid w:val="0006770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7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93D5D"/>
    <w:pPr>
      <w:spacing w:line="240" w:lineRule="auto"/>
    </w:pPr>
    <w:rPr>
      <w:sz w:val="20"/>
      <w:szCs w:val="20"/>
    </w:rPr>
  </w:style>
  <w:style w:type="character" w:customStyle="1" w:styleId="FootnoteTextChar">
    <w:name w:val="Footnote Text Char"/>
    <w:basedOn w:val="DefaultParagraphFont"/>
    <w:link w:val="FootnoteText"/>
    <w:uiPriority w:val="99"/>
    <w:semiHidden/>
    <w:rsid w:val="00593D5D"/>
    <w:rPr>
      <w:sz w:val="20"/>
      <w:szCs w:val="20"/>
    </w:rPr>
  </w:style>
  <w:style w:type="character" w:styleId="FootnoteReference">
    <w:name w:val="footnote reference"/>
    <w:basedOn w:val="DefaultParagraphFont"/>
    <w:uiPriority w:val="99"/>
    <w:semiHidden/>
    <w:unhideWhenUsed/>
    <w:rsid w:val="00593D5D"/>
    <w:rPr>
      <w:vertAlign w:val="superscript"/>
    </w:rPr>
  </w:style>
  <w:style w:type="character" w:styleId="Hyperlink">
    <w:name w:val="Hyperlink"/>
    <w:basedOn w:val="DefaultParagraphFont"/>
    <w:rsid w:val="00B15874"/>
    <w:rPr>
      <w:color w:val="0000FF"/>
      <w:u w:val="single"/>
    </w:rPr>
  </w:style>
  <w:style w:type="character" w:customStyle="1" w:styleId="term1">
    <w:name w:val="term1"/>
    <w:basedOn w:val="DefaultParagraphFont"/>
    <w:rsid w:val="00B15874"/>
    <w:rPr>
      <w:b/>
      <w:bCs/>
    </w:rPr>
  </w:style>
  <w:style w:type="paragraph" w:styleId="NormalWeb">
    <w:name w:val="Normal (Web)"/>
    <w:basedOn w:val="Normal"/>
    <w:uiPriority w:val="99"/>
    <w:unhideWhenUsed/>
    <w:rsid w:val="00B15874"/>
    <w:pPr>
      <w:spacing w:before="100" w:beforeAutospacing="1" w:after="100" w:afterAutospacing="1" w:line="240" w:lineRule="auto"/>
      <w:jc w:val="left"/>
    </w:pPr>
    <w:rPr>
      <w:rFonts w:eastAsia="Times New Roman"/>
    </w:rPr>
  </w:style>
  <w:style w:type="paragraph" w:styleId="BalloonText">
    <w:name w:val="Balloon Text"/>
    <w:basedOn w:val="Normal"/>
    <w:link w:val="BalloonTextChar"/>
    <w:uiPriority w:val="99"/>
    <w:semiHidden/>
    <w:unhideWhenUsed/>
    <w:rsid w:val="0006770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7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c1330c68f122704f4bc70bb15f3873f8&amp;_xfercite=%3ccite%20cc%3d%22USA%22%3e%3c%21%5bCDATA%5b1999%20Pa.%20PUC%20LEXIS%2065%5d%5d%3e%3c%2fcite%3e&amp;_butType=4&amp;_butStat=0&amp;_butNum=1&amp;_butInline=1&amp;_butinfo=66%20PACODE%20701&amp;_fmtstr=FULL&amp;docnum=69&amp;_startdoc=61&amp;wchp=dGLbVtb-zSkAl&amp;_md5=9f34c50029c3c0de0277e4a8f896f51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exis.com/research/buttonTFLink?_m=c1330c68f122704f4bc70bb15f3873f8&amp;_xfercite=%3ccite%20cc%3d%22USA%22%3e%3c%21%5bCDATA%5b1999%20Pa.%20PUC%20LEXIS%2065%5d%5d%3e%3c%2fcite%3e&amp;_butType=3&amp;_butStat=2&amp;_butNum=4&amp;_butInline=1&amp;_butinfo=%3ccite%20cc%3d%22USA%22%3e%3c%21%5bCDATA%5b50%20Pa.%20PUC%20300%5d%5d%3e%3c%2fcite%3e&amp;_fmtstr=FULL&amp;docnum=69&amp;_startdoc=61&amp;wchp=dGLbVtb-zSkAl&amp;_md5=b79c5e9ef2778c558f9ae4cb478c20de" TargetMode="External"/><Relationship Id="rId4" Type="http://schemas.openxmlformats.org/officeDocument/2006/relationships/settings" Target="settings.xml"/><Relationship Id="rId9" Type="http://schemas.openxmlformats.org/officeDocument/2006/relationships/hyperlink" Target="http://www.lexis.com/research/buttonTFLink?_m=c1330c68f122704f4bc70bb15f3873f8&amp;_xfercite=%3ccite%20cc%3d%22USA%22%3e%3c%21%5bCDATA%5b1999%20Pa.%20PUC%20LEXIS%2065%5d%5d%3e%3c%2fcite%3e&amp;_butType=4&amp;_butStat=0&amp;_butNum=2&amp;_butInline=1&amp;_butinfo=66%20PACODE%20332&amp;_fmtstr=FULL&amp;docnum=69&amp;_startdoc=61&amp;wchp=dGLbVtb-zSkAl&amp;_md5=f5a987a3fc4db4b276d393ff31171e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25E5B-AE77-4ACD-9CD1-35568CA91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3534</Words>
  <Characters>20145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2</cp:revision>
  <cp:lastPrinted>2013-06-14T17:45:00Z</cp:lastPrinted>
  <dcterms:created xsi:type="dcterms:W3CDTF">2013-06-14T17:51:00Z</dcterms:created>
  <dcterms:modified xsi:type="dcterms:W3CDTF">2013-06-14T17:51:00Z</dcterms:modified>
</cp:coreProperties>
</file>