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4A63D0" w:rsidRDefault="00F936E1" w:rsidP="00C7592A">
      <w:pPr>
        <w:tabs>
          <w:tab w:val="center" w:pos="4680"/>
        </w:tabs>
        <w:suppressAutoHyphens/>
        <w:jc w:val="center"/>
        <w:rPr>
          <w:b/>
          <w:spacing w:val="-3"/>
          <w:sz w:val="24"/>
          <w:szCs w:val="24"/>
        </w:rPr>
      </w:pPr>
      <w:r w:rsidRPr="004A63D0">
        <w:rPr>
          <w:b/>
          <w:spacing w:val="-3"/>
          <w:sz w:val="24"/>
          <w:szCs w:val="24"/>
        </w:rPr>
        <w:t>BEFORE THE</w:t>
      </w:r>
    </w:p>
    <w:p w:rsidR="00F936E1" w:rsidRPr="004A63D0" w:rsidRDefault="00F936E1" w:rsidP="00C7592A">
      <w:pPr>
        <w:tabs>
          <w:tab w:val="center" w:pos="4680"/>
        </w:tabs>
        <w:suppressAutoHyphens/>
        <w:jc w:val="center"/>
        <w:rPr>
          <w:b/>
          <w:spacing w:val="-3"/>
          <w:sz w:val="24"/>
          <w:szCs w:val="24"/>
        </w:rPr>
      </w:pPr>
      <w:r w:rsidRPr="004A63D0">
        <w:rPr>
          <w:b/>
          <w:spacing w:val="-3"/>
          <w:sz w:val="24"/>
          <w:szCs w:val="24"/>
        </w:rPr>
        <w:t>PENNSYLVANIA PUBLIC UTILITY COMMISSION</w:t>
      </w:r>
    </w:p>
    <w:p w:rsidR="00F936E1" w:rsidRPr="004A63D0" w:rsidRDefault="00F936E1" w:rsidP="00C7592A">
      <w:pPr>
        <w:tabs>
          <w:tab w:val="left" w:pos="-1440"/>
          <w:tab w:val="left" w:pos="-720"/>
        </w:tabs>
        <w:suppressAutoHyphens/>
        <w:ind w:firstLine="1440"/>
        <w:rPr>
          <w:spacing w:val="-3"/>
          <w:sz w:val="24"/>
          <w:szCs w:val="24"/>
        </w:rPr>
      </w:pPr>
    </w:p>
    <w:p w:rsidR="00F936E1" w:rsidRPr="004A63D0" w:rsidRDefault="00F936E1" w:rsidP="00C7592A">
      <w:pPr>
        <w:tabs>
          <w:tab w:val="left" w:pos="-1440"/>
          <w:tab w:val="left" w:pos="-720"/>
        </w:tabs>
        <w:suppressAutoHyphens/>
        <w:ind w:firstLine="1440"/>
        <w:rPr>
          <w:spacing w:val="-3"/>
          <w:sz w:val="24"/>
          <w:szCs w:val="24"/>
        </w:rPr>
      </w:pPr>
    </w:p>
    <w:p w:rsidR="00F936E1" w:rsidRPr="004A63D0" w:rsidRDefault="00F936E1" w:rsidP="00C7592A">
      <w:pPr>
        <w:tabs>
          <w:tab w:val="left" w:pos="-1440"/>
          <w:tab w:val="left" w:pos="-720"/>
        </w:tabs>
        <w:suppressAutoHyphens/>
        <w:ind w:firstLine="1440"/>
        <w:rPr>
          <w:spacing w:val="-3"/>
          <w:sz w:val="24"/>
          <w:szCs w:val="24"/>
        </w:rPr>
      </w:pPr>
    </w:p>
    <w:p w:rsidR="00F936E1" w:rsidRPr="004A63D0" w:rsidRDefault="005E5C61" w:rsidP="00C7592A">
      <w:pPr>
        <w:tabs>
          <w:tab w:val="left" w:pos="-1440"/>
          <w:tab w:val="left" w:pos="-720"/>
        </w:tabs>
        <w:suppressAutoHyphens/>
        <w:rPr>
          <w:spacing w:val="-3"/>
          <w:sz w:val="24"/>
          <w:szCs w:val="24"/>
        </w:rPr>
      </w:pPr>
      <w:r w:rsidRPr="004A63D0">
        <w:rPr>
          <w:spacing w:val="-3"/>
          <w:sz w:val="24"/>
          <w:szCs w:val="24"/>
        </w:rPr>
        <w:t>Jeff Morgan</w:t>
      </w:r>
      <w:r w:rsidRPr="004A63D0">
        <w:rPr>
          <w:spacing w:val="-3"/>
          <w:sz w:val="24"/>
          <w:szCs w:val="24"/>
        </w:rPr>
        <w:tab/>
      </w:r>
      <w:r w:rsidRPr="004A63D0">
        <w:rPr>
          <w:spacing w:val="-3"/>
          <w:sz w:val="24"/>
          <w:szCs w:val="24"/>
        </w:rPr>
        <w:tab/>
      </w:r>
      <w:r w:rsidR="00F936E1" w:rsidRPr="004A63D0">
        <w:rPr>
          <w:spacing w:val="-3"/>
          <w:sz w:val="24"/>
          <w:szCs w:val="24"/>
        </w:rPr>
        <w:tab/>
      </w:r>
      <w:r w:rsidR="00F936E1" w:rsidRPr="004A63D0">
        <w:rPr>
          <w:spacing w:val="-3"/>
          <w:sz w:val="24"/>
          <w:szCs w:val="24"/>
        </w:rPr>
        <w:tab/>
      </w:r>
      <w:r w:rsidR="00F936E1" w:rsidRPr="004A63D0">
        <w:rPr>
          <w:spacing w:val="-3"/>
          <w:sz w:val="24"/>
          <w:szCs w:val="24"/>
        </w:rPr>
        <w:tab/>
      </w:r>
      <w:r w:rsidR="00F936E1" w:rsidRPr="004A63D0">
        <w:rPr>
          <w:spacing w:val="-3"/>
          <w:sz w:val="24"/>
          <w:szCs w:val="24"/>
        </w:rPr>
        <w:tab/>
        <w:t>:</w:t>
      </w:r>
    </w:p>
    <w:p w:rsidR="00F936E1" w:rsidRPr="004A63D0" w:rsidRDefault="00F936E1" w:rsidP="00C7592A">
      <w:pPr>
        <w:tabs>
          <w:tab w:val="left" w:pos="-1440"/>
          <w:tab w:val="left" w:pos="-720"/>
        </w:tabs>
        <w:suppressAutoHyphens/>
        <w:rPr>
          <w:spacing w:val="-3"/>
          <w:sz w:val="24"/>
          <w:szCs w:val="24"/>
        </w:rPr>
      </w:pP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t>:</w:t>
      </w:r>
    </w:p>
    <w:p w:rsidR="00F936E1" w:rsidRPr="004A63D0" w:rsidRDefault="00F936E1" w:rsidP="00C7592A">
      <w:pPr>
        <w:tabs>
          <w:tab w:val="left" w:pos="-1440"/>
          <w:tab w:val="left" w:pos="-720"/>
        </w:tabs>
        <w:suppressAutoHyphens/>
        <w:rPr>
          <w:sz w:val="24"/>
          <w:szCs w:val="24"/>
        </w:rPr>
      </w:pPr>
      <w:r w:rsidRPr="004A63D0">
        <w:rPr>
          <w:spacing w:val="-3"/>
          <w:sz w:val="24"/>
          <w:szCs w:val="24"/>
        </w:rPr>
        <w:tab/>
        <w:t>v.</w:t>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t>:</w:t>
      </w:r>
      <w:r w:rsidRPr="004A63D0">
        <w:rPr>
          <w:spacing w:val="-3"/>
          <w:sz w:val="24"/>
          <w:szCs w:val="24"/>
        </w:rPr>
        <w:tab/>
      </w:r>
      <w:r w:rsidR="00F77157">
        <w:rPr>
          <w:spacing w:val="-3"/>
          <w:sz w:val="24"/>
          <w:szCs w:val="24"/>
        </w:rPr>
        <w:tab/>
      </w:r>
      <w:r w:rsidRPr="004A63D0">
        <w:rPr>
          <w:spacing w:val="-3"/>
          <w:sz w:val="24"/>
          <w:szCs w:val="24"/>
        </w:rPr>
        <w:tab/>
        <w:t>C</w:t>
      </w:r>
      <w:r w:rsidRPr="004A63D0">
        <w:rPr>
          <w:sz w:val="24"/>
          <w:szCs w:val="24"/>
        </w:rPr>
        <w:t>-201</w:t>
      </w:r>
      <w:r w:rsidR="00382280" w:rsidRPr="004A63D0">
        <w:rPr>
          <w:sz w:val="24"/>
          <w:szCs w:val="24"/>
        </w:rPr>
        <w:t>3</w:t>
      </w:r>
      <w:r w:rsidRPr="004A63D0">
        <w:rPr>
          <w:sz w:val="24"/>
          <w:szCs w:val="24"/>
        </w:rPr>
        <w:t>-</w:t>
      </w:r>
      <w:r w:rsidR="00382280" w:rsidRPr="004A63D0">
        <w:rPr>
          <w:sz w:val="24"/>
          <w:szCs w:val="24"/>
        </w:rPr>
        <w:t>235</w:t>
      </w:r>
      <w:r w:rsidR="005E5C61" w:rsidRPr="004A63D0">
        <w:rPr>
          <w:sz w:val="24"/>
          <w:szCs w:val="24"/>
        </w:rPr>
        <w:t>6606</w:t>
      </w:r>
    </w:p>
    <w:p w:rsidR="00F936E1" w:rsidRPr="004A63D0" w:rsidRDefault="00F936E1" w:rsidP="00C7592A">
      <w:pPr>
        <w:tabs>
          <w:tab w:val="left" w:pos="-1440"/>
          <w:tab w:val="left" w:pos="-720"/>
        </w:tabs>
        <w:suppressAutoHyphens/>
        <w:rPr>
          <w:spacing w:val="-3"/>
          <w:sz w:val="24"/>
          <w:szCs w:val="24"/>
        </w:rPr>
      </w:pP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t>:</w:t>
      </w:r>
    </w:p>
    <w:p w:rsidR="00F936E1" w:rsidRPr="004A63D0" w:rsidRDefault="005E5C61" w:rsidP="00C7592A">
      <w:pPr>
        <w:tabs>
          <w:tab w:val="left" w:pos="-1440"/>
          <w:tab w:val="left" w:pos="-720"/>
        </w:tabs>
        <w:suppressAutoHyphens/>
        <w:rPr>
          <w:spacing w:val="-3"/>
          <w:sz w:val="24"/>
          <w:szCs w:val="24"/>
        </w:rPr>
      </w:pPr>
      <w:r w:rsidRPr="004A63D0">
        <w:rPr>
          <w:spacing w:val="-3"/>
          <w:sz w:val="24"/>
          <w:szCs w:val="24"/>
        </w:rPr>
        <w:t xml:space="preserve">PECO Energy </w:t>
      </w:r>
      <w:r w:rsidR="00382280" w:rsidRPr="004A63D0">
        <w:rPr>
          <w:spacing w:val="-3"/>
          <w:sz w:val="24"/>
          <w:szCs w:val="24"/>
        </w:rPr>
        <w:t>Company</w:t>
      </w:r>
      <w:r w:rsidR="00F936E1" w:rsidRPr="004A63D0">
        <w:rPr>
          <w:spacing w:val="-3"/>
          <w:sz w:val="24"/>
          <w:szCs w:val="24"/>
        </w:rPr>
        <w:tab/>
      </w:r>
      <w:r w:rsidR="00F936E1" w:rsidRPr="004A63D0">
        <w:rPr>
          <w:spacing w:val="-3"/>
          <w:sz w:val="24"/>
          <w:szCs w:val="24"/>
        </w:rPr>
        <w:tab/>
      </w:r>
      <w:r w:rsidR="00F936E1" w:rsidRPr="004A63D0">
        <w:rPr>
          <w:spacing w:val="-3"/>
          <w:sz w:val="24"/>
          <w:szCs w:val="24"/>
        </w:rPr>
        <w:tab/>
      </w:r>
      <w:r w:rsidR="00F936E1" w:rsidRPr="004A63D0">
        <w:rPr>
          <w:spacing w:val="-3"/>
          <w:sz w:val="24"/>
          <w:szCs w:val="24"/>
        </w:rPr>
        <w:tab/>
        <w:t>:</w:t>
      </w:r>
    </w:p>
    <w:p w:rsidR="00F936E1" w:rsidRPr="004A63D0" w:rsidRDefault="00F936E1" w:rsidP="00C7592A">
      <w:pPr>
        <w:tabs>
          <w:tab w:val="left" w:pos="-1440"/>
          <w:tab w:val="left" w:pos="-720"/>
        </w:tabs>
        <w:suppressAutoHyphens/>
        <w:rPr>
          <w:spacing w:val="-3"/>
          <w:sz w:val="24"/>
          <w:szCs w:val="24"/>
        </w:rPr>
      </w:pPr>
    </w:p>
    <w:p w:rsidR="00F936E1" w:rsidRPr="004A63D0" w:rsidRDefault="00F936E1" w:rsidP="00B70933">
      <w:pPr>
        <w:tabs>
          <w:tab w:val="left" w:pos="-1440"/>
          <w:tab w:val="left" w:pos="-720"/>
        </w:tabs>
        <w:suppressAutoHyphens/>
        <w:rPr>
          <w:spacing w:val="-3"/>
          <w:sz w:val="24"/>
          <w:szCs w:val="24"/>
        </w:rPr>
      </w:pPr>
    </w:p>
    <w:p w:rsidR="00F936E1" w:rsidRPr="004A63D0" w:rsidRDefault="00F936E1" w:rsidP="00C7592A">
      <w:pPr>
        <w:tabs>
          <w:tab w:val="left" w:pos="-1440"/>
          <w:tab w:val="left" w:pos="-720"/>
        </w:tabs>
        <w:suppressAutoHyphens/>
        <w:rPr>
          <w:spacing w:val="-3"/>
          <w:sz w:val="24"/>
          <w:szCs w:val="24"/>
        </w:rPr>
      </w:pPr>
    </w:p>
    <w:p w:rsidR="00F936E1" w:rsidRPr="004A63D0" w:rsidRDefault="00F936E1" w:rsidP="00C7592A">
      <w:pPr>
        <w:tabs>
          <w:tab w:val="center" w:pos="4680"/>
        </w:tabs>
        <w:suppressAutoHyphens/>
        <w:jc w:val="center"/>
        <w:rPr>
          <w:b/>
          <w:spacing w:val="-3"/>
          <w:sz w:val="24"/>
          <w:szCs w:val="24"/>
          <w:u w:val="single"/>
        </w:rPr>
      </w:pPr>
      <w:r w:rsidRPr="004A63D0">
        <w:rPr>
          <w:b/>
          <w:spacing w:val="-3"/>
          <w:sz w:val="24"/>
          <w:szCs w:val="24"/>
          <w:u w:val="single"/>
        </w:rPr>
        <w:t xml:space="preserve">INITIAL DECISION GRANTING </w:t>
      </w:r>
      <w:r w:rsidR="004C409D" w:rsidRPr="004A63D0">
        <w:rPr>
          <w:b/>
          <w:spacing w:val="-3"/>
          <w:sz w:val="24"/>
          <w:szCs w:val="24"/>
          <w:u w:val="single"/>
        </w:rPr>
        <w:t>PRELIMINARY OBJECTIONS</w:t>
      </w:r>
    </w:p>
    <w:p w:rsidR="00F936E1" w:rsidRPr="004A63D0" w:rsidRDefault="00F936E1" w:rsidP="00C7592A">
      <w:pPr>
        <w:tabs>
          <w:tab w:val="center" w:pos="4680"/>
        </w:tabs>
        <w:suppressAutoHyphens/>
        <w:jc w:val="center"/>
        <w:rPr>
          <w:b/>
          <w:spacing w:val="-3"/>
          <w:sz w:val="24"/>
          <w:szCs w:val="24"/>
        </w:rPr>
      </w:pPr>
    </w:p>
    <w:p w:rsidR="00F936E1" w:rsidRPr="004A63D0" w:rsidRDefault="00F936E1" w:rsidP="00C7592A">
      <w:pPr>
        <w:tabs>
          <w:tab w:val="center" w:pos="4680"/>
        </w:tabs>
        <w:suppressAutoHyphens/>
        <w:jc w:val="center"/>
        <w:rPr>
          <w:b/>
          <w:spacing w:val="-3"/>
          <w:sz w:val="24"/>
          <w:szCs w:val="24"/>
        </w:rPr>
      </w:pPr>
    </w:p>
    <w:p w:rsidR="00F936E1" w:rsidRPr="004A63D0" w:rsidRDefault="00F936E1" w:rsidP="00C7592A">
      <w:pPr>
        <w:tabs>
          <w:tab w:val="center" w:pos="4680"/>
        </w:tabs>
        <w:suppressAutoHyphens/>
        <w:jc w:val="center"/>
        <w:rPr>
          <w:spacing w:val="-3"/>
          <w:sz w:val="24"/>
          <w:szCs w:val="24"/>
        </w:rPr>
      </w:pPr>
      <w:r w:rsidRPr="004A63D0">
        <w:rPr>
          <w:spacing w:val="-3"/>
          <w:sz w:val="24"/>
          <w:szCs w:val="24"/>
        </w:rPr>
        <w:t>Before</w:t>
      </w:r>
    </w:p>
    <w:p w:rsidR="00F936E1" w:rsidRPr="004A63D0" w:rsidRDefault="004C409D" w:rsidP="00C7592A">
      <w:pPr>
        <w:tabs>
          <w:tab w:val="center" w:pos="4680"/>
        </w:tabs>
        <w:suppressAutoHyphens/>
        <w:jc w:val="center"/>
        <w:rPr>
          <w:spacing w:val="-3"/>
          <w:sz w:val="24"/>
          <w:szCs w:val="24"/>
        </w:rPr>
      </w:pPr>
      <w:r w:rsidRPr="004A63D0">
        <w:rPr>
          <w:spacing w:val="-3"/>
          <w:sz w:val="24"/>
          <w:szCs w:val="24"/>
        </w:rPr>
        <w:t>Elizabeth H. Barnes</w:t>
      </w:r>
    </w:p>
    <w:p w:rsidR="00F936E1" w:rsidRPr="004A63D0" w:rsidRDefault="00F936E1" w:rsidP="00C7592A">
      <w:pPr>
        <w:tabs>
          <w:tab w:val="center" w:pos="4680"/>
        </w:tabs>
        <w:suppressAutoHyphens/>
        <w:jc w:val="center"/>
        <w:rPr>
          <w:spacing w:val="-3"/>
          <w:sz w:val="24"/>
          <w:szCs w:val="24"/>
        </w:rPr>
      </w:pPr>
      <w:r w:rsidRPr="004A63D0">
        <w:rPr>
          <w:spacing w:val="-3"/>
          <w:sz w:val="24"/>
          <w:szCs w:val="24"/>
        </w:rPr>
        <w:t>Administrative Law Judge</w:t>
      </w:r>
    </w:p>
    <w:p w:rsidR="00F936E1" w:rsidRPr="004A63D0" w:rsidRDefault="00F936E1" w:rsidP="00C7592A">
      <w:pPr>
        <w:tabs>
          <w:tab w:val="left" w:pos="-1440"/>
          <w:tab w:val="left" w:pos="-720"/>
        </w:tabs>
        <w:suppressAutoHyphens/>
        <w:ind w:firstLine="1440"/>
        <w:jc w:val="center"/>
        <w:rPr>
          <w:spacing w:val="-3"/>
          <w:sz w:val="24"/>
          <w:szCs w:val="24"/>
        </w:rPr>
      </w:pPr>
    </w:p>
    <w:p w:rsidR="00F936E1" w:rsidRPr="004A63D0" w:rsidRDefault="00F936E1" w:rsidP="00C7592A">
      <w:pPr>
        <w:tabs>
          <w:tab w:val="left" w:pos="-1440"/>
          <w:tab w:val="left" w:pos="-720"/>
        </w:tabs>
        <w:suppressAutoHyphens/>
        <w:ind w:firstLine="1440"/>
        <w:jc w:val="center"/>
        <w:rPr>
          <w:spacing w:val="-3"/>
          <w:sz w:val="24"/>
          <w:szCs w:val="24"/>
        </w:rPr>
      </w:pPr>
    </w:p>
    <w:p w:rsidR="00F936E1" w:rsidRPr="004A63D0" w:rsidRDefault="00F936E1" w:rsidP="00C7592A">
      <w:pPr>
        <w:tabs>
          <w:tab w:val="center" w:pos="4680"/>
        </w:tabs>
        <w:suppressAutoHyphens/>
        <w:jc w:val="center"/>
        <w:rPr>
          <w:spacing w:val="-3"/>
          <w:sz w:val="24"/>
          <w:szCs w:val="24"/>
          <w:u w:val="single"/>
        </w:rPr>
      </w:pPr>
      <w:r w:rsidRPr="004A63D0">
        <w:rPr>
          <w:spacing w:val="-3"/>
          <w:sz w:val="24"/>
          <w:szCs w:val="24"/>
          <w:u w:val="single"/>
        </w:rPr>
        <w:t>HISTORY OF THE PROCEEDING</w:t>
      </w:r>
    </w:p>
    <w:p w:rsidR="00F936E1" w:rsidRPr="004A63D0" w:rsidRDefault="00F936E1" w:rsidP="00C7592A">
      <w:pPr>
        <w:tabs>
          <w:tab w:val="center" w:pos="4680"/>
        </w:tabs>
        <w:suppressAutoHyphens/>
        <w:ind w:firstLine="1440"/>
        <w:rPr>
          <w:spacing w:val="-3"/>
          <w:sz w:val="24"/>
          <w:szCs w:val="24"/>
        </w:rPr>
      </w:pPr>
    </w:p>
    <w:p w:rsidR="00F936E1" w:rsidRPr="004A63D0" w:rsidRDefault="00F936E1" w:rsidP="00C7592A">
      <w:pPr>
        <w:tabs>
          <w:tab w:val="left" w:pos="-1440"/>
          <w:tab w:val="left" w:pos="-720"/>
        </w:tabs>
        <w:suppressAutoHyphens/>
        <w:ind w:firstLine="1440"/>
        <w:rPr>
          <w:spacing w:val="-3"/>
          <w:sz w:val="24"/>
          <w:szCs w:val="24"/>
        </w:rPr>
      </w:pPr>
    </w:p>
    <w:p w:rsidR="004C409D" w:rsidRPr="004A63D0" w:rsidRDefault="00710526" w:rsidP="00C7592A">
      <w:pPr>
        <w:spacing w:line="360" w:lineRule="auto"/>
        <w:rPr>
          <w:spacing w:val="-3"/>
          <w:sz w:val="24"/>
          <w:szCs w:val="24"/>
        </w:rPr>
      </w:pPr>
      <w:r w:rsidRPr="004A63D0">
        <w:rPr>
          <w:spacing w:val="-3"/>
          <w:sz w:val="24"/>
          <w:szCs w:val="24"/>
        </w:rPr>
        <w:tab/>
      </w:r>
      <w:r w:rsidRPr="004A63D0">
        <w:rPr>
          <w:spacing w:val="-3"/>
          <w:sz w:val="24"/>
          <w:szCs w:val="24"/>
        </w:rPr>
        <w:tab/>
      </w:r>
      <w:r w:rsidR="00F936E1" w:rsidRPr="004A63D0">
        <w:rPr>
          <w:spacing w:val="-3"/>
          <w:sz w:val="24"/>
          <w:szCs w:val="24"/>
        </w:rPr>
        <w:t xml:space="preserve">On </w:t>
      </w:r>
      <w:r w:rsidR="005E5C61" w:rsidRPr="004A63D0">
        <w:rPr>
          <w:spacing w:val="-3"/>
          <w:sz w:val="24"/>
          <w:szCs w:val="24"/>
        </w:rPr>
        <w:t>March 21, 2013</w:t>
      </w:r>
      <w:r w:rsidR="00F936E1" w:rsidRPr="004A63D0">
        <w:rPr>
          <w:spacing w:val="-3"/>
          <w:sz w:val="24"/>
          <w:szCs w:val="24"/>
        </w:rPr>
        <w:t xml:space="preserve">, </w:t>
      </w:r>
      <w:r w:rsidR="005E5C61" w:rsidRPr="004A63D0">
        <w:rPr>
          <w:spacing w:val="-3"/>
          <w:sz w:val="24"/>
          <w:szCs w:val="24"/>
        </w:rPr>
        <w:t>Jeff Morgan</w:t>
      </w:r>
      <w:r w:rsidR="00382280" w:rsidRPr="004A63D0">
        <w:rPr>
          <w:spacing w:val="-3"/>
          <w:sz w:val="24"/>
          <w:szCs w:val="24"/>
        </w:rPr>
        <w:t xml:space="preserve"> </w:t>
      </w:r>
      <w:r w:rsidR="004A6A2C" w:rsidRPr="004A63D0">
        <w:rPr>
          <w:spacing w:val="-3"/>
          <w:sz w:val="24"/>
          <w:szCs w:val="24"/>
        </w:rPr>
        <w:t>(Mr.</w:t>
      </w:r>
      <w:r w:rsidR="004C409D" w:rsidRPr="004A63D0">
        <w:rPr>
          <w:spacing w:val="-3"/>
          <w:sz w:val="24"/>
          <w:szCs w:val="24"/>
        </w:rPr>
        <w:t xml:space="preserve"> </w:t>
      </w:r>
      <w:r w:rsidR="005E5C61" w:rsidRPr="004A63D0">
        <w:rPr>
          <w:spacing w:val="-3"/>
          <w:sz w:val="24"/>
          <w:szCs w:val="24"/>
        </w:rPr>
        <w:t>Morgan</w:t>
      </w:r>
      <w:r w:rsidR="004A6A2C" w:rsidRPr="004A63D0">
        <w:rPr>
          <w:spacing w:val="-3"/>
          <w:sz w:val="24"/>
          <w:szCs w:val="24"/>
        </w:rPr>
        <w:t xml:space="preserve"> or complainant)</w:t>
      </w:r>
      <w:r w:rsidR="00F936E1" w:rsidRPr="004A63D0">
        <w:rPr>
          <w:spacing w:val="-3"/>
          <w:sz w:val="24"/>
          <w:szCs w:val="24"/>
        </w:rPr>
        <w:t xml:space="preserve"> filed a formal Complaint (Complaint) with the Pennsylvania Public Utility Commission (Commission) against</w:t>
      </w:r>
      <w:r w:rsidR="004A6A2C" w:rsidRPr="004A63D0">
        <w:rPr>
          <w:spacing w:val="-3"/>
          <w:sz w:val="24"/>
          <w:szCs w:val="24"/>
        </w:rPr>
        <w:t xml:space="preserve"> </w:t>
      </w:r>
      <w:r w:rsidR="005E5C61" w:rsidRPr="004A63D0">
        <w:rPr>
          <w:spacing w:val="-3"/>
          <w:sz w:val="24"/>
          <w:szCs w:val="24"/>
        </w:rPr>
        <w:t>PECO</w:t>
      </w:r>
      <w:r w:rsidR="00382280" w:rsidRPr="004A63D0">
        <w:rPr>
          <w:spacing w:val="-3"/>
          <w:sz w:val="24"/>
          <w:szCs w:val="24"/>
        </w:rPr>
        <w:t xml:space="preserve"> </w:t>
      </w:r>
      <w:r w:rsidR="00036C51">
        <w:rPr>
          <w:spacing w:val="-3"/>
          <w:sz w:val="24"/>
          <w:szCs w:val="24"/>
        </w:rPr>
        <w:t>Energy</w:t>
      </w:r>
      <w:r w:rsidR="004A6A2C" w:rsidRPr="004A63D0">
        <w:rPr>
          <w:spacing w:val="-3"/>
          <w:sz w:val="24"/>
          <w:szCs w:val="24"/>
        </w:rPr>
        <w:t xml:space="preserve"> Company (</w:t>
      </w:r>
      <w:r w:rsidR="005E5C61" w:rsidRPr="004A63D0">
        <w:rPr>
          <w:spacing w:val="-3"/>
          <w:sz w:val="24"/>
          <w:szCs w:val="24"/>
        </w:rPr>
        <w:t>PECO</w:t>
      </w:r>
      <w:r w:rsidR="00382280" w:rsidRPr="004A63D0">
        <w:rPr>
          <w:spacing w:val="-3"/>
          <w:sz w:val="24"/>
          <w:szCs w:val="24"/>
        </w:rPr>
        <w:t xml:space="preserve"> or respondent), requesting the Commission forbid the installation of a smart meter on his house.  Atta</w:t>
      </w:r>
      <w:r w:rsidR="00504517" w:rsidRPr="004A63D0">
        <w:rPr>
          <w:spacing w:val="-3"/>
          <w:sz w:val="24"/>
          <w:szCs w:val="24"/>
        </w:rPr>
        <w:t xml:space="preserve">ched to his complaint is a </w:t>
      </w:r>
      <w:r w:rsidR="005E5C61" w:rsidRPr="004A63D0">
        <w:rPr>
          <w:spacing w:val="-3"/>
          <w:sz w:val="24"/>
          <w:szCs w:val="24"/>
        </w:rPr>
        <w:t>letter</w:t>
      </w:r>
      <w:r w:rsidR="00382280" w:rsidRPr="004A63D0">
        <w:rPr>
          <w:spacing w:val="-3"/>
          <w:sz w:val="24"/>
          <w:szCs w:val="24"/>
        </w:rPr>
        <w:t xml:space="preserve"> signed by complainant </w:t>
      </w:r>
      <w:r w:rsidR="004A63D0">
        <w:rPr>
          <w:spacing w:val="-3"/>
          <w:sz w:val="24"/>
          <w:szCs w:val="24"/>
        </w:rPr>
        <w:t>dated March 18, </w:t>
      </w:r>
      <w:r w:rsidR="005E5C61" w:rsidRPr="004A63D0">
        <w:rPr>
          <w:spacing w:val="-3"/>
          <w:sz w:val="24"/>
          <w:szCs w:val="24"/>
        </w:rPr>
        <w:t>2013 asking the PUC to “Keep your ‘smart’ meters off my house so they don’t burn it down or some other crazy thing.</w:t>
      </w:r>
      <w:r w:rsidR="00583A7A" w:rsidRPr="004A63D0">
        <w:rPr>
          <w:spacing w:val="-3"/>
          <w:sz w:val="24"/>
          <w:szCs w:val="24"/>
        </w:rPr>
        <w:t xml:space="preserve">  Let me pay my monthly bill and stay away from micro managing or analyzing (sic) my life.</w:t>
      </w:r>
      <w:r w:rsidR="005E5C61" w:rsidRPr="004A63D0">
        <w:rPr>
          <w:spacing w:val="-3"/>
          <w:sz w:val="24"/>
          <w:szCs w:val="24"/>
        </w:rPr>
        <w:t>”</w:t>
      </w:r>
    </w:p>
    <w:p w:rsidR="005E5C61" w:rsidRPr="004A63D0" w:rsidRDefault="005E5C61" w:rsidP="00C7592A">
      <w:pPr>
        <w:spacing w:line="360" w:lineRule="auto"/>
        <w:rPr>
          <w:spacing w:val="-3"/>
          <w:sz w:val="24"/>
          <w:szCs w:val="24"/>
        </w:rPr>
      </w:pPr>
    </w:p>
    <w:p w:rsidR="00F15449" w:rsidRPr="004A63D0" w:rsidRDefault="0094208F" w:rsidP="00C7592A">
      <w:pPr>
        <w:spacing w:line="360" w:lineRule="auto"/>
        <w:ind w:firstLine="1440"/>
        <w:rPr>
          <w:spacing w:val="-3"/>
          <w:sz w:val="24"/>
          <w:szCs w:val="24"/>
        </w:rPr>
      </w:pPr>
      <w:r w:rsidRPr="004A63D0">
        <w:rPr>
          <w:spacing w:val="-3"/>
          <w:sz w:val="24"/>
          <w:szCs w:val="24"/>
        </w:rPr>
        <w:t xml:space="preserve">On </w:t>
      </w:r>
      <w:r w:rsidR="00382280" w:rsidRPr="004A63D0">
        <w:rPr>
          <w:spacing w:val="-3"/>
          <w:sz w:val="24"/>
          <w:szCs w:val="24"/>
        </w:rPr>
        <w:t xml:space="preserve">April </w:t>
      </w:r>
      <w:r w:rsidR="005E5C61" w:rsidRPr="004A63D0">
        <w:rPr>
          <w:spacing w:val="-3"/>
          <w:sz w:val="24"/>
          <w:szCs w:val="24"/>
        </w:rPr>
        <w:t>8</w:t>
      </w:r>
      <w:r w:rsidR="004C409D" w:rsidRPr="004A63D0">
        <w:rPr>
          <w:spacing w:val="-3"/>
          <w:sz w:val="24"/>
          <w:szCs w:val="24"/>
        </w:rPr>
        <w:t>, 201</w:t>
      </w:r>
      <w:r w:rsidR="00382280" w:rsidRPr="004A63D0">
        <w:rPr>
          <w:spacing w:val="-3"/>
          <w:sz w:val="24"/>
          <w:szCs w:val="24"/>
        </w:rPr>
        <w:t>3</w:t>
      </w:r>
      <w:r w:rsidR="004C409D" w:rsidRPr="004A63D0">
        <w:rPr>
          <w:spacing w:val="-3"/>
          <w:sz w:val="24"/>
          <w:szCs w:val="24"/>
        </w:rPr>
        <w:t xml:space="preserve">, the Complaint was served on respondent.  On April </w:t>
      </w:r>
      <w:r w:rsidR="00382280" w:rsidRPr="004A63D0">
        <w:rPr>
          <w:spacing w:val="-3"/>
          <w:sz w:val="24"/>
          <w:szCs w:val="24"/>
        </w:rPr>
        <w:t>1</w:t>
      </w:r>
      <w:r w:rsidR="005E5C61" w:rsidRPr="004A63D0">
        <w:rPr>
          <w:spacing w:val="-3"/>
          <w:sz w:val="24"/>
          <w:szCs w:val="24"/>
        </w:rPr>
        <w:t>6</w:t>
      </w:r>
      <w:r w:rsidR="004C409D" w:rsidRPr="004A63D0">
        <w:rPr>
          <w:spacing w:val="-3"/>
          <w:sz w:val="24"/>
          <w:szCs w:val="24"/>
        </w:rPr>
        <w:t>, 201</w:t>
      </w:r>
      <w:r w:rsidR="00382280" w:rsidRPr="004A63D0">
        <w:rPr>
          <w:spacing w:val="-3"/>
          <w:sz w:val="24"/>
          <w:szCs w:val="24"/>
        </w:rPr>
        <w:t>3</w:t>
      </w:r>
      <w:r w:rsidRPr="004A63D0">
        <w:rPr>
          <w:spacing w:val="-3"/>
          <w:sz w:val="24"/>
          <w:szCs w:val="24"/>
        </w:rPr>
        <w:t xml:space="preserve">, respondent </w:t>
      </w:r>
      <w:r w:rsidR="004C409D" w:rsidRPr="004A63D0">
        <w:rPr>
          <w:spacing w:val="-3"/>
          <w:sz w:val="24"/>
          <w:szCs w:val="24"/>
        </w:rPr>
        <w:t xml:space="preserve">timely </w:t>
      </w:r>
      <w:r w:rsidRPr="004A63D0">
        <w:rPr>
          <w:spacing w:val="-3"/>
          <w:sz w:val="24"/>
          <w:szCs w:val="24"/>
        </w:rPr>
        <w:t>filed</w:t>
      </w:r>
      <w:r w:rsidR="00F15449" w:rsidRPr="004A63D0">
        <w:rPr>
          <w:spacing w:val="-3"/>
          <w:sz w:val="24"/>
          <w:szCs w:val="24"/>
        </w:rPr>
        <w:t xml:space="preserve"> </w:t>
      </w:r>
      <w:r w:rsidR="005E5C61" w:rsidRPr="004A63D0">
        <w:rPr>
          <w:spacing w:val="-3"/>
          <w:sz w:val="24"/>
          <w:szCs w:val="24"/>
        </w:rPr>
        <w:t>Preliminary Objections to the</w:t>
      </w:r>
      <w:r w:rsidR="00710526" w:rsidRPr="004A63D0">
        <w:rPr>
          <w:spacing w:val="-3"/>
          <w:sz w:val="24"/>
          <w:szCs w:val="24"/>
        </w:rPr>
        <w:t xml:space="preserve"> Complaint.  </w:t>
      </w:r>
      <w:r w:rsidR="00382280" w:rsidRPr="004A63D0">
        <w:rPr>
          <w:spacing w:val="-3"/>
          <w:sz w:val="24"/>
          <w:szCs w:val="24"/>
        </w:rPr>
        <w:t>Respondent</w:t>
      </w:r>
      <w:r w:rsidR="00710526" w:rsidRPr="004A63D0">
        <w:rPr>
          <w:spacing w:val="-3"/>
          <w:sz w:val="24"/>
          <w:szCs w:val="24"/>
        </w:rPr>
        <w:t xml:space="preserve"> </w:t>
      </w:r>
      <w:r w:rsidR="005E5C61" w:rsidRPr="004A63D0">
        <w:rPr>
          <w:spacing w:val="-3"/>
          <w:sz w:val="24"/>
          <w:szCs w:val="24"/>
        </w:rPr>
        <w:t xml:space="preserve">argues </w:t>
      </w:r>
      <w:r w:rsidR="00076451" w:rsidRPr="004A63D0">
        <w:rPr>
          <w:spacing w:val="-3"/>
          <w:sz w:val="24"/>
          <w:szCs w:val="24"/>
        </w:rPr>
        <w:t xml:space="preserve">that the complaint is legally insufficient because there is no averment that the Utility Code or Commission order or regulation has been violated pursuant to Section 701 of the Public Utility Code, 66 Pa. C.S. § 701.  Rather, because </w:t>
      </w:r>
      <w:r w:rsidR="00F15449" w:rsidRPr="004A63D0">
        <w:rPr>
          <w:spacing w:val="-3"/>
          <w:sz w:val="24"/>
          <w:szCs w:val="24"/>
        </w:rPr>
        <w:t>complainant</w:t>
      </w:r>
      <w:r w:rsidR="00076451" w:rsidRPr="004A63D0">
        <w:rPr>
          <w:spacing w:val="-3"/>
          <w:sz w:val="24"/>
          <w:szCs w:val="24"/>
        </w:rPr>
        <w:t xml:space="preserve"> essentially disagrees with the legislative and Commission directives regarding smart meter deployment in accordance with Act 129, 66 Pa. C.S. § 2807(f), this </w:t>
      </w:r>
      <w:r w:rsidR="00A46554" w:rsidRPr="004A63D0">
        <w:rPr>
          <w:spacing w:val="-3"/>
          <w:sz w:val="24"/>
          <w:szCs w:val="24"/>
        </w:rPr>
        <w:lastRenderedPageBreak/>
        <w:t>C</w:t>
      </w:r>
      <w:r w:rsidR="00076451" w:rsidRPr="004A63D0">
        <w:rPr>
          <w:spacing w:val="-3"/>
          <w:sz w:val="24"/>
          <w:szCs w:val="24"/>
        </w:rPr>
        <w:t>omplaint</w:t>
      </w:r>
      <w:r w:rsidR="00F15449" w:rsidRPr="004A63D0">
        <w:rPr>
          <w:spacing w:val="-3"/>
          <w:sz w:val="24"/>
          <w:szCs w:val="24"/>
        </w:rPr>
        <w:t xml:space="preserve"> would have been more appropriately addressed via a petition to rescind or amend the Commission’s prior order pursuant to Section 703 of the Public Utility Code, 66 Pa.C.S. §703(g).</w:t>
      </w:r>
    </w:p>
    <w:p w:rsidR="00F15449" w:rsidRPr="004A63D0" w:rsidRDefault="00F15449" w:rsidP="008B4CFD">
      <w:pPr>
        <w:spacing w:line="360" w:lineRule="auto"/>
        <w:rPr>
          <w:spacing w:val="-3"/>
          <w:sz w:val="24"/>
          <w:szCs w:val="24"/>
        </w:rPr>
      </w:pPr>
    </w:p>
    <w:p w:rsidR="00583767" w:rsidRPr="004A63D0" w:rsidRDefault="00583767" w:rsidP="00C7592A">
      <w:pPr>
        <w:spacing w:line="360" w:lineRule="auto"/>
        <w:jc w:val="center"/>
        <w:outlineLvl w:val="0"/>
        <w:rPr>
          <w:sz w:val="24"/>
          <w:szCs w:val="24"/>
          <w:u w:val="single"/>
        </w:rPr>
      </w:pPr>
      <w:r w:rsidRPr="004A63D0">
        <w:rPr>
          <w:sz w:val="24"/>
          <w:szCs w:val="24"/>
          <w:u w:val="single"/>
        </w:rPr>
        <w:t>FINDINGS OF FACT</w:t>
      </w:r>
    </w:p>
    <w:p w:rsidR="00583767" w:rsidRPr="004A63D0" w:rsidRDefault="00583767" w:rsidP="00C7592A">
      <w:pPr>
        <w:spacing w:line="360" w:lineRule="auto"/>
        <w:ind w:firstLine="1440"/>
        <w:outlineLvl w:val="0"/>
        <w:rPr>
          <w:sz w:val="24"/>
          <w:szCs w:val="24"/>
        </w:rPr>
      </w:pPr>
    </w:p>
    <w:p w:rsidR="00583767" w:rsidRPr="004A63D0" w:rsidRDefault="00583767" w:rsidP="00C7592A">
      <w:pPr>
        <w:spacing w:line="360" w:lineRule="auto"/>
        <w:ind w:firstLine="1440"/>
        <w:rPr>
          <w:sz w:val="24"/>
          <w:szCs w:val="24"/>
        </w:rPr>
      </w:pPr>
      <w:r w:rsidRPr="004A63D0">
        <w:rPr>
          <w:sz w:val="24"/>
          <w:szCs w:val="24"/>
        </w:rPr>
        <w:t>1.</w:t>
      </w:r>
      <w:r w:rsidRPr="004A63D0">
        <w:rPr>
          <w:sz w:val="24"/>
          <w:szCs w:val="24"/>
        </w:rPr>
        <w:tab/>
        <w:t xml:space="preserve">The complainant in this proceeding is </w:t>
      </w:r>
      <w:r w:rsidR="005E5C61" w:rsidRPr="004A63D0">
        <w:rPr>
          <w:sz w:val="24"/>
          <w:szCs w:val="24"/>
        </w:rPr>
        <w:t>Jeff Morgan</w:t>
      </w:r>
      <w:r w:rsidR="00150F49" w:rsidRPr="004A63D0">
        <w:rPr>
          <w:sz w:val="24"/>
          <w:szCs w:val="24"/>
        </w:rPr>
        <w:t>,</w:t>
      </w:r>
      <w:r w:rsidR="00DD43D8" w:rsidRPr="004A63D0">
        <w:rPr>
          <w:sz w:val="24"/>
          <w:szCs w:val="24"/>
        </w:rPr>
        <w:t xml:space="preserve"> who receives residential electric heat service from respondent at</w:t>
      </w:r>
      <w:r w:rsidR="0087473D" w:rsidRPr="004A63D0">
        <w:rPr>
          <w:sz w:val="24"/>
          <w:szCs w:val="24"/>
        </w:rPr>
        <w:t xml:space="preserve"> </w:t>
      </w:r>
      <w:r w:rsidR="005E5C61" w:rsidRPr="004A63D0">
        <w:rPr>
          <w:sz w:val="24"/>
          <w:szCs w:val="24"/>
        </w:rPr>
        <w:t xml:space="preserve">1760 Pickering Rd., Phoenixville, </w:t>
      </w:r>
      <w:r w:rsidR="001C57AC" w:rsidRPr="004A63D0">
        <w:rPr>
          <w:sz w:val="24"/>
          <w:szCs w:val="24"/>
        </w:rPr>
        <w:t>Pennsylvania </w:t>
      </w:r>
      <w:r w:rsidR="0087473D" w:rsidRPr="004A63D0">
        <w:rPr>
          <w:sz w:val="24"/>
          <w:szCs w:val="24"/>
        </w:rPr>
        <w:t>1</w:t>
      </w:r>
      <w:r w:rsidR="005E5C61" w:rsidRPr="004A63D0">
        <w:rPr>
          <w:sz w:val="24"/>
          <w:szCs w:val="24"/>
        </w:rPr>
        <w:t>9460</w:t>
      </w:r>
      <w:r w:rsidRPr="004A63D0">
        <w:rPr>
          <w:sz w:val="24"/>
          <w:szCs w:val="24"/>
        </w:rPr>
        <w:t>.</w:t>
      </w:r>
    </w:p>
    <w:p w:rsidR="00583767" w:rsidRPr="004A63D0" w:rsidRDefault="00583767" w:rsidP="00C7592A">
      <w:pPr>
        <w:spacing w:line="360" w:lineRule="auto"/>
        <w:ind w:firstLine="1440"/>
        <w:rPr>
          <w:sz w:val="24"/>
          <w:szCs w:val="24"/>
        </w:rPr>
      </w:pPr>
    </w:p>
    <w:p w:rsidR="00583767" w:rsidRPr="004A63D0" w:rsidRDefault="00583767" w:rsidP="00C7592A">
      <w:pPr>
        <w:spacing w:line="360" w:lineRule="auto"/>
        <w:ind w:firstLine="1440"/>
        <w:rPr>
          <w:sz w:val="24"/>
          <w:szCs w:val="24"/>
        </w:rPr>
      </w:pPr>
      <w:r w:rsidRPr="004A63D0">
        <w:rPr>
          <w:sz w:val="24"/>
          <w:szCs w:val="24"/>
        </w:rPr>
        <w:t>2.</w:t>
      </w:r>
      <w:r w:rsidRPr="004A63D0">
        <w:rPr>
          <w:sz w:val="24"/>
          <w:szCs w:val="24"/>
        </w:rPr>
        <w:tab/>
        <w:t xml:space="preserve">The respondent in this proceeding is </w:t>
      </w:r>
      <w:r w:rsidR="005E5C61" w:rsidRPr="004A63D0">
        <w:rPr>
          <w:sz w:val="24"/>
          <w:szCs w:val="24"/>
        </w:rPr>
        <w:t>PECO</w:t>
      </w:r>
      <w:r w:rsidR="0087473D" w:rsidRPr="004A63D0">
        <w:rPr>
          <w:sz w:val="24"/>
          <w:szCs w:val="24"/>
        </w:rPr>
        <w:t xml:space="preserve"> </w:t>
      </w:r>
      <w:r w:rsidR="005E5C61" w:rsidRPr="004A63D0">
        <w:rPr>
          <w:sz w:val="24"/>
          <w:szCs w:val="24"/>
        </w:rPr>
        <w:t>Energy</w:t>
      </w:r>
      <w:r w:rsidRPr="004A63D0">
        <w:rPr>
          <w:sz w:val="24"/>
          <w:szCs w:val="24"/>
        </w:rPr>
        <w:t xml:space="preserve"> Company.</w:t>
      </w:r>
    </w:p>
    <w:p w:rsidR="00583767" w:rsidRPr="004A63D0" w:rsidRDefault="00583767" w:rsidP="00C7592A">
      <w:pPr>
        <w:spacing w:line="360" w:lineRule="auto"/>
        <w:ind w:firstLine="1440"/>
        <w:rPr>
          <w:sz w:val="24"/>
          <w:szCs w:val="24"/>
        </w:rPr>
      </w:pPr>
    </w:p>
    <w:p w:rsidR="0087473D" w:rsidRPr="004A63D0" w:rsidRDefault="00583767" w:rsidP="00C7592A">
      <w:pPr>
        <w:spacing w:line="360" w:lineRule="auto"/>
        <w:ind w:firstLine="1440"/>
        <w:rPr>
          <w:sz w:val="24"/>
          <w:szCs w:val="24"/>
        </w:rPr>
      </w:pPr>
      <w:r w:rsidRPr="004A63D0">
        <w:rPr>
          <w:sz w:val="24"/>
          <w:szCs w:val="24"/>
        </w:rPr>
        <w:t>3.</w:t>
      </w:r>
      <w:r w:rsidRPr="004A63D0">
        <w:rPr>
          <w:sz w:val="24"/>
          <w:szCs w:val="24"/>
        </w:rPr>
        <w:tab/>
      </w:r>
      <w:r w:rsidR="0087473D" w:rsidRPr="004A63D0">
        <w:rPr>
          <w:sz w:val="24"/>
          <w:szCs w:val="24"/>
        </w:rPr>
        <w:t xml:space="preserve">Complainant requests the Commission forbid </w:t>
      </w:r>
      <w:r w:rsidR="005E5C61" w:rsidRPr="004A63D0">
        <w:rPr>
          <w:sz w:val="24"/>
          <w:szCs w:val="24"/>
        </w:rPr>
        <w:t>PECO</w:t>
      </w:r>
      <w:r w:rsidR="0087473D" w:rsidRPr="004A63D0">
        <w:rPr>
          <w:sz w:val="24"/>
          <w:szCs w:val="24"/>
        </w:rPr>
        <w:t xml:space="preserve"> from installing a smart meter on his house.</w:t>
      </w:r>
    </w:p>
    <w:p w:rsidR="0087473D" w:rsidRPr="004A63D0" w:rsidRDefault="0087473D" w:rsidP="00C7592A">
      <w:pPr>
        <w:spacing w:line="360" w:lineRule="auto"/>
        <w:ind w:firstLine="1440"/>
        <w:rPr>
          <w:sz w:val="24"/>
          <w:szCs w:val="24"/>
        </w:rPr>
      </w:pPr>
    </w:p>
    <w:p w:rsidR="0087473D" w:rsidRPr="004A63D0" w:rsidRDefault="0087473D" w:rsidP="00C7592A">
      <w:pPr>
        <w:spacing w:line="360" w:lineRule="auto"/>
        <w:ind w:firstLine="1440"/>
        <w:rPr>
          <w:spacing w:val="-3"/>
          <w:sz w:val="24"/>
          <w:szCs w:val="24"/>
        </w:rPr>
      </w:pPr>
      <w:r w:rsidRPr="004A63D0">
        <w:rPr>
          <w:sz w:val="24"/>
          <w:szCs w:val="24"/>
        </w:rPr>
        <w:t>4.</w:t>
      </w:r>
      <w:r w:rsidRPr="004A63D0">
        <w:rPr>
          <w:sz w:val="24"/>
          <w:szCs w:val="24"/>
        </w:rPr>
        <w:tab/>
      </w:r>
      <w:r w:rsidR="000D7CE5" w:rsidRPr="004A63D0">
        <w:rPr>
          <w:sz w:val="24"/>
          <w:szCs w:val="24"/>
        </w:rPr>
        <w:t xml:space="preserve">By </w:t>
      </w:r>
      <w:r w:rsidR="00E17458" w:rsidRPr="004A63D0">
        <w:rPr>
          <w:spacing w:val="-3"/>
          <w:sz w:val="24"/>
          <w:szCs w:val="24"/>
        </w:rPr>
        <w:t xml:space="preserve">Opinion and Order entered </w:t>
      </w:r>
      <w:r w:rsidR="006E357A" w:rsidRPr="004A63D0">
        <w:rPr>
          <w:spacing w:val="-3"/>
          <w:sz w:val="24"/>
          <w:szCs w:val="24"/>
        </w:rPr>
        <w:t>May 6, 2010</w:t>
      </w:r>
      <w:r w:rsidR="00E17458" w:rsidRPr="004A63D0">
        <w:rPr>
          <w:spacing w:val="-3"/>
          <w:sz w:val="24"/>
          <w:szCs w:val="24"/>
        </w:rPr>
        <w:t xml:space="preserve">, at Docket No. </w:t>
      </w:r>
      <w:r w:rsidRPr="004A63D0">
        <w:rPr>
          <w:spacing w:val="-3"/>
          <w:sz w:val="24"/>
          <w:szCs w:val="24"/>
        </w:rPr>
        <w:t>M-2009-21239</w:t>
      </w:r>
      <w:r w:rsidR="006E357A" w:rsidRPr="004A63D0">
        <w:rPr>
          <w:spacing w:val="-3"/>
          <w:sz w:val="24"/>
          <w:szCs w:val="24"/>
        </w:rPr>
        <w:t>44</w:t>
      </w:r>
      <w:r w:rsidRPr="004A63D0">
        <w:rPr>
          <w:spacing w:val="-3"/>
          <w:sz w:val="24"/>
          <w:szCs w:val="24"/>
        </w:rPr>
        <w:t>,</w:t>
      </w:r>
      <w:r w:rsidR="00E17458" w:rsidRPr="004A63D0">
        <w:rPr>
          <w:spacing w:val="-3"/>
          <w:sz w:val="24"/>
          <w:szCs w:val="24"/>
        </w:rPr>
        <w:t xml:space="preserve"> the Commission approved </w:t>
      </w:r>
      <w:r w:rsidR="005E5C61" w:rsidRPr="004A63D0">
        <w:rPr>
          <w:spacing w:val="-3"/>
          <w:sz w:val="24"/>
          <w:szCs w:val="24"/>
        </w:rPr>
        <w:t>PECO</w:t>
      </w:r>
      <w:r w:rsidRPr="004A63D0">
        <w:rPr>
          <w:spacing w:val="-3"/>
          <w:sz w:val="24"/>
          <w:szCs w:val="24"/>
        </w:rPr>
        <w:t xml:space="preserve">’s </w:t>
      </w:r>
      <w:r w:rsidR="006E357A" w:rsidRPr="004A63D0">
        <w:rPr>
          <w:spacing w:val="-3"/>
          <w:sz w:val="24"/>
          <w:szCs w:val="24"/>
        </w:rPr>
        <w:t xml:space="preserve">Smart Meter/Smart Grid Plan </w:t>
      </w:r>
      <w:r w:rsidRPr="004A63D0">
        <w:rPr>
          <w:spacing w:val="-3"/>
          <w:sz w:val="24"/>
          <w:szCs w:val="24"/>
        </w:rPr>
        <w:t>regarding smart meter deployment.</w:t>
      </w:r>
    </w:p>
    <w:p w:rsidR="0087473D" w:rsidRPr="004A63D0" w:rsidRDefault="0087473D" w:rsidP="00C7592A">
      <w:pPr>
        <w:spacing w:line="360" w:lineRule="auto"/>
        <w:ind w:firstLine="1440"/>
        <w:rPr>
          <w:spacing w:val="-3"/>
          <w:sz w:val="24"/>
          <w:szCs w:val="24"/>
        </w:rPr>
      </w:pPr>
    </w:p>
    <w:p w:rsidR="0087473D" w:rsidRPr="004A63D0" w:rsidRDefault="00504517" w:rsidP="00C7592A">
      <w:pPr>
        <w:spacing w:line="360" w:lineRule="auto"/>
        <w:ind w:firstLine="1440"/>
        <w:rPr>
          <w:spacing w:val="-3"/>
          <w:sz w:val="24"/>
          <w:szCs w:val="24"/>
        </w:rPr>
      </w:pPr>
      <w:r w:rsidRPr="004A63D0">
        <w:rPr>
          <w:spacing w:val="-3"/>
          <w:sz w:val="24"/>
          <w:szCs w:val="24"/>
        </w:rPr>
        <w:t>5</w:t>
      </w:r>
      <w:r w:rsidR="0087473D" w:rsidRPr="004A63D0">
        <w:rPr>
          <w:spacing w:val="-3"/>
          <w:sz w:val="24"/>
          <w:szCs w:val="24"/>
        </w:rPr>
        <w:t>.</w:t>
      </w:r>
      <w:r w:rsidR="0087473D" w:rsidRPr="004A63D0">
        <w:rPr>
          <w:spacing w:val="-3"/>
          <w:sz w:val="24"/>
          <w:szCs w:val="24"/>
        </w:rPr>
        <w:tab/>
      </w:r>
      <w:r w:rsidR="006E357A" w:rsidRPr="004A63D0">
        <w:rPr>
          <w:spacing w:val="-3"/>
          <w:sz w:val="24"/>
          <w:szCs w:val="24"/>
        </w:rPr>
        <w:t>PECO’s Smart Meter/Smart Grid Plan does not provide customers the ability to opt-out of having a smart meter installed in their homes or business</w:t>
      </w:r>
      <w:r w:rsidR="0090095E">
        <w:rPr>
          <w:spacing w:val="-3"/>
          <w:sz w:val="24"/>
          <w:szCs w:val="24"/>
        </w:rPr>
        <w:t>es</w:t>
      </w:r>
      <w:r w:rsidR="006E357A" w:rsidRPr="004A63D0">
        <w:rPr>
          <w:spacing w:val="-3"/>
          <w:sz w:val="24"/>
          <w:szCs w:val="24"/>
        </w:rPr>
        <w:t>.</w:t>
      </w:r>
    </w:p>
    <w:p w:rsidR="006E357A" w:rsidRPr="004A63D0" w:rsidRDefault="006E357A" w:rsidP="00C7592A">
      <w:pPr>
        <w:spacing w:line="360" w:lineRule="auto"/>
        <w:jc w:val="center"/>
        <w:outlineLvl w:val="0"/>
        <w:rPr>
          <w:sz w:val="24"/>
          <w:szCs w:val="24"/>
          <w:u w:val="single"/>
        </w:rPr>
      </w:pPr>
    </w:p>
    <w:p w:rsidR="00B61B76" w:rsidRPr="004A63D0" w:rsidRDefault="00B61B76" w:rsidP="00C7592A">
      <w:pPr>
        <w:spacing w:line="360" w:lineRule="auto"/>
        <w:jc w:val="center"/>
        <w:outlineLvl w:val="0"/>
        <w:rPr>
          <w:sz w:val="24"/>
          <w:szCs w:val="24"/>
          <w:u w:val="single"/>
        </w:rPr>
      </w:pPr>
      <w:r w:rsidRPr="004A63D0">
        <w:rPr>
          <w:sz w:val="24"/>
          <w:szCs w:val="24"/>
          <w:u w:val="single"/>
        </w:rPr>
        <w:t>DISCUSSION</w:t>
      </w:r>
    </w:p>
    <w:p w:rsidR="00B61B76" w:rsidRPr="004A63D0" w:rsidRDefault="00B61B76" w:rsidP="00C7592A">
      <w:pPr>
        <w:spacing w:line="360" w:lineRule="auto"/>
        <w:ind w:firstLine="1440"/>
        <w:outlineLvl w:val="0"/>
        <w:rPr>
          <w:sz w:val="24"/>
          <w:szCs w:val="24"/>
          <w:u w:val="single"/>
        </w:rPr>
      </w:pPr>
    </w:p>
    <w:p w:rsidR="0036156C" w:rsidRPr="00F77157" w:rsidRDefault="0036156C" w:rsidP="00C7592A">
      <w:pPr>
        <w:spacing w:line="360" w:lineRule="auto"/>
        <w:rPr>
          <w:sz w:val="24"/>
          <w:szCs w:val="24"/>
        </w:rPr>
      </w:pPr>
      <w:r w:rsidRPr="004A63D0">
        <w:rPr>
          <w:sz w:val="24"/>
          <w:szCs w:val="24"/>
        </w:rPr>
        <w:tab/>
      </w:r>
      <w:r w:rsidR="00504517" w:rsidRPr="004A63D0">
        <w:rPr>
          <w:sz w:val="24"/>
          <w:szCs w:val="24"/>
        </w:rPr>
        <w:tab/>
      </w:r>
      <w:r w:rsidRPr="004A63D0">
        <w:rPr>
          <w:sz w:val="24"/>
          <w:szCs w:val="24"/>
        </w:rPr>
        <w:t xml:space="preserve">Preliminary objections are appropriate under Commission regulations.  52 Pa. Code §5.101.  Commission preliminary objection practice is similar to Pennsylvania civil practice respecting the filing of preliminary objections.  </w:t>
      </w:r>
      <w:r w:rsidRPr="004A63D0">
        <w:rPr>
          <w:i/>
          <w:sz w:val="24"/>
          <w:szCs w:val="24"/>
        </w:rPr>
        <w:t xml:space="preserve">Equitable Small Transportation Interveners v. Equitable Gas Company, </w:t>
      </w:r>
      <w:r w:rsidRPr="004A63D0">
        <w:rPr>
          <w:sz w:val="24"/>
          <w:szCs w:val="24"/>
        </w:rPr>
        <w:t xml:space="preserve">1994 Pa. PUC LEXIS 69, PUC Docket No. </w:t>
      </w:r>
      <w:r w:rsidR="00F77157">
        <w:rPr>
          <w:sz w:val="24"/>
          <w:szCs w:val="24"/>
        </w:rPr>
        <w:t>C</w:t>
      </w:r>
      <w:r w:rsidR="00F77157">
        <w:rPr>
          <w:sz w:val="24"/>
          <w:szCs w:val="24"/>
        </w:rPr>
        <w:noBreakHyphen/>
      </w:r>
      <w:r w:rsidR="00BE19A4" w:rsidRPr="00F77157">
        <w:rPr>
          <w:sz w:val="24"/>
          <w:szCs w:val="24"/>
        </w:rPr>
        <w:t>000935435 (July 18, 1994).</w:t>
      </w:r>
    </w:p>
    <w:p w:rsidR="0036156C" w:rsidRPr="004A63D0" w:rsidRDefault="0036156C" w:rsidP="00C7592A">
      <w:pPr>
        <w:spacing w:line="360" w:lineRule="auto"/>
        <w:rPr>
          <w:sz w:val="24"/>
          <w:szCs w:val="24"/>
        </w:rPr>
      </w:pPr>
    </w:p>
    <w:p w:rsidR="00BC7B7E" w:rsidRDefault="00504517" w:rsidP="00C7592A">
      <w:pPr>
        <w:spacing w:line="360" w:lineRule="auto"/>
        <w:ind w:firstLine="720"/>
        <w:rPr>
          <w:sz w:val="24"/>
          <w:szCs w:val="24"/>
        </w:rPr>
      </w:pPr>
      <w:r w:rsidRPr="004A63D0">
        <w:rPr>
          <w:sz w:val="24"/>
          <w:szCs w:val="24"/>
        </w:rPr>
        <w:tab/>
      </w:r>
      <w:r w:rsidR="00BC7B7E">
        <w:rPr>
          <w:sz w:val="24"/>
          <w:szCs w:val="24"/>
        </w:rPr>
        <w:br w:type="page"/>
      </w:r>
    </w:p>
    <w:p w:rsidR="0036156C" w:rsidRPr="004A63D0" w:rsidRDefault="00036C51" w:rsidP="00C7592A">
      <w:pPr>
        <w:spacing w:line="360" w:lineRule="auto"/>
        <w:ind w:firstLine="720"/>
        <w:rPr>
          <w:sz w:val="24"/>
          <w:szCs w:val="24"/>
        </w:rPr>
      </w:pPr>
      <w:r>
        <w:rPr>
          <w:sz w:val="24"/>
          <w:szCs w:val="24"/>
        </w:rPr>
        <w:tab/>
      </w:r>
      <w:r w:rsidR="0036156C" w:rsidRPr="004A63D0">
        <w:rPr>
          <w:sz w:val="24"/>
          <w:szCs w:val="24"/>
        </w:rPr>
        <w:t>Preliminary objections are limited to the following:</w:t>
      </w:r>
    </w:p>
    <w:p w:rsidR="0036156C" w:rsidRPr="004A63D0" w:rsidRDefault="0036156C" w:rsidP="00C7592A">
      <w:pPr>
        <w:spacing w:line="360" w:lineRule="auto"/>
        <w:rPr>
          <w:sz w:val="24"/>
          <w:szCs w:val="24"/>
        </w:rPr>
      </w:pPr>
    </w:p>
    <w:p w:rsidR="0036156C" w:rsidRPr="004A63D0" w:rsidRDefault="0036156C" w:rsidP="00C7592A">
      <w:pPr>
        <w:ind w:left="1440" w:right="1440"/>
        <w:rPr>
          <w:b/>
          <w:sz w:val="24"/>
          <w:szCs w:val="24"/>
        </w:rPr>
      </w:pPr>
      <w:r w:rsidRPr="004A63D0">
        <w:rPr>
          <w:b/>
          <w:sz w:val="24"/>
          <w:szCs w:val="24"/>
        </w:rPr>
        <w:t>§ 5.101.  Preliminary objections.</w:t>
      </w:r>
    </w:p>
    <w:p w:rsidR="00C7592A" w:rsidRPr="004A63D0" w:rsidRDefault="00C7592A" w:rsidP="00C7592A">
      <w:pPr>
        <w:ind w:left="1440" w:right="1440"/>
        <w:rPr>
          <w:b/>
          <w:sz w:val="24"/>
          <w:szCs w:val="24"/>
        </w:rPr>
      </w:pPr>
    </w:p>
    <w:p w:rsidR="0036156C" w:rsidRPr="004A63D0" w:rsidRDefault="0036156C" w:rsidP="00C7592A">
      <w:pPr>
        <w:ind w:left="1440" w:right="1440"/>
        <w:rPr>
          <w:sz w:val="24"/>
          <w:szCs w:val="24"/>
        </w:rPr>
      </w:pPr>
      <w:r w:rsidRPr="004A63D0">
        <w:rPr>
          <w:sz w:val="24"/>
          <w:szCs w:val="24"/>
        </w:rPr>
        <w:t>(a)</w:t>
      </w:r>
      <w:r w:rsidRPr="004A63D0">
        <w:rPr>
          <w:sz w:val="24"/>
          <w:szCs w:val="24"/>
        </w:rPr>
        <w:tab/>
      </w:r>
      <w:r w:rsidRPr="004A63D0">
        <w:rPr>
          <w:i/>
          <w:sz w:val="24"/>
          <w:szCs w:val="24"/>
        </w:rPr>
        <w:t>Grounds.</w:t>
      </w:r>
      <w:r w:rsidRPr="004A63D0">
        <w:rPr>
          <w:sz w:val="24"/>
          <w:szCs w:val="24"/>
        </w:rPr>
        <w:t xml:space="preserve"> </w:t>
      </w:r>
      <w:r w:rsidR="002F58A4" w:rsidRPr="004A63D0">
        <w:rPr>
          <w:sz w:val="24"/>
          <w:szCs w:val="24"/>
        </w:rPr>
        <w:t xml:space="preserve"> </w:t>
      </w:r>
      <w:r w:rsidRPr="004A63D0">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6156C" w:rsidRPr="004A63D0" w:rsidRDefault="0036156C" w:rsidP="00C7592A">
      <w:pPr>
        <w:ind w:left="1440" w:right="1440"/>
        <w:rPr>
          <w:i/>
          <w:sz w:val="24"/>
          <w:szCs w:val="24"/>
        </w:rPr>
      </w:pPr>
    </w:p>
    <w:p w:rsidR="0036156C" w:rsidRPr="004A63D0" w:rsidRDefault="00CE77D3" w:rsidP="00C7592A">
      <w:pPr>
        <w:ind w:left="1440" w:right="1440"/>
        <w:rPr>
          <w:sz w:val="24"/>
          <w:szCs w:val="24"/>
        </w:rPr>
      </w:pPr>
      <w:r w:rsidRPr="004A63D0">
        <w:rPr>
          <w:sz w:val="24"/>
          <w:szCs w:val="24"/>
        </w:rPr>
        <w:t xml:space="preserve">(1) </w:t>
      </w:r>
      <w:r w:rsidR="0036156C" w:rsidRPr="004A63D0">
        <w:rPr>
          <w:sz w:val="24"/>
          <w:szCs w:val="24"/>
        </w:rPr>
        <w:t>Lack of Commission jurisdiction or improper service of the pleading initiating the proceeding.</w:t>
      </w:r>
    </w:p>
    <w:p w:rsidR="0036156C" w:rsidRPr="004A63D0" w:rsidRDefault="0036156C" w:rsidP="00C7592A">
      <w:pPr>
        <w:ind w:left="1440" w:right="1440"/>
        <w:rPr>
          <w:sz w:val="24"/>
          <w:szCs w:val="24"/>
        </w:rPr>
      </w:pPr>
    </w:p>
    <w:p w:rsidR="0036156C" w:rsidRPr="004A63D0" w:rsidRDefault="00DF4932" w:rsidP="00C7592A">
      <w:pPr>
        <w:ind w:left="1440" w:right="1440"/>
        <w:rPr>
          <w:sz w:val="24"/>
          <w:szCs w:val="24"/>
        </w:rPr>
      </w:pPr>
      <w:r w:rsidRPr="004A63D0">
        <w:rPr>
          <w:sz w:val="24"/>
          <w:szCs w:val="24"/>
        </w:rPr>
        <w:t xml:space="preserve">(2) </w:t>
      </w:r>
      <w:r w:rsidR="0036156C" w:rsidRPr="004A63D0">
        <w:rPr>
          <w:sz w:val="24"/>
          <w:szCs w:val="24"/>
        </w:rPr>
        <w:t>Failure of a pleading to conform to this chapter or the inclusion of scandalous or impertinent matter.</w:t>
      </w:r>
    </w:p>
    <w:p w:rsidR="0036156C" w:rsidRPr="004A63D0" w:rsidRDefault="0036156C" w:rsidP="00C7592A">
      <w:pPr>
        <w:ind w:left="1440" w:right="1440"/>
        <w:rPr>
          <w:sz w:val="24"/>
          <w:szCs w:val="24"/>
        </w:rPr>
      </w:pPr>
    </w:p>
    <w:p w:rsidR="0036156C" w:rsidRPr="004A63D0" w:rsidRDefault="008865CF" w:rsidP="00C7592A">
      <w:pPr>
        <w:ind w:left="1440" w:right="1440"/>
        <w:rPr>
          <w:sz w:val="24"/>
          <w:szCs w:val="24"/>
        </w:rPr>
      </w:pPr>
      <w:r w:rsidRPr="004A63D0">
        <w:rPr>
          <w:sz w:val="24"/>
          <w:szCs w:val="24"/>
        </w:rPr>
        <w:t xml:space="preserve">(3) </w:t>
      </w:r>
      <w:r w:rsidR="0036156C" w:rsidRPr="004A63D0">
        <w:rPr>
          <w:sz w:val="24"/>
          <w:szCs w:val="24"/>
        </w:rPr>
        <w:t>Insufficient specificity of a pleading.</w:t>
      </w:r>
    </w:p>
    <w:p w:rsidR="0036156C" w:rsidRPr="004A63D0" w:rsidRDefault="0036156C" w:rsidP="00C7592A">
      <w:pPr>
        <w:ind w:left="1440" w:right="1440"/>
        <w:rPr>
          <w:sz w:val="24"/>
          <w:szCs w:val="24"/>
        </w:rPr>
      </w:pPr>
    </w:p>
    <w:p w:rsidR="0036156C" w:rsidRPr="004A63D0" w:rsidRDefault="00B8740D" w:rsidP="00C7592A">
      <w:pPr>
        <w:ind w:left="1440" w:right="1440"/>
        <w:rPr>
          <w:sz w:val="24"/>
          <w:szCs w:val="24"/>
        </w:rPr>
      </w:pPr>
      <w:r w:rsidRPr="004A63D0">
        <w:rPr>
          <w:sz w:val="24"/>
          <w:szCs w:val="24"/>
        </w:rPr>
        <w:t xml:space="preserve">(4) </w:t>
      </w:r>
      <w:r w:rsidR="0036156C" w:rsidRPr="004A63D0">
        <w:rPr>
          <w:sz w:val="24"/>
          <w:szCs w:val="24"/>
        </w:rPr>
        <w:t>Legal insufficiency of a pleading.</w:t>
      </w:r>
    </w:p>
    <w:p w:rsidR="0036156C" w:rsidRPr="004A63D0" w:rsidRDefault="0036156C" w:rsidP="00C7592A">
      <w:pPr>
        <w:ind w:left="1440" w:right="1440"/>
        <w:rPr>
          <w:sz w:val="24"/>
          <w:szCs w:val="24"/>
        </w:rPr>
      </w:pPr>
    </w:p>
    <w:p w:rsidR="0036156C" w:rsidRPr="004A63D0" w:rsidRDefault="0036156C" w:rsidP="00C7592A">
      <w:pPr>
        <w:ind w:left="1440" w:right="1440"/>
        <w:rPr>
          <w:sz w:val="24"/>
          <w:szCs w:val="24"/>
        </w:rPr>
      </w:pPr>
      <w:r w:rsidRPr="004A63D0">
        <w:rPr>
          <w:sz w:val="24"/>
          <w:szCs w:val="24"/>
        </w:rPr>
        <w:t>(5) Lack of capacity to sue, nonjoinder of a necessary party or misjoinder of a cause of action.</w:t>
      </w:r>
    </w:p>
    <w:p w:rsidR="0036156C" w:rsidRPr="004A63D0" w:rsidRDefault="0036156C" w:rsidP="00C7592A">
      <w:pPr>
        <w:ind w:left="1440" w:right="1440"/>
        <w:rPr>
          <w:sz w:val="24"/>
          <w:szCs w:val="24"/>
        </w:rPr>
      </w:pPr>
    </w:p>
    <w:p w:rsidR="0036156C" w:rsidRPr="004A63D0" w:rsidRDefault="001B24DC" w:rsidP="00C7592A">
      <w:pPr>
        <w:ind w:left="1440" w:right="1440"/>
        <w:rPr>
          <w:sz w:val="24"/>
          <w:szCs w:val="24"/>
        </w:rPr>
      </w:pPr>
      <w:r w:rsidRPr="004A63D0">
        <w:rPr>
          <w:sz w:val="24"/>
          <w:szCs w:val="24"/>
        </w:rPr>
        <w:t xml:space="preserve">(6) </w:t>
      </w:r>
      <w:r w:rsidR="0036156C" w:rsidRPr="004A63D0">
        <w:rPr>
          <w:sz w:val="24"/>
          <w:szCs w:val="24"/>
        </w:rPr>
        <w:t>Pendency of a prior proceeding or agreement for alternative dispute resolution.</w:t>
      </w:r>
    </w:p>
    <w:p w:rsidR="0036156C" w:rsidRPr="004A63D0" w:rsidRDefault="0036156C" w:rsidP="00C7592A">
      <w:pPr>
        <w:jc w:val="center"/>
        <w:rPr>
          <w:sz w:val="24"/>
          <w:szCs w:val="24"/>
        </w:rPr>
      </w:pPr>
      <w:r w:rsidRPr="004A63D0">
        <w:rPr>
          <w:sz w:val="24"/>
          <w:szCs w:val="24"/>
        </w:rPr>
        <w:t xml:space="preserve">* * * </w:t>
      </w:r>
    </w:p>
    <w:p w:rsidR="0036156C" w:rsidRPr="004A63D0" w:rsidRDefault="0036156C" w:rsidP="00C7592A">
      <w:pPr>
        <w:rPr>
          <w:sz w:val="24"/>
          <w:szCs w:val="24"/>
        </w:rPr>
      </w:pPr>
      <w:r w:rsidRPr="004A63D0">
        <w:rPr>
          <w:sz w:val="24"/>
          <w:szCs w:val="24"/>
        </w:rPr>
        <w:t>52 Pa. Code</w:t>
      </w:r>
      <w:r w:rsidR="00677E44" w:rsidRPr="004A63D0">
        <w:rPr>
          <w:sz w:val="24"/>
          <w:szCs w:val="24"/>
        </w:rPr>
        <w:t xml:space="preserve"> § 5.101(a).</w:t>
      </w:r>
    </w:p>
    <w:p w:rsidR="0036156C" w:rsidRPr="004A63D0" w:rsidRDefault="0036156C" w:rsidP="00F77157">
      <w:pPr>
        <w:spacing w:line="480" w:lineRule="auto"/>
        <w:rPr>
          <w:sz w:val="24"/>
          <w:szCs w:val="24"/>
        </w:rPr>
      </w:pPr>
      <w:bookmarkStart w:id="0" w:name="_GoBack"/>
      <w:bookmarkEnd w:id="0"/>
    </w:p>
    <w:p w:rsidR="0036156C" w:rsidRPr="004A63D0" w:rsidRDefault="0036156C" w:rsidP="00C7592A">
      <w:pPr>
        <w:spacing w:line="360" w:lineRule="auto"/>
        <w:rPr>
          <w:sz w:val="24"/>
          <w:szCs w:val="24"/>
        </w:rPr>
      </w:pPr>
      <w:r w:rsidRPr="004A63D0">
        <w:rPr>
          <w:sz w:val="24"/>
          <w:szCs w:val="24"/>
        </w:rPr>
        <w:tab/>
      </w:r>
      <w:r w:rsidRPr="004A63D0">
        <w:rPr>
          <w:sz w:val="24"/>
          <w:szCs w:val="24"/>
        </w:rPr>
        <w:tab/>
        <w:t xml:space="preserve">When considering the preliminary objection, the Commission must determine “whether the law says with certainty, based on well-pleading factual averments . . . that no recovery or relief is possible.”  </w:t>
      </w:r>
      <w:r w:rsidRPr="004A63D0">
        <w:rPr>
          <w:i/>
          <w:sz w:val="24"/>
          <w:szCs w:val="24"/>
        </w:rPr>
        <w:t xml:space="preserve">P. J. S. v. Pa. State Ethics Commission, </w:t>
      </w:r>
      <w:r w:rsidRPr="004A63D0">
        <w:rPr>
          <w:sz w:val="24"/>
          <w:szCs w:val="24"/>
        </w:rPr>
        <w:t xml:space="preserve">669 A.2d 1105 (Pa. Cmwlth. 1996).  Any doubt must be resolved in favor of the non-moving party by refusing to sustain the preliminary objections.  </w:t>
      </w:r>
      <w:r w:rsidRPr="004A63D0">
        <w:rPr>
          <w:i/>
          <w:sz w:val="24"/>
          <w:szCs w:val="24"/>
        </w:rPr>
        <w:t xml:space="preserve">Boyd v. Ward, </w:t>
      </w:r>
      <w:r w:rsidRPr="004A63D0">
        <w:rPr>
          <w:sz w:val="24"/>
          <w:szCs w:val="24"/>
        </w:rPr>
        <w:t xml:space="preserve">802 A.2d 705 (Pa. Cmwlth. 2002).”  </w:t>
      </w:r>
      <w:r w:rsidRPr="004A63D0">
        <w:rPr>
          <w:i/>
          <w:sz w:val="24"/>
          <w:szCs w:val="24"/>
        </w:rPr>
        <w:t xml:space="preserve">Dept. of Auditor General, et al. v. State Employees’ Retirement System, et al., </w:t>
      </w:r>
      <w:r w:rsidRPr="004A63D0">
        <w:rPr>
          <w:sz w:val="24"/>
          <w:szCs w:val="24"/>
        </w:rPr>
        <w:t xml:space="preserve">836 A.2d </w:t>
      </w:r>
      <w:r w:rsidR="00677E44" w:rsidRPr="004A63D0">
        <w:rPr>
          <w:sz w:val="24"/>
          <w:szCs w:val="24"/>
        </w:rPr>
        <w:t>1053, 1064 (Pa. Cmwlth. 2003).</w:t>
      </w:r>
    </w:p>
    <w:p w:rsidR="00A51CF8" w:rsidRPr="004A63D0" w:rsidRDefault="00A51CF8" w:rsidP="00C7592A">
      <w:pPr>
        <w:spacing w:line="360" w:lineRule="auto"/>
        <w:rPr>
          <w:sz w:val="24"/>
          <w:szCs w:val="24"/>
        </w:rPr>
      </w:pPr>
    </w:p>
    <w:p w:rsidR="0036156C" w:rsidRPr="004A63D0" w:rsidRDefault="0036156C" w:rsidP="00C7592A">
      <w:pPr>
        <w:tabs>
          <w:tab w:val="left" w:pos="-1440"/>
          <w:tab w:val="left" w:pos="-720"/>
        </w:tabs>
        <w:suppressAutoHyphens/>
        <w:spacing w:line="360" w:lineRule="auto"/>
        <w:ind w:firstLine="1440"/>
        <w:rPr>
          <w:sz w:val="24"/>
          <w:szCs w:val="24"/>
        </w:rPr>
      </w:pPr>
      <w:r w:rsidRPr="004A63D0">
        <w:rPr>
          <w:sz w:val="24"/>
          <w:szCs w:val="24"/>
        </w:rPr>
        <w:t xml:space="preserve">Preliminary objections in civil practice requesting dismissal of a pleading will be granted only where the right to relief is clearly warranted and free from doubt.  </w:t>
      </w:r>
      <w:r w:rsidRPr="004A63D0">
        <w:rPr>
          <w:i/>
          <w:sz w:val="24"/>
          <w:szCs w:val="24"/>
        </w:rPr>
        <w:t>Interstate Traveller Services, Inc. v. Pa. Dept. of Environment Resources,</w:t>
      </w:r>
      <w:r w:rsidRPr="004A63D0">
        <w:rPr>
          <w:sz w:val="24"/>
          <w:szCs w:val="24"/>
        </w:rPr>
        <w:t xml:space="preserve"> 406 A.2d 1020 (Pa. 1979); </w:t>
      </w:r>
      <w:r w:rsidRPr="004A63D0">
        <w:rPr>
          <w:i/>
          <w:sz w:val="24"/>
          <w:szCs w:val="24"/>
        </w:rPr>
        <w:t>Rivera v. Philadelphia Theological Seminary of St. Charles Borromeo, Inc.</w:t>
      </w:r>
      <w:r w:rsidRPr="004A63D0">
        <w:rPr>
          <w:sz w:val="24"/>
          <w:szCs w:val="24"/>
        </w:rPr>
        <w:t xml:space="preserve">, 595 A.2d 172 (Pa. Super 1991).  The Commission follows this standard.  </w:t>
      </w:r>
      <w:r w:rsidRPr="004A63D0">
        <w:rPr>
          <w:i/>
          <w:sz w:val="24"/>
          <w:szCs w:val="24"/>
        </w:rPr>
        <w:t>Montague v. Philadelphia Electric Company,</w:t>
      </w:r>
      <w:r w:rsidRPr="004A63D0">
        <w:rPr>
          <w:sz w:val="24"/>
          <w:szCs w:val="24"/>
        </w:rPr>
        <w:t xml:space="preserve"> 66 Pa.PUC 24 (1988).</w:t>
      </w:r>
    </w:p>
    <w:p w:rsidR="0036156C" w:rsidRPr="004A63D0" w:rsidRDefault="0036156C" w:rsidP="00C7592A">
      <w:pPr>
        <w:tabs>
          <w:tab w:val="left" w:pos="-1440"/>
          <w:tab w:val="left" w:pos="-720"/>
        </w:tabs>
        <w:suppressAutoHyphens/>
        <w:spacing w:line="360" w:lineRule="auto"/>
        <w:ind w:firstLine="1440"/>
        <w:rPr>
          <w:sz w:val="24"/>
          <w:szCs w:val="24"/>
        </w:rPr>
      </w:pPr>
    </w:p>
    <w:p w:rsidR="00A46554" w:rsidRPr="004A63D0" w:rsidRDefault="00A46554" w:rsidP="00A46554">
      <w:pPr>
        <w:spacing w:line="360" w:lineRule="auto"/>
        <w:ind w:firstLine="1440"/>
        <w:rPr>
          <w:sz w:val="24"/>
          <w:szCs w:val="24"/>
        </w:rPr>
      </w:pPr>
      <w:r w:rsidRPr="004A63D0">
        <w:rPr>
          <w:sz w:val="24"/>
          <w:szCs w:val="24"/>
        </w:rPr>
        <w:t xml:space="preserve">Viewing the Complaint in the instant case in the light most favorable to the complainant, the complainant seeks a directive from the Commission precluding </w:t>
      </w:r>
      <w:r w:rsidR="005E5C61" w:rsidRPr="004A63D0">
        <w:rPr>
          <w:sz w:val="24"/>
          <w:szCs w:val="24"/>
        </w:rPr>
        <w:t>PECO</w:t>
      </w:r>
      <w:r w:rsidRPr="004A63D0">
        <w:rPr>
          <w:sz w:val="24"/>
          <w:szCs w:val="24"/>
        </w:rPr>
        <w:t xml:space="preserve"> from installing a smart meter on his service residence. </w:t>
      </w:r>
      <w:r w:rsidR="00BC7B7E">
        <w:rPr>
          <w:sz w:val="24"/>
          <w:szCs w:val="24"/>
        </w:rPr>
        <w:t xml:space="preserve"> </w:t>
      </w:r>
      <w:r w:rsidRPr="004A63D0">
        <w:rPr>
          <w:sz w:val="24"/>
          <w:szCs w:val="24"/>
        </w:rPr>
        <w:t>The Complaint contends that smart meters are an invasion of the complainant’s privacy</w:t>
      </w:r>
      <w:r w:rsidR="006E357A" w:rsidRPr="004A63D0">
        <w:rPr>
          <w:sz w:val="24"/>
          <w:szCs w:val="24"/>
        </w:rPr>
        <w:t xml:space="preserve"> and he is concerned with a smart meter starting a fire at his residence if installed.</w:t>
      </w:r>
      <w:r w:rsidR="00232D15">
        <w:rPr>
          <w:sz w:val="24"/>
          <w:szCs w:val="24"/>
        </w:rPr>
        <w:t xml:space="preserve">  </w:t>
      </w:r>
      <w:r w:rsidRPr="004A63D0">
        <w:rPr>
          <w:sz w:val="24"/>
          <w:szCs w:val="24"/>
        </w:rPr>
        <w:t>Accepting these facts as alleged as true for the purpose of disposing of preliminary objections, Respondent contends that the Complaint fails to allege that Respondent has violated the Public Utility Code, Commission regulations or orders.  The Respondent contends that the complaint is legally insufficient.  I agree.</w:t>
      </w:r>
    </w:p>
    <w:p w:rsidR="00A46554" w:rsidRPr="004A63D0" w:rsidRDefault="00A46554" w:rsidP="00A46554">
      <w:pPr>
        <w:spacing w:line="360" w:lineRule="auto"/>
        <w:ind w:firstLine="1440"/>
        <w:rPr>
          <w:sz w:val="24"/>
          <w:szCs w:val="24"/>
        </w:rPr>
      </w:pPr>
    </w:p>
    <w:p w:rsidR="006E357A" w:rsidRPr="004A63D0" w:rsidRDefault="00A46554" w:rsidP="00A46554">
      <w:pPr>
        <w:spacing w:line="360" w:lineRule="auto"/>
        <w:ind w:firstLine="1440"/>
        <w:rPr>
          <w:sz w:val="24"/>
          <w:szCs w:val="24"/>
        </w:rPr>
      </w:pPr>
      <w:r w:rsidRPr="004A63D0">
        <w:rPr>
          <w:sz w:val="24"/>
          <w:szCs w:val="24"/>
        </w:rPr>
        <w:t>On October 15, 2008, Governor Edward G. Rendell signed Act 129 of 2008 into law, which directed electric distribution companies with at least 100,000 customers to file, with the Commission, a smart meter deployment and installation plan.  Thus, there is a statute requiring smart meter deployment by large electric distribution companies operating within the Commonwealth.  66 Pa. C.S. § 2807(f).  On</w:t>
      </w:r>
      <w:r w:rsidR="006E357A" w:rsidRPr="004A63D0">
        <w:rPr>
          <w:sz w:val="24"/>
          <w:szCs w:val="24"/>
        </w:rPr>
        <w:t xml:space="preserve"> August 14, 2009</w:t>
      </w:r>
      <w:r w:rsidRPr="004A63D0">
        <w:rPr>
          <w:sz w:val="24"/>
          <w:szCs w:val="24"/>
        </w:rPr>
        <w:t xml:space="preserve">, </w:t>
      </w:r>
      <w:r w:rsidR="005E5C61" w:rsidRPr="004A63D0">
        <w:rPr>
          <w:sz w:val="24"/>
          <w:szCs w:val="24"/>
        </w:rPr>
        <w:t>PECO</w:t>
      </w:r>
      <w:r w:rsidRPr="004A63D0">
        <w:rPr>
          <w:sz w:val="24"/>
          <w:szCs w:val="24"/>
        </w:rPr>
        <w:t xml:space="preserve"> filed with the Commission a Petition for Approval of its Smart Meter</w:t>
      </w:r>
      <w:r w:rsidR="006E357A" w:rsidRPr="004A63D0">
        <w:rPr>
          <w:sz w:val="24"/>
          <w:szCs w:val="24"/>
        </w:rPr>
        <w:t xml:space="preserve">/Smart Grid Plan, </w:t>
      </w:r>
      <w:r w:rsidRPr="004A63D0">
        <w:rPr>
          <w:sz w:val="24"/>
          <w:szCs w:val="24"/>
        </w:rPr>
        <w:t>which was the subject of a publicly litigated proceeding.  Many parties with varying interests evaluated and discussed issues raised by the installation and recovery of costs for smart meters, including privacy issues and third party access to data.</w:t>
      </w:r>
      <w:r w:rsidR="006E357A" w:rsidRPr="004A63D0">
        <w:rPr>
          <w:sz w:val="24"/>
          <w:szCs w:val="24"/>
        </w:rPr>
        <w:t xml:space="preserve">  As part of PECO’s plan, the company committed to deploy 600,000 meters by March 2013, upon receiving American Recovery and Reinvestment Act funding from the Department of Energy.  PECO’s plan does not give customers the option to opt out of smart meter installation.</w:t>
      </w:r>
    </w:p>
    <w:p w:rsidR="006E357A" w:rsidRPr="004A63D0" w:rsidRDefault="006E357A" w:rsidP="00A46554">
      <w:pPr>
        <w:spacing w:line="360" w:lineRule="auto"/>
        <w:ind w:firstLine="1440"/>
        <w:rPr>
          <w:sz w:val="24"/>
          <w:szCs w:val="24"/>
        </w:rPr>
      </w:pPr>
    </w:p>
    <w:p w:rsidR="00A46554" w:rsidRPr="004A63D0" w:rsidRDefault="006E357A" w:rsidP="006A0B7A">
      <w:pPr>
        <w:spacing w:line="360" w:lineRule="auto"/>
        <w:ind w:right="-90" w:firstLine="1440"/>
        <w:rPr>
          <w:spacing w:val="-3"/>
          <w:sz w:val="24"/>
          <w:szCs w:val="24"/>
        </w:rPr>
      </w:pPr>
      <w:r w:rsidRPr="004A63D0">
        <w:rPr>
          <w:sz w:val="24"/>
          <w:szCs w:val="24"/>
        </w:rPr>
        <w:t xml:space="preserve">By Order entered May 6, 2010, at Docket No. M-2009-2123944, the Commission approved PECO Energy’s Smart Meter/Smart Grid Plan.  This Order does not provide for an “opt out” option for customers.  </w:t>
      </w:r>
      <w:r w:rsidR="00A46554" w:rsidRPr="004A63D0">
        <w:rPr>
          <w:spacing w:val="-3"/>
          <w:sz w:val="24"/>
          <w:szCs w:val="24"/>
        </w:rPr>
        <w:t xml:space="preserve">The implementation of </w:t>
      </w:r>
      <w:r w:rsidR="005E5C61" w:rsidRPr="004A63D0">
        <w:rPr>
          <w:spacing w:val="-3"/>
          <w:sz w:val="24"/>
          <w:szCs w:val="24"/>
        </w:rPr>
        <w:t>PECO</w:t>
      </w:r>
      <w:r w:rsidR="00A46554" w:rsidRPr="004A63D0">
        <w:rPr>
          <w:spacing w:val="-3"/>
          <w:sz w:val="24"/>
          <w:szCs w:val="24"/>
        </w:rPr>
        <w:t xml:space="preserve">’s Smart Meter Deployment Plan and the approval of the costs associated with its implementation have been found by the Commission to be in accordance with Act 129 of 2008, 66 Pa. C.S. § 2807(f). </w:t>
      </w:r>
      <w:r w:rsidR="00826266">
        <w:rPr>
          <w:spacing w:val="-3"/>
          <w:sz w:val="24"/>
          <w:szCs w:val="24"/>
        </w:rPr>
        <w:t xml:space="preserve"> </w:t>
      </w:r>
      <w:r w:rsidR="005E5C61" w:rsidRPr="004A63D0">
        <w:rPr>
          <w:spacing w:val="-3"/>
          <w:sz w:val="24"/>
          <w:szCs w:val="24"/>
        </w:rPr>
        <w:t>PECO</w:t>
      </w:r>
      <w:r w:rsidR="00A46554" w:rsidRPr="004A63D0">
        <w:rPr>
          <w:spacing w:val="-3"/>
          <w:sz w:val="24"/>
          <w:szCs w:val="24"/>
        </w:rPr>
        <w:t xml:space="preserve"> is required by statute, Commission Order, and its Commission-approved tariff to implement a Smart Meter program, install Smart Meters throughout i</w:t>
      </w:r>
      <w:r w:rsidR="00D44AB9">
        <w:rPr>
          <w:spacing w:val="-3"/>
          <w:sz w:val="24"/>
          <w:szCs w:val="24"/>
        </w:rPr>
        <w:t>t</w:t>
      </w:r>
      <w:r w:rsidR="00A46554" w:rsidRPr="004A63D0">
        <w:rPr>
          <w:spacing w:val="-3"/>
          <w:sz w:val="24"/>
          <w:szCs w:val="24"/>
        </w:rPr>
        <w:t xml:space="preserve">s service territory, and to charge a SMT Surcharge to all of its metered customers.  Tariffs have the force and effect of law in Pennsylvania and are legally binding upon utilities, their customers, and the public.  66 Pa. C.S. §1303.  </w:t>
      </w:r>
      <w:r w:rsidR="00A46554" w:rsidRPr="004A63D0">
        <w:rPr>
          <w:i/>
          <w:spacing w:val="-3"/>
          <w:sz w:val="24"/>
          <w:szCs w:val="24"/>
        </w:rPr>
        <w:t>See also</w:t>
      </w:r>
      <w:r w:rsidR="00A46554" w:rsidRPr="004A63D0">
        <w:rPr>
          <w:sz w:val="24"/>
          <w:szCs w:val="24"/>
        </w:rPr>
        <w:t xml:space="preserve"> </w:t>
      </w:r>
      <w:r w:rsidR="00A46554" w:rsidRPr="004A63D0">
        <w:rPr>
          <w:i/>
          <w:sz w:val="24"/>
          <w:szCs w:val="24"/>
        </w:rPr>
        <w:t>Brockway Glass v.</w:t>
      </w:r>
      <w:r w:rsidR="00A46554" w:rsidRPr="004A63D0">
        <w:rPr>
          <w:sz w:val="24"/>
          <w:szCs w:val="24"/>
        </w:rPr>
        <w:t xml:space="preserve"> </w:t>
      </w:r>
      <w:r w:rsidR="00A46554" w:rsidRPr="004A63D0">
        <w:rPr>
          <w:i/>
          <w:spacing w:val="-3"/>
          <w:sz w:val="24"/>
          <w:szCs w:val="24"/>
        </w:rPr>
        <w:t>Pennsylvania Pub. Util. Comm’n</w:t>
      </w:r>
      <w:r w:rsidR="00A46554" w:rsidRPr="004A63D0">
        <w:rPr>
          <w:spacing w:val="-3"/>
          <w:sz w:val="24"/>
          <w:szCs w:val="24"/>
        </w:rPr>
        <w:t>, 437 A.2d 1067 (Pa. Cmwlth. 1982).  Therefore, there can be no basis for sustaining the instant Complaint.</w:t>
      </w:r>
    </w:p>
    <w:p w:rsidR="00A46554" w:rsidRPr="004A63D0" w:rsidRDefault="00A46554" w:rsidP="00A46554">
      <w:pPr>
        <w:spacing w:line="360" w:lineRule="auto"/>
        <w:ind w:firstLine="1440"/>
        <w:rPr>
          <w:sz w:val="24"/>
          <w:szCs w:val="24"/>
        </w:rPr>
      </w:pPr>
    </w:p>
    <w:p w:rsidR="00A46554" w:rsidRPr="004A63D0" w:rsidRDefault="00A46554" w:rsidP="00A46554">
      <w:pPr>
        <w:spacing w:line="360" w:lineRule="auto"/>
        <w:ind w:firstLine="1440"/>
        <w:rPr>
          <w:sz w:val="24"/>
          <w:szCs w:val="24"/>
        </w:rPr>
      </w:pPr>
      <w:r w:rsidRPr="004A63D0">
        <w:rPr>
          <w:sz w:val="24"/>
          <w:szCs w:val="24"/>
        </w:rPr>
        <w:t xml:space="preserve">To the extent that Mr. </w:t>
      </w:r>
      <w:r w:rsidR="005E5C61" w:rsidRPr="004A63D0">
        <w:rPr>
          <w:sz w:val="24"/>
          <w:szCs w:val="24"/>
        </w:rPr>
        <w:t>Morgan</w:t>
      </w:r>
      <w:r w:rsidRPr="004A63D0">
        <w:rPr>
          <w:sz w:val="24"/>
          <w:szCs w:val="24"/>
        </w:rPr>
        <w:t xml:space="preserve"> disagrees with the Commission’s decision to approve </w:t>
      </w:r>
      <w:r w:rsidR="005E5C61" w:rsidRPr="004A63D0">
        <w:rPr>
          <w:sz w:val="24"/>
          <w:szCs w:val="24"/>
        </w:rPr>
        <w:t>PECO</w:t>
      </w:r>
      <w:r w:rsidRPr="004A63D0">
        <w:rPr>
          <w:sz w:val="24"/>
          <w:szCs w:val="24"/>
        </w:rPr>
        <w:t>’s Smart Meter Deployment Plan, the appropriate procedure would be to file a petition for recession or amendment pursuant to Section 703 of the Public Utility Code, 66 Pa.C.S.A. §703(g).</w:t>
      </w:r>
      <w:r w:rsidRPr="004A63D0">
        <w:rPr>
          <w:rStyle w:val="FootnoteReference"/>
          <w:sz w:val="24"/>
          <w:szCs w:val="24"/>
        </w:rPr>
        <w:footnoteReference w:id="1"/>
      </w:r>
    </w:p>
    <w:p w:rsidR="00A46554" w:rsidRPr="004A63D0" w:rsidRDefault="00A46554" w:rsidP="00A46554">
      <w:pPr>
        <w:spacing w:line="360" w:lineRule="auto"/>
        <w:ind w:firstLine="1440"/>
        <w:rPr>
          <w:sz w:val="24"/>
          <w:szCs w:val="24"/>
        </w:rPr>
      </w:pPr>
    </w:p>
    <w:p w:rsidR="00A46554" w:rsidRPr="004A63D0" w:rsidRDefault="00A46554" w:rsidP="00A46554">
      <w:pPr>
        <w:spacing w:line="360" w:lineRule="auto"/>
        <w:ind w:firstLine="1350"/>
        <w:rPr>
          <w:spacing w:val="-3"/>
          <w:sz w:val="24"/>
          <w:szCs w:val="24"/>
        </w:rPr>
      </w:pPr>
      <w:r w:rsidRPr="004A63D0">
        <w:rPr>
          <w:sz w:val="24"/>
          <w:szCs w:val="24"/>
        </w:rPr>
        <w:t xml:space="preserve">Section 703 of </w:t>
      </w:r>
      <w:r w:rsidRPr="004A63D0">
        <w:rPr>
          <w:spacing w:val="-3"/>
          <w:sz w:val="24"/>
          <w:szCs w:val="24"/>
        </w:rPr>
        <w:t>t</w:t>
      </w:r>
      <w:r w:rsidRPr="004A63D0">
        <w:rPr>
          <w:sz w:val="24"/>
          <w:szCs w:val="24"/>
        </w:rPr>
        <w:t xml:space="preserve">he Public Utility Code, 66 Pa.C.S.A. § 703(b), provides that the Commission may dismiss any complaint without a hearing if, in its opinion, a hearing is not necessary in the public interest.  See also, 52 Pa. Code § 5.21(d).  A hearing is necessary only to resolve disputed questions of fact, and is not required to resolve questions of law, policy or discretion.  </w:t>
      </w:r>
      <w:r w:rsidRPr="004A63D0">
        <w:rPr>
          <w:i/>
          <w:sz w:val="24"/>
          <w:szCs w:val="24"/>
        </w:rPr>
        <w:t>Dee-Dee Cab, Inc. v. Pa. Pub. Util. Comm’n</w:t>
      </w:r>
      <w:r w:rsidRPr="004A63D0">
        <w:rPr>
          <w:sz w:val="24"/>
          <w:szCs w:val="24"/>
        </w:rPr>
        <w:t xml:space="preserve">, 817 A.2d 593 (Pa. Commw. Ct. 2003), petition for allowance of appeal denied, 836 A.2d 123 (Pa. 2003).  The public interest does not require a hearing in this case.  </w:t>
      </w:r>
      <w:r w:rsidRPr="004A63D0">
        <w:rPr>
          <w:spacing w:val="-3"/>
          <w:sz w:val="24"/>
          <w:szCs w:val="24"/>
        </w:rPr>
        <w:t xml:space="preserve">As a result, </w:t>
      </w:r>
      <w:r w:rsidR="005E5C61" w:rsidRPr="004A63D0">
        <w:rPr>
          <w:spacing w:val="-3"/>
          <w:sz w:val="24"/>
          <w:szCs w:val="24"/>
        </w:rPr>
        <w:t>PECO</w:t>
      </w:r>
      <w:r w:rsidRPr="004A63D0">
        <w:rPr>
          <w:spacing w:val="-3"/>
          <w:sz w:val="24"/>
          <w:szCs w:val="24"/>
        </w:rPr>
        <w:t xml:space="preserve">’s right to prevail at hearing is so clear that having a hearing would be a fruitless exercise.  Therefore, respondent’s Preliminary Objections shall be granted.  </w:t>
      </w:r>
    </w:p>
    <w:p w:rsidR="00A46554" w:rsidRPr="004A63D0" w:rsidRDefault="00A46554" w:rsidP="00A46554">
      <w:pPr>
        <w:spacing w:line="360" w:lineRule="auto"/>
        <w:ind w:firstLine="1440"/>
        <w:rPr>
          <w:sz w:val="24"/>
          <w:szCs w:val="24"/>
        </w:rPr>
      </w:pPr>
    </w:p>
    <w:p w:rsidR="00A46554" w:rsidRPr="004A63D0" w:rsidRDefault="00A46554" w:rsidP="00A46554">
      <w:pPr>
        <w:spacing w:line="360" w:lineRule="auto"/>
        <w:ind w:firstLine="1440"/>
        <w:rPr>
          <w:spacing w:val="-3"/>
          <w:sz w:val="24"/>
          <w:szCs w:val="24"/>
        </w:rPr>
      </w:pPr>
      <w:r w:rsidRPr="004A63D0">
        <w:rPr>
          <w:sz w:val="24"/>
          <w:szCs w:val="24"/>
        </w:rPr>
        <w:t xml:space="preserve">The Commission reached a similar conclusion in the case of </w:t>
      </w:r>
      <w:r w:rsidRPr="004A63D0">
        <w:rPr>
          <w:i/>
          <w:sz w:val="24"/>
          <w:szCs w:val="24"/>
        </w:rPr>
        <w:t>Gloria Corbett v. Pennsylvania Power Company</w:t>
      </w:r>
      <w:r w:rsidRPr="004A63D0">
        <w:rPr>
          <w:sz w:val="24"/>
          <w:szCs w:val="24"/>
        </w:rPr>
        <w:t xml:space="preserve">, Docket No. C-2011-2219898, (Final Order entered </w:t>
      </w:r>
      <w:r w:rsidR="0099506E">
        <w:rPr>
          <w:sz w:val="24"/>
          <w:szCs w:val="24"/>
        </w:rPr>
        <w:t>May</w:t>
      </w:r>
      <w:r w:rsidR="006A0B7A">
        <w:rPr>
          <w:sz w:val="24"/>
          <w:szCs w:val="24"/>
        </w:rPr>
        <w:t xml:space="preserve"> </w:t>
      </w:r>
      <w:r w:rsidR="0099506E">
        <w:rPr>
          <w:sz w:val="24"/>
          <w:szCs w:val="24"/>
        </w:rPr>
        <w:t>27,</w:t>
      </w:r>
      <w:r w:rsidR="006A0B7A">
        <w:rPr>
          <w:sz w:val="24"/>
          <w:szCs w:val="24"/>
        </w:rPr>
        <w:t xml:space="preserve"> </w:t>
      </w:r>
      <w:r w:rsidRPr="004A63D0">
        <w:rPr>
          <w:sz w:val="24"/>
          <w:szCs w:val="24"/>
        </w:rPr>
        <w:t xml:space="preserve">2011), wherein complainant objected to the installation of smart meters at her two properties in Mercer County.  The Commission sustained Penn Power’s preliminary objection to the complaint holding that the complaint failed to state a claim upon which relief can be granted.  See also </w:t>
      </w:r>
      <w:r w:rsidRPr="004A63D0">
        <w:rPr>
          <w:i/>
          <w:spacing w:val="-3"/>
          <w:sz w:val="24"/>
          <w:szCs w:val="24"/>
        </w:rPr>
        <w:t>Richard Negley v. Metropolitan Edison Company</w:t>
      </w:r>
      <w:r w:rsidRPr="004A63D0">
        <w:rPr>
          <w:spacing w:val="-3"/>
          <w:sz w:val="24"/>
          <w:szCs w:val="24"/>
        </w:rPr>
        <w:t>, Docket No. C-2010-2205305, (Final Order entered March 3, 2011).</w:t>
      </w:r>
    </w:p>
    <w:p w:rsidR="00583A7A" w:rsidRPr="004A63D0" w:rsidRDefault="00583A7A" w:rsidP="00A46554">
      <w:pPr>
        <w:spacing w:line="360" w:lineRule="auto"/>
        <w:ind w:firstLine="1440"/>
        <w:rPr>
          <w:spacing w:val="-3"/>
          <w:sz w:val="24"/>
          <w:szCs w:val="24"/>
        </w:rPr>
      </w:pPr>
    </w:p>
    <w:p w:rsidR="00583A7A" w:rsidRPr="004A63D0" w:rsidRDefault="00583A7A" w:rsidP="00A46554">
      <w:pPr>
        <w:spacing w:line="360" w:lineRule="auto"/>
        <w:ind w:firstLine="1440"/>
        <w:rPr>
          <w:spacing w:val="-3"/>
          <w:sz w:val="24"/>
          <w:szCs w:val="24"/>
        </w:rPr>
      </w:pPr>
      <w:r w:rsidRPr="004A63D0">
        <w:rPr>
          <w:spacing w:val="-3"/>
          <w:sz w:val="24"/>
          <w:szCs w:val="24"/>
        </w:rPr>
        <w:t xml:space="preserve">On January 24, 2013, the Commission issued a Final Order in the case of </w:t>
      </w:r>
      <w:r w:rsidRPr="004A63D0">
        <w:rPr>
          <w:i/>
          <w:spacing w:val="-3"/>
          <w:sz w:val="24"/>
          <w:szCs w:val="24"/>
        </w:rPr>
        <w:t>Maria Povacz v. PECO Energy,</w:t>
      </w:r>
      <w:r w:rsidRPr="004A63D0">
        <w:rPr>
          <w:spacing w:val="-3"/>
          <w:sz w:val="24"/>
          <w:szCs w:val="24"/>
        </w:rPr>
        <w:t xml:space="preserve"> Docket No. C-2012-2317176, and specifically addressed whether a PECO customer could “opt out” of meter installation at their property.  The Commission held as follows:</w:t>
      </w:r>
    </w:p>
    <w:p w:rsidR="00F77157" w:rsidRDefault="00F77157" w:rsidP="00F77157">
      <w:pPr>
        <w:spacing w:line="360" w:lineRule="auto"/>
        <w:ind w:left="720" w:right="720" w:firstLine="1440"/>
        <w:rPr>
          <w:spacing w:val="-3"/>
          <w:sz w:val="24"/>
          <w:szCs w:val="24"/>
        </w:rPr>
      </w:pPr>
    </w:p>
    <w:p w:rsidR="00583A7A" w:rsidRPr="004A63D0" w:rsidRDefault="00583A7A" w:rsidP="00583A7A">
      <w:pPr>
        <w:ind w:left="720" w:right="720" w:firstLine="1440"/>
        <w:rPr>
          <w:spacing w:val="-3"/>
          <w:sz w:val="24"/>
          <w:szCs w:val="24"/>
        </w:rPr>
      </w:pPr>
      <w:r w:rsidRPr="004A63D0">
        <w:rPr>
          <w:spacing w:val="-3"/>
          <w:sz w:val="24"/>
          <w:szCs w:val="24"/>
        </w:rPr>
        <w:t>There is no provision in the Code, the Commission’s Regulations or Orders that allow</w:t>
      </w:r>
      <w:r w:rsidR="0090095E">
        <w:rPr>
          <w:spacing w:val="-3"/>
          <w:sz w:val="24"/>
          <w:szCs w:val="24"/>
        </w:rPr>
        <w:t>s</w:t>
      </w:r>
      <w:r w:rsidRPr="004A63D0">
        <w:rPr>
          <w:spacing w:val="-3"/>
          <w:sz w:val="24"/>
          <w:szCs w:val="24"/>
        </w:rPr>
        <w:t xml:space="preserve"> a PECO customer to “opt out” of smart meter installation, as the Complainant desires to do.  Accordingly, unles</w:t>
      </w:r>
      <w:r w:rsidR="00CB7650" w:rsidRPr="004A63D0">
        <w:rPr>
          <w:spacing w:val="-3"/>
          <w:sz w:val="24"/>
          <w:szCs w:val="24"/>
        </w:rPr>
        <w:t>s</w:t>
      </w:r>
      <w:r w:rsidRPr="004A63D0">
        <w:rPr>
          <w:spacing w:val="-3"/>
          <w:sz w:val="24"/>
          <w:szCs w:val="24"/>
        </w:rPr>
        <w:t xml:space="preserve"> and until House Bill 2188, supra, passes the General Assembly, or some other provision is put in place that specifically allows customers to opt out of smart meter installation, PECO has not violated any provision of the Code, any Commission Order or Regulation or any Commission-approved Company tariff by prohibiting t</w:t>
      </w:r>
      <w:r w:rsidR="00D272EF">
        <w:rPr>
          <w:spacing w:val="-3"/>
          <w:sz w:val="24"/>
          <w:szCs w:val="24"/>
        </w:rPr>
        <w:t>he Complainant from opting out.</w:t>
      </w:r>
    </w:p>
    <w:p w:rsidR="00583A7A" w:rsidRPr="004A63D0" w:rsidRDefault="00583A7A" w:rsidP="00F77157">
      <w:pPr>
        <w:ind w:left="720" w:right="720" w:firstLine="1440"/>
        <w:rPr>
          <w:spacing w:val="-3"/>
          <w:sz w:val="24"/>
          <w:szCs w:val="24"/>
        </w:rPr>
      </w:pPr>
    </w:p>
    <w:p w:rsidR="00A46554" w:rsidRPr="004A63D0" w:rsidRDefault="00583A7A" w:rsidP="00583A7A">
      <w:pPr>
        <w:spacing w:line="360" w:lineRule="auto"/>
        <w:rPr>
          <w:spacing w:val="-3"/>
          <w:sz w:val="24"/>
          <w:szCs w:val="24"/>
        </w:rPr>
      </w:pPr>
      <w:r w:rsidRPr="004A63D0">
        <w:rPr>
          <w:i/>
          <w:spacing w:val="-3"/>
          <w:sz w:val="24"/>
          <w:szCs w:val="24"/>
        </w:rPr>
        <w:t xml:space="preserve">Maria Povacz v. PECO Energy, </w:t>
      </w:r>
      <w:r w:rsidRPr="004A63D0">
        <w:rPr>
          <w:spacing w:val="-3"/>
          <w:sz w:val="24"/>
          <w:szCs w:val="24"/>
        </w:rPr>
        <w:t>Docket No. C-2012-2317176 (Order entered January 24, 2013).</w:t>
      </w:r>
    </w:p>
    <w:p w:rsidR="00A46554" w:rsidRPr="004A63D0" w:rsidRDefault="00A46554" w:rsidP="00F77157">
      <w:pPr>
        <w:spacing w:line="480" w:lineRule="auto"/>
        <w:outlineLvl w:val="0"/>
        <w:rPr>
          <w:sz w:val="24"/>
          <w:szCs w:val="24"/>
          <w:u w:val="single"/>
        </w:rPr>
      </w:pPr>
    </w:p>
    <w:p w:rsidR="008136E8" w:rsidRPr="004A63D0" w:rsidRDefault="008136E8" w:rsidP="00C7592A">
      <w:pPr>
        <w:spacing w:line="360" w:lineRule="auto"/>
        <w:jc w:val="center"/>
        <w:outlineLvl w:val="0"/>
        <w:rPr>
          <w:sz w:val="24"/>
          <w:szCs w:val="24"/>
          <w:u w:val="single"/>
        </w:rPr>
      </w:pPr>
      <w:r w:rsidRPr="004A63D0">
        <w:rPr>
          <w:sz w:val="24"/>
          <w:szCs w:val="24"/>
          <w:u w:val="single"/>
        </w:rPr>
        <w:t>CONCLUSIONS OF LAW</w:t>
      </w:r>
    </w:p>
    <w:p w:rsidR="008136E8" w:rsidRPr="004A63D0" w:rsidRDefault="008136E8" w:rsidP="00C7592A">
      <w:pPr>
        <w:spacing w:line="360" w:lineRule="auto"/>
        <w:ind w:firstLine="1440"/>
        <w:outlineLvl w:val="0"/>
        <w:rPr>
          <w:sz w:val="24"/>
          <w:szCs w:val="24"/>
        </w:rPr>
      </w:pPr>
    </w:p>
    <w:p w:rsidR="005D2E97" w:rsidRPr="004A63D0" w:rsidRDefault="005D2E97" w:rsidP="00C7592A">
      <w:pPr>
        <w:tabs>
          <w:tab w:val="left" w:pos="-1440"/>
          <w:tab w:val="left" w:pos="-720"/>
        </w:tabs>
        <w:suppressAutoHyphens/>
        <w:spacing w:line="360" w:lineRule="auto"/>
        <w:ind w:firstLine="1440"/>
        <w:rPr>
          <w:spacing w:val="-3"/>
          <w:sz w:val="24"/>
          <w:szCs w:val="24"/>
        </w:rPr>
      </w:pPr>
      <w:r w:rsidRPr="004A63D0">
        <w:rPr>
          <w:sz w:val="24"/>
          <w:szCs w:val="24"/>
        </w:rPr>
        <w:t>1.</w:t>
      </w:r>
      <w:r w:rsidRPr="004A63D0">
        <w:rPr>
          <w:sz w:val="24"/>
          <w:szCs w:val="24"/>
        </w:rPr>
        <w:tab/>
      </w:r>
      <w:r w:rsidRPr="004A63D0">
        <w:rPr>
          <w:spacing w:val="-3"/>
          <w:sz w:val="24"/>
          <w:szCs w:val="24"/>
        </w:rPr>
        <w:t>The Commission has jurisdiction over the parties and the subject matter in this proceeding.</w:t>
      </w:r>
    </w:p>
    <w:p w:rsidR="00A76AD7" w:rsidRPr="004A63D0" w:rsidRDefault="00A76AD7" w:rsidP="00C7592A">
      <w:pPr>
        <w:tabs>
          <w:tab w:val="left" w:pos="-1440"/>
          <w:tab w:val="left" w:pos="-720"/>
        </w:tabs>
        <w:suppressAutoHyphens/>
        <w:spacing w:line="360" w:lineRule="auto"/>
        <w:ind w:firstLine="1440"/>
        <w:rPr>
          <w:spacing w:val="-3"/>
          <w:sz w:val="24"/>
          <w:szCs w:val="24"/>
        </w:rPr>
      </w:pPr>
    </w:p>
    <w:p w:rsidR="00A76AD7" w:rsidRPr="004A63D0" w:rsidRDefault="00A76AD7" w:rsidP="00C7592A">
      <w:pPr>
        <w:spacing w:line="360" w:lineRule="auto"/>
        <w:ind w:firstLine="1440"/>
        <w:rPr>
          <w:sz w:val="24"/>
          <w:szCs w:val="24"/>
        </w:rPr>
      </w:pPr>
      <w:r w:rsidRPr="004A63D0">
        <w:rPr>
          <w:sz w:val="24"/>
          <w:szCs w:val="24"/>
        </w:rPr>
        <w:t>2.</w:t>
      </w:r>
      <w:r w:rsidRPr="004A63D0">
        <w:rPr>
          <w:sz w:val="24"/>
          <w:szCs w:val="24"/>
        </w:rPr>
        <w:tab/>
        <w:t xml:space="preserve">Commission regulations provide for the filing of </w:t>
      </w:r>
      <w:r w:rsidR="00441338" w:rsidRPr="004A63D0">
        <w:rPr>
          <w:sz w:val="24"/>
          <w:szCs w:val="24"/>
        </w:rPr>
        <w:t>preliminary objections</w:t>
      </w:r>
      <w:r w:rsidRPr="004A63D0">
        <w:rPr>
          <w:sz w:val="24"/>
          <w:szCs w:val="24"/>
        </w:rPr>
        <w:t xml:space="preserve">. </w:t>
      </w:r>
      <w:r w:rsidR="001310C5" w:rsidRPr="004A63D0">
        <w:rPr>
          <w:sz w:val="24"/>
          <w:szCs w:val="24"/>
        </w:rPr>
        <w:t xml:space="preserve"> </w:t>
      </w:r>
      <w:r w:rsidRPr="004A63D0">
        <w:rPr>
          <w:sz w:val="24"/>
          <w:szCs w:val="24"/>
        </w:rPr>
        <w:t>52 Pa. Code § 5.10</w:t>
      </w:r>
      <w:r w:rsidR="00441338" w:rsidRPr="004A63D0">
        <w:rPr>
          <w:sz w:val="24"/>
          <w:szCs w:val="24"/>
        </w:rPr>
        <w:t>1</w:t>
      </w:r>
      <w:r w:rsidR="001310C5" w:rsidRPr="004A63D0">
        <w:rPr>
          <w:sz w:val="24"/>
          <w:szCs w:val="24"/>
        </w:rPr>
        <w:t>.</w:t>
      </w:r>
    </w:p>
    <w:p w:rsidR="00A76AD7" w:rsidRPr="004A63D0" w:rsidRDefault="00A76AD7" w:rsidP="00C7592A">
      <w:pPr>
        <w:suppressAutoHyphens/>
        <w:spacing w:line="360" w:lineRule="auto"/>
        <w:rPr>
          <w:sz w:val="24"/>
          <w:szCs w:val="24"/>
        </w:rPr>
      </w:pPr>
    </w:p>
    <w:p w:rsidR="008136E8" w:rsidRPr="004A63D0" w:rsidRDefault="00A76AD7" w:rsidP="00C7592A">
      <w:pPr>
        <w:spacing w:line="360" w:lineRule="auto"/>
        <w:ind w:firstLine="1440"/>
        <w:outlineLvl w:val="0"/>
        <w:rPr>
          <w:sz w:val="24"/>
          <w:szCs w:val="24"/>
        </w:rPr>
      </w:pPr>
      <w:r w:rsidRPr="004A63D0">
        <w:rPr>
          <w:sz w:val="24"/>
          <w:szCs w:val="24"/>
        </w:rPr>
        <w:t>3</w:t>
      </w:r>
      <w:r w:rsidR="008136E8" w:rsidRPr="004A63D0">
        <w:rPr>
          <w:sz w:val="24"/>
          <w:szCs w:val="24"/>
        </w:rPr>
        <w:t>.</w:t>
      </w:r>
      <w:r w:rsidR="008136E8" w:rsidRPr="004A63D0">
        <w:rPr>
          <w:sz w:val="24"/>
          <w:szCs w:val="24"/>
        </w:rPr>
        <w:tab/>
      </w:r>
      <w:r w:rsidR="00441338" w:rsidRPr="004A63D0">
        <w:rPr>
          <w:sz w:val="24"/>
          <w:szCs w:val="24"/>
        </w:rPr>
        <w:t>The Complaint should be dismissed as legally insufficient under 52 Pa. Code § 5.101(a)(4).</w:t>
      </w:r>
    </w:p>
    <w:p w:rsidR="00441338" w:rsidRPr="004A63D0" w:rsidRDefault="00441338" w:rsidP="00C7592A">
      <w:pPr>
        <w:spacing w:line="360" w:lineRule="auto"/>
        <w:ind w:firstLine="1440"/>
        <w:outlineLvl w:val="0"/>
        <w:rPr>
          <w:sz w:val="24"/>
          <w:szCs w:val="24"/>
        </w:rPr>
      </w:pPr>
    </w:p>
    <w:p w:rsidR="00A76AD7" w:rsidRPr="004A63D0" w:rsidRDefault="00441338" w:rsidP="00C7592A">
      <w:pPr>
        <w:spacing w:line="360" w:lineRule="auto"/>
        <w:ind w:firstLine="1440"/>
        <w:outlineLvl w:val="0"/>
        <w:rPr>
          <w:sz w:val="24"/>
          <w:szCs w:val="24"/>
        </w:rPr>
      </w:pPr>
      <w:r w:rsidRPr="004A63D0">
        <w:rPr>
          <w:sz w:val="24"/>
          <w:szCs w:val="24"/>
        </w:rPr>
        <w:t>4</w:t>
      </w:r>
      <w:r w:rsidR="00632215" w:rsidRPr="004A63D0">
        <w:rPr>
          <w:sz w:val="24"/>
          <w:szCs w:val="24"/>
        </w:rPr>
        <w:t>.</w:t>
      </w:r>
      <w:r w:rsidR="008136E8" w:rsidRPr="004A63D0">
        <w:rPr>
          <w:sz w:val="24"/>
          <w:szCs w:val="24"/>
        </w:rPr>
        <w:tab/>
      </w:r>
      <w:r w:rsidR="00A76AD7" w:rsidRPr="004A63D0">
        <w:rPr>
          <w:sz w:val="24"/>
          <w:szCs w:val="24"/>
        </w:rPr>
        <w:t>Public utility tariffs have the force of law and are binding on both the public utility and its customers.</w:t>
      </w:r>
      <w:r w:rsidR="00903694" w:rsidRPr="004A63D0">
        <w:rPr>
          <w:sz w:val="24"/>
          <w:szCs w:val="24"/>
        </w:rPr>
        <w:t xml:space="preserve">  </w:t>
      </w:r>
      <w:r w:rsidR="00903694" w:rsidRPr="004A63D0">
        <w:rPr>
          <w:i/>
          <w:sz w:val="24"/>
          <w:szCs w:val="24"/>
        </w:rPr>
        <w:t>Brockway Glass v.</w:t>
      </w:r>
      <w:r w:rsidR="00903694" w:rsidRPr="004A63D0">
        <w:rPr>
          <w:sz w:val="24"/>
          <w:szCs w:val="24"/>
        </w:rPr>
        <w:t xml:space="preserve"> </w:t>
      </w:r>
      <w:r w:rsidR="00903694" w:rsidRPr="004A63D0">
        <w:rPr>
          <w:i/>
          <w:spacing w:val="-3"/>
          <w:sz w:val="24"/>
          <w:szCs w:val="24"/>
        </w:rPr>
        <w:t>Pennsylvania Pub. Util. Comm’n</w:t>
      </w:r>
      <w:r w:rsidR="006B6FB8" w:rsidRPr="004A63D0">
        <w:rPr>
          <w:spacing w:val="-3"/>
          <w:sz w:val="24"/>
          <w:szCs w:val="24"/>
        </w:rPr>
        <w:t>, 437 A.2d </w:t>
      </w:r>
      <w:r w:rsidR="00903694" w:rsidRPr="004A63D0">
        <w:rPr>
          <w:spacing w:val="-3"/>
          <w:sz w:val="24"/>
          <w:szCs w:val="24"/>
        </w:rPr>
        <w:t>1067 (Pa. Cmwlth. 1982).</w:t>
      </w:r>
    </w:p>
    <w:p w:rsidR="00A51CF8" w:rsidRPr="004A63D0" w:rsidRDefault="00A51CF8" w:rsidP="00C7592A">
      <w:pPr>
        <w:spacing w:line="360" w:lineRule="auto"/>
        <w:ind w:firstLine="1440"/>
        <w:outlineLvl w:val="0"/>
        <w:rPr>
          <w:sz w:val="24"/>
          <w:szCs w:val="24"/>
        </w:rPr>
      </w:pPr>
    </w:p>
    <w:p w:rsidR="002B6B99" w:rsidRPr="004A63D0" w:rsidRDefault="00583A7A" w:rsidP="00C7592A">
      <w:pPr>
        <w:spacing w:line="360" w:lineRule="auto"/>
        <w:ind w:firstLine="1440"/>
        <w:rPr>
          <w:sz w:val="24"/>
          <w:szCs w:val="24"/>
        </w:rPr>
      </w:pPr>
      <w:r w:rsidRPr="004A63D0">
        <w:rPr>
          <w:sz w:val="24"/>
          <w:szCs w:val="24"/>
        </w:rPr>
        <w:t>5</w:t>
      </w:r>
      <w:r w:rsidR="002B6B99" w:rsidRPr="004A63D0">
        <w:rPr>
          <w:sz w:val="24"/>
          <w:szCs w:val="24"/>
        </w:rPr>
        <w:t>.</w:t>
      </w:r>
      <w:r w:rsidR="001310C5" w:rsidRPr="004A63D0">
        <w:rPr>
          <w:sz w:val="24"/>
          <w:szCs w:val="24"/>
        </w:rPr>
        <w:tab/>
      </w:r>
      <w:r w:rsidR="002B6B99" w:rsidRPr="004A63D0">
        <w:rPr>
          <w:sz w:val="24"/>
          <w:szCs w:val="24"/>
        </w:rPr>
        <w:t>The Commission may dismiss a complaint without a hearing if a hearing in this matter is not necess</w:t>
      </w:r>
      <w:r w:rsidR="000E4E39" w:rsidRPr="004A63D0">
        <w:rPr>
          <w:sz w:val="24"/>
          <w:szCs w:val="24"/>
        </w:rPr>
        <w:t>ary or in the public interest.</w:t>
      </w:r>
    </w:p>
    <w:p w:rsidR="00583A7A" w:rsidRPr="004A63D0" w:rsidRDefault="00583A7A" w:rsidP="0086750B">
      <w:pPr>
        <w:spacing w:line="360" w:lineRule="auto"/>
        <w:outlineLvl w:val="0"/>
        <w:rPr>
          <w:sz w:val="24"/>
          <w:szCs w:val="24"/>
          <w:u w:val="single"/>
        </w:rPr>
      </w:pPr>
    </w:p>
    <w:p w:rsidR="00A76AD7" w:rsidRPr="004A63D0" w:rsidRDefault="00A76AD7" w:rsidP="00C7592A">
      <w:pPr>
        <w:spacing w:line="360" w:lineRule="auto"/>
        <w:jc w:val="center"/>
        <w:outlineLvl w:val="0"/>
        <w:rPr>
          <w:sz w:val="24"/>
          <w:szCs w:val="24"/>
          <w:u w:val="single"/>
        </w:rPr>
      </w:pPr>
      <w:r w:rsidRPr="004A63D0">
        <w:rPr>
          <w:sz w:val="24"/>
          <w:szCs w:val="24"/>
          <w:u w:val="single"/>
        </w:rPr>
        <w:t>ORDER</w:t>
      </w:r>
    </w:p>
    <w:p w:rsidR="00A76AD7" w:rsidRPr="004A63D0" w:rsidRDefault="00A76AD7" w:rsidP="00C7592A">
      <w:pPr>
        <w:spacing w:line="360" w:lineRule="auto"/>
        <w:ind w:firstLine="1440"/>
        <w:outlineLvl w:val="0"/>
        <w:rPr>
          <w:sz w:val="24"/>
          <w:szCs w:val="24"/>
        </w:rPr>
      </w:pPr>
    </w:p>
    <w:p w:rsidR="00AC7DBC" w:rsidRPr="004A63D0" w:rsidRDefault="00AC7DBC" w:rsidP="00C7592A">
      <w:pPr>
        <w:spacing w:line="360" w:lineRule="auto"/>
        <w:ind w:firstLine="1440"/>
        <w:outlineLvl w:val="0"/>
        <w:rPr>
          <w:sz w:val="24"/>
          <w:szCs w:val="24"/>
        </w:rPr>
      </w:pPr>
    </w:p>
    <w:p w:rsidR="00A76AD7" w:rsidRPr="004A63D0" w:rsidRDefault="00A76AD7" w:rsidP="00C7592A">
      <w:pPr>
        <w:spacing w:line="360" w:lineRule="auto"/>
        <w:ind w:firstLine="1440"/>
        <w:outlineLvl w:val="0"/>
        <w:rPr>
          <w:sz w:val="24"/>
          <w:szCs w:val="24"/>
        </w:rPr>
      </w:pPr>
      <w:r w:rsidRPr="004A63D0">
        <w:rPr>
          <w:sz w:val="24"/>
          <w:szCs w:val="24"/>
        </w:rPr>
        <w:t>THEREFORE,</w:t>
      </w:r>
    </w:p>
    <w:p w:rsidR="00A76AD7" w:rsidRPr="004A63D0" w:rsidRDefault="00A76AD7" w:rsidP="00C7592A">
      <w:pPr>
        <w:spacing w:line="360" w:lineRule="auto"/>
        <w:ind w:firstLine="1440"/>
        <w:outlineLvl w:val="0"/>
        <w:rPr>
          <w:sz w:val="24"/>
          <w:szCs w:val="24"/>
        </w:rPr>
      </w:pPr>
    </w:p>
    <w:p w:rsidR="002B6B99" w:rsidRPr="004A63D0" w:rsidRDefault="002B6B99" w:rsidP="00C7592A">
      <w:pPr>
        <w:spacing w:line="360" w:lineRule="auto"/>
        <w:ind w:firstLine="1440"/>
        <w:outlineLvl w:val="0"/>
        <w:rPr>
          <w:sz w:val="24"/>
          <w:szCs w:val="24"/>
        </w:rPr>
      </w:pPr>
      <w:r w:rsidRPr="004A63D0">
        <w:rPr>
          <w:sz w:val="24"/>
          <w:szCs w:val="24"/>
        </w:rPr>
        <w:t>IT IS ORDERED:</w:t>
      </w:r>
    </w:p>
    <w:p w:rsidR="002B6B99" w:rsidRPr="004A63D0" w:rsidRDefault="002B6B99" w:rsidP="00C7592A">
      <w:pPr>
        <w:spacing w:line="360" w:lineRule="auto"/>
        <w:ind w:firstLine="1440"/>
        <w:rPr>
          <w:sz w:val="24"/>
          <w:szCs w:val="24"/>
        </w:rPr>
      </w:pPr>
    </w:p>
    <w:p w:rsidR="002B6B99" w:rsidRPr="004A63D0" w:rsidRDefault="002B6B99" w:rsidP="00C7592A">
      <w:pPr>
        <w:spacing w:line="360" w:lineRule="auto"/>
        <w:ind w:firstLine="1440"/>
        <w:rPr>
          <w:sz w:val="24"/>
          <w:szCs w:val="24"/>
        </w:rPr>
      </w:pPr>
      <w:r w:rsidRPr="004A63D0">
        <w:rPr>
          <w:sz w:val="24"/>
          <w:szCs w:val="24"/>
        </w:rPr>
        <w:t>1.</w:t>
      </w:r>
      <w:r w:rsidRPr="004A63D0">
        <w:rPr>
          <w:sz w:val="24"/>
          <w:szCs w:val="24"/>
        </w:rPr>
        <w:tab/>
        <w:t xml:space="preserve">That the </w:t>
      </w:r>
      <w:r w:rsidR="00441338" w:rsidRPr="004A63D0">
        <w:rPr>
          <w:sz w:val="24"/>
          <w:szCs w:val="24"/>
        </w:rPr>
        <w:t xml:space="preserve">Preliminary Objections </w:t>
      </w:r>
      <w:r w:rsidRPr="004A63D0">
        <w:rPr>
          <w:sz w:val="24"/>
          <w:szCs w:val="24"/>
        </w:rPr>
        <w:t xml:space="preserve">filed by </w:t>
      </w:r>
      <w:r w:rsidR="005E5C61" w:rsidRPr="004A63D0">
        <w:rPr>
          <w:sz w:val="24"/>
          <w:szCs w:val="24"/>
        </w:rPr>
        <w:t>PECO</w:t>
      </w:r>
      <w:r w:rsidR="00903694" w:rsidRPr="004A63D0">
        <w:rPr>
          <w:sz w:val="24"/>
          <w:szCs w:val="24"/>
        </w:rPr>
        <w:t xml:space="preserve"> </w:t>
      </w:r>
      <w:r w:rsidR="00583A7A" w:rsidRPr="004A63D0">
        <w:rPr>
          <w:sz w:val="24"/>
          <w:szCs w:val="24"/>
        </w:rPr>
        <w:t>Energy</w:t>
      </w:r>
      <w:r w:rsidRPr="004A63D0">
        <w:rPr>
          <w:sz w:val="24"/>
          <w:szCs w:val="24"/>
        </w:rPr>
        <w:t xml:space="preserve"> Company seeking dismissal of the Complaint filed by </w:t>
      </w:r>
      <w:r w:rsidR="00583A7A" w:rsidRPr="004A63D0">
        <w:rPr>
          <w:sz w:val="24"/>
          <w:szCs w:val="24"/>
        </w:rPr>
        <w:t>Jeff</w:t>
      </w:r>
      <w:r w:rsidR="005073FE" w:rsidRPr="004A63D0">
        <w:rPr>
          <w:sz w:val="24"/>
          <w:szCs w:val="24"/>
        </w:rPr>
        <w:t xml:space="preserve"> </w:t>
      </w:r>
      <w:r w:rsidR="005E5C61" w:rsidRPr="004A63D0">
        <w:rPr>
          <w:sz w:val="24"/>
          <w:szCs w:val="24"/>
        </w:rPr>
        <w:t>Morgan</w:t>
      </w:r>
      <w:r w:rsidR="00441338" w:rsidRPr="004A63D0">
        <w:rPr>
          <w:sz w:val="24"/>
          <w:szCs w:val="24"/>
        </w:rPr>
        <w:t xml:space="preserve"> at Docket No. </w:t>
      </w:r>
      <w:r w:rsidR="00441338" w:rsidRPr="004A63D0">
        <w:rPr>
          <w:spacing w:val="-3"/>
          <w:sz w:val="24"/>
          <w:szCs w:val="24"/>
        </w:rPr>
        <w:t>C</w:t>
      </w:r>
      <w:r w:rsidR="00441338" w:rsidRPr="004A63D0">
        <w:rPr>
          <w:sz w:val="24"/>
          <w:szCs w:val="24"/>
        </w:rPr>
        <w:t>-201</w:t>
      </w:r>
      <w:r w:rsidR="005073FE" w:rsidRPr="004A63D0">
        <w:rPr>
          <w:sz w:val="24"/>
          <w:szCs w:val="24"/>
        </w:rPr>
        <w:t>3</w:t>
      </w:r>
      <w:r w:rsidR="00441338" w:rsidRPr="004A63D0">
        <w:rPr>
          <w:sz w:val="24"/>
          <w:szCs w:val="24"/>
        </w:rPr>
        <w:t>-</w:t>
      </w:r>
      <w:r w:rsidR="005073FE" w:rsidRPr="004A63D0">
        <w:rPr>
          <w:sz w:val="24"/>
          <w:szCs w:val="24"/>
        </w:rPr>
        <w:t>235</w:t>
      </w:r>
      <w:r w:rsidR="00583A7A" w:rsidRPr="004A63D0">
        <w:rPr>
          <w:sz w:val="24"/>
          <w:szCs w:val="24"/>
        </w:rPr>
        <w:t>6606</w:t>
      </w:r>
      <w:r w:rsidR="00441338" w:rsidRPr="004A63D0">
        <w:rPr>
          <w:sz w:val="24"/>
          <w:szCs w:val="24"/>
        </w:rPr>
        <w:t xml:space="preserve"> are</w:t>
      </w:r>
      <w:r w:rsidR="00CE4BCD" w:rsidRPr="004A63D0">
        <w:rPr>
          <w:sz w:val="24"/>
          <w:szCs w:val="24"/>
        </w:rPr>
        <w:t xml:space="preserve"> granted;</w:t>
      </w:r>
    </w:p>
    <w:p w:rsidR="002B6B99" w:rsidRPr="004A63D0" w:rsidRDefault="002B6B99" w:rsidP="00C7592A">
      <w:pPr>
        <w:spacing w:line="360" w:lineRule="auto"/>
        <w:ind w:firstLine="1440"/>
        <w:rPr>
          <w:sz w:val="24"/>
          <w:szCs w:val="24"/>
        </w:rPr>
      </w:pPr>
    </w:p>
    <w:p w:rsidR="002B6B99" w:rsidRPr="004A63D0" w:rsidRDefault="002B6B99" w:rsidP="00C7592A">
      <w:pPr>
        <w:spacing w:line="360" w:lineRule="auto"/>
        <w:ind w:firstLine="1440"/>
        <w:rPr>
          <w:sz w:val="24"/>
          <w:szCs w:val="24"/>
        </w:rPr>
      </w:pPr>
      <w:r w:rsidRPr="004A63D0">
        <w:rPr>
          <w:sz w:val="24"/>
          <w:szCs w:val="24"/>
        </w:rPr>
        <w:t>2.</w:t>
      </w:r>
      <w:r w:rsidRPr="004A63D0">
        <w:rPr>
          <w:sz w:val="24"/>
          <w:szCs w:val="24"/>
        </w:rPr>
        <w:tab/>
        <w:t xml:space="preserve">That the Formal Complaint filed by </w:t>
      </w:r>
      <w:r w:rsidR="00583A7A" w:rsidRPr="004A63D0">
        <w:rPr>
          <w:sz w:val="24"/>
          <w:szCs w:val="24"/>
        </w:rPr>
        <w:t>Jeff</w:t>
      </w:r>
      <w:r w:rsidR="005073FE" w:rsidRPr="004A63D0">
        <w:rPr>
          <w:sz w:val="24"/>
          <w:szCs w:val="24"/>
        </w:rPr>
        <w:t xml:space="preserve"> </w:t>
      </w:r>
      <w:r w:rsidR="005E5C61" w:rsidRPr="004A63D0">
        <w:rPr>
          <w:sz w:val="24"/>
          <w:szCs w:val="24"/>
        </w:rPr>
        <w:t>Morgan</w:t>
      </w:r>
      <w:r w:rsidR="00441338" w:rsidRPr="004A63D0">
        <w:rPr>
          <w:sz w:val="24"/>
          <w:szCs w:val="24"/>
        </w:rPr>
        <w:t xml:space="preserve"> at Docket No. </w:t>
      </w:r>
      <w:r w:rsidR="00441338" w:rsidRPr="004A63D0">
        <w:rPr>
          <w:spacing w:val="-3"/>
          <w:sz w:val="24"/>
          <w:szCs w:val="24"/>
        </w:rPr>
        <w:t>C</w:t>
      </w:r>
      <w:r w:rsidR="00C7592A" w:rsidRPr="004A63D0">
        <w:rPr>
          <w:sz w:val="24"/>
          <w:szCs w:val="24"/>
        </w:rPr>
        <w:noBreakHyphen/>
      </w:r>
      <w:r w:rsidR="00441338" w:rsidRPr="004A63D0">
        <w:rPr>
          <w:sz w:val="24"/>
          <w:szCs w:val="24"/>
        </w:rPr>
        <w:t>201</w:t>
      </w:r>
      <w:r w:rsidR="005073FE" w:rsidRPr="004A63D0">
        <w:rPr>
          <w:sz w:val="24"/>
          <w:szCs w:val="24"/>
        </w:rPr>
        <w:t>3-235</w:t>
      </w:r>
      <w:r w:rsidR="00583A7A" w:rsidRPr="004A63D0">
        <w:rPr>
          <w:sz w:val="24"/>
          <w:szCs w:val="24"/>
        </w:rPr>
        <w:t>6606</w:t>
      </w:r>
      <w:r w:rsidR="00441338" w:rsidRPr="004A63D0">
        <w:rPr>
          <w:sz w:val="24"/>
          <w:szCs w:val="24"/>
        </w:rPr>
        <w:t xml:space="preserve"> </w:t>
      </w:r>
      <w:r w:rsidR="00CE4BCD" w:rsidRPr="004A63D0">
        <w:rPr>
          <w:sz w:val="24"/>
          <w:szCs w:val="24"/>
        </w:rPr>
        <w:t>is dismissed;</w:t>
      </w:r>
    </w:p>
    <w:p w:rsidR="00441338" w:rsidRPr="004A63D0" w:rsidRDefault="00441338" w:rsidP="00C7592A">
      <w:pPr>
        <w:spacing w:line="360" w:lineRule="auto"/>
        <w:ind w:firstLine="1440"/>
        <w:outlineLvl w:val="0"/>
        <w:rPr>
          <w:sz w:val="24"/>
          <w:szCs w:val="24"/>
        </w:rPr>
      </w:pPr>
    </w:p>
    <w:p w:rsidR="00A76AD7" w:rsidRPr="004A63D0" w:rsidRDefault="00441338" w:rsidP="00C7592A">
      <w:pPr>
        <w:spacing w:line="360" w:lineRule="auto"/>
        <w:ind w:firstLine="1440"/>
        <w:outlineLvl w:val="0"/>
        <w:rPr>
          <w:sz w:val="24"/>
          <w:szCs w:val="24"/>
        </w:rPr>
      </w:pPr>
      <w:r w:rsidRPr="004A63D0">
        <w:rPr>
          <w:sz w:val="24"/>
          <w:szCs w:val="24"/>
        </w:rPr>
        <w:t>3</w:t>
      </w:r>
      <w:r w:rsidR="00A76AD7" w:rsidRPr="004A63D0">
        <w:rPr>
          <w:sz w:val="24"/>
          <w:szCs w:val="24"/>
        </w:rPr>
        <w:t>.</w:t>
      </w:r>
      <w:r w:rsidR="00A76AD7" w:rsidRPr="004A63D0">
        <w:rPr>
          <w:sz w:val="24"/>
          <w:szCs w:val="24"/>
        </w:rPr>
        <w:tab/>
        <w:t xml:space="preserve">That the </w:t>
      </w:r>
      <w:r w:rsidR="0090095E">
        <w:rPr>
          <w:sz w:val="24"/>
          <w:szCs w:val="24"/>
        </w:rPr>
        <w:t>case</w:t>
      </w:r>
      <w:r w:rsidR="00A76AD7" w:rsidRPr="004A63D0">
        <w:rPr>
          <w:sz w:val="24"/>
          <w:szCs w:val="24"/>
        </w:rPr>
        <w:t xml:space="preserve"> in this proceeding be marked closed.</w:t>
      </w:r>
    </w:p>
    <w:p w:rsidR="00A76AD7" w:rsidRPr="004A63D0" w:rsidRDefault="00A76AD7" w:rsidP="00E237AC">
      <w:pPr>
        <w:spacing w:line="360" w:lineRule="auto"/>
        <w:ind w:firstLine="1440"/>
        <w:outlineLvl w:val="0"/>
        <w:rPr>
          <w:sz w:val="24"/>
          <w:szCs w:val="24"/>
        </w:rPr>
      </w:pPr>
    </w:p>
    <w:p w:rsidR="00A76AD7" w:rsidRPr="004A63D0" w:rsidRDefault="00A76AD7" w:rsidP="00751E26">
      <w:pPr>
        <w:spacing w:line="360" w:lineRule="auto"/>
        <w:outlineLvl w:val="0"/>
        <w:rPr>
          <w:sz w:val="24"/>
          <w:szCs w:val="24"/>
        </w:rPr>
      </w:pPr>
    </w:p>
    <w:tbl>
      <w:tblPr>
        <w:tblW w:w="0" w:type="auto"/>
        <w:tblLayout w:type="fixed"/>
        <w:tblLook w:val="0000" w:firstRow="0" w:lastRow="0" w:firstColumn="0" w:lastColumn="0" w:noHBand="0" w:noVBand="0"/>
      </w:tblPr>
      <w:tblGrid>
        <w:gridCol w:w="1098"/>
        <w:gridCol w:w="2340"/>
        <w:gridCol w:w="90"/>
        <w:gridCol w:w="1620"/>
        <w:gridCol w:w="4428"/>
      </w:tblGrid>
      <w:tr w:rsidR="00A76AD7" w:rsidRPr="004A63D0" w:rsidTr="007F0C2B">
        <w:tc>
          <w:tcPr>
            <w:tcW w:w="1098" w:type="dxa"/>
          </w:tcPr>
          <w:p w:rsidR="00A76AD7" w:rsidRPr="004A63D0" w:rsidRDefault="00A76AD7" w:rsidP="00C7592A">
            <w:pPr>
              <w:jc w:val="both"/>
              <w:rPr>
                <w:sz w:val="24"/>
                <w:szCs w:val="24"/>
              </w:rPr>
            </w:pPr>
            <w:r w:rsidRPr="004A63D0">
              <w:rPr>
                <w:sz w:val="24"/>
                <w:szCs w:val="24"/>
              </w:rPr>
              <w:t>Date:</w:t>
            </w:r>
          </w:p>
        </w:tc>
        <w:tc>
          <w:tcPr>
            <w:tcW w:w="2430" w:type="dxa"/>
            <w:gridSpan w:val="2"/>
          </w:tcPr>
          <w:p w:rsidR="00A76AD7" w:rsidRPr="004A63D0" w:rsidRDefault="005073FE" w:rsidP="00583A7A">
            <w:pPr>
              <w:rPr>
                <w:sz w:val="24"/>
                <w:szCs w:val="24"/>
                <w:u w:val="single"/>
              </w:rPr>
            </w:pPr>
            <w:r w:rsidRPr="004A63D0">
              <w:rPr>
                <w:sz w:val="24"/>
                <w:szCs w:val="24"/>
                <w:u w:val="single"/>
              </w:rPr>
              <w:t>June 1</w:t>
            </w:r>
            <w:r w:rsidR="00583A7A" w:rsidRPr="004A63D0">
              <w:rPr>
                <w:sz w:val="24"/>
                <w:szCs w:val="24"/>
                <w:u w:val="single"/>
              </w:rPr>
              <w:t>4</w:t>
            </w:r>
            <w:r w:rsidR="00441338" w:rsidRPr="004A63D0">
              <w:rPr>
                <w:sz w:val="24"/>
                <w:szCs w:val="24"/>
                <w:u w:val="single"/>
              </w:rPr>
              <w:t>, 201</w:t>
            </w:r>
            <w:r w:rsidRPr="004A63D0">
              <w:rPr>
                <w:sz w:val="24"/>
                <w:szCs w:val="24"/>
                <w:u w:val="single"/>
              </w:rPr>
              <w:t>3</w:t>
            </w:r>
            <w:r w:rsidR="00A76AD7" w:rsidRPr="004A63D0">
              <w:rPr>
                <w:sz w:val="24"/>
                <w:szCs w:val="24"/>
                <w:u w:val="single"/>
              </w:rPr>
              <w:t>  </w:t>
            </w:r>
          </w:p>
        </w:tc>
        <w:tc>
          <w:tcPr>
            <w:tcW w:w="1620" w:type="dxa"/>
            <w:tcBorders>
              <w:left w:val="nil"/>
            </w:tcBorders>
          </w:tcPr>
          <w:p w:rsidR="00A76AD7" w:rsidRPr="004A63D0" w:rsidRDefault="00A46554" w:rsidP="00C7592A">
            <w:pPr>
              <w:jc w:val="both"/>
              <w:rPr>
                <w:sz w:val="24"/>
                <w:szCs w:val="24"/>
              </w:rPr>
            </w:pPr>
            <w:r w:rsidRPr="004A63D0">
              <w:rPr>
                <w:sz w:val="24"/>
                <w:szCs w:val="24"/>
              </w:rPr>
              <w:t xml:space="preserve"> </w:t>
            </w:r>
          </w:p>
        </w:tc>
        <w:tc>
          <w:tcPr>
            <w:tcW w:w="4428" w:type="dxa"/>
            <w:tcBorders>
              <w:bottom w:val="single" w:sz="6" w:space="0" w:color="auto"/>
            </w:tcBorders>
          </w:tcPr>
          <w:p w:rsidR="00A76AD7" w:rsidRPr="004A63D0" w:rsidRDefault="00A46554" w:rsidP="00C7592A">
            <w:pPr>
              <w:jc w:val="both"/>
              <w:rPr>
                <w:sz w:val="24"/>
                <w:szCs w:val="24"/>
              </w:rPr>
            </w:pPr>
            <w:r w:rsidRPr="004A63D0">
              <w:rPr>
                <w:sz w:val="24"/>
                <w:szCs w:val="24"/>
              </w:rPr>
              <w:t xml:space="preserve"> /s/</w:t>
            </w:r>
          </w:p>
        </w:tc>
      </w:tr>
      <w:tr w:rsidR="00A76AD7" w:rsidRPr="004A63D0" w:rsidTr="007F0C2B">
        <w:tc>
          <w:tcPr>
            <w:tcW w:w="1098" w:type="dxa"/>
          </w:tcPr>
          <w:p w:rsidR="00A76AD7" w:rsidRPr="004A63D0" w:rsidRDefault="00A76AD7" w:rsidP="00C7592A">
            <w:pPr>
              <w:jc w:val="both"/>
              <w:rPr>
                <w:sz w:val="24"/>
                <w:szCs w:val="24"/>
              </w:rPr>
            </w:pPr>
          </w:p>
        </w:tc>
        <w:tc>
          <w:tcPr>
            <w:tcW w:w="2340" w:type="dxa"/>
          </w:tcPr>
          <w:p w:rsidR="00A76AD7" w:rsidRPr="004A63D0" w:rsidRDefault="00A76AD7" w:rsidP="00C7592A">
            <w:pPr>
              <w:jc w:val="both"/>
              <w:rPr>
                <w:sz w:val="24"/>
                <w:szCs w:val="24"/>
              </w:rPr>
            </w:pPr>
          </w:p>
        </w:tc>
        <w:tc>
          <w:tcPr>
            <w:tcW w:w="1710" w:type="dxa"/>
            <w:gridSpan w:val="2"/>
          </w:tcPr>
          <w:p w:rsidR="00A76AD7" w:rsidRPr="004A63D0" w:rsidRDefault="00A76AD7" w:rsidP="00C7592A">
            <w:pPr>
              <w:jc w:val="both"/>
              <w:rPr>
                <w:sz w:val="24"/>
                <w:szCs w:val="24"/>
              </w:rPr>
            </w:pPr>
          </w:p>
        </w:tc>
        <w:tc>
          <w:tcPr>
            <w:tcW w:w="4428" w:type="dxa"/>
          </w:tcPr>
          <w:p w:rsidR="00A76AD7" w:rsidRPr="004A63D0" w:rsidRDefault="00441338" w:rsidP="00C7592A">
            <w:pPr>
              <w:rPr>
                <w:sz w:val="24"/>
                <w:szCs w:val="24"/>
              </w:rPr>
            </w:pPr>
            <w:r w:rsidRPr="004A63D0">
              <w:rPr>
                <w:sz w:val="24"/>
                <w:szCs w:val="24"/>
              </w:rPr>
              <w:t>Elizabeth H. Barnes</w:t>
            </w:r>
          </w:p>
          <w:p w:rsidR="005073FE" w:rsidRPr="004A63D0" w:rsidRDefault="005073FE" w:rsidP="00C7592A">
            <w:pPr>
              <w:rPr>
                <w:sz w:val="24"/>
                <w:szCs w:val="24"/>
              </w:rPr>
            </w:pPr>
            <w:r w:rsidRPr="004A63D0">
              <w:rPr>
                <w:sz w:val="24"/>
                <w:szCs w:val="24"/>
              </w:rPr>
              <w:t>Administrative Law Judge</w:t>
            </w:r>
          </w:p>
        </w:tc>
      </w:tr>
    </w:tbl>
    <w:p w:rsidR="00A76AD7" w:rsidRPr="004A63D0" w:rsidRDefault="00A76AD7" w:rsidP="00C7592A">
      <w:pPr>
        <w:spacing w:line="360" w:lineRule="auto"/>
        <w:ind w:firstLine="1440"/>
        <w:outlineLvl w:val="0"/>
        <w:rPr>
          <w:snapToGrid w:val="0"/>
          <w:sz w:val="24"/>
          <w:szCs w:val="24"/>
        </w:rPr>
      </w:pPr>
    </w:p>
    <w:sectPr w:rsidR="00A76AD7" w:rsidRPr="004A63D0" w:rsidSect="001B760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65" w:rsidRDefault="00204B65" w:rsidP="00F01477">
      <w:r>
        <w:separator/>
      </w:r>
    </w:p>
  </w:endnote>
  <w:endnote w:type="continuationSeparator" w:id="0">
    <w:p w:rsidR="00204B65" w:rsidRDefault="00204B65"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6A0B7A">
      <w:rPr>
        <w:noProof/>
        <w:sz w:val="20"/>
      </w:rPr>
      <w:t>2</w:t>
    </w:r>
    <w:r w:rsidRPr="00C7592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65" w:rsidRDefault="00204B65" w:rsidP="00F01477">
      <w:r>
        <w:separator/>
      </w:r>
    </w:p>
  </w:footnote>
  <w:footnote w:type="continuationSeparator" w:id="0">
    <w:p w:rsidR="00204B65" w:rsidRDefault="00204B65" w:rsidP="00F01477">
      <w:r>
        <w:continuationSeparator/>
      </w:r>
    </w:p>
  </w:footnote>
  <w:footnote w:id="1">
    <w:p w:rsidR="00A46554" w:rsidRPr="001B7605" w:rsidRDefault="00A46554" w:rsidP="00A46554">
      <w:pPr>
        <w:pStyle w:val="FootnoteText"/>
        <w:ind w:left="720" w:hanging="720"/>
      </w:pPr>
      <w:r w:rsidRPr="001B7605">
        <w:rPr>
          <w:rStyle w:val="FootnoteReference"/>
        </w:rPr>
        <w:footnoteRef/>
      </w:r>
      <w:r w:rsidRPr="001B7605">
        <w:t xml:space="preserve"> </w:t>
      </w:r>
      <w:r w:rsidRPr="001B7605">
        <w:tab/>
        <w:t>“</w:t>
      </w:r>
      <w:r>
        <w:rPr>
          <w:color w:val="000000"/>
        </w:rPr>
        <w:t>The C</w:t>
      </w:r>
      <w:r w:rsidRPr="001B7605">
        <w:rPr>
          <w:color w:val="000000"/>
        </w:rPr>
        <w:t xml:space="preserve">ommission may, at any time, after notice and after opportunity to be heard as provided in this chapter, rescind or amend any order made by it. </w:t>
      </w:r>
      <w:r>
        <w:rPr>
          <w:color w:val="000000"/>
        </w:rPr>
        <w:t xml:space="preserve"> </w:t>
      </w:r>
      <w:r w:rsidRPr="001B7605">
        <w:rPr>
          <w:color w:val="000000"/>
        </w:rPr>
        <w:t>Any order rescinding or amending a prior order shall, when served upon the person, corporation, or municipal corporation affected, and after notice thereof is given to the other parties to the proceedings, have the same effect as is herein provided for original orders.”  66 Pa.C.S.A. § 703(g).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3CB"/>
    <w:rsid w:val="00004814"/>
    <w:rsid w:val="00022562"/>
    <w:rsid w:val="00022765"/>
    <w:rsid w:val="000232C2"/>
    <w:rsid w:val="00033C16"/>
    <w:rsid w:val="00036C51"/>
    <w:rsid w:val="00072E55"/>
    <w:rsid w:val="00076451"/>
    <w:rsid w:val="00077680"/>
    <w:rsid w:val="00096CC5"/>
    <w:rsid w:val="000B0A4E"/>
    <w:rsid w:val="000B2CD1"/>
    <w:rsid w:val="000D6681"/>
    <w:rsid w:val="000D7CE5"/>
    <w:rsid w:val="000E2805"/>
    <w:rsid w:val="000E4E39"/>
    <w:rsid w:val="000F1FDE"/>
    <w:rsid w:val="00101426"/>
    <w:rsid w:val="00116DDE"/>
    <w:rsid w:val="001310C5"/>
    <w:rsid w:val="0013283A"/>
    <w:rsid w:val="00137DAB"/>
    <w:rsid w:val="00150F49"/>
    <w:rsid w:val="00166AAD"/>
    <w:rsid w:val="00193DFF"/>
    <w:rsid w:val="00194912"/>
    <w:rsid w:val="0019603B"/>
    <w:rsid w:val="001A16B3"/>
    <w:rsid w:val="001A376E"/>
    <w:rsid w:val="001B24DC"/>
    <w:rsid w:val="001B7605"/>
    <w:rsid w:val="001C2761"/>
    <w:rsid w:val="001C57AC"/>
    <w:rsid w:val="001E006E"/>
    <w:rsid w:val="00204B65"/>
    <w:rsid w:val="002065E1"/>
    <w:rsid w:val="002222A9"/>
    <w:rsid w:val="00227C91"/>
    <w:rsid w:val="00232D15"/>
    <w:rsid w:val="00235456"/>
    <w:rsid w:val="00243B05"/>
    <w:rsid w:val="00245556"/>
    <w:rsid w:val="00266491"/>
    <w:rsid w:val="00275428"/>
    <w:rsid w:val="00285FF4"/>
    <w:rsid w:val="002B2E47"/>
    <w:rsid w:val="002B6B99"/>
    <w:rsid w:val="002C5A9A"/>
    <w:rsid w:val="002E6658"/>
    <w:rsid w:val="002F58A4"/>
    <w:rsid w:val="0034684B"/>
    <w:rsid w:val="00355797"/>
    <w:rsid w:val="0036156C"/>
    <w:rsid w:val="00381004"/>
    <w:rsid w:val="00382280"/>
    <w:rsid w:val="003A335E"/>
    <w:rsid w:val="003C6450"/>
    <w:rsid w:val="003D0FAF"/>
    <w:rsid w:val="003D5763"/>
    <w:rsid w:val="003E3DD3"/>
    <w:rsid w:val="003F1366"/>
    <w:rsid w:val="003F2643"/>
    <w:rsid w:val="003F6760"/>
    <w:rsid w:val="0042352D"/>
    <w:rsid w:val="00423A71"/>
    <w:rsid w:val="00423E3B"/>
    <w:rsid w:val="004335D2"/>
    <w:rsid w:val="00441244"/>
    <w:rsid w:val="00441338"/>
    <w:rsid w:val="00464796"/>
    <w:rsid w:val="00467F27"/>
    <w:rsid w:val="00487EB5"/>
    <w:rsid w:val="00490099"/>
    <w:rsid w:val="004A070E"/>
    <w:rsid w:val="004A2E15"/>
    <w:rsid w:val="004A63D0"/>
    <w:rsid w:val="004A6A2C"/>
    <w:rsid w:val="004B5A00"/>
    <w:rsid w:val="004C409D"/>
    <w:rsid w:val="004D357A"/>
    <w:rsid w:val="004E1E64"/>
    <w:rsid w:val="004F2EA5"/>
    <w:rsid w:val="004F5773"/>
    <w:rsid w:val="004F5ECC"/>
    <w:rsid w:val="00502687"/>
    <w:rsid w:val="00504517"/>
    <w:rsid w:val="005073FE"/>
    <w:rsid w:val="00560505"/>
    <w:rsid w:val="00570E50"/>
    <w:rsid w:val="0057491A"/>
    <w:rsid w:val="00575244"/>
    <w:rsid w:val="00583767"/>
    <w:rsid w:val="00583A7A"/>
    <w:rsid w:val="0059485C"/>
    <w:rsid w:val="005B0246"/>
    <w:rsid w:val="005B2BCC"/>
    <w:rsid w:val="005B5B6C"/>
    <w:rsid w:val="005D0EE4"/>
    <w:rsid w:val="005D2E97"/>
    <w:rsid w:val="005D57B4"/>
    <w:rsid w:val="005E1388"/>
    <w:rsid w:val="005E5C61"/>
    <w:rsid w:val="00615EFF"/>
    <w:rsid w:val="00630807"/>
    <w:rsid w:val="00632215"/>
    <w:rsid w:val="00677E44"/>
    <w:rsid w:val="00680A3C"/>
    <w:rsid w:val="006A0B7A"/>
    <w:rsid w:val="006A7C5E"/>
    <w:rsid w:val="006B2975"/>
    <w:rsid w:val="006B3FDB"/>
    <w:rsid w:val="006B6FB8"/>
    <w:rsid w:val="006B75D0"/>
    <w:rsid w:val="006C0905"/>
    <w:rsid w:val="006C50C3"/>
    <w:rsid w:val="006C54DA"/>
    <w:rsid w:val="006D47E8"/>
    <w:rsid w:val="006D4BE1"/>
    <w:rsid w:val="006E357A"/>
    <w:rsid w:val="006E64D3"/>
    <w:rsid w:val="00710526"/>
    <w:rsid w:val="007348EE"/>
    <w:rsid w:val="00745BD5"/>
    <w:rsid w:val="00747395"/>
    <w:rsid w:val="00751BE1"/>
    <w:rsid w:val="00751E26"/>
    <w:rsid w:val="00766DFC"/>
    <w:rsid w:val="00776571"/>
    <w:rsid w:val="00782910"/>
    <w:rsid w:val="00783A5D"/>
    <w:rsid w:val="007A17B2"/>
    <w:rsid w:val="007E0AFC"/>
    <w:rsid w:val="007E17FD"/>
    <w:rsid w:val="007F0C2B"/>
    <w:rsid w:val="00801354"/>
    <w:rsid w:val="00801F22"/>
    <w:rsid w:val="008136E8"/>
    <w:rsid w:val="00826266"/>
    <w:rsid w:val="008338C6"/>
    <w:rsid w:val="008358F8"/>
    <w:rsid w:val="008425AA"/>
    <w:rsid w:val="008552E7"/>
    <w:rsid w:val="00856901"/>
    <w:rsid w:val="0086750B"/>
    <w:rsid w:val="0087473D"/>
    <w:rsid w:val="008749AB"/>
    <w:rsid w:val="00876744"/>
    <w:rsid w:val="0088342F"/>
    <w:rsid w:val="008865CF"/>
    <w:rsid w:val="008918CF"/>
    <w:rsid w:val="008B4CFD"/>
    <w:rsid w:val="008C11D9"/>
    <w:rsid w:val="008C1A32"/>
    <w:rsid w:val="008D45D8"/>
    <w:rsid w:val="008F45E8"/>
    <w:rsid w:val="008F7591"/>
    <w:rsid w:val="0090095E"/>
    <w:rsid w:val="00903694"/>
    <w:rsid w:val="00922ADB"/>
    <w:rsid w:val="00931BAF"/>
    <w:rsid w:val="0094208F"/>
    <w:rsid w:val="0094368D"/>
    <w:rsid w:val="009711EB"/>
    <w:rsid w:val="00973008"/>
    <w:rsid w:val="00977130"/>
    <w:rsid w:val="00984A5A"/>
    <w:rsid w:val="0099506E"/>
    <w:rsid w:val="009A7607"/>
    <w:rsid w:val="009B77D0"/>
    <w:rsid w:val="009D51F3"/>
    <w:rsid w:val="009E1A1C"/>
    <w:rsid w:val="00A027B7"/>
    <w:rsid w:val="00A04CB6"/>
    <w:rsid w:val="00A120DE"/>
    <w:rsid w:val="00A24A2C"/>
    <w:rsid w:val="00A3680E"/>
    <w:rsid w:val="00A46554"/>
    <w:rsid w:val="00A51CF8"/>
    <w:rsid w:val="00A5470A"/>
    <w:rsid w:val="00A74685"/>
    <w:rsid w:val="00A76AD7"/>
    <w:rsid w:val="00A8315D"/>
    <w:rsid w:val="00A93178"/>
    <w:rsid w:val="00A94EE3"/>
    <w:rsid w:val="00AA4FFC"/>
    <w:rsid w:val="00AA59D7"/>
    <w:rsid w:val="00AB7847"/>
    <w:rsid w:val="00AC7DBC"/>
    <w:rsid w:val="00AD36F0"/>
    <w:rsid w:val="00AE4DDF"/>
    <w:rsid w:val="00AF6199"/>
    <w:rsid w:val="00B00D42"/>
    <w:rsid w:val="00B02E57"/>
    <w:rsid w:val="00B046A2"/>
    <w:rsid w:val="00B13F4A"/>
    <w:rsid w:val="00B470DA"/>
    <w:rsid w:val="00B53BAB"/>
    <w:rsid w:val="00B61B76"/>
    <w:rsid w:val="00B70933"/>
    <w:rsid w:val="00B8740D"/>
    <w:rsid w:val="00B96525"/>
    <w:rsid w:val="00BA2359"/>
    <w:rsid w:val="00BB4F5B"/>
    <w:rsid w:val="00BB6D2F"/>
    <w:rsid w:val="00BC6AA9"/>
    <w:rsid w:val="00BC7244"/>
    <w:rsid w:val="00BC7B7E"/>
    <w:rsid w:val="00BD44B7"/>
    <w:rsid w:val="00BE19A4"/>
    <w:rsid w:val="00BF0D00"/>
    <w:rsid w:val="00C0004F"/>
    <w:rsid w:val="00C0016E"/>
    <w:rsid w:val="00C02520"/>
    <w:rsid w:val="00C03595"/>
    <w:rsid w:val="00C1129F"/>
    <w:rsid w:val="00C16234"/>
    <w:rsid w:val="00C17A9B"/>
    <w:rsid w:val="00C310A7"/>
    <w:rsid w:val="00C33FCD"/>
    <w:rsid w:val="00C37E9F"/>
    <w:rsid w:val="00C40B7B"/>
    <w:rsid w:val="00C505D6"/>
    <w:rsid w:val="00C708E7"/>
    <w:rsid w:val="00C7592A"/>
    <w:rsid w:val="00C822E3"/>
    <w:rsid w:val="00C84011"/>
    <w:rsid w:val="00CA6FE4"/>
    <w:rsid w:val="00CB009D"/>
    <w:rsid w:val="00CB124B"/>
    <w:rsid w:val="00CB7650"/>
    <w:rsid w:val="00CE159B"/>
    <w:rsid w:val="00CE3927"/>
    <w:rsid w:val="00CE4BCD"/>
    <w:rsid w:val="00CE77D3"/>
    <w:rsid w:val="00D23B38"/>
    <w:rsid w:val="00D272EF"/>
    <w:rsid w:val="00D44070"/>
    <w:rsid w:val="00D44AB9"/>
    <w:rsid w:val="00D531B2"/>
    <w:rsid w:val="00D60611"/>
    <w:rsid w:val="00D745F2"/>
    <w:rsid w:val="00D77A90"/>
    <w:rsid w:val="00D80EE4"/>
    <w:rsid w:val="00D8703C"/>
    <w:rsid w:val="00DA5530"/>
    <w:rsid w:val="00DB15A3"/>
    <w:rsid w:val="00DC0D31"/>
    <w:rsid w:val="00DD43D8"/>
    <w:rsid w:val="00DF4932"/>
    <w:rsid w:val="00E17458"/>
    <w:rsid w:val="00E237AC"/>
    <w:rsid w:val="00E6748E"/>
    <w:rsid w:val="00E76065"/>
    <w:rsid w:val="00EA691B"/>
    <w:rsid w:val="00EC0F80"/>
    <w:rsid w:val="00ED3542"/>
    <w:rsid w:val="00EE7586"/>
    <w:rsid w:val="00F01477"/>
    <w:rsid w:val="00F15449"/>
    <w:rsid w:val="00F50141"/>
    <w:rsid w:val="00F77157"/>
    <w:rsid w:val="00F83AEE"/>
    <w:rsid w:val="00F936E1"/>
    <w:rsid w:val="00FA0D6F"/>
    <w:rsid w:val="00FB1AC5"/>
    <w:rsid w:val="00FB673C"/>
    <w:rsid w:val="00FC37B4"/>
    <w:rsid w:val="00FC65A7"/>
    <w:rsid w:val="00FD3AA7"/>
    <w:rsid w:val="00FE2C40"/>
    <w:rsid w:val="00FF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7A0B-441C-4666-A4C7-8430916FE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shoffner</cp:lastModifiedBy>
  <cp:revision>2</cp:revision>
  <cp:lastPrinted>2013-06-17T13:03:00Z</cp:lastPrinted>
  <dcterms:created xsi:type="dcterms:W3CDTF">2013-06-20T13:16:00Z</dcterms:created>
  <dcterms:modified xsi:type="dcterms:W3CDTF">2013-06-20T13:16:00Z</dcterms:modified>
</cp:coreProperties>
</file>