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806" w:rsidRPr="00F514FB" w:rsidRDefault="00753806" w:rsidP="00753806">
      <w:pPr>
        <w:tabs>
          <w:tab w:val="center" w:pos="4680"/>
        </w:tabs>
        <w:suppressAutoHyphens/>
        <w:jc w:val="center"/>
        <w:rPr>
          <w:b/>
          <w:sz w:val="26"/>
          <w:szCs w:val="26"/>
        </w:rPr>
      </w:pPr>
      <w:r w:rsidRPr="00F514FB">
        <w:rPr>
          <w:b/>
          <w:sz w:val="26"/>
          <w:szCs w:val="26"/>
        </w:rPr>
        <w:t>PENNSYLVANIA</w:t>
      </w:r>
    </w:p>
    <w:p w:rsidR="00753806" w:rsidRPr="00F514FB" w:rsidRDefault="00753806" w:rsidP="00753806">
      <w:pPr>
        <w:tabs>
          <w:tab w:val="center" w:pos="4680"/>
        </w:tabs>
        <w:suppressAutoHyphens/>
        <w:jc w:val="center"/>
        <w:rPr>
          <w:sz w:val="26"/>
          <w:szCs w:val="26"/>
        </w:rPr>
      </w:pPr>
      <w:r w:rsidRPr="00F514FB">
        <w:rPr>
          <w:b/>
          <w:sz w:val="26"/>
          <w:szCs w:val="26"/>
        </w:rPr>
        <w:t>PUBLIC UTILITY COMMISSION</w:t>
      </w:r>
    </w:p>
    <w:p w:rsidR="00753806" w:rsidRPr="00F514FB" w:rsidRDefault="00753806" w:rsidP="00753806">
      <w:pPr>
        <w:tabs>
          <w:tab w:val="center" w:pos="4680"/>
        </w:tabs>
        <w:suppressAutoHyphens/>
        <w:jc w:val="center"/>
        <w:rPr>
          <w:sz w:val="26"/>
          <w:szCs w:val="26"/>
        </w:rPr>
      </w:pPr>
      <w:r w:rsidRPr="00F514FB">
        <w:rPr>
          <w:b/>
          <w:sz w:val="26"/>
          <w:szCs w:val="26"/>
        </w:rPr>
        <w:t>Harrisburg, PA 17105-3265</w:t>
      </w:r>
    </w:p>
    <w:p w:rsidR="00753806" w:rsidRDefault="00753806" w:rsidP="00753806">
      <w:pPr>
        <w:tabs>
          <w:tab w:val="left" w:pos="-720"/>
        </w:tabs>
        <w:suppressAutoHyphens/>
        <w:rPr>
          <w:sz w:val="26"/>
          <w:szCs w:val="26"/>
        </w:rPr>
      </w:pPr>
    </w:p>
    <w:p w:rsidR="00F76941" w:rsidRPr="00F514FB" w:rsidRDefault="00F76941" w:rsidP="00753806">
      <w:pPr>
        <w:tabs>
          <w:tab w:val="left" w:pos="-720"/>
        </w:tabs>
        <w:suppressAutoHyphens/>
        <w:rPr>
          <w:sz w:val="26"/>
          <w:szCs w:val="26"/>
        </w:rPr>
      </w:pPr>
    </w:p>
    <w:p w:rsidR="00753806" w:rsidRPr="00F514FB" w:rsidRDefault="00753806" w:rsidP="0075380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753806" w:rsidRPr="00F514FB" w:rsidTr="00F85C92">
        <w:tc>
          <w:tcPr>
            <w:tcW w:w="5058" w:type="dxa"/>
          </w:tcPr>
          <w:p w:rsidR="00753806" w:rsidRPr="00F514FB" w:rsidRDefault="00753806" w:rsidP="00F85C92">
            <w:pPr>
              <w:rPr>
                <w:sz w:val="26"/>
                <w:szCs w:val="26"/>
              </w:rPr>
            </w:pPr>
          </w:p>
        </w:tc>
        <w:tc>
          <w:tcPr>
            <w:tcW w:w="4428" w:type="dxa"/>
          </w:tcPr>
          <w:p w:rsidR="00753806" w:rsidRPr="00F514FB" w:rsidRDefault="00753806" w:rsidP="00F85C92">
            <w:pPr>
              <w:jc w:val="right"/>
              <w:rPr>
                <w:sz w:val="26"/>
                <w:szCs w:val="26"/>
              </w:rPr>
            </w:pPr>
            <w:r>
              <w:rPr>
                <w:sz w:val="26"/>
                <w:szCs w:val="26"/>
              </w:rPr>
              <w:t>Public Meeting held May 23, 2013</w:t>
            </w:r>
          </w:p>
          <w:p w:rsidR="00753806" w:rsidRDefault="00753806" w:rsidP="00F85C92">
            <w:pPr>
              <w:jc w:val="right"/>
              <w:rPr>
                <w:sz w:val="26"/>
                <w:szCs w:val="26"/>
              </w:rPr>
            </w:pPr>
          </w:p>
          <w:p w:rsidR="00F76941" w:rsidRPr="00F514FB" w:rsidRDefault="00F76941" w:rsidP="00F85C92">
            <w:pPr>
              <w:jc w:val="right"/>
              <w:rPr>
                <w:sz w:val="26"/>
                <w:szCs w:val="26"/>
              </w:rPr>
            </w:pPr>
          </w:p>
          <w:p w:rsidR="00753806" w:rsidRPr="00F514FB" w:rsidRDefault="00753806" w:rsidP="00F85C92">
            <w:pPr>
              <w:jc w:val="right"/>
              <w:rPr>
                <w:sz w:val="26"/>
                <w:szCs w:val="26"/>
              </w:rPr>
            </w:pPr>
          </w:p>
        </w:tc>
      </w:tr>
      <w:tr w:rsidR="00753806" w:rsidRPr="00F514FB" w:rsidTr="00F85C92">
        <w:tc>
          <w:tcPr>
            <w:tcW w:w="5058" w:type="dxa"/>
          </w:tcPr>
          <w:p w:rsidR="00753806" w:rsidRPr="00F514FB" w:rsidRDefault="00753806" w:rsidP="00F85C92">
            <w:pPr>
              <w:rPr>
                <w:sz w:val="26"/>
                <w:szCs w:val="26"/>
              </w:rPr>
            </w:pPr>
            <w:r w:rsidRPr="00F514FB">
              <w:rPr>
                <w:sz w:val="26"/>
                <w:szCs w:val="26"/>
              </w:rPr>
              <w:t>Commissioners Present:</w:t>
            </w:r>
          </w:p>
          <w:p w:rsidR="00753806" w:rsidRPr="00F514FB" w:rsidRDefault="00753806" w:rsidP="00F85C92">
            <w:pPr>
              <w:rPr>
                <w:sz w:val="26"/>
                <w:szCs w:val="26"/>
              </w:rPr>
            </w:pPr>
          </w:p>
          <w:p w:rsidR="00753806" w:rsidRPr="00F514FB" w:rsidRDefault="00753806" w:rsidP="00F85C92">
            <w:pPr>
              <w:tabs>
                <w:tab w:val="left" w:pos="705"/>
              </w:tabs>
              <w:ind w:firstLine="720"/>
              <w:rPr>
                <w:sz w:val="26"/>
                <w:szCs w:val="26"/>
              </w:rPr>
            </w:pPr>
            <w:r w:rsidRPr="00F514FB">
              <w:rPr>
                <w:sz w:val="26"/>
                <w:szCs w:val="26"/>
              </w:rPr>
              <w:t>Robert F. Powelson, Chairman</w:t>
            </w:r>
          </w:p>
          <w:p w:rsidR="00753806" w:rsidRPr="00F514FB" w:rsidRDefault="00753806" w:rsidP="00F85C92">
            <w:pPr>
              <w:tabs>
                <w:tab w:val="left" w:pos="705"/>
              </w:tabs>
              <w:ind w:firstLine="720"/>
              <w:rPr>
                <w:sz w:val="26"/>
                <w:szCs w:val="26"/>
              </w:rPr>
            </w:pPr>
            <w:r w:rsidRPr="00F514FB">
              <w:rPr>
                <w:sz w:val="26"/>
                <w:szCs w:val="26"/>
              </w:rPr>
              <w:t>John F. Coleman, Jr., Vice Chairman</w:t>
            </w:r>
          </w:p>
          <w:p w:rsidR="00753806" w:rsidRPr="00F514FB" w:rsidRDefault="00753806" w:rsidP="00F85C92">
            <w:pPr>
              <w:tabs>
                <w:tab w:val="left" w:pos="705"/>
              </w:tabs>
              <w:ind w:firstLine="720"/>
              <w:rPr>
                <w:sz w:val="26"/>
                <w:szCs w:val="26"/>
              </w:rPr>
            </w:pPr>
            <w:r w:rsidRPr="00F514FB">
              <w:rPr>
                <w:sz w:val="26"/>
                <w:szCs w:val="26"/>
              </w:rPr>
              <w:t>Wayne E. Gardner</w:t>
            </w:r>
          </w:p>
          <w:p w:rsidR="00753806" w:rsidRPr="00F514FB" w:rsidRDefault="00753806" w:rsidP="00F85C92">
            <w:pPr>
              <w:tabs>
                <w:tab w:val="left" w:pos="705"/>
              </w:tabs>
              <w:ind w:firstLine="720"/>
              <w:rPr>
                <w:sz w:val="26"/>
                <w:szCs w:val="26"/>
              </w:rPr>
            </w:pPr>
            <w:r w:rsidRPr="00F514FB">
              <w:rPr>
                <w:sz w:val="26"/>
                <w:szCs w:val="26"/>
              </w:rPr>
              <w:t>James H. Cawley</w:t>
            </w:r>
          </w:p>
          <w:p w:rsidR="00753806" w:rsidRPr="00F514FB" w:rsidRDefault="00753806" w:rsidP="00F85C92">
            <w:pPr>
              <w:tabs>
                <w:tab w:val="left" w:pos="705"/>
              </w:tabs>
              <w:ind w:firstLine="720"/>
              <w:rPr>
                <w:sz w:val="26"/>
                <w:szCs w:val="26"/>
              </w:rPr>
            </w:pPr>
            <w:r w:rsidRPr="00F514FB">
              <w:rPr>
                <w:sz w:val="26"/>
                <w:szCs w:val="26"/>
              </w:rPr>
              <w:t>Pamela A. Witmer</w:t>
            </w:r>
          </w:p>
          <w:p w:rsidR="00753806" w:rsidRDefault="00753806" w:rsidP="00F85C92">
            <w:pPr>
              <w:rPr>
                <w:sz w:val="26"/>
                <w:szCs w:val="26"/>
              </w:rPr>
            </w:pPr>
          </w:p>
          <w:p w:rsidR="00F76941" w:rsidRPr="00F514FB" w:rsidRDefault="00F76941" w:rsidP="00F85C92">
            <w:pPr>
              <w:rPr>
                <w:sz w:val="26"/>
                <w:szCs w:val="26"/>
              </w:rPr>
            </w:pPr>
          </w:p>
          <w:p w:rsidR="00753806" w:rsidRPr="00F514FB" w:rsidRDefault="00753806" w:rsidP="00F85C92">
            <w:pPr>
              <w:rPr>
                <w:sz w:val="26"/>
                <w:szCs w:val="26"/>
              </w:rPr>
            </w:pPr>
          </w:p>
        </w:tc>
        <w:tc>
          <w:tcPr>
            <w:tcW w:w="4428" w:type="dxa"/>
          </w:tcPr>
          <w:p w:rsidR="00753806" w:rsidRPr="00F514FB" w:rsidRDefault="00753806" w:rsidP="00F85C92">
            <w:pPr>
              <w:jc w:val="right"/>
              <w:rPr>
                <w:sz w:val="26"/>
                <w:szCs w:val="26"/>
              </w:rPr>
            </w:pPr>
          </w:p>
          <w:p w:rsidR="00753806" w:rsidRPr="00F514FB" w:rsidRDefault="00753806" w:rsidP="00F85C92">
            <w:pPr>
              <w:jc w:val="right"/>
              <w:rPr>
                <w:sz w:val="26"/>
                <w:szCs w:val="26"/>
              </w:rPr>
            </w:pPr>
          </w:p>
        </w:tc>
      </w:tr>
      <w:tr w:rsidR="00753806" w:rsidRPr="00F514FB" w:rsidTr="00F85C92">
        <w:tc>
          <w:tcPr>
            <w:tcW w:w="5058" w:type="dxa"/>
          </w:tcPr>
          <w:p w:rsidR="00753806" w:rsidRDefault="00753806" w:rsidP="00F85C92">
            <w:pPr>
              <w:rPr>
                <w:sz w:val="26"/>
                <w:szCs w:val="26"/>
              </w:rPr>
            </w:pPr>
            <w:r>
              <w:rPr>
                <w:sz w:val="26"/>
                <w:szCs w:val="26"/>
              </w:rPr>
              <w:t>Pennsylvania Public Utility Commission</w:t>
            </w:r>
          </w:p>
          <w:p w:rsidR="00753806" w:rsidRDefault="001932C0" w:rsidP="00F85C92">
            <w:pPr>
              <w:rPr>
                <w:sz w:val="26"/>
                <w:szCs w:val="26"/>
              </w:rPr>
            </w:pPr>
            <w:r>
              <w:rPr>
                <w:sz w:val="26"/>
                <w:szCs w:val="26"/>
              </w:rPr>
              <w:t>Office of Consumer A</w:t>
            </w:r>
            <w:r w:rsidR="00753806">
              <w:rPr>
                <w:sz w:val="26"/>
                <w:szCs w:val="26"/>
              </w:rPr>
              <w:t>dvocate</w:t>
            </w:r>
          </w:p>
          <w:p w:rsidR="00753806" w:rsidRPr="00F514FB" w:rsidRDefault="00753806" w:rsidP="00F85C92">
            <w:pPr>
              <w:rPr>
                <w:sz w:val="26"/>
                <w:szCs w:val="26"/>
              </w:rPr>
            </w:pPr>
            <w:r>
              <w:rPr>
                <w:sz w:val="26"/>
                <w:szCs w:val="26"/>
              </w:rPr>
              <w:t>Office of Small Business Advocate</w:t>
            </w:r>
          </w:p>
          <w:p w:rsidR="00753806" w:rsidRPr="00F514FB" w:rsidRDefault="00753806" w:rsidP="00F85C92">
            <w:pPr>
              <w:rPr>
                <w:sz w:val="26"/>
                <w:szCs w:val="26"/>
              </w:rPr>
            </w:pPr>
          </w:p>
        </w:tc>
        <w:tc>
          <w:tcPr>
            <w:tcW w:w="4428" w:type="dxa"/>
          </w:tcPr>
          <w:p w:rsidR="00753806" w:rsidRDefault="00753806" w:rsidP="00F85C92">
            <w:pPr>
              <w:jc w:val="right"/>
              <w:rPr>
                <w:sz w:val="26"/>
                <w:szCs w:val="26"/>
              </w:rPr>
            </w:pPr>
            <w:r>
              <w:rPr>
                <w:sz w:val="26"/>
                <w:szCs w:val="26"/>
              </w:rPr>
              <w:t>R-2012-2333993</w:t>
            </w:r>
          </w:p>
          <w:p w:rsidR="00753806" w:rsidRDefault="00753806" w:rsidP="00F85C92">
            <w:pPr>
              <w:jc w:val="right"/>
              <w:rPr>
                <w:sz w:val="26"/>
                <w:szCs w:val="26"/>
              </w:rPr>
            </w:pPr>
            <w:r>
              <w:rPr>
                <w:sz w:val="26"/>
                <w:szCs w:val="26"/>
              </w:rPr>
              <w:t>C-2012-2337124</w:t>
            </w:r>
          </w:p>
          <w:p w:rsidR="00753806" w:rsidRPr="00F514FB" w:rsidRDefault="00753806" w:rsidP="00F85C92">
            <w:pPr>
              <w:jc w:val="right"/>
              <w:rPr>
                <w:sz w:val="26"/>
                <w:szCs w:val="26"/>
              </w:rPr>
            </w:pPr>
            <w:r>
              <w:rPr>
                <w:sz w:val="26"/>
                <w:szCs w:val="26"/>
              </w:rPr>
              <w:t>C-2012-2337594</w:t>
            </w:r>
          </w:p>
        </w:tc>
      </w:tr>
      <w:tr w:rsidR="00753806" w:rsidRPr="00F514FB" w:rsidTr="00F85C92">
        <w:tc>
          <w:tcPr>
            <w:tcW w:w="5058" w:type="dxa"/>
          </w:tcPr>
          <w:p w:rsidR="00753806" w:rsidRPr="00F514FB" w:rsidRDefault="00753806" w:rsidP="00F85C92">
            <w:pPr>
              <w:ind w:firstLine="1440"/>
              <w:rPr>
                <w:sz w:val="26"/>
                <w:szCs w:val="26"/>
              </w:rPr>
            </w:pPr>
            <w:proofErr w:type="gramStart"/>
            <w:r w:rsidRPr="00F514FB">
              <w:rPr>
                <w:sz w:val="26"/>
                <w:szCs w:val="26"/>
              </w:rPr>
              <w:t>v</w:t>
            </w:r>
            <w:proofErr w:type="gramEnd"/>
            <w:r w:rsidRPr="00F514FB">
              <w:rPr>
                <w:sz w:val="26"/>
                <w:szCs w:val="26"/>
              </w:rPr>
              <w:t>.</w:t>
            </w:r>
          </w:p>
          <w:p w:rsidR="00753806" w:rsidRPr="00F514FB" w:rsidRDefault="00753806" w:rsidP="00F85C92">
            <w:pPr>
              <w:ind w:firstLine="1440"/>
              <w:rPr>
                <w:sz w:val="26"/>
                <w:szCs w:val="26"/>
              </w:rPr>
            </w:pPr>
          </w:p>
        </w:tc>
        <w:tc>
          <w:tcPr>
            <w:tcW w:w="4428" w:type="dxa"/>
          </w:tcPr>
          <w:p w:rsidR="00753806" w:rsidRPr="00F514FB" w:rsidRDefault="00753806" w:rsidP="00F85C92">
            <w:pPr>
              <w:rPr>
                <w:sz w:val="26"/>
                <w:szCs w:val="26"/>
              </w:rPr>
            </w:pPr>
          </w:p>
        </w:tc>
      </w:tr>
      <w:tr w:rsidR="00753806" w:rsidRPr="00F514FB" w:rsidTr="00F85C92">
        <w:tc>
          <w:tcPr>
            <w:tcW w:w="5058" w:type="dxa"/>
          </w:tcPr>
          <w:p w:rsidR="00753806" w:rsidRPr="00F514FB" w:rsidRDefault="00753806" w:rsidP="00F85C92">
            <w:pPr>
              <w:rPr>
                <w:sz w:val="26"/>
                <w:szCs w:val="26"/>
              </w:rPr>
            </w:pPr>
            <w:r>
              <w:rPr>
                <w:sz w:val="26"/>
                <w:szCs w:val="26"/>
              </w:rPr>
              <w:t>Philadelphia Gas Works</w:t>
            </w:r>
          </w:p>
        </w:tc>
        <w:tc>
          <w:tcPr>
            <w:tcW w:w="4428" w:type="dxa"/>
          </w:tcPr>
          <w:p w:rsidR="00753806" w:rsidRPr="00F514FB" w:rsidRDefault="00753806" w:rsidP="00F85C92">
            <w:pPr>
              <w:rPr>
                <w:sz w:val="26"/>
                <w:szCs w:val="26"/>
              </w:rPr>
            </w:pPr>
          </w:p>
        </w:tc>
      </w:tr>
    </w:tbl>
    <w:p w:rsidR="00753806" w:rsidRPr="00F514FB" w:rsidRDefault="00753806" w:rsidP="00753806">
      <w:pPr>
        <w:rPr>
          <w:sz w:val="26"/>
          <w:szCs w:val="26"/>
        </w:rPr>
      </w:pPr>
    </w:p>
    <w:p w:rsidR="00753806" w:rsidRDefault="00753806" w:rsidP="00753806">
      <w:pPr>
        <w:rPr>
          <w:sz w:val="26"/>
          <w:szCs w:val="26"/>
        </w:rPr>
      </w:pPr>
    </w:p>
    <w:p w:rsidR="00F76941" w:rsidRPr="00F514FB" w:rsidRDefault="00F76941" w:rsidP="00753806">
      <w:pPr>
        <w:rPr>
          <w:sz w:val="26"/>
          <w:szCs w:val="26"/>
        </w:rPr>
      </w:pPr>
    </w:p>
    <w:p w:rsidR="00753806" w:rsidRPr="00F514FB" w:rsidRDefault="00753806" w:rsidP="00753806">
      <w:pPr>
        <w:jc w:val="center"/>
        <w:rPr>
          <w:b/>
          <w:sz w:val="26"/>
          <w:szCs w:val="26"/>
        </w:rPr>
      </w:pPr>
      <w:r w:rsidRPr="00F514FB">
        <w:rPr>
          <w:b/>
          <w:sz w:val="26"/>
          <w:szCs w:val="26"/>
        </w:rPr>
        <w:t xml:space="preserve">OPINION </w:t>
      </w:r>
      <w:smartTag w:uri="urn:schemas-microsoft-com:office:smarttags" w:element="stockticker">
        <w:r w:rsidRPr="00F514FB">
          <w:rPr>
            <w:b/>
            <w:sz w:val="26"/>
            <w:szCs w:val="26"/>
          </w:rPr>
          <w:t>AND</w:t>
        </w:r>
      </w:smartTag>
      <w:r w:rsidRPr="00F514FB">
        <w:rPr>
          <w:b/>
          <w:sz w:val="26"/>
          <w:szCs w:val="26"/>
        </w:rPr>
        <w:t xml:space="preserve"> ORDER</w:t>
      </w:r>
    </w:p>
    <w:p w:rsidR="00753806" w:rsidRPr="00F514FB" w:rsidRDefault="00753806" w:rsidP="00753806">
      <w:pPr>
        <w:jc w:val="center"/>
        <w:rPr>
          <w:b/>
          <w:sz w:val="26"/>
          <w:szCs w:val="26"/>
        </w:rPr>
      </w:pPr>
    </w:p>
    <w:p w:rsidR="00753806" w:rsidRPr="00F514FB" w:rsidRDefault="00753806" w:rsidP="00753806">
      <w:pPr>
        <w:jc w:val="center"/>
        <w:rPr>
          <w:b/>
          <w:sz w:val="26"/>
          <w:szCs w:val="26"/>
        </w:rPr>
      </w:pPr>
    </w:p>
    <w:p w:rsidR="00753806" w:rsidRPr="00F514FB" w:rsidRDefault="00753806" w:rsidP="00753806">
      <w:pPr>
        <w:rPr>
          <w:b/>
          <w:sz w:val="26"/>
          <w:szCs w:val="26"/>
        </w:rPr>
      </w:pPr>
      <w:r w:rsidRPr="00F514FB">
        <w:rPr>
          <w:b/>
          <w:sz w:val="26"/>
          <w:szCs w:val="26"/>
        </w:rPr>
        <w:t>BY THE COMMISSION:</w:t>
      </w:r>
    </w:p>
    <w:p w:rsidR="00753806" w:rsidRPr="00F514FB" w:rsidRDefault="00753806" w:rsidP="00753806">
      <w:pPr>
        <w:rPr>
          <w:sz w:val="26"/>
          <w:szCs w:val="26"/>
        </w:rPr>
      </w:pPr>
    </w:p>
    <w:p w:rsidR="00753806" w:rsidRPr="00F514FB" w:rsidRDefault="00753806" w:rsidP="00753806">
      <w:pPr>
        <w:rPr>
          <w:sz w:val="26"/>
          <w:szCs w:val="26"/>
        </w:rPr>
      </w:pPr>
    </w:p>
    <w:p w:rsidR="00825FBE" w:rsidRDefault="00753806" w:rsidP="00B4450E">
      <w:pPr>
        <w:pStyle w:val="ListParagraph"/>
        <w:spacing w:line="360" w:lineRule="auto"/>
        <w:ind w:left="0" w:firstLine="1440"/>
        <w:rPr>
          <w:sz w:val="26"/>
          <w:szCs w:val="26"/>
        </w:rPr>
      </w:pPr>
      <w:r>
        <w:rPr>
          <w:sz w:val="26"/>
          <w:szCs w:val="26"/>
        </w:rPr>
        <w:t>Before the Pennsylvania Public Utility Commission (Commission) for consideration and disposition are Supplement No. 55 to Gas Service Tariff – Pa. P.U.C. No</w:t>
      </w:r>
      <w:r w:rsidR="00B4450E">
        <w:rPr>
          <w:sz w:val="26"/>
          <w:szCs w:val="26"/>
        </w:rPr>
        <w:t>. 2, filed by Philadelphia Gas W</w:t>
      </w:r>
      <w:r>
        <w:rPr>
          <w:sz w:val="26"/>
          <w:szCs w:val="26"/>
        </w:rPr>
        <w:t xml:space="preserve">orks (PGW or the Company) on November 13, 2012, and the Joint Petition for Settlement (Joint Petition) filed on March 27, 2013, by PGW, the Office of Consumer </w:t>
      </w:r>
      <w:r w:rsidR="00B4450E">
        <w:rPr>
          <w:sz w:val="26"/>
          <w:szCs w:val="26"/>
        </w:rPr>
        <w:t>Advocate (OCA)</w:t>
      </w:r>
      <w:r w:rsidRPr="0076310C">
        <w:rPr>
          <w:sz w:val="26"/>
          <w:szCs w:val="26"/>
        </w:rPr>
        <w:t xml:space="preserve"> and the Office of Small Business Advocate </w:t>
      </w:r>
      <w:r w:rsidRPr="0076310C">
        <w:rPr>
          <w:sz w:val="26"/>
          <w:szCs w:val="26"/>
        </w:rPr>
        <w:lastRenderedPageBreak/>
        <w:t>(OSBA) (collectively, the Parties or Joint Petitioners) in the above-captioned consolidated proceedings.  Each Party also filed</w:t>
      </w:r>
      <w:r>
        <w:rPr>
          <w:sz w:val="26"/>
          <w:szCs w:val="26"/>
        </w:rPr>
        <w:t xml:space="preserve"> a Statement in Support of the Joint Petition.  Also before the Commission is the Recommended Decision of Administrative Law Judge (ALJ) Christopher P. Pell, issued on April 24, 2013, which approves the Joint Petition without modification.  For the reasons discussed below, we shall modify the ALJ’s Recommended Decision, and approve the Joint Petition</w:t>
      </w:r>
      <w:r w:rsidR="00825FBE">
        <w:rPr>
          <w:sz w:val="26"/>
          <w:szCs w:val="26"/>
        </w:rPr>
        <w:t xml:space="preserve"> as modified by this Opinion and Order.</w:t>
      </w:r>
    </w:p>
    <w:p w:rsidR="00753806" w:rsidRDefault="00753806" w:rsidP="00753806">
      <w:pPr>
        <w:spacing w:line="360" w:lineRule="auto"/>
        <w:ind w:firstLine="1440"/>
        <w:rPr>
          <w:sz w:val="26"/>
          <w:szCs w:val="26"/>
        </w:rPr>
      </w:pPr>
    </w:p>
    <w:p w:rsidR="00825FBE" w:rsidRDefault="00825FBE" w:rsidP="00F76941">
      <w:pPr>
        <w:keepNext/>
        <w:spacing w:line="360" w:lineRule="auto"/>
        <w:rPr>
          <w:sz w:val="26"/>
          <w:szCs w:val="26"/>
        </w:rPr>
      </w:pPr>
      <w:r>
        <w:rPr>
          <w:b/>
          <w:sz w:val="26"/>
          <w:szCs w:val="26"/>
        </w:rPr>
        <w:t>I.</w:t>
      </w:r>
      <w:r>
        <w:rPr>
          <w:b/>
          <w:sz w:val="26"/>
          <w:szCs w:val="26"/>
        </w:rPr>
        <w:tab/>
        <w:t>Background</w:t>
      </w:r>
    </w:p>
    <w:p w:rsidR="00825FBE" w:rsidRDefault="00825FBE" w:rsidP="00F76941">
      <w:pPr>
        <w:keepNext/>
        <w:spacing w:line="360" w:lineRule="auto"/>
        <w:rPr>
          <w:sz w:val="26"/>
          <w:szCs w:val="26"/>
        </w:rPr>
      </w:pPr>
    </w:p>
    <w:p w:rsidR="00326666" w:rsidRDefault="00326666" w:rsidP="00326666">
      <w:pPr>
        <w:spacing w:line="360" w:lineRule="auto"/>
        <w:ind w:firstLine="1440"/>
        <w:rPr>
          <w:sz w:val="26"/>
          <w:szCs w:val="26"/>
        </w:rPr>
      </w:pPr>
      <w:r>
        <w:rPr>
          <w:sz w:val="26"/>
          <w:szCs w:val="26"/>
        </w:rPr>
        <w:t xml:space="preserve">On June 23, 2011, the Commission entered a Revised Final Rulemaking Order in </w:t>
      </w:r>
      <w:r w:rsidRPr="00067743">
        <w:rPr>
          <w:i/>
          <w:sz w:val="26"/>
          <w:szCs w:val="26"/>
        </w:rPr>
        <w:t xml:space="preserve">Natural Gas Distribution Companies and Promotion of Competitive Retail </w:t>
      </w:r>
      <w:r w:rsidRPr="00504A50">
        <w:rPr>
          <w:i/>
          <w:sz w:val="26"/>
          <w:szCs w:val="26"/>
        </w:rPr>
        <w:t>Markets</w:t>
      </w:r>
      <w:r>
        <w:rPr>
          <w:sz w:val="26"/>
          <w:szCs w:val="26"/>
        </w:rPr>
        <w:t xml:space="preserve"> at</w:t>
      </w:r>
      <w:r w:rsidRPr="00504A50">
        <w:rPr>
          <w:sz w:val="26"/>
          <w:szCs w:val="26"/>
        </w:rPr>
        <w:t xml:space="preserve"> Docket</w:t>
      </w:r>
      <w:r w:rsidRPr="00067743">
        <w:rPr>
          <w:sz w:val="26"/>
          <w:szCs w:val="26"/>
        </w:rPr>
        <w:t xml:space="preserve"> No. L-2008-2069114</w:t>
      </w:r>
      <w:r>
        <w:rPr>
          <w:sz w:val="26"/>
          <w:szCs w:val="26"/>
        </w:rPr>
        <w:t xml:space="preserve"> (</w:t>
      </w:r>
      <w:r w:rsidRPr="0085799D">
        <w:rPr>
          <w:i/>
          <w:sz w:val="26"/>
          <w:szCs w:val="26"/>
        </w:rPr>
        <w:t>Revised Final Rulemaking Order</w:t>
      </w:r>
      <w:r w:rsidR="00DC0E97">
        <w:rPr>
          <w:sz w:val="26"/>
          <w:szCs w:val="26"/>
        </w:rPr>
        <w:t>).  In the</w:t>
      </w:r>
      <w:r>
        <w:rPr>
          <w:sz w:val="26"/>
          <w:szCs w:val="26"/>
        </w:rPr>
        <w:t xml:space="preserve"> </w:t>
      </w:r>
      <w:r w:rsidRPr="0085799D">
        <w:rPr>
          <w:i/>
          <w:sz w:val="26"/>
          <w:szCs w:val="26"/>
        </w:rPr>
        <w:t>Revised Final Rulemaking Order</w:t>
      </w:r>
      <w:r>
        <w:rPr>
          <w:i/>
          <w:sz w:val="26"/>
          <w:szCs w:val="26"/>
        </w:rPr>
        <w:t xml:space="preserve">, </w:t>
      </w:r>
      <w:r w:rsidR="00DC0E97" w:rsidRPr="00D665E8">
        <w:rPr>
          <w:sz w:val="26"/>
          <w:szCs w:val="26"/>
        </w:rPr>
        <w:t>we</w:t>
      </w:r>
      <w:r>
        <w:rPr>
          <w:sz w:val="26"/>
          <w:szCs w:val="26"/>
        </w:rPr>
        <w:t xml:space="preserve">, </w:t>
      </w:r>
      <w:r w:rsidRPr="0085799D">
        <w:rPr>
          <w:i/>
          <w:sz w:val="26"/>
          <w:szCs w:val="26"/>
        </w:rPr>
        <w:t>inter alia</w:t>
      </w:r>
      <w:r>
        <w:rPr>
          <w:sz w:val="26"/>
          <w:szCs w:val="26"/>
        </w:rPr>
        <w:t xml:space="preserve">, directed Natural Gas Distribution Companies (NGDCs) to </w:t>
      </w:r>
      <w:r w:rsidRPr="00594A64">
        <w:rPr>
          <w:sz w:val="26"/>
          <w:szCs w:val="26"/>
        </w:rPr>
        <w:t>identify and remove, from delivery rates, their natural gas procurement costs in a Section 1308(a) proposed tariff filing</w:t>
      </w:r>
      <w:r>
        <w:rPr>
          <w:sz w:val="26"/>
          <w:szCs w:val="26"/>
        </w:rPr>
        <w:t>, and to include and recover those costs</w:t>
      </w:r>
      <w:r w:rsidRPr="00594A64">
        <w:rPr>
          <w:sz w:val="26"/>
          <w:szCs w:val="26"/>
        </w:rPr>
        <w:t xml:space="preserve"> as part of the</w:t>
      </w:r>
      <w:r>
        <w:rPr>
          <w:sz w:val="26"/>
          <w:szCs w:val="26"/>
        </w:rPr>
        <w:t xml:space="preserve"> price to compare</w:t>
      </w:r>
      <w:r w:rsidRPr="00594A64">
        <w:rPr>
          <w:sz w:val="26"/>
          <w:szCs w:val="26"/>
        </w:rPr>
        <w:t xml:space="preserve"> </w:t>
      </w:r>
      <w:r>
        <w:rPr>
          <w:sz w:val="26"/>
          <w:szCs w:val="26"/>
        </w:rPr>
        <w:t>(</w:t>
      </w:r>
      <w:r w:rsidRPr="00594A64">
        <w:rPr>
          <w:sz w:val="26"/>
          <w:szCs w:val="26"/>
        </w:rPr>
        <w:t>PTC</w:t>
      </w:r>
      <w:r>
        <w:rPr>
          <w:sz w:val="26"/>
          <w:szCs w:val="26"/>
        </w:rPr>
        <w:t xml:space="preserve">) on a revenue neutral basis.  </w:t>
      </w:r>
      <w:r w:rsidRPr="0085799D">
        <w:rPr>
          <w:i/>
          <w:sz w:val="26"/>
          <w:szCs w:val="26"/>
        </w:rPr>
        <w:t>Revised Final Rulemaking Order</w:t>
      </w:r>
      <w:r>
        <w:rPr>
          <w:sz w:val="26"/>
          <w:szCs w:val="26"/>
        </w:rPr>
        <w:t xml:space="preserve"> at 25.</w:t>
      </w:r>
      <w:r>
        <w:rPr>
          <w:rStyle w:val="FootnoteReference"/>
          <w:sz w:val="26"/>
          <w:szCs w:val="26"/>
        </w:rPr>
        <w:footnoteReference w:id="1"/>
      </w:r>
      <w:r>
        <w:rPr>
          <w:sz w:val="26"/>
          <w:szCs w:val="26"/>
        </w:rPr>
        <w:t xml:space="preserve">  In </w:t>
      </w:r>
      <w:r w:rsidR="00F76941">
        <w:rPr>
          <w:sz w:val="26"/>
          <w:szCs w:val="26"/>
        </w:rPr>
        <w:t>addition, we</w:t>
      </w:r>
      <w:r>
        <w:rPr>
          <w:i/>
          <w:sz w:val="26"/>
          <w:szCs w:val="26"/>
        </w:rPr>
        <w:t xml:space="preserve"> </w:t>
      </w:r>
      <w:r>
        <w:rPr>
          <w:sz w:val="26"/>
          <w:szCs w:val="26"/>
        </w:rPr>
        <w:t xml:space="preserve">directed NGDCs to remove uncollectible expenses associated with natural gas costs from their distribution rates, and recover those costs as part of the PTC on a revenue neutral basis.  </w:t>
      </w:r>
      <w:r w:rsidRPr="005A2F32">
        <w:rPr>
          <w:i/>
          <w:sz w:val="26"/>
          <w:szCs w:val="26"/>
        </w:rPr>
        <w:t>Id</w:t>
      </w:r>
      <w:r>
        <w:rPr>
          <w:sz w:val="26"/>
          <w:szCs w:val="26"/>
        </w:rPr>
        <w:t>. at 29.</w:t>
      </w:r>
      <w:r>
        <w:rPr>
          <w:rStyle w:val="FootnoteReference"/>
          <w:sz w:val="26"/>
          <w:szCs w:val="26"/>
        </w:rPr>
        <w:footnoteReference w:id="2"/>
      </w:r>
    </w:p>
    <w:p w:rsidR="00C07FF6" w:rsidRDefault="00C07FF6" w:rsidP="00326666">
      <w:pPr>
        <w:spacing w:line="360" w:lineRule="auto"/>
        <w:ind w:firstLine="1440"/>
        <w:rPr>
          <w:sz w:val="26"/>
          <w:szCs w:val="26"/>
        </w:rPr>
      </w:pPr>
    </w:p>
    <w:p w:rsidR="00F90653" w:rsidRDefault="00C07FF6" w:rsidP="00F76941">
      <w:pPr>
        <w:keepNext/>
        <w:spacing w:line="360" w:lineRule="auto"/>
        <w:rPr>
          <w:b/>
          <w:sz w:val="26"/>
          <w:szCs w:val="26"/>
        </w:rPr>
      </w:pPr>
      <w:r>
        <w:rPr>
          <w:b/>
          <w:sz w:val="26"/>
          <w:szCs w:val="26"/>
        </w:rPr>
        <w:lastRenderedPageBreak/>
        <w:t>II.</w:t>
      </w:r>
      <w:r>
        <w:rPr>
          <w:b/>
          <w:sz w:val="26"/>
          <w:szCs w:val="26"/>
        </w:rPr>
        <w:tab/>
        <w:t>Procedural History</w:t>
      </w:r>
    </w:p>
    <w:p w:rsidR="00F90653" w:rsidRDefault="00F90653" w:rsidP="00F76941">
      <w:pPr>
        <w:keepNext/>
        <w:spacing w:line="360" w:lineRule="auto"/>
        <w:rPr>
          <w:b/>
          <w:sz w:val="26"/>
          <w:szCs w:val="26"/>
        </w:rPr>
      </w:pPr>
    </w:p>
    <w:p w:rsidR="00326666" w:rsidRDefault="00326666" w:rsidP="00326666">
      <w:pPr>
        <w:spacing w:line="360" w:lineRule="auto"/>
        <w:ind w:firstLine="1440"/>
        <w:rPr>
          <w:sz w:val="26"/>
          <w:szCs w:val="26"/>
        </w:rPr>
      </w:pPr>
      <w:r>
        <w:rPr>
          <w:sz w:val="26"/>
          <w:szCs w:val="26"/>
        </w:rPr>
        <w:t xml:space="preserve">On November 13, 2012, in response to the </w:t>
      </w:r>
      <w:r w:rsidRPr="0085799D">
        <w:rPr>
          <w:i/>
          <w:sz w:val="26"/>
          <w:szCs w:val="26"/>
        </w:rPr>
        <w:t>Revised Final Rulemaking Order</w:t>
      </w:r>
      <w:r>
        <w:rPr>
          <w:i/>
          <w:sz w:val="26"/>
          <w:szCs w:val="26"/>
        </w:rPr>
        <w:t>,</w:t>
      </w:r>
      <w:r w:rsidR="00BB6BEB">
        <w:rPr>
          <w:sz w:val="26"/>
          <w:szCs w:val="26"/>
        </w:rPr>
        <w:t xml:space="preserve"> PGW</w:t>
      </w:r>
      <w:r>
        <w:rPr>
          <w:sz w:val="26"/>
          <w:szCs w:val="26"/>
        </w:rPr>
        <w:t xml:space="preserve"> filed </w:t>
      </w:r>
      <w:r w:rsidR="00BB6BEB">
        <w:rPr>
          <w:sz w:val="26"/>
          <w:szCs w:val="26"/>
        </w:rPr>
        <w:t>its Supplement No. 55</w:t>
      </w:r>
      <w:r>
        <w:rPr>
          <w:sz w:val="26"/>
          <w:szCs w:val="26"/>
        </w:rPr>
        <w:t xml:space="preserve"> to Gas </w:t>
      </w:r>
      <w:r w:rsidR="00BB6BEB">
        <w:rPr>
          <w:sz w:val="26"/>
          <w:szCs w:val="26"/>
        </w:rPr>
        <w:t xml:space="preserve">Service Tariff </w:t>
      </w:r>
      <w:r>
        <w:rPr>
          <w:sz w:val="26"/>
          <w:szCs w:val="26"/>
        </w:rPr>
        <w:t>– Pa. P.U.C. No. 2, to become effective January 12, 2013.</w:t>
      </w:r>
      <w:r>
        <w:rPr>
          <w:rStyle w:val="FootnoteReference"/>
          <w:sz w:val="26"/>
          <w:szCs w:val="26"/>
        </w:rPr>
        <w:footnoteReference w:id="3"/>
      </w:r>
      <w:r>
        <w:rPr>
          <w:sz w:val="26"/>
          <w:szCs w:val="26"/>
        </w:rPr>
        <w:t xml:space="preserve">  Through Supplement No. </w:t>
      </w:r>
      <w:r w:rsidR="00BB6BEB">
        <w:rPr>
          <w:sz w:val="26"/>
          <w:szCs w:val="26"/>
        </w:rPr>
        <w:t>55</w:t>
      </w:r>
      <w:r>
        <w:rPr>
          <w:sz w:val="26"/>
          <w:szCs w:val="26"/>
        </w:rPr>
        <w:t xml:space="preserve">, </w:t>
      </w:r>
      <w:r w:rsidR="00BB6BEB">
        <w:rPr>
          <w:sz w:val="26"/>
          <w:szCs w:val="26"/>
        </w:rPr>
        <w:t>PGW</w:t>
      </w:r>
      <w:r>
        <w:rPr>
          <w:sz w:val="26"/>
          <w:szCs w:val="26"/>
        </w:rPr>
        <w:t xml:space="preserve"> proposed to:</w:t>
      </w:r>
    </w:p>
    <w:p w:rsidR="00326666" w:rsidRDefault="00326666" w:rsidP="00326666">
      <w:pPr>
        <w:pStyle w:val="ListParagraph"/>
        <w:spacing w:line="360" w:lineRule="auto"/>
        <w:ind w:left="2160"/>
        <w:rPr>
          <w:sz w:val="26"/>
          <w:szCs w:val="26"/>
        </w:rPr>
      </w:pPr>
    </w:p>
    <w:p w:rsidR="00326666" w:rsidRDefault="00326666" w:rsidP="00326666">
      <w:pPr>
        <w:pStyle w:val="ListParagraph"/>
        <w:numPr>
          <w:ilvl w:val="0"/>
          <w:numId w:val="1"/>
        </w:numPr>
        <w:ind w:left="1987" w:right="1440" w:hanging="547"/>
        <w:contextualSpacing/>
        <w:rPr>
          <w:sz w:val="26"/>
          <w:szCs w:val="26"/>
        </w:rPr>
      </w:pPr>
      <w:r w:rsidRPr="00B200B1">
        <w:rPr>
          <w:sz w:val="26"/>
          <w:szCs w:val="26"/>
        </w:rPr>
        <w:t>unbundle natural gas procurement costs</w:t>
      </w:r>
      <w:r>
        <w:rPr>
          <w:sz w:val="26"/>
          <w:szCs w:val="26"/>
        </w:rPr>
        <w:t xml:space="preserve"> from distribution rates and </w:t>
      </w:r>
      <w:r w:rsidRPr="00B200B1">
        <w:rPr>
          <w:sz w:val="26"/>
          <w:szCs w:val="26"/>
        </w:rPr>
        <w:t>recover these costs</w:t>
      </w:r>
      <w:r>
        <w:rPr>
          <w:sz w:val="26"/>
          <w:szCs w:val="26"/>
        </w:rPr>
        <w:t xml:space="preserve"> through a Gas Procurement C</w:t>
      </w:r>
      <w:r w:rsidR="00BB6BEB">
        <w:rPr>
          <w:sz w:val="26"/>
          <w:szCs w:val="26"/>
        </w:rPr>
        <w:t>harge (GPC)</w:t>
      </w:r>
      <w:r>
        <w:rPr>
          <w:sz w:val="26"/>
          <w:szCs w:val="26"/>
        </w:rPr>
        <w:t>;</w:t>
      </w:r>
    </w:p>
    <w:p w:rsidR="00326666" w:rsidRDefault="00326666" w:rsidP="00326666">
      <w:pPr>
        <w:pStyle w:val="ListParagraph"/>
        <w:ind w:left="1987" w:right="1440"/>
        <w:rPr>
          <w:sz w:val="26"/>
          <w:szCs w:val="26"/>
        </w:rPr>
      </w:pPr>
    </w:p>
    <w:p w:rsidR="00326666" w:rsidRDefault="00326666" w:rsidP="00326666">
      <w:pPr>
        <w:pStyle w:val="ListParagraph"/>
        <w:numPr>
          <w:ilvl w:val="0"/>
          <w:numId w:val="1"/>
        </w:numPr>
        <w:ind w:left="1987" w:right="1440" w:hanging="547"/>
        <w:contextualSpacing/>
        <w:rPr>
          <w:sz w:val="26"/>
          <w:szCs w:val="26"/>
        </w:rPr>
      </w:pPr>
      <w:r>
        <w:rPr>
          <w:sz w:val="26"/>
          <w:szCs w:val="26"/>
        </w:rPr>
        <w:t xml:space="preserve">remove the cost of </w:t>
      </w:r>
      <w:r w:rsidR="00BB6BEB">
        <w:rPr>
          <w:sz w:val="26"/>
          <w:szCs w:val="26"/>
        </w:rPr>
        <w:t xml:space="preserve">gas supply related </w:t>
      </w:r>
      <w:r>
        <w:rPr>
          <w:sz w:val="26"/>
          <w:szCs w:val="26"/>
        </w:rPr>
        <w:t xml:space="preserve">uncollectible </w:t>
      </w:r>
      <w:r w:rsidR="00BB6BEB">
        <w:rPr>
          <w:sz w:val="26"/>
          <w:szCs w:val="26"/>
        </w:rPr>
        <w:t xml:space="preserve">expense </w:t>
      </w:r>
      <w:r>
        <w:rPr>
          <w:sz w:val="26"/>
          <w:szCs w:val="26"/>
        </w:rPr>
        <w:t>from dis</w:t>
      </w:r>
      <w:r w:rsidR="00BB6BEB">
        <w:rPr>
          <w:sz w:val="26"/>
          <w:szCs w:val="26"/>
        </w:rPr>
        <w:t>tribution rates and recover these</w:t>
      </w:r>
      <w:r>
        <w:rPr>
          <w:sz w:val="26"/>
          <w:szCs w:val="26"/>
        </w:rPr>
        <w:t xml:space="preserve"> costs through a Merc</w:t>
      </w:r>
      <w:r w:rsidR="00BB6BEB">
        <w:rPr>
          <w:sz w:val="26"/>
          <w:szCs w:val="26"/>
        </w:rPr>
        <w:t>hant Function Charge (MFC)</w:t>
      </w:r>
      <w:r>
        <w:rPr>
          <w:sz w:val="26"/>
          <w:szCs w:val="26"/>
        </w:rPr>
        <w:t>; and</w:t>
      </w:r>
    </w:p>
    <w:p w:rsidR="00326666" w:rsidRPr="006B5273" w:rsidRDefault="00326666" w:rsidP="00326666">
      <w:pPr>
        <w:pStyle w:val="ListParagraph"/>
        <w:rPr>
          <w:sz w:val="26"/>
          <w:szCs w:val="26"/>
        </w:rPr>
      </w:pPr>
    </w:p>
    <w:p w:rsidR="00326666" w:rsidRDefault="00326666" w:rsidP="00326666">
      <w:pPr>
        <w:pStyle w:val="ListParagraph"/>
        <w:numPr>
          <w:ilvl w:val="0"/>
          <w:numId w:val="1"/>
        </w:numPr>
        <w:ind w:left="1987" w:right="1440" w:hanging="547"/>
        <w:contextualSpacing/>
        <w:rPr>
          <w:sz w:val="26"/>
          <w:szCs w:val="26"/>
        </w:rPr>
      </w:pPr>
      <w:r>
        <w:rPr>
          <w:sz w:val="26"/>
          <w:szCs w:val="26"/>
        </w:rPr>
        <w:t>reformulate the price to compare to include the newly created GPC/MFC and the purchased gas cost e-factor.</w:t>
      </w:r>
    </w:p>
    <w:p w:rsidR="00825FBE" w:rsidRPr="00825FBE" w:rsidRDefault="00825FBE" w:rsidP="00825FBE">
      <w:pPr>
        <w:spacing w:line="360" w:lineRule="auto"/>
        <w:rPr>
          <w:sz w:val="26"/>
          <w:szCs w:val="26"/>
        </w:rPr>
      </w:pPr>
    </w:p>
    <w:p w:rsidR="00C07FF6" w:rsidRPr="00C07FF6" w:rsidRDefault="00C07FF6" w:rsidP="00C07FF6">
      <w:pPr>
        <w:spacing w:line="360" w:lineRule="auto"/>
        <w:ind w:firstLine="1440"/>
        <w:rPr>
          <w:sz w:val="26"/>
          <w:szCs w:val="26"/>
        </w:rPr>
      </w:pPr>
      <w:r w:rsidRPr="00C07FF6">
        <w:rPr>
          <w:sz w:val="26"/>
          <w:szCs w:val="26"/>
        </w:rPr>
        <w:t xml:space="preserve">On December 3, 2012, the OCA and the OSBA filed </w:t>
      </w:r>
      <w:r w:rsidR="001064FB">
        <w:rPr>
          <w:sz w:val="26"/>
          <w:szCs w:val="26"/>
        </w:rPr>
        <w:t>F</w:t>
      </w:r>
      <w:r w:rsidRPr="00C07FF6">
        <w:rPr>
          <w:sz w:val="26"/>
          <w:szCs w:val="26"/>
        </w:rPr>
        <w:t>ormal Complaints, docketed at C-2012-2337124 and C-2012-2337594, respectively.  Also on December 3, 2012, the Philadelphia Industrial and Commercial Gas Users Group (PICGUG) filed a Petition to Intervene in this proceeding.</w:t>
      </w:r>
    </w:p>
    <w:p w:rsidR="00C07FF6" w:rsidRPr="00FE1070" w:rsidRDefault="00C07FF6" w:rsidP="00C07FF6">
      <w:pPr>
        <w:spacing w:line="360" w:lineRule="auto"/>
      </w:pPr>
    </w:p>
    <w:p w:rsidR="00C07FF6" w:rsidRPr="001064FB" w:rsidRDefault="00C07FF6" w:rsidP="00C07FF6">
      <w:pPr>
        <w:spacing w:line="360" w:lineRule="auto"/>
        <w:rPr>
          <w:sz w:val="26"/>
          <w:szCs w:val="26"/>
        </w:rPr>
      </w:pPr>
      <w:r w:rsidRPr="00FE1070">
        <w:tab/>
      </w:r>
      <w:r w:rsidRPr="00FE1070">
        <w:tab/>
      </w:r>
      <w:r w:rsidRPr="001064FB">
        <w:rPr>
          <w:sz w:val="26"/>
          <w:szCs w:val="26"/>
        </w:rPr>
        <w:t>By Order entered</w:t>
      </w:r>
      <w:r w:rsidR="00B4450E">
        <w:rPr>
          <w:sz w:val="26"/>
          <w:szCs w:val="26"/>
        </w:rPr>
        <w:t xml:space="preserve"> December 20, 2012, the </w:t>
      </w:r>
      <w:r w:rsidRPr="001064FB">
        <w:rPr>
          <w:sz w:val="26"/>
          <w:szCs w:val="26"/>
        </w:rPr>
        <w:t>Commission instituted an investigation into the lawfulness, justness and reasonableness of the rates, rules, and regulations contained in PGW’s proposed Supplement No. 55 to Gas Service Tariff Pa.</w:t>
      </w:r>
      <w:r w:rsidR="001064FB">
        <w:rPr>
          <w:sz w:val="26"/>
          <w:szCs w:val="26"/>
        </w:rPr>
        <w:t xml:space="preserve"> </w:t>
      </w:r>
      <w:r w:rsidRPr="001064FB">
        <w:rPr>
          <w:sz w:val="26"/>
          <w:szCs w:val="26"/>
        </w:rPr>
        <w:t xml:space="preserve">P.U.C. No. 2.  The proposed tariff supplement was suspended by operation of law until June 21, 2013, unless otherwise permitted by Commission Order to become effective at an earlier date.  In addition, the Commission ordered that the investigation include </w:t>
      </w:r>
      <w:r w:rsidRPr="001064FB">
        <w:rPr>
          <w:sz w:val="26"/>
          <w:szCs w:val="26"/>
        </w:rPr>
        <w:lastRenderedPageBreak/>
        <w:t xml:space="preserve">consideration of the lawfulness, justness and reasonableness of PGW’s existing rates, rules, and regulations.  </w:t>
      </w:r>
    </w:p>
    <w:p w:rsidR="00C07FF6" w:rsidRPr="00FE1070" w:rsidRDefault="00C07FF6" w:rsidP="00C07FF6">
      <w:pPr>
        <w:spacing w:line="360" w:lineRule="auto"/>
      </w:pPr>
    </w:p>
    <w:p w:rsidR="00C07FF6" w:rsidRPr="002C00A0" w:rsidRDefault="00C07FF6" w:rsidP="002C00A0">
      <w:pPr>
        <w:spacing w:line="360" w:lineRule="auto"/>
        <w:ind w:firstLine="1440"/>
        <w:rPr>
          <w:sz w:val="26"/>
          <w:szCs w:val="26"/>
        </w:rPr>
      </w:pPr>
      <w:r w:rsidRPr="002C00A0">
        <w:rPr>
          <w:sz w:val="26"/>
          <w:szCs w:val="26"/>
        </w:rPr>
        <w:t xml:space="preserve">This matter was assigned to the Office of Administrative Law Judge for prompt scheduling of hearings culminating in the issuance of a Recommended Decision.  A </w:t>
      </w:r>
      <w:r w:rsidR="00B91BE8">
        <w:rPr>
          <w:sz w:val="26"/>
          <w:szCs w:val="26"/>
        </w:rPr>
        <w:t>P</w:t>
      </w:r>
      <w:r w:rsidRPr="002C00A0">
        <w:rPr>
          <w:sz w:val="26"/>
          <w:szCs w:val="26"/>
        </w:rPr>
        <w:t xml:space="preserve">rehearing </w:t>
      </w:r>
      <w:r w:rsidR="00B91BE8">
        <w:rPr>
          <w:sz w:val="26"/>
          <w:szCs w:val="26"/>
        </w:rPr>
        <w:t>C</w:t>
      </w:r>
      <w:r w:rsidRPr="002C00A0">
        <w:rPr>
          <w:sz w:val="26"/>
          <w:szCs w:val="26"/>
        </w:rPr>
        <w:t>onference was held on January 4, 2013</w:t>
      </w:r>
      <w:r w:rsidR="00D706FA" w:rsidRPr="002C00A0">
        <w:rPr>
          <w:sz w:val="26"/>
          <w:szCs w:val="26"/>
        </w:rPr>
        <w:t>, wherein c</w:t>
      </w:r>
      <w:r w:rsidRPr="002C00A0">
        <w:rPr>
          <w:sz w:val="26"/>
          <w:szCs w:val="26"/>
        </w:rPr>
        <w:t xml:space="preserve">ounsel for PGW, </w:t>
      </w:r>
      <w:r w:rsidR="002C00A0" w:rsidRPr="002C00A0">
        <w:rPr>
          <w:sz w:val="26"/>
          <w:szCs w:val="26"/>
        </w:rPr>
        <w:t xml:space="preserve">the </w:t>
      </w:r>
      <w:r w:rsidRPr="002C00A0">
        <w:rPr>
          <w:sz w:val="26"/>
          <w:szCs w:val="26"/>
        </w:rPr>
        <w:t xml:space="preserve">OCA, </w:t>
      </w:r>
      <w:r w:rsidR="002C00A0" w:rsidRPr="002C00A0">
        <w:rPr>
          <w:sz w:val="26"/>
          <w:szCs w:val="26"/>
        </w:rPr>
        <w:t xml:space="preserve">the </w:t>
      </w:r>
      <w:r w:rsidRPr="002C00A0">
        <w:rPr>
          <w:sz w:val="26"/>
          <w:szCs w:val="26"/>
        </w:rPr>
        <w:t xml:space="preserve">OSBA, and PICGUG participated.  </w:t>
      </w:r>
    </w:p>
    <w:p w:rsidR="00C07FF6" w:rsidRPr="002C00A0" w:rsidRDefault="00C07FF6" w:rsidP="00C07FF6">
      <w:pPr>
        <w:spacing w:line="360" w:lineRule="auto"/>
        <w:rPr>
          <w:sz w:val="26"/>
          <w:szCs w:val="26"/>
        </w:rPr>
      </w:pPr>
    </w:p>
    <w:p w:rsidR="00C07FF6" w:rsidRDefault="00C07FF6" w:rsidP="00C07FF6">
      <w:pPr>
        <w:spacing w:line="360" w:lineRule="auto"/>
        <w:rPr>
          <w:sz w:val="26"/>
          <w:szCs w:val="26"/>
        </w:rPr>
      </w:pPr>
      <w:r w:rsidRPr="002C00A0">
        <w:rPr>
          <w:sz w:val="26"/>
          <w:szCs w:val="26"/>
        </w:rPr>
        <w:tab/>
      </w:r>
      <w:r w:rsidRPr="002C00A0">
        <w:rPr>
          <w:sz w:val="26"/>
          <w:szCs w:val="26"/>
        </w:rPr>
        <w:tab/>
      </w:r>
      <w:r w:rsidR="002C00A0" w:rsidRPr="002C00A0">
        <w:rPr>
          <w:sz w:val="26"/>
          <w:szCs w:val="26"/>
        </w:rPr>
        <w:t xml:space="preserve">Subsequent to the </w:t>
      </w:r>
      <w:r w:rsidR="00B91BE8">
        <w:rPr>
          <w:sz w:val="26"/>
          <w:szCs w:val="26"/>
        </w:rPr>
        <w:t>P</w:t>
      </w:r>
      <w:r w:rsidR="002C00A0" w:rsidRPr="002C00A0">
        <w:rPr>
          <w:sz w:val="26"/>
          <w:szCs w:val="26"/>
        </w:rPr>
        <w:t xml:space="preserve">rehearing </w:t>
      </w:r>
      <w:r w:rsidR="00B91BE8">
        <w:rPr>
          <w:sz w:val="26"/>
          <w:szCs w:val="26"/>
        </w:rPr>
        <w:t>C</w:t>
      </w:r>
      <w:r w:rsidR="002C00A0" w:rsidRPr="002C00A0">
        <w:rPr>
          <w:sz w:val="26"/>
          <w:szCs w:val="26"/>
        </w:rPr>
        <w:t xml:space="preserve">onference, the Parties </w:t>
      </w:r>
      <w:r w:rsidRPr="002C00A0">
        <w:rPr>
          <w:sz w:val="26"/>
          <w:szCs w:val="26"/>
        </w:rPr>
        <w:t>engaged in settlement discussions</w:t>
      </w:r>
      <w:r w:rsidR="002C00A0" w:rsidRPr="002C00A0">
        <w:rPr>
          <w:sz w:val="26"/>
          <w:szCs w:val="26"/>
        </w:rPr>
        <w:t xml:space="preserve"> and were able to reach a settlement in principle </w:t>
      </w:r>
      <w:r w:rsidRPr="002C00A0">
        <w:rPr>
          <w:sz w:val="26"/>
          <w:szCs w:val="26"/>
        </w:rPr>
        <w:t>which resolved all of the issues pertaining to this proceeding.  The Settling Parties filed the Settlement and Statements in Support of the Settlement on March 27, 2013.  Although PICGUG did not sign the Settlement, its counsel submitted correspondence along with the Settlement,</w:t>
      </w:r>
      <w:r w:rsidRPr="002C00A0">
        <w:rPr>
          <w:rStyle w:val="FootnoteReference"/>
          <w:sz w:val="26"/>
          <w:szCs w:val="26"/>
        </w:rPr>
        <w:footnoteReference w:id="4"/>
      </w:r>
      <w:r w:rsidRPr="002C00A0">
        <w:rPr>
          <w:sz w:val="26"/>
          <w:szCs w:val="26"/>
        </w:rPr>
        <w:t xml:space="preserve"> dated March 27, 2013, stating that it does not oppose the Joint Petition for Settlement</w:t>
      </w:r>
      <w:r w:rsidR="002C00A0" w:rsidRPr="002C00A0">
        <w:rPr>
          <w:sz w:val="26"/>
          <w:szCs w:val="26"/>
        </w:rPr>
        <w:t xml:space="preserve">. </w:t>
      </w:r>
      <w:r w:rsidRPr="002C00A0">
        <w:rPr>
          <w:sz w:val="26"/>
          <w:szCs w:val="26"/>
        </w:rPr>
        <w:t>The record closed on March 27, 2013, the date the Settling P</w:t>
      </w:r>
      <w:r w:rsidR="002C00A0" w:rsidRPr="002C00A0">
        <w:rPr>
          <w:sz w:val="26"/>
          <w:szCs w:val="26"/>
        </w:rPr>
        <w:t>arties filed the Settlement.</w:t>
      </w:r>
    </w:p>
    <w:p w:rsidR="002C00A0" w:rsidRDefault="002C00A0" w:rsidP="00C07FF6">
      <w:pPr>
        <w:spacing w:line="360" w:lineRule="auto"/>
        <w:rPr>
          <w:sz w:val="26"/>
          <w:szCs w:val="26"/>
        </w:rPr>
      </w:pPr>
    </w:p>
    <w:p w:rsidR="00F90653" w:rsidRDefault="002C00A0" w:rsidP="00C07FF6">
      <w:pPr>
        <w:spacing w:line="360" w:lineRule="auto"/>
        <w:rPr>
          <w:sz w:val="26"/>
          <w:szCs w:val="26"/>
        </w:rPr>
      </w:pPr>
      <w:r>
        <w:rPr>
          <w:sz w:val="26"/>
          <w:szCs w:val="26"/>
        </w:rPr>
        <w:tab/>
      </w:r>
      <w:r>
        <w:rPr>
          <w:sz w:val="26"/>
          <w:szCs w:val="26"/>
        </w:rPr>
        <w:tab/>
        <w:t>On April 24, 20</w:t>
      </w:r>
      <w:r w:rsidR="00B4450E">
        <w:rPr>
          <w:sz w:val="26"/>
          <w:szCs w:val="26"/>
        </w:rPr>
        <w:t>13, ALJ Pell issued a Recommended Deci</w:t>
      </w:r>
      <w:r>
        <w:rPr>
          <w:sz w:val="26"/>
          <w:szCs w:val="26"/>
        </w:rPr>
        <w:t xml:space="preserve">sion wherein he </w:t>
      </w:r>
      <w:r w:rsidR="0055766E">
        <w:rPr>
          <w:sz w:val="26"/>
          <w:szCs w:val="26"/>
        </w:rPr>
        <w:t>granted the Joint Petitioners unopposed settlement without modificatio</w:t>
      </w:r>
      <w:r w:rsidR="00B4450E">
        <w:rPr>
          <w:sz w:val="26"/>
          <w:szCs w:val="26"/>
        </w:rPr>
        <w:t>n.  No Exceptions to the Recommended</w:t>
      </w:r>
      <w:r w:rsidR="0055766E">
        <w:rPr>
          <w:sz w:val="26"/>
          <w:szCs w:val="26"/>
        </w:rPr>
        <w:t xml:space="preserve"> Decision were received.</w:t>
      </w:r>
    </w:p>
    <w:p w:rsidR="00F90653" w:rsidRDefault="00F90653" w:rsidP="00C07FF6">
      <w:pPr>
        <w:spacing w:line="360" w:lineRule="auto"/>
        <w:rPr>
          <w:sz w:val="26"/>
          <w:szCs w:val="26"/>
        </w:rPr>
      </w:pPr>
    </w:p>
    <w:p w:rsidR="0084091E" w:rsidRDefault="0084091E" w:rsidP="00F76941">
      <w:pPr>
        <w:keepNext/>
        <w:spacing w:line="360" w:lineRule="auto"/>
        <w:rPr>
          <w:b/>
          <w:sz w:val="26"/>
          <w:szCs w:val="26"/>
        </w:rPr>
      </w:pPr>
      <w:r>
        <w:rPr>
          <w:b/>
          <w:sz w:val="26"/>
          <w:szCs w:val="26"/>
        </w:rPr>
        <w:lastRenderedPageBreak/>
        <w:t>III.</w:t>
      </w:r>
      <w:r>
        <w:rPr>
          <w:b/>
          <w:sz w:val="26"/>
          <w:szCs w:val="26"/>
        </w:rPr>
        <w:tab/>
        <w:t>Discussion</w:t>
      </w:r>
    </w:p>
    <w:p w:rsidR="0084091E" w:rsidRDefault="0084091E" w:rsidP="00F76941">
      <w:pPr>
        <w:keepNext/>
        <w:spacing w:line="360" w:lineRule="auto"/>
        <w:rPr>
          <w:b/>
          <w:sz w:val="26"/>
          <w:szCs w:val="26"/>
        </w:rPr>
      </w:pPr>
    </w:p>
    <w:p w:rsidR="0084091E" w:rsidRPr="00C74A86" w:rsidRDefault="0084091E" w:rsidP="0084091E">
      <w:pPr>
        <w:keepNext/>
        <w:spacing w:line="360" w:lineRule="auto"/>
        <w:ind w:firstLine="1440"/>
        <w:rPr>
          <w:sz w:val="26"/>
          <w:szCs w:val="26"/>
        </w:rPr>
      </w:pPr>
      <w:r w:rsidRPr="00C74A86">
        <w:rPr>
          <w:sz w:val="26"/>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C74A86">
        <w:rPr>
          <w:i/>
          <w:sz w:val="26"/>
          <w:szCs w:val="26"/>
        </w:rPr>
        <w:t>Consolidated Rail Corporation v. Pa. PUC</w:t>
      </w:r>
      <w:r w:rsidRPr="00C74A86">
        <w:rPr>
          <w:sz w:val="26"/>
          <w:szCs w:val="26"/>
        </w:rPr>
        <w:t xml:space="preserve">, </w:t>
      </w:r>
    </w:p>
    <w:p w:rsidR="0084091E" w:rsidRPr="00C74A86" w:rsidRDefault="0084091E" w:rsidP="0084091E">
      <w:pPr>
        <w:keepNext/>
        <w:spacing w:line="360" w:lineRule="auto"/>
        <w:rPr>
          <w:i/>
          <w:sz w:val="26"/>
          <w:szCs w:val="26"/>
        </w:rPr>
      </w:pPr>
      <w:r w:rsidRPr="00C74A86">
        <w:rPr>
          <w:sz w:val="26"/>
          <w:szCs w:val="26"/>
        </w:rPr>
        <w:t xml:space="preserve">625 A.2d 741 (Pa. </w:t>
      </w:r>
      <w:proofErr w:type="spellStart"/>
      <w:r w:rsidRPr="00C74A86">
        <w:rPr>
          <w:sz w:val="26"/>
          <w:szCs w:val="26"/>
        </w:rPr>
        <w:t>Cmwlth</w:t>
      </w:r>
      <w:proofErr w:type="spellEnd"/>
      <w:r w:rsidRPr="00C74A86">
        <w:rPr>
          <w:sz w:val="26"/>
          <w:szCs w:val="26"/>
        </w:rPr>
        <w:t xml:space="preserve">. 1993); </w:t>
      </w:r>
      <w:r w:rsidRPr="00C74A86">
        <w:rPr>
          <w:i/>
          <w:sz w:val="26"/>
          <w:szCs w:val="26"/>
        </w:rPr>
        <w:t>see also</w:t>
      </w:r>
      <w:r w:rsidRPr="00C74A86">
        <w:rPr>
          <w:sz w:val="26"/>
          <w:szCs w:val="26"/>
        </w:rPr>
        <w:t xml:space="preserve">, </w:t>
      </w:r>
      <w:r w:rsidRPr="00C74A86">
        <w:rPr>
          <w:i/>
          <w:sz w:val="26"/>
          <w:szCs w:val="26"/>
        </w:rPr>
        <w:t>generally</w:t>
      </w:r>
      <w:r w:rsidRPr="00C74A86">
        <w:rPr>
          <w:sz w:val="26"/>
          <w:szCs w:val="26"/>
        </w:rPr>
        <w:t xml:space="preserve">, </w:t>
      </w:r>
      <w:r w:rsidRPr="00C74A86">
        <w:rPr>
          <w:i/>
          <w:sz w:val="26"/>
          <w:szCs w:val="26"/>
        </w:rPr>
        <w:t xml:space="preserve">University of Pennsylvania v. </w:t>
      </w:r>
    </w:p>
    <w:p w:rsidR="0084091E" w:rsidRDefault="0084091E" w:rsidP="0084091E">
      <w:pPr>
        <w:keepNext/>
        <w:spacing w:line="360" w:lineRule="auto"/>
        <w:rPr>
          <w:b/>
          <w:spacing w:val="-3"/>
          <w:sz w:val="26"/>
          <w:szCs w:val="26"/>
        </w:rPr>
      </w:pPr>
      <w:r w:rsidRPr="00C74A86">
        <w:rPr>
          <w:i/>
          <w:sz w:val="26"/>
          <w:szCs w:val="26"/>
        </w:rPr>
        <w:t>Pa. PUC</w:t>
      </w:r>
      <w:r w:rsidRPr="00C74A86">
        <w:rPr>
          <w:sz w:val="26"/>
          <w:szCs w:val="26"/>
        </w:rPr>
        <w:t xml:space="preserve">, 485 A.2d 1217 (Pa. </w:t>
      </w:r>
      <w:proofErr w:type="spellStart"/>
      <w:r w:rsidRPr="00C74A86">
        <w:rPr>
          <w:sz w:val="26"/>
          <w:szCs w:val="26"/>
        </w:rPr>
        <w:t>Cmwlth</w:t>
      </w:r>
      <w:proofErr w:type="spellEnd"/>
      <w:r w:rsidRPr="00C74A86">
        <w:rPr>
          <w:sz w:val="26"/>
          <w:szCs w:val="26"/>
        </w:rPr>
        <w:t>. 1984).</w:t>
      </w:r>
    </w:p>
    <w:p w:rsidR="0084091E" w:rsidRDefault="0084091E" w:rsidP="0084091E">
      <w:pPr>
        <w:tabs>
          <w:tab w:val="left" w:pos="-720"/>
        </w:tabs>
        <w:suppressAutoHyphens/>
        <w:spacing w:line="360" w:lineRule="auto"/>
        <w:rPr>
          <w:b/>
          <w:spacing w:val="-3"/>
          <w:sz w:val="26"/>
          <w:szCs w:val="26"/>
        </w:rPr>
      </w:pPr>
    </w:p>
    <w:p w:rsidR="0084091E" w:rsidRDefault="0084091E" w:rsidP="0084091E">
      <w:pPr>
        <w:tabs>
          <w:tab w:val="left" w:pos="-720"/>
        </w:tabs>
        <w:suppressAutoHyphens/>
        <w:spacing w:line="360" w:lineRule="auto"/>
        <w:rPr>
          <w:b/>
          <w:spacing w:val="-3"/>
          <w:sz w:val="26"/>
          <w:szCs w:val="26"/>
        </w:rPr>
      </w:pPr>
      <w:r>
        <w:rPr>
          <w:b/>
          <w:spacing w:val="-3"/>
          <w:sz w:val="26"/>
          <w:szCs w:val="26"/>
        </w:rPr>
        <w:tab/>
        <w:t>A.</w:t>
      </w:r>
      <w:r>
        <w:rPr>
          <w:b/>
          <w:spacing w:val="-3"/>
          <w:sz w:val="26"/>
          <w:szCs w:val="26"/>
        </w:rPr>
        <w:tab/>
        <w:t>Legal Standards</w:t>
      </w:r>
    </w:p>
    <w:p w:rsidR="0084091E" w:rsidRDefault="0084091E" w:rsidP="0084091E">
      <w:pPr>
        <w:tabs>
          <w:tab w:val="left" w:pos="-720"/>
        </w:tabs>
        <w:suppressAutoHyphens/>
        <w:spacing w:line="360" w:lineRule="auto"/>
        <w:rPr>
          <w:b/>
          <w:spacing w:val="-3"/>
          <w:sz w:val="26"/>
          <w:szCs w:val="26"/>
        </w:rPr>
      </w:pPr>
    </w:p>
    <w:p w:rsidR="0084091E" w:rsidRPr="00C74A86" w:rsidRDefault="0084091E" w:rsidP="0084091E">
      <w:pPr>
        <w:keepNext/>
        <w:spacing w:line="360" w:lineRule="auto"/>
        <w:ind w:firstLine="1440"/>
        <w:rPr>
          <w:sz w:val="26"/>
          <w:szCs w:val="26"/>
        </w:rPr>
      </w:pPr>
      <w:r w:rsidRPr="00C74A86">
        <w:rPr>
          <w:sz w:val="26"/>
          <w:szCs w:val="26"/>
        </w:rPr>
        <w:t>As the proponent of a rule or order, the Company has the burden of proof in this proceeding in accordance with Section 332(a) of the Public Utility Code (Code), 66</w:t>
      </w:r>
      <w:r>
        <w:rPr>
          <w:sz w:val="26"/>
          <w:szCs w:val="26"/>
        </w:rPr>
        <w:t> </w:t>
      </w:r>
      <w:r w:rsidRPr="00C74A86">
        <w:rPr>
          <w:sz w:val="26"/>
          <w:szCs w:val="26"/>
        </w:rPr>
        <w:t xml:space="preserve">Pa. C.S. § 332(a).  Courts have held that “[a] litigant’s burden of proof before administrative tribunals as well as before most civil proceedings is satisfied by establishing a preponderance of evidence which is substantial and legally credible.”  </w:t>
      </w:r>
      <w:r w:rsidRPr="00C74A86">
        <w:rPr>
          <w:i/>
          <w:iCs/>
          <w:sz w:val="26"/>
          <w:szCs w:val="26"/>
        </w:rPr>
        <w:t xml:space="preserve">Samuel J. </w:t>
      </w:r>
      <w:proofErr w:type="spellStart"/>
      <w:r w:rsidRPr="00C74A86">
        <w:rPr>
          <w:i/>
          <w:iCs/>
          <w:sz w:val="26"/>
          <w:szCs w:val="26"/>
        </w:rPr>
        <w:t>Lansberry</w:t>
      </w:r>
      <w:proofErr w:type="spellEnd"/>
      <w:r w:rsidRPr="00C74A86">
        <w:rPr>
          <w:i/>
          <w:iCs/>
          <w:sz w:val="26"/>
          <w:szCs w:val="26"/>
        </w:rPr>
        <w:t>, Inc. v. Pa. PUC</w:t>
      </w:r>
      <w:r w:rsidRPr="00C74A86">
        <w:rPr>
          <w:sz w:val="26"/>
          <w:szCs w:val="26"/>
        </w:rPr>
        <w:t xml:space="preserve">, 578 A.2d 600 (Pa. </w:t>
      </w:r>
      <w:proofErr w:type="spellStart"/>
      <w:r w:rsidRPr="00C74A86">
        <w:rPr>
          <w:sz w:val="26"/>
          <w:szCs w:val="26"/>
        </w:rPr>
        <w:t>Cmwlth</w:t>
      </w:r>
      <w:proofErr w:type="spellEnd"/>
      <w:r w:rsidRPr="00C74A86">
        <w:rPr>
          <w:sz w:val="26"/>
          <w:szCs w:val="26"/>
        </w:rPr>
        <w:t xml:space="preserve">. 1990), </w:t>
      </w:r>
      <w:proofErr w:type="spellStart"/>
      <w:r w:rsidRPr="00C74A86">
        <w:rPr>
          <w:i/>
          <w:sz w:val="26"/>
          <w:szCs w:val="26"/>
        </w:rPr>
        <w:t>alloc</w:t>
      </w:r>
      <w:proofErr w:type="spellEnd"/>
      <w:r w:rsidRPr="00C74A86">
        <w:rPr>
          <w:i/>
          <w:sz w:val="26"/>
          <w:szCs w:val="26"/>
        </w:rPr>
        <w:t>. denied,</w:t>
      </w:r>
      <w:r w:rsidRPr="00C74A86">
        <w:rPr>
          <w:sz w:val="26"/>
          <w:szCs w:val="26"/>
        </w:rPr>
        <w:t xml:space="preserve"> 529 Pa. 654, 602 A.2d 863 (1992).  That is, the Company’s evidence must be more convincing, by even the smallest amount, than that presented by the other Parties.  </w:t>
      </w:r>
      <w:r>
        <w:rPr>
          <w:i/>
          <w:sz w:val="26"/>
          <w:szCs w:val="26"/>
        </w:rPr>
        <w:t>Se</w:t>
      </w:r>
      <w:r>
        <w:rPr>
          <w:i/>
          <w:sz w:val="26"/>
          <w:szCs w:val="26"/>
        </w:rPr>
        <w:noBreakHyphen/>
      </w:r>
      <w:r w:rsidRPr="00C74A86">
        <w:rPr>
          <w:i/>
          <w:sz w:val="26"/>
          <w:szCs w:val="26"/>
        </w:rPr>
        <w:t>Ling Hosiery, Inc. v. Margulies</w:t>
      </w:r>
      <w:r w:rsidRPr="00C74A86">
        <w:rPr>
          <w:sz w:val="26"/>
          <w:szCs w:val="26"/>
        </w:rPr>
        <w:t>, 36</w:t>
      </w:r>
      <w:r>
        <w:rPr>
          <w:sz w:val="26"/>
          <w:szCs w:val="26"/>
        </w:rPr>
        <w:t xml:space="preserve">4 Pa. 45, 70 A.2d 854 (1950).  </w:t>
      </w:r>
      <w:r w:rsidRPr="00C74A86">
        <w:rPr>
          <w:sz w:val="26"/>
          <w:szCs w:val="26"/>
        </w:rPr>
        <w:t xml:space="preserve">Additionally, this Commission’s decision must be supported by substantial evidence in the record.  More is required than a mere trace of evidence or a suspicion of the existence of a fact sought to be established.  </w:t>
      </w:r>
      <w:r w:rsidRPr="00C74A86">
        <w:rPr>
          <w:i/>
          <w:sz w:val="26"/>
          <w:szCs w:val="26"/>
        </w:rPr>
        <w:t xml:space="preserve">Norfolk &amp; Western Ry. Co. v. Pa. PUC, </w:t>
      </w:r>
      <w:r w:rsidRPr="00C74A86">
        <w:rPr>
          <w:sz w:val="26"/>
          <w:szCs w:val="26"/>
        </w:rPr>
        <w:t>489 Pa. 109, 413 A.2d 1037 (1980).</w:t>
      </w:r>
    </w:p>
    <w:p w:rsidR="0084091E" w:rsidRPr="00C74A86" w:rsidRDefault="0084091E" w:rsidP="0084091E">
      <w:pPr>
        <w:spacing w:line="360" w:lineRule="auto"/>
        <w:rPr>
          <w:sz w:val="26"/>
          <w:szCs w:val="26"/>
        </w:rPr>
      </w:pPr>
    </w:p>
    <w:p w:rsidR="0084091E" w:rsidRPr="00C74A86" w:rsidRDefault="0084091E" w:rsidP="0084091E">
      <w:pPr>
        <w:suppressAutoHyphens/>
        <w:spacing w:line="360" w:lineRule="auto"/>
        <w:ind w:firstLine="1440"/>
        <w:rPr>
          <w:sz w:val="26"/>
          <w:szCs w:val="26"/>
        </w:rPr>
      </w:pPr>
      <w:r w:rsidRPr="00C74A86">
        <w:rPr>
          <w:sz w:val="26"/>
          <w:szCs w:val="26"/>
        </w:rPr>
        <w:t xml:space="preserve">Because the Joint Petitioners have reached a </w:t>
      </w:r>
      <w:r>
        <w:rPr>
          <w:sz w:val="26"/>
          <w:szCs w:val="26"/>
        </w:rPr>
        <w:t xml:space="preserve">full </w:t>
      </w:r>
      <w:r w:rsidRPr="00C74A86">
        <w:rPr>
          <w:sz w:val="26"/>
          <w:szCs w:val="26"/>
        </w:rPr>
        <w:t>settlement of the issues and claims that arose in this proceeding, the Joint Petitioners have the burden to prove that the Settlement is in the public interest.  Pursuant to our Regulations at 52 Pa. Code §</w:t>
      </w:r>
      <w:r>
        <w:rPr>
          <w:sz w:val="26"/>
          <w:szCs w:val="26"/>
        </w:rPr>
        <w:t> </w:t>
      </w:r>
      <w:r w:rsidRPr="00C74A86">
        <w:rPr>
          <w:sz w:val="26"/>
          <w:szCs w:val="26"/>
        </w:rPr>
        <w:t xml:space="preserve">5.231, it is the Commission’s policy to promote settlements.  Settlement terms often are </w:t>
      </w:r>
      <w:r w:rsidRPr="00C74A86">
        <w:rPr>
          <w:sz w:val="26"/>
          <w:szCs w:val="26"/>
        </w:rPr>
        <w:lastRenderedPageBreak/>
        <w:t>preferable to those achieved at the conclusion of a fully litigated proceeding.  In addition, a full settlement of all the issues in a proceeding eliminates the time, effort and expense that otherwise would have been used in litigating the proceeding, while a partial settlement may significantly reduce the time, effort and expense of litigating a case.</w:t>
      </w:r>
      <w:r>
        <w:rPr>
          <w:sz w:val="26"/>
          <w:szCs w:val="26"/>
        </w:rPr>
        <w:t xml:space="preserve">  Regulatory proceedings</w:t>
      </w:r>
      <w:r w:rsidRPr="00C74A86">
        <w:rPr>
          <w:sz w:val="26"/>
          <w:szCs w:val="26"/>
        </w:rPr>
        <w:t xml:space="preserve"> often are expensive to litigate, and the reasonable cost of such litigation is an operating expense recoverable in the rates approved by the Commission.  Partial or full settlements allow the parties to avoid the substantial costs of preparing and serving testimony, cross-examining witnesses in lengthy hearings, and preparing and serving briefs, reply briefs, exceptions and reply exceptions, together with the briefs and reply briefs necessitated by any appeal of the Commission’s decision, yielding significant expense savings for the company’s customers.  For this and other sound reasons, settlements are encouraged by long-standing Commission policy.</w:t>
      </w:r>
    </w:p>
    <w:p w:rsidR="0084091E" w:rsidRPr="00C74A86" w:rsidRDefault="0084091E" w:rsidP="0084091E">
      <w:pPr>
        <w:suppressAutoHyphens/>
        <w:spacing w:line="360" w:lineRule="auto"/>
        <w:rPr>
          <w:sz w:val="26"/>
          <w:szCs w:val="26"/>
        </w:rPr>
      </w:pPr>
    </w:p>
    <w:p w:rsidR="0084091E" w:rsidRPr="00C74A86" w:rsidRDefault="0084091E" w:rsidP="0084091E">
      <w:pPr>
        <w:spacing w:line="360" w:lineRule="auto"/>
        <w:ind w:firstLine="1440"/>
        <w:rPr>
          <w:sz w:val="26"/>
          <w:szCs w:val="26"/>
        </w:rPr>
      </w:pPr>
      <w:r w:rsidRPr="00C74A86">
        <w:rPr>
          <w:sz w:val="26"/>
          <w:szCs w:val="26"/>
        </w:rPr>
        <w:t xml:space="preserve">The Commission must, however, review proposed settlements to determine whether the terms are in the public interest.  </w:t>
      </w:r>
      <w:r w:rsidRPr="00C74A86">
        <w:rPr>
          <w:i/>
          <w:sz w:val="26"/>
          <w:szCs w:val="26"/>
        </w:rPr>
        <w:t>Pa. PUC v. Philadelphia Gas Works</w:t>
      </w:r>
      <w:r w:rsidRPr="00C74A86">
        <w:rPr>
          <w:sz w:val="26"/>
          <w:szCs w:val="26"/>
        </w:rPr>
        <w:t xml:space="preserve">, Docket No. M-00031768 (Order entered January 7, 2004); </w:t>
      </w:r>
      <w:r w:rsidRPr="00C74A86">
        <w:rPr>
          <w:i/>
          <w:sz w:val="26"/>
          <w:szCs w:val="26"/>
        </w:rPr>
        <w:t>Pa. PUC v. C.S. Water and Sewer Assoc.</w:t>
      </w:r>
      <w:r w:rsidRPr="00C74A86">
        <w:rPr>
          <w:sz w:val="26"/>
          <w:szCs w:val="26"/>
        </w:rPr>
        <w:t xml:space="preserve">, 74 Pa. P.U.C. 767 (1991); </w:t>
      </w:r>
      <w:r w:rsidRPr="00C74A86">
        <w:rPr>
          <w:i/>
          <w:sz w:val="26"/>
          <w:szCs w:val="26"/>
        </w:rPr>
        <w:t>Pa. PUC v. Philadelphia Electric Co.</w:t>
      </w:r>
      <w:r w:rsidRPr="00C74A86">
        <w:rPr>
          <w:sz w:val="26"/>
          <w:szCs w:val="26"/>
        </w:rPr>
        <w:t xml:space="preserve">, 60 Pa. P.U.C. 1 (1985).  In order to accept a settlement such as that proposed here, the Commission must determine that the proposed terms and conditions are in the public interest.  </w:t>
      </w:r>
      <w:r w:rsidRPr="00C74A86">
        <w:rPr>
          <w:i/>
          <w:sz w:val="26"/>
          <w:szCs w:val="26"/>
        </w:rPr>
        <w:t>Pa. PUC v. York Water Co.</w:t>
      </w:r>
      <w:r w:rsidRPr="00C74A86">
        <w:rPr>
          <w:sz w:val="26"/>
          <w:szCs w:val="26"/>
        </w:rPr>
        <w:t xml:space="preserve">, Docket No. R-00049165 (Order entered October 4, 2004); </w:t>
      </w:r>
      <w:r w:rsidRPr="00C74A86">
        <w:rPr>
          <w:i/>
          <w:sz w:val="26"/>
          <w:szCs w:val="26"/>
        </w:rPr>
        <w:t>Pa. PUC v. C.S. Water and Sewer Assoc.</w:t>
      </w:r>
      <w:r w:rsidRPr="00C74A86">
        <w:rPr>
          <w:sz w:val="26"/>
          <w:szCs w:val="26"/>
        </w:rPr>
        <w:t xml:space="preserve">, </w:t>
      </w:r>
      <w:r w:rsidRPr="00C74A86">
        <w:rPr>
          <w:i/>
          <w:sz w:val="26"/>
          <w:szCs w:val="26"/>
        </w:rPr>
        <w:t>supra</w:t>
      </w:r>
      <w:r w:rsidRPr="00C74A86">
        <w:rPr>
          <w:sz w:val="26"/>
          <w:szCs w:val="26"/>
        </w:rPr>
        <w:t>.</w:t>
      </w:r>
    </w:p>
    <w:p w:rsidR="0084091E" w:rsidRPr="00C74A86" w:rsidRDefault="0084091E" w:rsidP="0084091E">
      <w:pPr>
        <w:tabs>
          <w:tab w:val="left" w:pos="-720"/>
        </w:tabs>
        <w:suppressAutoHyphens/>
        <w:spacing w:line="360" w:lineRule="auto"/>
        <w:rPr>
          <w:b/>
          <w:spacing w:val="-3"/>
          <w:sz w:val="26"/>
          <w:szCs w:val="26"/>
        </w:rPr>
      </w:pPr>
    </w:p>
    <w:p w:rsidR="0084091E" w:rsidRDefault="0084091E" w:rsidP="0084091E">
      <w:pPr>
        <w:tabs>
          <w:tab w:val="left" w:pos="-720"/>
        </w:tabs>
        <w:suppressAutoHyphens/>
        <w:spacing w:line="360" w:lineRule="auto"/>
        <w:rPr>
          <w:b/>
          <w:spacing w:val="-3"/>
          <w:sz w:val="26"/>
          <w:szCs w:val="26"/>
        </w:rPr>
      </w:pPr>
      <w:r>
        <w:rPr>
          <w:b/>
          <w:spacing w:val="-3"/>
          <w:sz w:val="26"/>
          <w:szCs w:val="26"/>
        </w:rPr>
        <w:tab/>
        <w:t>B.</w:t>
      </w:r>
      <w:r>
        <w:rPr>
          <w:b/>
          <w:spacing w:val="-3"/>
          <w:sz w:val="26"/>
          <w:szCs w:val="26"/>
        </w:rPr>
        <w:tab/>
        <w:t>Joint Petition for Approval of Full Settlement</w:t>
      </w:r>
    </w:p>
    <w:p w:rsidR="0084091E" w:rsidRDefault="0084091E" w:rsidP="0084091E">
      <w:pPr>
        <w:tabs>
          <w:tab w:val="left" w:pos="-720"/>
        </w:tabs>
        <w:suppressAutoHyphens/>
        <w:spacing w:line="360" w:lineRule="auto"/>
        <w:rPr>
          <w:b/>
          <w:spacing w:val="-3"/>
          <w:sz w:val="26"/>
          <w:szCs w:val="26"/>
        </w:rPr>
      </w:pPr>
    </w:p>
    <w:p w:rsidR="0084091E" w:rsidRDefault="0084091E" w:rsidP="0084091E">
      <w:pPr>
        <w:tabs>
          <w:tab w:val="left" w:pos="-720"/>
        </w:tabs>
        <w:suppressAutoHyphens/>
        <w:spacing w:line="360" w:lineRule="auto"/>
        <w:rPr>
          <w:b/>
          <w:spacing w:val="-3"/>
          <w:sz w:val="26"/>
          <w:szCs w:val="26"/>
        </w:rPr>
      </w:pPr>
      <w:r>
        <w:rPr>
          <w:b/>
          <w:spacing w:val="-3"/>
          <w:sz w:val="26"/>
          <w:szCs w:val="26"/>
        </w:rPr>
        <w:tab/>
      </w:r>
      <w:r>
        <w:rPr>
          <w:b/>
          <w:spacing w:val="-3"/>
          <w:sz w:val="26"/>
          <w:szCs w:val="26"/>
        </w:rPr>
        <w:tab/>
        <w:t>1.</w:t>
      </w:r>
      <w:r>
        <w:rPr>
          <w:b/>
          <w:spacing w:val="-3"/>
          <w:sz w:val="26"/>
          <w:szCs w:val="26"/>
        </w:rPr>
        <w:tab/>
        <w:t>Introduction</w:t>
      </w:r>
      <w:r w:rsidR="00396376">
        <w:rPr>
          <w:b/>
          <w:spacing w:val="-3"/>
          <w:sz w:val="26"/>
          <w:szCs w:val="26"/>
        </w:rPr>
        <w:t xml:space="preserve">  </w:t>
      </w:r>
    </w:p>
    <w:p w:rsidR="006D4715" w:rsidRDefault="006D4715" w:rsidP="0084091E">
      <w:pPr>
        <w:tabs>
          <w:tab w:val="left" w:pos="-720"/>
        </w:tabs>
        <w:suppressAutoHyphens/>
        <w:spacing w:line="360" w:lineRule="auto"/>
        <w:rPr>
          <w:b/>
          <w:spacing w:val="-3"/>
          <w:sz w:val="26"/>
          <w:szCs w:val="26"/>
        </w:rPr>
      </w:pPr>
    </w:p>
    <w:p w:rsidR="006D4715" w:rsidRDefault="006D4715" w:rsidP="006D4715">
      <w:pPr>
        <w:tabs>
          <w:tab w:val="left" w:pos="-720"/>
        </w:tabs>
        <w:suppressAutoHyphens/>
        <w:spacing w:line="360" w:lineRule="auto"/>
        <w:rPr>
          <w:spacing w:val="-3"/>
          <w:sz w:val="26"/>
          <w:szCs w:val="26"/>
        </w:rPr>
      </w:pPr>
      <w:r>
        <w:rPr>
          <w:spacing w:val="-3"/>
          <w:sz w:val="26"/>
          <w:szCs w:val="26"/>
        </w:rPr>
        <w:tab/>
      </w:r>
      <w:r>
        <w:rPr>
          <w:spacing w:val="-3"/>
          <w:sz w:val="26"/>
          <w:szCs w:val="26"/>
        </w:rPr>
        <w:tab/>
      </w:r>
      <w:r w:rsidRPr="00AD1A00">
        <w:rPr>
          <w:spacing w:val="-3"/>
          <w:sz w:val="26"/>
          <w:szCs w:val="26"/>
        </w:rPr>
        <w:t xml:space="preserve">As </w:t>
      </w:r>
      <w:r>
        <w:rPr>
          <w:spacing w:val="-3"/>
          <w:sz w:val="26"/>
          <w:szCs w:val="26"/>
        </w:rPr>
        <w:t xml:space="preserve">stated previously, on March 27, 2013, the Joint Petitioners filed the Settlement.  The Joint Petitioners state that the Settlement has been agreed to, or is not opposed, by all active Parties in this proceeding, noting that </w:t>
      </w:r>
      <w:r w:rsidR="00396376">
        <w:rPr>
          <w:spacing w:val="-3"/>
          <w:sz w:val="26"/>
          <w:szCs w:val="26"/>
        </w:rPr>
        <w:t>PICGUG</w:t>
      </w:r>
      <w:r>
        <w:rPr>
          <w:spacing w:val="-3"/>
          <w:sz w:val="26"/>
          <w:szCs w:val="26"/>
        </w:rPr>
        <w:t xml:space="preserve"> ha</w:t>
      </w:r>
      <w:r w:rsidR="00396376">
        <w:rPr>
          <w:spacing w:val="-3"/>
          <w:sz w:val="26"/>
          <w:szCs w:val="26"/>
        </w:rPr>
        <w:t>s</w:t>
      </w:r>
      <w:r>
        <w:rPr>
          <w:spacing w:val="-3"/>
          <w:sz w:val="26"/>
          <w:szCs w:val="26"/>
        </w:rPr>
        <w:t xml:space="preserve"> indicated that </w:t>
      </w:r>
      <w:r w:rsidR="00396376">
        <w:rPr>
          <w:spacing w:val="-3"/>
          <w:sz w:val="26"/>
          <w:szCs w:val="26"/>
        </w:rPr>
        <w:t>i</w:t>
      </w:r>
      <w:r>
        <w:rPr>
          <w:spacing w:val="-3"/>
          <w:sz w:val="26"/>
          <w:szCs w:val="26"/>
        </w:rPr>
        <w:t xml:space="preserve">t </w:t>
      </w:r>
      <w:r>
        <w:rPr>
          <w:spacing w:val="-3"/>
          <w:sz w:val="26"/>
          <w:szCs w:val="26"/>
        </w:rPr>
        <w:lastRenderedPageBreak/>
        <w:t>do</w:t>
      </w:r>
      <w:r w:rsidR="00396376">
        <w:rPr>
          <w:spacing w:val="-3"/>
          <w:sz w:val="26"/>
          <w:szCs w:val="26"/>
        </w:rPr>
        <w:t>es</w:t>
      </w:r>
      <w:r>
        <w:rPr>
          <w:spacing w:val="-3"/>
          <w:sz w:val="26"/>
          <w:szCs w:val="26"/>
        </w:rPr>
        <w:t xml:space="preserve"> not oppose the Settlement.  </w:t>
      </w:r>
      <w:r w:rsidR="00396376">
        <w:rPr>
          <w:spacing w:val="-3"/>
          <w:sz w:val="26"/>
          <w:szCs w:val="26"/>
        </w:rPr>
        <w:t xml:space="preserve">Settlement at 1.  </w:t>
      </w:r>
      <w:r>
        <w:rPr>
          <w:spacing w:val="-3"/>
          <w:sz w:val="26"/>
          <w:szCs w:val="26"/>
        </w:rPr>
        <w:t xml:space="preserve">According to the Joint Petitioners, the Settlement resolves all issues in this </w:t>
      </w:r>
      <w:r w:rsidR="00323553">
        <w:rPr>
          <w:spacing w:val="-3"/>
          <w:sz w:val="26"/>
          <w:szCs w:val="26"/>
        </w:rPr>
        <w:t xml:space="preserve">gas cost procurement unbundling and uncollectible expense </w:t>
      </w:r>
      <w:r>
        <w:rPr>
          <w:spacing w:val="-3"/>
          <w:sz w:val="26"/>
          <w:szCs w:val="26"/>
        </w:rPr>
        <w:t xml:space="preserve">proceeding and </w:t>
      </w:r>
      <w:r w:rsidR="00323553">
        <w:rPr>
          <w:spacing w:val="-3"/>
          <w:sz w:val="26"/>
          <w:szCs w:val="26"/>
        </w:rPr>
        <w:t>provides for a decrease in base rates, initial GPC rates and uncollectible expense percentages needed to calculate the quarterly MFC</w:t>
      </w:r>
      <w:r>
        <w:rPr>
          <w:spacing w:val="-3"/>
          <w:sz w:val="26"/>
          <w:szCs w:val="26"/>
        </w:rPr>
        <w:t xml:space="preserve">.  </w:t>
      </w:r>
      <w:r w:rsidR="00323553">
        <w:rPr>
          <w:i/>
          <w:spacing w:val="-3"/>
          <w:sz w:val="26"/>
          <w:szCs w:val="26"/>
        </w:rPr>
        <w:t>Id</w:t>
      </w:r>
      <w:r>
        <w:rPr>
          <w:spacing w:val="-3"/>
          <w:sz w:val="26"/>
          <w:szCs w:val="26"/>
        </w:rPr>
        <w:t xml:space="preserve">.  The Settlement provides for the approval of </w:t>
      </w:r>
      <w:r w:rsidR="00610C68">
        <w:rPr>
          <w:spacing w:val="-3"/>
          <w:sz w:val="26"/>
          <w:szCs w:val="26"/>
        </w:rPr>
        <w:t>PGW</w:t>
      </w:r>
      <w:r>
        <w:rPr>
          <w:spacing w:val="-3"/>
          <w:sz w:val="26"/>
          <w:szCs w:val="26"/>
        </w:rPr>
        <w:t xml:space="preserve">’s </w:t>
      </w:r>
      <w:r w:rsidR="00610C68">
        <w:rPr>
          <w:spacing w:val="-3"/>
          <w:sz w:val="26"/>
          <w:szCs w:val="26"/>
        </w:rPr>
        <w:t>unbundling filing</w:t>
      </w:r>
      <w:r>
        <w:rPr>
          <w:spacing w:val="-3"/>
          <w:sz w:val="26"/>
          <w:szCs w:val="26"/>
        </w:rPr>
        <w:t xml:space="preserve"> with certain </w:t>
      </w:r>
      <w:r w:rsidR="00610C68">
        <w:rPr>
          <w:spacing w:val="-3"/>
          <w:sz w:val="26"/>
          <w:szCs w:val="26"/>
        </w:rPr>
        <w:t xml:space="preserve">revisions and/or </w:t>
      </w:r>
      <w:r>
        <w:rPr>
          <w:spacing w:val="-3"/>
          <w:sz w:val="26"/>
          <w:szCs w:val="26"/>
        </w:rPr>
        <w:t xml:space="preserve">clarifications that </w:t>
      </w:r>
      <w:r w:rsidR="00610C68">
        <w:rPr>
          <w:spacing w:val="-3"/>
          <w:sz w:val="26"/>
          <w:szCs w:val="26"/>
        </w:rPr>
        <w:t xml:space="preserve">sets the amount of procurement, accounting, legal and management labor and benefit costs associated with gas procurement activities.  The Settlement further </w:t>
      </w:r>
      <w:r>
        <w:rPr>
          <w:spacing w:val="-3"/>
          <w:sz w:val="26"/>
          <w:szCs w:val="26"/>
        </w:rPr>
        <w:t>provide</w:t>
      </w:r>
      <w:r w:rsidR="00610C68">
        <w:rPr>
          <w:spacing w:val="-3"/>
          <w:sz w:val="26"/>
          <w:szCs w:val="26"/>
        </w:rPr>
        <w:t>s</w:t>
      </w:r>
      <w:r>
        <w:rPr>
          <w:spacing w:val="-3"/>
          <w:sz w:val="26"/>
          <w:szCs w:val="26"/>
        </w:rPr>
        <w:t xml:space="preserve"> for </w:t>
      </w:r>
      <w:r w:rsidR="00610C68">
        <w:rPr>
          <w:spacing w:val="-3"/>
          <w:sz w:val="26"/>
          <w:szCs w:val="26"/>
        </w:rPr>
        <w:t>incorporation of the GPC and the MFC into the Commodity Charge on PGW’s bill effec</w:t>
      </w:r>
      <w:r w:rsidR="00D665E8">
        <w:rPr>
          <w:spacing w:val="-3"/>
          <w:sz w:val="26"/>
          <w:szCs w:val="26"/>
        </w:rPr>
        <w:t>tive for service September 1, 2</w:t>
      </w:r>
      <w:r w:rsidR="00610C68">
        <w:rPr>
          <w:spacing w:val="-3"/>
          <w:sz w:val="26"/>
          <w:szCs w:val="26"/>
        </w:rPr>
        <w:t xml:space="preserve">013.  </w:t>
      </w:r>
      <w:r w:rsidR="00A43844">
        <w:rPr>
          <w:i/>
          <w:spacing w:val="-3"/>
          <w:sz w:val="26"/>
          <w:szCs w:val="26"/>
        </w:rPr>
        <w:t>Id.</w:t>
      </w:r>
      <w:r w:rsidR="00A43844">
        <w:rPr>
          <w:spacing w:val="-3"/>
          <w:sz w:val="26"/>
          <w:szCs w:val="26"/>
        </w:rPr>
        <w:t>at 3.</w:t>
      </w:r>
    </w:p>
    <w:p w:rsidR="00DA348F" w:rsidRDefault="00DA348F" w:rsidP="006D4715">
      <w:pPr>
        <w:tabs>
          <w:tab w:val="left" w:pos="-720"/>
        </w:tabs>
        <w:suppressAutoHyphens/>
        <w:spacing w:line="360" w:lineRule="auto"/>
        <w:rPr>
          <w:spacing w:val="-3"/>
          <w:sz w:val="26"/>
          <w:szCs w:val="26"/>
        </w:rPr>
      </w:pPr>
    </w:p>
    <w:p w:rsidR="00DA348F" w:rsidRDefault="00DA348F" w:rsidP="006D4715">
      <w:pPr>
        <w:tabs>
          <w:tab w:val="left" w:pos="-720"/>
        </w:tabs>
        <w:suppressAutoHyphens/>
        <w:spacing w:line="360" w:lineRule="auto"/>
        <w:rPr>
          <w:b/>
          <w:spacing w:val="-3"/>
          <w:sz w:val="26"/>
          <w:szCs w:val="26"/>
        </w:rPr>
      </w:pPr>
      <w:r>
        <w:rPr>
          <w:spacing w:val="-3"/>
          <w:sz w:val="26"/>
          <w:szCs w:val="26"/>
        </w:rPr>
        <w:tab/>
      </w:r>
      <w:r>
        <w:rPr>
          <w:spacing w:val="-3"/>
          <w:sz w:val="26"/>
          <w:szCs w:val="26"/>
        </w:rPr>
        <w:tab/>
      </w:r>
      <w:r>
        <w:rPr>
          <w:b/>
          <w:spacing w:val="-3"/>
          <w:sz w:val="26"/>
          <w:szCs w:val="26"/>
        </w:rPr>
        <w:t>2.</w:t>
      </w:r>
      <w:r>
        <w:rPr>
          <w:b/>
          <w:spacing w:val="-3"/>
          <w:sz w:val="26"/>
          <w:szCs w:val="26"/>
        </w:rPr>
        <w:tab/>
        <w:t>Terms and Conditions of the Settlement</w:t>
      </w:r>
    </w:p>
    <w:p w:rsidR="00DA348F" w:rsidRDefault="00DA348F" w:rsidP="006D4715">
      <w:pPr>
        <w:tabs>
          <w:tab w:val="left" w:pos="-720"/>
        </w:tabs>
        <w:suppressAutoHyphens/>
        <w:spacing w:line="360" w:lineRule="auto"/>
        <w:rPr>
          <w:b/>
          <w:spacing w:val="-3"/>
          <w:sz w:val="26"/>
          <w:szCs w:val="26"/>
        </w:rPr>
      </w:pPr>
    </w:p>
    <w:p w:rsidR="00DA348F" w:rsidRPr="00DA348F" w:rsidRDefault="001D1047" w:rsidP="00DA348F">
      <w:pPr>
        <w:spacing w:line="360" w:lineRule="auto"/>
        <w:ind w:firstLine="1440"/>
        <w:rPr>
          <w:sz w:val="26"/>
          <w:szCs w:val="26"/>
        </w:rPr>
      </w:pPr>
      <w:r>
        <w:rPr>
          <w:sz w:val="26"/>
          <w:szCs w:val="26"/>
        </w:rPr>
        <w:t xml:space="preserve">The Settlement consists of the Joint Petition containing the terms and conditions of the Settlement, and six appendices.  Appendix A to the Settlement is a breakdown by </w:t>
      </w:r>
      <w:r w:rsidR="00930CA5">
        <w:rPr>
          <w:sz w:val="26"/>
          <w:szCs w:val="26"/>
        </w:rPr>
        <w:t xml:space="preserve">rate </w:t>
      </w:r>
      <w:r>
        <w:rPr>
          <w:sz w:val="26"/>
          <w:szCs w:val="26"/>
        </w:rPr>
        <w:t xml:space="preserve">class of the GPC and MFC rates and Appendix B contains </w:t>
      </w:r>
      <w:r w:rsidR="00930CA5">
        <w:rPr>
          <w:sz w:val="26"/>
          <w:szCs w:val="26"/>
        </w:rPr>
        <w:t xml:space="preserve">a list of the documents </w:t>
      </w:r>
      <w:r>
        <w:rPr>
          <w:sz w:val="26"/>
          <w:szCs w:val="26"/>
        </w:rPr>
        <w:t xml:space="preserve">within the stipulated record.  Appendices C, D and E to the Settlement are the Statements in Support submitted by PGW, </w:t>
      </w:r>
      <w:r w:rsidR="00930CA5">
        <w:rPr>
          <w:sz w:val="26"/>
          <w:szCs w:val="26"/>
        </w:rPr>
        <w:t xml:space="preserve">the OCA and the OSBA, respectively.  Appendix F to the Settlement is the letter of non-opposition of PICGUG.  </w:t>
      </w:r>
    </w:p>
    <w:p w:rsidR="00DA348F" w:rsidRPr="00DA348F" w:rsidRDefault="00DA348F" w:rsidP="00DA348F">
      <w:pPr>
        <w:spacing w:line="360" w:lineRule="auto"/>
        <w:rPr>
          <w:sz w:val="26"/>
          <w:szCs w:val="26"/>
        </w:rPr>
      </w:pPr>
    </w:p>
    <w:p w:rsidR="00DA348F" w:rsidRPr="00DA348F" w:rsidRDefault="00DA348F" w:rsidP="00DA348F">
      <w:pPr>
        <w:spacing w:line="360" w:lineRule="auto"/>
        <w:rPr>
          <w:sz w:val="26"/>
          <w:szCs w:val="26"/>
        </w:rPr>
      </w:pPr>
      <w:r w:rsidRPr="00DA348F">
        <w:rPr>
          <w:sz w:val="26"/>
          <w:szCs w:val="26"/>
        </w:rPr>
        <w:tab/>
      </w:r>
      <w:r w:rsidRPr="00DA348F">
        <w:rPr>
          <w:sz w:val="26"/>
          <w:szCs w:val="26"/>
        </w:rPr>
        <w:tab/>
        <w:t xml:space="preserve">The essential terms </w:t>
      </w:r>
      <w:r w:rsidR="00930CA5">
        <w:rPr>
          <w:sz w:val="26"/>
          <w:szCs w:val="26"/>
        </w:rPr>
        <w:t xml:space="preserve">and conditions </w:t>
      </w:r>
      <w:r w:rsidRPr="00DA348F">
        <w:rPr>
          <w:sz w:val="26"/>
          <w:szCs w:val="26"/>
        </w:rPr>
        <w:t>of the Settlement are set forth in Section III of the Joint Pe</w:t>
      </w:r>
      <w:r w:rsidR="00930CA5">
        <w:rPr>
          <w:sz w:val="26"/>
          <w:szCs w:val="26"/>
        </w:rPr>
        <w:t xml:space="preserve">tition, </w:t>
      </w:r>
      <w:r w:rsidRPr="00DA348F">
        <w:rPr>
          <w:sz w:val="26"/>
          <w:szCs w:val="26"/>
        </w:rPr>
        <w:t xml:space="preserve">as follows: </w:t>
      </w:r>
    </w:p>
    <w:p w:rsidR="00DA348F" w:rsidRPr="00DA348F" w:rsidRDefault="00DA348F" w:rsidP="00DA348F">
      <w:pPr>
        <w:spacing w:line="360" w:lineRule="auto"/>
        <w:rPr>
          <w:sz w:val="26"/>
          <w:szCs w:val="26"/>
        </w:rPr>
      </w:pPr>
    </w:p>
    <w:p w:rsidR="00DA348F" w:rsidRPr="00DA348F" w:rsidRDefault="00DA348F" w:rsidP="00DA348F">
      <w:pPr>
        <w:ind w:left="1440" w:right="1440"/>
        <w:rPr>
          <w:sz w:val="26"/>
          <w:szCs w:val="26"/>
        </w:rPr>
      </w:pPr>
      <w:r w:rsidRPr="00DA348F">
        <w:rPr>
          <w:sz w:val="26"/>
          <w:szCs w:val="26"/>
        </w:rPr>
        <w:t>13.</w:t>
      </w:r>
      <w:r w:rsidRPr="00DA348F">
        <w:rPr>
          <w:sz w:val="26"/>
          <w:szCs w:val="26"/>
        </w:rPr>
        <w:tab/>
        <w:t>PGW’s unbundling filing establishing a GPC, MFC and PTC is approved as filed, with the following revisions and/or clarifications.</w:t>
      </w:r>
    </w:p>
    <w:p w:rsidR="00DA348F" w:rsidRPr="00DA348F" w:rsidRDefault="00DA348F" w:rsidP="00DA348F">
      <w:pPr>
        <w:ind w:left="1440" w:right="1440"/>
        <w:rPr>
          <w:sz w:val="26"/>
          <w:szCs w:val="26"/>
        </w:rPr>
      </w:pPr>
    </w:p>
    <w:p w:rsidR="00DA348F" w:rsidRPr="00DA348F" w:rsidRDefault="00DA348F" w:rsidP="00DA348F">
      <w:pPr>
        <w:ind w:left="1440" w:right="1440"/>
        <w:rPr>
          <w:sz w:val="26"/>
          <w:szCs w:val="26"/>
        </w:rPr>
      </w:pPr>
      <w:r w:rsidRPr="00DA348F">
        <w:rPr>
          <w:sz w:val="26"/>
          <w:szCs w:val="26"/>
        </w:rPr>
        <w:t xml:space="preserve">14. </w:t>
      </w:r>
      <w:r w:rsidRPr="00DA348F">
        <w:rPr>
          <w:sz w:val="26"/>
          <w:szCs w:val="26"/>
        </w:rPr>
        <w:tab/>
        <w:t>Procurement, accounting, legal and management labor and benefit costs associated with gas procurement activities are set at $650,000 as reflected in Appendix A.</w:t>
      </w:r>
    </w:p>
    <w:p w:rsidR="00DA348F" w:rsidRPr="00DA348F" w:rsidRDefault="00DA348F" w:rsidP="00DA348F">
      <w:pPr>
        <w:ind w:left="1440" w:right="1440"/>
        <w:rPr>
          <w:sz w:val="26"/>
          <w:szCs w:val="26"/>
        </w:rPr>
      </w:pPr>
    </w:p>
    <w:p w:rsidR="00DA348F" w:rsidRPr="00DA348F" w:rsidRDefault="00DA348F" w:rsidP="00DA348F">
      <w:pPr>
        <w:ind w:left="1440" w:right="1440"/>
        <w:rPr>
          <w:sz w:val="26"/>
          <w:szCs w:val="26"/>
        </w:rPr>
      </w:pPr>
      <w:r w:rsidRPr="00DA348F">
        <w:rPr>
          <w:sz w:val="26"/>
          <w:szCs w:val="26"/>
        </w:rPr>
        <w:t xml:space="preserve">15. </w:t>
      </w:r>
      <w:r w:rsidRPr="00DA348F">
        <w:rPr>
          <w:sz w:val="26"/>
          <w:szCs w:val="26"/>
        </w:rPr>
        <w:tab/>
        <w:t>PGW will incorporate the GPC and the MFC into the Commodity Charge on PGW’s bill.</w:t>
      </w:r>
    </w:p>
    <w:p w:rsidR="00DA348F" w:rsidRPr="00DA348F" w:rsidRDefault="00DA348F" w:rsidP="00DA348F">
      <w:pPr>
        <w:ind w:left="1440" w:right="1440"/>
        <w:rPr>
          <w:sz w:val="26"/>
          <w:szCs w:val="26"/>
        </w:rPr>
      </w:pPr>
    </w:p>
    <w:p w:rsidR="00DA348F" w:rsidRPr="00DA348F" w:rsidRDefault="00DA348F" w:rsidP="00DA348F">
      <w:pPr>
        <w:ind w:left="1440" w:right="1440"/>
        <w:rPr>
          <w:sz w:val="26"/>
          <w:szCs w:val="26"/>
        </w:rPr>
      </w:pPr>
      <w:r w:rsidRPr="00DA348F">
        <w:rPr>
          <w:sz w:val="26"/>
          <w:szCs w:val="26"/>
        </w:rPr>
        <w:t xml:space="preserve">16. </w:t>
      </w:r>
      <w:r w:rsidRPr="00DA348F">
        <w:rPr>
          <w:sz w:val="26"/>
          <w:szCs w:val="26"/>
        </w:rPr>
        <w:tab/>
        <w:t>The GPC, MFC and the PTC provisions in PGW’s tariff shall become effective for service rendered on or after September 1, 2013.</w:t>
      </w:r>
    </w:p>
    <w:p w:rsidR="00DA348F" w:rsidRPr="00DA348F" w:rsidRDefault="00DA348F" w:rsidP="00DA348F">
      <w:pPr>
        <w:ind w:left="1440" w:right="1440"/>
        <w:rPr>
          <w:sz w:val="26"/>
          <w:szCs w:val="26"/>
        </w:rPr>
      </w:pPr>
    </w:p>
    <w:p w:rsidR="00DA348F" w:rsidRDefault="00DA348F" w:rsidP="00DA348F">
      <w:pPr>
        <w:ind w:left="1440" w:right="1440"/>
        <w:rPr>
          <w:sz w:val="26"/>
          <w:szCs w:val="26"/>
        </w:rPr>
      </w:pPr>
      <w:r w:rsidRPr="00DA348F">
        <w:rPr>
          <w:sz w:val="26"/>
          <w:szCs w:val="26"/>
        </w:rPr>
        <w:t xml:space="preserve">17. </w:t>
      </w:r>
      <w:r w:rsidRPr="00DA348F">
        <w:rPr>
          <w:sz w:val="26"/>
          <w:szCs w:val="26"/>
        </w:rPr>
        <w:tab/>
        <w:t>The Settling Parties Stipulate to the admission of the filing, testimony and exhibits identified in Appendix “B” hereto.</w:t>
      </w:r>
    </w:p>
    <w:p w:rsidR="00BB27A7" w:rsidRDefault="00BB27A7" w:rsidP="00DA348F">
      <w:pPr>
        <w:ind w:left="1440" w:right="1440"/>
        <w:rPr>
          <w:sz w:val="26"/>
          <w:szCs w:val="26"/>
        </w:rPr>
      </w:pPr>
    </w:p>
    <w:p w:rsidR="00BB27A7" w:rsidRPr="00DA348F" w:rsidRDefault="00BB27A7" w:rsidP="00B20D4E">
      <w:pPr>
        <w:spacing w:line="360" w:lineRule="auto"/>
        <w:ind w:right="1440"/>
        <w:rPr>
          <w:sz w:val="26"/>
          <w:szCs w:val="26"/>
        </w:rPr>
      </w:pPr>
      <w:r>
        <w:rPr>
          <w:sz w:val="26"/>
          <w:szCs w:val="26"/>
        </w:rPr>
        <w:t>Settlement ¶</w:t>
      </w:r>
      <w:r w:rsidR="00457B71">
        <w:rPr>
          <w:sz w:val="26"/>
          <w:szCs w:val="26"/>
        </w:rPr>
        <w:t>¶ 13</w:t>
      </w:r>
      <w:r>
        <w:rPr>
          <w:sz w:val="26"/>
          <w:szCs w:val="26"/>
        </w:rPr>
        <w:t>-17 at 3-4.</w:t>
      </w:r>
    </w:p>
    <w:p w:rsidR="00DA348F" w:rsidRPr="00DA348F" w:rsidRDefault="00DA348F" w:rsidP="00DA348F">
      <w:pPr>
        <w:rPr>
          <w:sz w:val="26"/>
          <w:szCs w:val="26"/>
        </w:rPr>
      </w:pPr>
    </w:p>
    <w:p w:rsidR="00EE1C0E" w:rsidRDefault="00DA348F" w:rsidP="00DA348F">
      <w:pPr>
        <w:spacing w:line="360" w:lineRule="auto"/>
        <w:rPr>
          <w:sz w:val="26"/>
          <w:szCs w:val="26"/>
        </w:rPr>
      </w:pPr>
      <w:r w:rsidRPr="00DA348F">
        <w:rPr>
          <w:sz w:val="26"/>
          <w:szCs w:val="26"/>
        </w:rPr>
        <w:tab/>
      </w:r>
      <w:r w:rsidRPr="00DA348F">
        <w:rPr>
          <w:sz w:val="26"/>
          <w:szCs w:val="26"/>
        </w:rPr>
        <w:tab/>
      </w:r>
      <w:r w:rsidR="00EE1C0E">
        <w:rPr>
          <w:sz w:val="26"/>
          <w:szCs w:val="26"/>
        </w:rPr>
        <w:t>On the basis of these and other provisions of the Settlement, the Joint Petitioners request that the Commission approve the Company’s tariff supplement including all the terms and conditions embodies in the Joint Petition for Settlement, without modification.</w:t>
      </w:r>
    </w:p>
    <w:p w:rsidR="00676148" w:rsidRDefault="00676148" w:rsidP="00DA348F">
      <w:pPr>
        <w:spacing w:line="360" w:lineRule="auto"/>
        <w:rPr>
          <w:sz w:val="26"/>
          <w:szCs w:val="26"/>
        </w:rPr>
      </w:pPr>
    </w:p>
    <w:p w:rsidR="00676148" w:rsidRPr="00676148" w:rsidRDefault="00676148" w:rsidP="00DA348F">
      <w:pPr>
        <w:spacing w:line="360" w:lineRule="auto"/>
        <w:rPr>
          <w:b/>
          <w:sz w:val="26"/>
          <w:szCs w:val="26"/>
        </w:rPr>
      </w:pPr>
      <w:r>
        <w:rPr>
          <w:b/>
          <w:sz w:val="26"/>
          <w:szCs w:val="26"/>
        </w:rPr>
        <w:tab/>
      </w:r>
      <w:r>
        <w:rPr>
          <w:b/>
          <w:sz w:val="26"/>
          <w:szCs w:val="26"/>
        </w:rPr>
        <w:tab/>
        <w:t>3.</w:t>
      </w:r>
      <w:r>
        <w:rPr>
          <w:b/>
          <w:sz w:val="26"/>
          <w:szCs w:val="26"/>
        </w:rPr>
        <w:tab/>
        <w:t>Disposition of the Full Settlement</w:t>
      </w:r>
    </w:p>
    <w:p w:rsidR="00EE1C0E" w:rsidRDefault="00EE1C0E" w:rsidP="00DA348F">
      <w:pPr>
        <w:spacing w:line="360" w:lineRule="auto"/>
        <w:rPr>
          <w:sz w:val="26"/>
          <w:szCs w:val="26"/>
        </w:rPr>
      </w:pPr>
      <w:r>
        <w:rPr>
          <w:sz w:val="26"/>
          <w:szCs w:val="26"/>
        </w:rPr>
        <w:t xml:space="preserve"> </w:t>
      </w:r>
    </w:p>
    <w:p w:rsidR="00676148" w:rsidRDefault="00676148" w:rsidP="007D070D">
      <w:pPr>
        <w:spacing w:line="360" w:lineRule="auto"/>
        <w:ind w:firstLine="1440"/>
        <w:rPr>
          <w:sz w:val="26"/>
          <w:szCs w:val="26"/>
        </w:rPr>
      </w:pPr>
      <w:r>
        <w:rPr>
          <w:sz w:val="26"/>
          <w:szCs w:val="26"/>
        </w:rPr>
        <w:t>The Joint Petitioners assert</w:t>
      </w:r>
      <w:r w:rsidR="00DA348F" w:rsidRPr="00DA348F">
        <w:rPr>
          <w:sz w:val="26"/>
          <w:szCs w:val="26"/>
        </w:rPr>
        <w:t xml:space="preserve"> that </w:t>
      </w:r>
      <w:r>
        <w:rPr>
          <w:sz w:val="26"/>
          <w:szCs w:val="26"/>
        </w:rPr>
        <w:t xml:space="preserve">approval of the </w:t>
      </w:r>
      <w:r w:rsidR="00DA348F" w:rsidRPr="00DA348F">
        <w:rPr>
          <w:sz w:val="26"/>
          <w:szCs w:val="26"/>
        </w:rPr>
        <w:t xml:space="preserve">Settlement is </w:t>
      </w:r>
      <w:r>
        <w:rPr>
          <w:sz w:val="26"/>
          <w:szCs w:val="26"/>
        </w:rPr>
        <w:t xml:space="preserve">in the public interest because it was achieved after an extensive investigation of PGW’s filing and avoids the necessity of further administrative and potential appellate proceedings at what would have </w:t>
      </w:r>
      <w:r w:rsidR="00295D0A">
        <w:rPr>
          <w:sz w:val="26"/>
          <w:szCs w:val="26"/>
        </w:rPr>
        <w:t>been a substantial cost to the Joint P</w:t>
      </w:r>
      <w:r>
        <w:rPr>
          <w:sz w:val="26"/>
          <w:szCs w:val="26"/>
        </w:rPr>
        <w:t>etitioners and the customers of PGW.  Sett</w:t>
      </w:r>
      <w:r w:rsidR="00295D0A">
        <w:rPr>
          <w:sz w:val="26"/>
          <w:szCs w:val="26"/>
        </w:rPr>
        <w:t>le</w:t>
      </w:r>
      <w:r>
        <w:rPr>
          <w:sz w:val="26"/>
          <w:szCs w:val="26"/>
        </w:rPr>
        <w:t xml:space="preserve">ment at 4.   </w:t>
      </w:r>
    </w:p>
    <w:p w:rsidR="00676148" w:rsidRDefault="00676148" w:rsidP="007D070D">
      <w:pPr>
        <w:spacing w:line="360" w:lineRule="auto"/>
        <w:ind w:firstLine="1440"/>
        <w:rPr>
          <w:sz w:val="26"/>
          <w:szCs w:val="26"/>
        </w:rPr>
      </w:pPr>
    </w:p>
    <w:p w:rsidR="00295D0A" w:rsidRDefault="00295D0A" w:rsidP="00295D0A">
      <w:pPr>
        <w:tabs>
          <w:tab w:val="left" w:pos="-720"/>
        </w:tabs>
        <w:suppressAutoHyphens/>
        <w:spacing w:line="360" w:lineRule="auto"/>
        <w:rPr>
          <w:spacing w:val="-3"/>
          <w:sz w:val="26"/>
          <w:szCs w:val="26"/>
        </w:rPr>
      </w:pPr>
      <w:r>
        <w:rPr>
          <w:sz w:val="26"/>
          <w:szCs w:val="26"/>
        </w:rPr>
        <w:tab/>
      </w:r>
      <w:r>
        <w:rPr>
          <w:sz w:val="26"/>
          <w:szCs w:val="26"/>
        </w:rPr>
        <w:tab/>
      </w:r>
      <w:r w:rsidR="00676148">
        <w:rPr>
          <w:sz w:val="26"/>
          <w:szCs w:val="26"/>
        </w:rPr>
        <w:t xml:space="preserve">The proposed Settlement is </w:t>
      </w:r>
      <w:r w:rsidR="00DA348F" w:rsidRPr="00DA348F">
        <w:rPr>
          <w:sz w:val="26"/>
          <w:szCs w:val="26"/>
        </w:rPr>
        <w:t xml:space="preserve">conditioned upon the Commission’s approval of the terms and conditions contained in the Settlement without modification.  </w:t>
      </w:r>
      <w:r>
        <w:rPr>
          <w:spacing w:val="-3"/>
          <w:sz w:val="26"/>
          <w:szCs w:val="26"/>
        </w:rPr>
        <w:t xml:space="preserve">According to Paragraph 21 of the Settlement, in the event that the Commission modifies the Settlement, any Joint Petitioner may elect to withdraw from the Settlement and proceed with litigation.  In that event, the entire Settlement automatically shall be void and of no effect.  Paragraph 21 provides that this Settlement may be withdrawn upon written notice to the Commission and all Parties five days from the date of the entry of the Commission Order modifying the Settlement.  The Settlement is made without any admissions against, or </w:t>
      </w:r>
      <w:r>
        <w:rPr>
          <w:spacing w:val="-3"/>
          <w:sz w:val="26"/>
          <w:szCs w:val="26"/>
        </w:rPr>
        <w:lastRenderedPageBreak/>
        <w:t xml:space="preserve">prejudice to, any position that any Joint Petitioner may adopt in any future litigation.  In addition, the Joint Petitioners have agreed that the terms of the Settlement may not be cited as precedent in any future proceeding, and that the Commission’s approval of the Settlement shall not be construed to represent approval of any Joint Petitioner’s position on any issue, except as required to implement the terms and conditions of the Settlement.  The Joint Petitioners agree that the Settlement is a compromise, and does not necessarily represent the position that a Joint Petitioner would advance in a litigated proceeding.  </w:t>
      </w:r>
      <w:r>
        <w:rPr>
          <w:i/>
          <w:spacing w:val="-3"/>
          <w:sz w:val="26"/>
          <w:szCs w:val="26"/>
        </w:rPr>
        <w:t xml:space="preserve">Id. </w:t>
      </w:r>
      <w:r>
        <w:rPr>
          <w:spacing w:val="-3"/>
          <w:sz w:val="26"/>
          <w:szCs w:val="26"/>
        </w:rPr>
        <w:t>at 4-5.</w:t>
      </w:r>
    </w:p>
    <w:p w:rsidR="00295D0A" w:rsidRDefault="00295D0A" w:rsidP="00295D0A">
      <w:pPr>
        <w:tabs>
          <w:tab w:val="left" w:pos="-720"/>
        </w:tabs>
        <w:suppressAutoHyphens/>
        <w:spacing w:line="360" w:lineRule="auto"/>
        <w:rPr>
          <w:spacing w:val="-3"/>
          <w:sz w:val="26"/>
          <w:szCs w:val="26"/>
        </w:rPr>
      </w:pPr>
    </w:p>
    <w:p w:rsidR="00574787" w:rsidRDefault="000F6FAD" w:rsidP="000F6FAD">
      <w:pPr>
        <w:autoSpaceDE w:val="0"/>
        <w:autoSpaceDN w:val="0"/>
        <w:adjustRightInd w:val="0"/>
        <w:spacing w:line="360" w:lineRule="auto"/>
        <w:ind w:firstLine="1440"/>
        <w:rPr>
          <w:sz w:val="26"/>
          <w:szCs w:val="26"/>
        </w:rPr>
      </w:pPr>
      <w:r>
        <w:rPr>
          <w:spacing w:val="-3"/>
          <w:sz w:val="26"/>
          <w:szCs w:val="26"/>
        </w:rPr>
        <w:t xml:space="preserve">As stated above, all Parties to this proceeding either support, or do not </w:t>
      </w:r>
      <w:r w:rsidRPr="003F1DC1">
        <w:rPr>
          <w:spacing w:val="-3"/>
          <w:sz w:val="26"/>
          <w:szCs w:val="26"/>
        </w:rPr>
        <w:t xml:space="preserve">oppose, the terms of the Settlement.  The Settlement provides for certain modifications to the </w:t>
      </w:r>
      <w:r>
        <w:rPr>
          <w:spacing w:val="-3"/>
          <w:sz w:val="26"/>
          <w:szCs w:val="26"/>
        </w:rPr>
        <w:t xml:space="preserve">natural gas procurement cost and uncollectible expense unbundling filing </w:t>
      </w:r>
      <w:r w:rsidRPr="003F1DC1">
        <w:rPr>
          <w:spacing w:val="-3"/>
          <w:sz w:val="26"/>
          <w:szCs w:val="26"/>
        </w:rPr>
        <w:t xml:space="preserve">initially proposed by </w:t>
      </w:r>
      <w:r>
        <w:rPr>
          <w:spacing w:val="-3"/>
          <w:sz w:val="26"/>
          <w:szCs w:val="26"/>
        </w:rPr>
        <w:t>PGW</w:t>
      </w:r>
      <w:r w:rsidRPr="003F1DC1">
        <w:rPr>
          <w:spacing w:val="-3"/>
          <w:sz w:val="26"/>
          <w:szCs w:val="26"/>
        </w:rPr>
        <w:t xml:space="preserve">, and represents a compromise among the Joint Petitioners that resolves all of the issues that have been raised in this proceeding.  </w:t>
      </w:r>
      <w:r w:rsidRPr="003F1DC1">
        <w:rPr>
          <w:sz w:val="26"/>
          <w:szCs w:val="26"/>
        </w:rPr>
        <w:t xml:space="preserve">The </w:t>
      </w:r>
      <w:r>
        <w:rPr>
          <w:sz w:val="26"/>
          <w:szCs w:val="26"/>
        </w:rPr>
        <w:t>P</w:t>
      </w:r>
      <w:r w:rsidRPr="003F1DC1">
        <w:rPr>
          <w:sz w:val="26"/>
          <w:szCs w:val="26"/>
        </w:rPr>
        <w:t>arties are to be comm</w:t>
      </w:r>
      <w:r>
        <w:rPr>
          <w:sz w:val="26"/>
          <w:szCs w:val="26"/>
        </w:rPr>
        <w:t>ended for reaching an amicable S</w:t>
      </w:r>
      <w:r w:rsidRPr="003F1DC1">
        <w:rPr>
          <w:sz w:val="26"/>
          <w:szCs w:val="26"/>
        </w:rPr>
        <w:t>ettlement on such a complex filing.</w:t>
      </w:r>
    </w:p>
    <w:p w:rsidR="00574787" w:rsidRDefault="00574787" w:rsidP="000F6FAD">
      <w:pPr>
        <w:autoSpaceDE w:val="0"/>
        <w:autoSpaceDN w:val="0"/>
        <w:adjustRightInd w:val="0"/>
        <w:spacing w:line="360" w:lineRule="auto"/>
        <w:ind w:firstLine="1440"/>
        <w:rPr>
          <w:sz w:val="26"/>
          <w:szCs w:val="26"/>
        </w:rPr>
      </w:pPr>
    </w:p>
    <w:p w:rsidR="000F6FAD" w:rsidRDefault="00574787" w:rsidP="000F6FAD">
      <w:pPr>
        <w:autoSpaceDE w:val="0"/>
        <w:autoSpaceDN w:val="0"/>
        <w:adjustRightInd w:val="0"/>
        <w:spacing w:line="360" w:lineRule="auto"/>
        <w:ind w:firstLine="1440"/>
        <w:rPr>
          <w:sz w:val="26"/>
          <w:szCs w:val="26"/>
        </w:rPr>
      </w:pPr>
      <w:r>
        <w:rPr>
          <w:sz w:val="26"/>
          <w:szCs w:val="26"/>
        </w:rPr>
        <w:t>Based upon our review of the record, we conclude that the proposed Settlement is in the public interest, and we shall approve it with the exception of one issue which remains to be addressed in order for PGW’s filing to comply with our regulations.  The record demonstrates that PGW has provided sufficient evidence in support of its MFC Rider.  However, a thorough review of the record reveals that PGW has not complied with our regulations regarding its proposed GPC rate.  Specifically, Section 62.223(b)(1) of our regulations requires the following cost estimates to be included in the GPC:</w:t>
      </w:r>
      <w:r w:rsidR="000F6FAD" w:rsidRPr="003F1DC1">
        <w:rPr>
          <w:sz w:val="26"/>
          <w:szCs w:val="26"/>
        </w:rPr>
        <w:t xml:space="preserve"> </w:t>
      </w:r>
    </w:p>
    <w:p w:rsidR="00745C20" w:rsidRDefault="00745C20" w:rsidP="000F6FAD">
      <w:pPr>
        <w:autoSpaceDE w:val="0"/>
        <w:autoSpaceDN w:val="0"/>
        <w:adjustRightInd w:val="0"/>
        <w:spacing w:line="360" w:lineRule="auto"/>
        <w:ind w:firstLine="1440"/>
        <w:rPr>
          <w:sz w:val="26"/>
          <w:szCs w:val="26"/>
        </w:rPr>
      </w:pPr>
    </w:p>
    <w:p w:rsidR="00745C20" w:rsidRPr="00B63DAC" w:rsidRDefault="00745C20" w:rsidP="00745C20">
      <w:pPr>
        <w:overflowPunct w:val="0"/>
        <w:autoSpaceDE w:val="0"/>
        <w:autoSpaceDN w:val="0"/>
        <w:adjustRightInd w:val="0"/>
        <w:ind w:left="1440" w:right="1440"/>
        <w:textAlignment w:val="baseline"/>
        <w:rPr>
          <w:sz w:val="26"/>
          <w:szCs w:val="26"/>
        </w:rPr>
      </w:pPr>
      <w:r w:rsidRPr="00B63DAC">
        <w:rPr>
          <w:sz w:val="26"/>
          <w:szCs w:val="26"/>
        </w:rPr>
        <w:t>(</w:t>
      </w:r>
      <w:proofErr w:type="spellStart"/>
      <w:r w:rsidRPr="00B63DAC">
        <w:rPr>
          <w:sz w:val="26"/>
          <w:szCs w:val="26"/>
        </w:rPr>
        <w:t>i</w:t>
      </w:r>
      <w:proofErr w:type="spellEnd"/>
      <w:r>
        <w:rPr>
          <w:sz w:val="26"/>
          <w:szCs w:val="26"/>
        </w:rPr>
        <w:t xml:space="preserve">) </w:t>
      </w:r>
      <w:r w:rsidRPr="00B63DAC">
        <w:rPr>
          <w:sz w:val="26"/>
          <w:szCs w:val="26"/>
        </w:rPr>
        <w:t xml:space="preserve">Natural gas supply service, acquisition and management costs, including natural gas supply bidding, contracting, hedging, credit, risk management costs, </w:t>
      </w:r>
      <w:r w:rsidRPr="00B63DAC">
        <w:rPr>
          <w:b/>
          <w:sz w:val="26"/>
          <w:szCs w:val="26"/>
        </w:rPr>
        <w:t>and working capital</w:t>
      </w:r>
      <w:r w:rsidR="008D5720">
        <w:rPr>
          <w:sz w:val="26"/>
          <w:szCs w:val="26"/>
        </w:rPr>
        <w:t>.</w:t>
      </w:r>
    </w:p>
    <w:p w:rsidR="00745C20" w:rsidRPr="00B63DAC" w:rsidRDefault="00745C20" w:rsidP="00745C20">
      <w:pPr>
        <w:ind w:left="1800"/>
        <w:rPr>
          <w:caps/>
        </w:rPr>
      </w:pPr>
    </w:p>
    <w:p w:rsidR="00745C20" w:rsidRDefault="00745C20" w:rsidP="00745C20">
      <w:pPr>
        <w:pStyle w:val="ListParagraph"/>
        <w:overflowPunct w:val="0"/>
        <w:autoSpaceDE w:val="0"/>
        <w:autoSpaceDN w:val="0"/>
        <w:adjustRightInd w:val="0"/>
        <w:ind w:left="1440" w:right="1440"/>
        <w:textAlignment w:val="baseline"/>
        <w:rPr>
          <w:sz w:val="26"/>
          <w:szCs w:val="26"/>
        </w:rPr>
      </w:pPr>
      <w:r>
        <w:rPr>
          <w:sz w:val="26"/>
          <w:szCs w:val="26"/>
        </w:rPr>
        <w:t xml:space="preserve">(ii) </w:t>
      </w:r>
      <w:r w:rsidRPr="00644BA4">
        <w:rPr>
          <w:sz w:val="26"/>
          <w:szCs w:val="26"/>
        </w:rPr>
        <w:t xml:space="preserve">Administrative, legal, regulatory and general expenses related to those natural gas procurement activities, excluding </w:t>
      </w:r>
      <w:r w:rsidRPr="00644BA4">
        <w:rPr>
          <w:sz w:val="26"/>
          <w:szCs w:val="26"/>
        </w:rPr>
        <w:lastRenderedPageBreak/>
        <w:t>those related to the administration of firm storage and transportation capacity.</w:t>
      </w:r>
    </w:p>
    <w:p w:rsidR="00745C20" w:rsidRPr="00644BA4" w:rsidRDefault="00745C20" w:rsidP="00745C20">
      <w:pPr>
        <w:pStyle w:val="ListParagraph"/>
        <w:overflowPunct w:val="0"/>
        <w:autoSpaceDE w:val="0"/>
        <w:autoSpaceDN w:val="0"/>
        <w:adjustRightInd w:val="0"/>
        <w:spacing w:line="360" w:lineRule="auto"/>
        <w:ind w:left="1440" w:right="1440"/>
        <w:textAlignment w:val="baseline"/>
        <w:rPr>
          <w:caps/>
          <w:sz w:val="26"/>
          <w:szCs w:val="26"/>
        </w:rPr>
      </w:pPr>
    </w:p>
    <w:p w:rsidR="00745C20" w:rsidRDefault="00745C20" w:rsidP="00745C20">
      <w:pPr>
        <w:overflowPunct w:val="0"/>
        <w:autoSpaceDE w:val="0"/>
        <w:autoSpaceDN w:val="0"/>
        <w:adjustRightInd w:val="0"/>
        <w:spacing w:line="360" w:lineRule="auto"/>
        <w:contextualSpacing/>
        <w:textAlignment w:val="baseline"/>
        <w:rPr>
          <w:color w:val="000000"/>
          <w:sz w:val="26"/>
          <w:szCs w:val="26"/>
          <w:u w:color="000000"/>
        </w:rPr>
      </w:pPr>
      <w:r>
        <w:rPr>
          <w:color w:val="000000"/>
          <w:sz w:val="26"/>
          <w:szCs w:val="26"/>
          <w:u w:color="000000"/>
        </w:rPr>
        <w:t>52 Pa. Code § 62.223(b)(1) (emphasis added).</w:t>
      </w:r>
    </w:p>
    <w:p w:rsidR="00745C20" w:rsidRDefault="00745C20" w:rsidP="00745C20">
      <w:pPr>
        <w:overflowPunct w:val="0"/>
        <w:autoSpaceDE w:val="0"/>
        <w:autoSpaceDN w:val="0"/>
        <w:adjustRightInd w:val="0"/>
        <w:spacing w:line="360" w:lineRule="auto"/>
        <w:contextualSpacing/>
        <w:textAlignment w:val="baseline"/>
        <w:rPr>
          <w:color w:val="000000"/>
          <w:sz w:val="26"/>
          <w:szCs w:val="26"/>
          <w:u w:color="000000"/>
        </w:rPr>
      </w:pPr>
    </w:p>
    <w:p w:rsidR="00460F97" w:rsidRDefault="00745C20" w:rsidP="00745C20">
      <w:pPr>
        <w:overflowPunct w:val="0"/>
        <w:autoSpaceDE w:val="0"/>
        <w:autoSpaceDN w:val="0"/>
        <w:adjustRightInd w:val="0"/>
        <w:spacing w:line="360" w:lineRule="auto"/>
        <w:contextualSpacing/>
        <w:textAlignment w:val="baseline"/>
        <w:rPr>
          <w:color w:val="000000"/>
          <w:sz w:val="26"/>
          <w:szCs w:val="26"/>
          <w:u w:color="000000"/>
        </w:rPr>
      </w:pPr>
      <w:r>
        <w:rPr>
          <w:color w:val="000000"/>
          <w:sz w:val="26"/>
          <w:szCs w:val="26"/>
          <w:u w:color="000000"/>
        </w:rPr>
        <w:tab/>
      </w:r>
      <w:r>
        <w:rPr>
          <w:color w:val="000000"/>
          <w:sz w:val="26"/>
          <w:szCs w:val="26"/>
          <w:u w:color="000000"/>
        </w:rPr>
        <w:tab/>
      </w:r>
      <w:r w:rsidR="008D5720">
        <w:rPr>
          <w:color w:val="000000"/>
          <w:sz w:val="26"/>
          <w:szCs w:val="26"/>
          <w:u w:color="000000"/>
        </w:rPr>
        <w:t xml:space="preserve">The OSBA testified that the Company’s GPC proposal included no provision for working capital, despite the fact that the Commission’s regulations explicitly contemplate including such costs in the GPC.  </w:t>
      </w:r>
      <w:r w:rsidR="008D5720">
        <w:rPr>
          <w:i/>
          <w:color w:val="000000"/>
          <w:sz w:val="26"/>
          <w:szCs w:val="26"/>
          <w:u w:color="000000"/>
        </w:rPr>
        <w:t xml:space="preserve">See </w:t>
      </w:r>
      <w:r w:rsidR="008D5720">
        <w:rPr>
          <w:color w:val="000000"/>
          <w:sz w:val="26"/>
          <w:szCs w:val="26"/>
          <w:u w:color="000000"/>
        </w:rPr>
        <w:t xml:space="preserve">Appendix E, OSBA Statement in Support, at 3.  The OSBA specifically raised concerns regarding PGW’s GPC related costs, storage gas working capital (SGWC) and cash working capital (CWC), and noted that this issue will need to be reexamined. </w:t>
      </w:r>
      <w:r w:rsidR="00906B6F">
        <w:rPr>
          <w:color w:val="000000"/>
          <w:sz w:val="26"/>
          <w:szCs w:val="26"/>
          <w:u w:color="000000"/>
        </w:rPr>
        <w:t xml:space="preserve"> The OSBA concluded that PGW incurs CWC costs for its sales customers but not for its shopping customers, and further noted that PGW will incur substantially higher CWC costs for sales customers than for shopping customers.  </w:t>
      </w:r>
      <w:r w:rsidR="00906B6F">
        <w:rPr>
          <w:i/>
          <w:color w:val="000000"/>
          <w:sz w:val="26"/>
          <w:szCs w:val="26"/>
          <w:u w:color="000000"/>
        </w:rPr>
        <w:t xml:space="preserve">See </w:t>
      </w:r>
      <w:r w:rsidR="00906B6F">
        <w:rPr>
          <w:color w:val="000000"/>
          <w:sz w:val="26"/>
          <w:szCs w:val="26"/>
          <w:u w:color="000000"/>
        </w:rPr>
        <w:t xml:space="preserve">R.D. at 10.  </w:t>
      </w:r>
      <w:r w:rsidR="00460F97">
        <w:rPr>
          <w:color w:val="000000"/>
          <w:sz w:val="26"/>
          <w:szCs w:val="26"/>
          <w:u w:color="000000"/>
        </w:rPr>
        <w:t xml:space="preserve">As a result, the OSBA testified that PGW’s proposal to keep all CWC in base rates serves to over-charge shopping customers.  </w:t>
      </w:r>
      <w:r w:rsidR="00460F97">
        <w:rPr>
          <w:i/>
          <w:color w:val="000000"/>
          <w:sz w:val="26"/>
          <w:szCs w:val="26"/>
          <w:u w:color="000000"/>
        </w:rPr>
        <w:t>Id.</w:t>
      </w:r>
      <w:r w:rsidR="00460F97">
        <w:rPr>
          <w:color w:val="000000"/>
          <w:sz w:val="26"/>
          <w:szCs w:val="26"/>
          <w:u w:color="000000"/>
        </w:rPr>
        <w:t xml:space="preserve">  </w:t>
      </w:r>
    </w:p>
    <w:p w:rsidR="00460F97" w:rsidRDefault="00460F97" w:rsidP="00745C20">
      <w:pPr>
        <w:overflowPunct w:val="0"/>
        <w:autoSpaceDE w:val="0"/>
        <w:autoSpaceDN w:val="0"/>
        <w:adjustRightInd w:val="0"/>
        <w:spacing w:line="360" w:lineRule="auto"/>
        <w:contextualSpacing/>
        <w:textAlignment w:val="baseline"/>
        <w:rPr>
          <w:color w:val="000000"/>
          <w:sz w:val="26"/>
          <w:szCs w:val="26"/>
          <w:u w:color="000000"/>
        </w:rPr>
      </w:pPr>
    </w:p>
    <w:p w:rsidR="00EB53E0" w:rsidRDefault="00460F97" w:rsidP="00460F97">
      <w:pPr>
        <w:overflowPunct w:val="0"/>
        <w:autoSpaceDE w:val="0"/>
        <w:autoSpaceDN w:val="0"/>
        <w:adjustRightInd w:val="0"/>
        <w:spacing w:line="360" w:lineRule="auto"/>
        <w:ind w:firstLine="1440"/>
        <w:contextualSpacing/>
        <w:textAlignment w:val="baseline"/>
        <w:rPr>
          <w:color w:val="000000"/>
          <w:sz w:val="26"/>
          <w:szCs w:val="26"/>
          <w:u w:color="000000"/>
        </w:rPr>
      </w:pPr>
      <w:r>
        <w:rPr>
          <w:color w:val="000000"/>
          <w:sz w:val="26"/>
          <w:szCs w:val="26"/>
          <w:u w:color="000000"/>
        </w:rPr>
        <w:t>PGW does not dispute the OSBA’s assertions, yet argues that it will begin to incur CWC for shopping customers when a purchase of receivables (POR) mechanism goes into place.  However, PGW does not currently have a POR program in place.  The OSBA ultimately dropped its objection because: (1) the adjustments were revenue neutral, an increase in the PTC is essentially offset by a decrease in base rates</w:t>
      </w:r>
      <w:r w:rsidR="00252F46">
        <w:rPr>
          <w:color w:val="000000"/>
          <w:sz w:val="26"/>
          <w:szCs w:val="26"/>
          <w:u w:color="000000"/>
        </w:rPr>
        <w:t>, and (2) natural gas suppliers did not participate in this proceeding, so the issue must have been deemed to be insignificant to them.</w:t>
      </w:r>
    </w:p>
    <w:p w:rsidR="00EB53E0" w:rsidRDefault="00EB53E0" w:rsidP="00460F97">
      <w:pPr>
        <w:overflowPunct w:val="0"/>
        <w:autoSpaceDE w:val="0"/>
        <w:autoSpaceDN w:val="0"/>
        <w:adjustRightInd w:val="0"/>
        <w:spacing w:line="360" w:lineRule="auto"/>
        <w:ind w:firstLine="1440"/>
        <w:contextualSpacing/>
        <w:textAlignment w:val="baseline"/>
        <w:rPr>
          <w:color w:val="000000"/>
          <w:sz w:val="26"/>
          <w:szCs w:val="26"/>
          <w:u w:color="000000"/>
        </w:rPr>
      </w:pPr>
    </w:p>
    <w:p w:rsidR="00745C20" w:rsidRDefault="00EB53E0" w:rsidP="00460F97">
      <w:pPr>
        <w:overflowPunct w:val="0"/>
        <w:autoSpaceDE w:val="0"/>
        <w:autoSpaceDN w:val="0"/>
        <w:adjustRightInd w:val="0"/>
        <w:spacing w:line="360" w:lineRule="auto"/>
        <w:ind w:firstLine="1440"/>
        <w:contextualSpacing/>
        <w:textAlignment w:val="baseline"/>
        <w:rPr>
          <w:color w:val="000000"/>
          <w:sz w:val="26"/>
          <w:szCs w:val="26"/>
          <w:u w:color="000000"/>
        </w:rPr>
      </w:pPr>
      <w:r>
        <w:rPr>
          <w:color w:val="000000"/>
          <w:sz w:val="26"/>
          <w:szCs w:val="26"/>
          <w:u w:color="000000"/>
        </w:rPr>
        <w:t xml:space="preserve">We conclude that PGW’s explanations and the OSBA’s reasons for acquiescence fail to justify the </w:t>
      </w:r>
      <w:r w:rsidR="00B91BE8">
        <w:rPr>
          <w:color w:val="000000"/>
          <w:sz w:val="26"/>
          <w:szCs w:val="26"/>
          <w:u w:color="000000"/>
        </w:rPr>
        <w:t xml:space="preserve">noncompliance </w:t>
      </w:r>
      <w:r>
        <w:rPr>
          <w:color w:val="000000"/>
          <w:sz w:val="26"/>
          <w:szCs w:val="26"/>
          <w:u w:color="000000"/>
        </w:rPr>
        <w:t>with our regulations, which require the removal of these costs from base rates.</w:t>
      </w:r>
      <w:r w:rsidR="00423B21">
        <w:rPr>
          <w:color w:val="000000"/>
          <w:sz w:val="26"/>
          <w:szCs w:val="26"/>
          <w:u w:color="000000"/>
        </w:rPr>
        <w:t xml:space="preserve">  </w:t>
      </w:r>
      <w:r w:rsidR="00745C20">
        <w:rPr>
          <w:color w:val="000000"/>
          <w:sz w:val="26"/>
          <w:szCs w:val="26"/>
          <w:u w:color="000000"/>
        </w:rPr>
        <w:t>Accordingly, we will direct that, within twenty days of the entry da</w:t>
      </w:r>
      <w:r w:rsidR="00423B21">
        <w:rPr>
          <w:color w:val="000000"/>
          <w:sz w:val="26"/>
          <w:szCs w:val="26"/>
          <w:u w:color="000000"/>
        </w:rPr>
        <w:t>te of this Opinion and Order, PGW</w:t>
      </w:r>
      <w:r w:rsidR="00745C20">
        <w:rPr>
          <w:color w:val="000000"/>
          <w:sz w:val="26"/>
          <w:szCs w:val="26"/>
          <w:u w:color="000000"/>
        </w:rPr>
        <w:t xml:space="preserve"> shall submit a compliance filing removing the estimated costs for </w:t>
      </w:r>
      <w:r w:rsidR="00423B21">
        <w:rPr>
          <w:color w:val="000000"/>
          <w:sz w:val="26"/>
          <w:szCs w:val="26"/>
          <w:u w:color="000000"/>
        </w:rPr>
        <w:t xml:space="preserve">PGW’s </w:t>
      </w:r>
      <w:r w:rsidR="00B91BE8">
        <w:rPr>
          <w:color w:val="000000"/>
          <w:sz w:val="26"/>
          <w:szCs w:val="26"/>
          <w:u w:color="000000"/>
        </w:rPr>
        <w:t>SGWC</w:t>
      </w:r>
      <w:r w:rsidR="00423B21">
        <w:rPr>
          <w:color w:val="000000"/>
          <w:sz w:val="26"/>
          <w:szCs w:val="26"/>
          <w:u w:color="000000"/>
        </w:rPr>
        <w:t xml:space="preserve"> and </w:t>
      </w:r>
      <w:r w:rsidR="00B91BE8">
        <w:rPr>
          <w:color w:val="000000"/>
          <w:sz w:val="26"/>
          <w:szCs w:val="26"/>
          <w:u w:color="000000"/>
        </w:rPr>
        <w:t xml:space="preserve">CWC </w:t>
      </w:r>
      <w:r w:rsidR="00745C20">
        <w:rPr>
          <w:color w:val="000000"/>
          <w:sz w:val="26"/>
          <w:szCs w:val="26"/>
          <w:u w:color="000000"/>
        </w:rPr>
        <w:t xml:space="preserve">from base rates, and shall file </w:t>
      </w:r>
      <w:r w:rsidR="00745C20">
        <w:rPr>
          <w:color w:val="000000"/>
          <w:sz w:val="26"/>
          <w:szCs w:val="26"/>
          <w:u w:color="000000"/>
        </w:rPr>
        <w:lastRenderedPageBreak/>
        <w:t>a revised GPC and revised distribution rates reflecting this removal of the estimated working capital costs from base rates, and the incorporation of such costs in</w:t>
      </w:r>
      <w:r w:rsidR="00D4077A">
        <w:rPr>
          <w:color w:val="000000"/>
          <w:sz w:val="26"/>
          <w:szCs w:val="26"/>
          <w:u w:color="000000"/>
        </w:rPr>
        <w:t>to</w:t>
      </w:r>
      <w:r w:rsidR="00745C20">
        <w:rPr>
          <w:color w:val="000000"/>
          <w:sz w:val="26"/>
          <w:szCs w:val="26"/>
          <w:u w:color="000000"/>
        </w:rPr>
        <w:t xml:space="preserve"> the GPC.</w:t>
      </w:r>
    </w:p>
    <w:p w:rsidR="00745C20" w:rsidRDefault="00745C20" w:rsidP="00745C20">
      <w:pPr>
        <w:overflowPunct w:val="0"/>
        <w:autoSpaceDE w:val="0"/>
        <w:autoSpaceDN w:val="0"/>
        <w:adjustRightInd w:val="0"/>
        <w:spacing w:line="360" w:lineRule="auto"/>
        <w:contextualSpacing/>
        <w:textAlignment w:val="baseline"/>
        <w:rPr>
          <w:color w:val="000000"/>
          <w:sz w:val="26"/>
          <w:szCs w:val="26"/>
          <w:u w:color="000000"/>
        </w:rPr>
      </w:pPr>
    </w:p>
    <w:p w:rsidR="00745C20" w:rsidRDefault="00745C20" w:rsidP="00745C20">
      <w:pPr>
        <w:overflowPunct w:val="0"/>
        <w:autoSpaceDE w:val="0"/>
        <w:autoSpaceDN w:val="0"/>
        <w:adjustRightInd w:val="0"/>
        <w:spacing w:line="360" w:lineRule="auto"/>
        <w:contextualSpacing/>
        <w:textAlignment w:val="baseline"/>
        <w:rPr>
          <w:color w:val="000000"/>
          <w:sz w:val="26"/>
          <w:szCs w:val="26"/>
          <w:u w:color="000000"/>
        </w:rPr>
      </w:pPr>
      <w:r>
        <w:rPr>
          <w:color w:val="000000"/>
          <w:sz w:val="26"/>
          <w:szCs w:val="26"/>
          <w:u w:color="000000"/>
        </w:rPr>
        <w:tab/>
      </w:r>
      <w:r>
        <w:rPr>
          <w:color w:val="000000"/>
          <w:sz w:val="26"/>
          <w:szCs w:val="26"/>
          <w:u w:color="000000"/>
        </w:rPr>
        <w:tab/>
        <w:t>In light of this modification, the Joint Petitioners may inform the Commission if they propo</w:t>
      </w:r>
      <w:r w:rsidR="00423B21">
        <w:rPr>
          <w:color w:val="000000"/>
          <w:sz w:val="26"/>
          <w:szCs w:val="26"/>
          <w:u w:color="000000"/>
        </w:rPr>
        <w:t>se to withdraw support for the s</w:t>
      </w:r>
      <w:r>
        <w:rPr>
          <w:color w:val="000000"/>
          <w:sz w:val="26"/>
          <w:szCs w:val="26"/>
          <w:u w:color="000000"/>
        </w:rPr>
        <w:t>ettlement, as set forth in the Joint Petition, within five days of the entry date of this Opinion and Order</w:t>
      </w:r>
      <w:r w:rsidR="00423B21">
        <w:rPr>
          <w:color w:val="000000"/>
          <w:sz w:val="26"/>
          <w:szCs w:val="26"/>
          <w:u w:color="000000"/>
        </w:rPr>
        <w:t>.  In addition, the Parties</w:t>
      </w:r>
      <w:r>
        <w:rPr>
          <w:color w:val="000000"/>
          <w:sz w:val="26"/>
          <w:szCs w:val="26"/>
          <w:u w:color="000000"/>
        </w:rPr>
        <w:t xml:space="preserve"> </w:t>
      </w:r>
      <w:r w:rsidR="00423B21">
        <w:rPr>
          <w:color w:val="000000"/>
          <w:sz w:val="26"/>
          <w:szCs w:val="26"/>
          <w:u w:color="000000"/>
        </w:rPr>
        <w:t>may file comments to PGW</w:t>
      </w:r>
      <w:r>
        <w:rPr>
          <w:color w:val="000000"/>
          <w:sz w:val="26"/>
          <w:szCs w:val="26"/>
          <w:u w:color="000000"/>
        </w:rPr>
        <w:t xml:space="preserve">’s </w:t>
      </w:r>
      <w:r w:rsidR="00B91BE8">
        <w:rPr>
          <w:color w:val="000000"/>
          <w:sz w:val="26"/>
          <w:szCs w:val="26"/>
          <w:u w:color="000000"/>
        </w:rPr>
        <w:t>C</w:t>
      </w:r>
      <w:r>
        <w:rPr>
          <w:color w:val="000000"/>
          <w:sz w:val="26"/>
          <w:szCs w:val="26"/>
          <w:u w:color="000000"/>
        </w:rPr>
        <w:t xml:space="preserve">ompliance </w:t>
      </w:r>
      <w:r w:rsidR="00B91BE8">
        <w:rPr>
          <w:color w:val="000000"/>
          <w:sz w:val="26"/>
          <w:szCs w:val="26"/>
          <w:u w:color="000000"/>
        </w:rPr>
        <w:t>F</w:t>
      </w:r>
      <w:r>
        <w:rPr>
          <w:color w:val="000000"/>
          <w:sz w:val="26"/>
          <w:szCs w:val="26"/>
          <w:u w:color="000000"/>
        </w:rPr>
        <w:t>iling within ten days of its filing.</w:t>
      </w:r>
      <w:r w:rsidR="00423B21">
        <w:rPr>
          <w:color w:val="000000"/>
          <w:sz w:val="26"/>
          <w:szCs w:val="26"/>
          <w:u w:color="000000"/>
        </w:rPr>
        <w:t xml:space="preserve">  Furthermore, we find that if no </w:t>
      </w:r>
      <w:r w:rsidR="00F90653">
        <w:rPr>
          <w:color w:val="000000"/>
          <w:sz w:val="26"/>
          <w:szCs w:val="26"/>
          <w:u w:color="000000"/>
        </w:rPr>
        <w:t>adverse comments to the directed modification</w:t>
      </w:r>
      <w:r w:rsidR="00423B21">
        <w:rPr>
          <w:color w:val="000000"/>
          <w:sz w:val="26"/>
          <w:szCs w:val="26"/>
          <w:u w:color="000000"/>
        </w:rPr>
        <w:t xml:space="preserve"> are filed within five days, then the Settlement, as modified by this Opinion and Order, shall become effective by operation of law.</w:t>
      </w:r>
    </w:p>
    <w:p w:rsidR="00F90653" w:rsidRPr="00805A6B" w:rsidRDefault="00F90653" w:rsidP="00745C20">
      <w:pPr>
        <w:overflowPunct w:val="0"/>
        <w:autoSpaceDE w:val="0"/>
        <w:autoSpaceDN w:val="0"/>
        <w:adjustRightInd w:val="0"/>
        <w:spacing w:line="360" w:lineRule="auto"/>
        <w:contextualSpacing/>
        <w:textAlignment w:val="baseline"/>
        <w:rPr>
          <w:color w:val="000000"/>
          <w:sz w:val="26"/>
          <w:szCs w:val="26"/>
          <w:u w:color="000000"/>
        </w:rPr>
      </w:pPr>
    </w:p>
    <w:p w:rsidR="00745C20" w:rsidRDefault="005924C3" w:rsidP="005924C3">
      <w:pPr>
        <w:spacing w:line="360" w:lineRule="auto"/>
        <w:rPr>
          <w:sz w:val="26"/>
          <w:szCs w:val="26"/>
        </w:rPr>
      </w:pPr>
      <w:r>
        <w:rPr>
          <w:b/>
          <w:sz w:val="26"/>
          <w:szCs w:val="26"/>
        </w:rPr>
        <w:t>IV.</w:t>
      </w:r>
      <w:r>
        <w:rPr>
          <w:b/>
          <w:sz w:val="26"/>
          <w:szCs w:val="26"/>
        </w:rPr>
        <w:tab/>
      </w:r>
      <w:r w:rsidR="00745C20" w:rsidRPr="00CF0182">
        <w:rPr>
          <w:b/>
          <w:sz w:val="26"/>
          <w:szCs w:val="26"/>
        </w:rPr>
        <w:t>Conclusion</w:t>
      </w:r>
    </w:p>
    <w:p w:rsidR="00745C20" w:rsidRPr="00FF22AE" w:rsidRDefault="00745C20" w:rsidP="00745C20">
      <w:pPr>
        <w:spacing w:line="360" w:lineRule="auto"/>
        <w:jc w:val="center"/>
        <w:rPr>
          <w:sz w:val="26"/>
          <w:szCs w:val="26"/>
        </w:rPr>
      </w:pPr>
    </w:p>
    <w:p w:rsidR="00745C20" w:rsidRPr="00FF22AE" w:rsidRDefault="00745C20" w:rsidP="00745C20">
      <w:pPr>
        <w:spacing w:line="360" w:lineRule="auto"/>
        <w:ind w:firstLine="1440"/>
        <w:rPr>
          <w:sz w:val="26"/>
          <w:szCs w:val="26"/>
        </w:rPr>
      </w:pPr>
      <w:r>
        <w:rPr>
          <w:sz w:val="26"/>
          <w:szCs w:val="26"/>
        </w:rPr>
        <w:t>For the reasons contained in the foregoing discussion, we shall</w:t>
      </w:r>
      <w:r w:rsidR="005924C3">
        <w:rPr>
          <w:sz w:val="26"/>
          <w:szCs w:val="26"/>
        </w:rPr>
        <w:t xml:space="preserve"> approve the ALJ’s Recommended Decision and the Joint Petition for Settlement, as modified by, and</w:t>
      </w:r>
      <w:r>
        <w:rPr>
          <w:sz w:val="26"/>
          <w:szCs w:val="26"/>
        </w:rPr>
        <w:t xml:space="preserve"> </w:t>
      </w:r>
      <w:r w:rsidR="005924C3">
        <w:rPr>
          <w:sz w:val="26"/>
          <w:szCs w:val="26"/>
        </w:rPr>
        <w:t xml:space="preserve">consistent with, this Opinion and Order.  PGW is directed to make a </w:t>
      </w:r>
      <w:r w:rsidR="00D4077A">
        <w:rPr>
          <w:sz w:val="26"/>
          <w:szCs w:val="26"/>
        </w:rPr>
        <w:t>C</w:t>
      </w:r>
      <w:r w:rsidR="005924C3">
        <w:rPr>
          <w:sz w:val="26"/>
          <w:szCs w:val="26"/>
        </w:rPr>
        <w:t xml:space="preserve">ompliance </w:t>
      </w:r>
      <w:r w:rsidR="00D4077A">
        <w:rPr>
          <w:sz w:val="26"/>
          <w:szCs w:val="26"/>
        </w:rPr>
        <w:t>F</w:t>
      </w:r>
      <w:r w:rsidR="005924C3">
        <w:rPr>
          <w:sz w:val="26"/>
          <w:szCs w:val="26"/>
        </w:rPr>
        <w:t>iling within tw</w:t>
      </w:r>
      <w:r w:rsidR="008B6481">
        <w:rPr>
          <w:sz w:val="26"/>
          <w:szCs w:val="26"/>
        </w:rPr>
        <w:t>enty days of the entry of this O</w:t>
      </w:r>
      <w:r w:rsidR="005924C3">
        <w:rPr>
          <w:sz w:val="26"/>
          <w:szCs w:val="26"/>
        </w:rPr>
        <w:t>pinion and Order, removing the estimated costs for working capital</w:t>
      </w:r>
      <w:r w:rsidR="008B6481">
        <w:rPr>
          <w:sz w:val="26"/>
          <w:szCs w:val="26"/>
        </w:rPr>
        <w:t xml:space="preserve"> </w:t>
      </w:r>
      <w:r>
        <w:rPr>
          <w:sz w:val="26"/>
          <w:szCs w:val="26"/>
        </w:rPr>
        <w:t xml:space="preserve">and </w:t>
      </w:r>
      <w:r w:rsidR="008B6481">
        <w:rPr>
          <w:sz w:val="26"/>
          <w:szCs w:val="26"/>
        </w:rPr>
        <w:t>providing revised GPC and distribution rates</w:t>
      </w:r>
      <w:r w:rsidRPr="00FF22AE">
        <w:rPr>
          <w:sz w:val="26"/>
          <w:szCs w:val="26"/>
        </w:rPr>
        <w:t xml:space="preserve">; </w:t>
      </w:r>
      <w:r w:rsidRPr="00DA57A9">
        <w:rPr>
          <w:b/>
          <w:sz w:val="26"/>
          <w:szCs w:val="26"/>
        </w:rPr>
        <w:t>THER</w:t>
      </w:r>
      <w:r w:rsidRPr="00FF22AE">
        <w:rPr>
          <w:b/>
          <w:sz w:val="26"/>
          <w:szCs w:val="26"/>
        </w:rPr>
        <w:t>EFORE</w:t>
      </w:r>
      <w:r w:rsidRPr="00FF22AE">
        <w:rPr>
          <w:sz w:val="26"/>
          <w:szCs w:val="26"/>
        </w:rPr>
        <w:t>,</w:t>
      </w:r>
    </w:p>
    <w:p w:rsidR="00745C20" w:rsidRPr="00FF22AE" w:rsidRDefault="00745C20" w:rsidP="00745C20">
      <w:pPr>
        <w:spacing w:line="360" w:lineRule="auto"/>
        <w:rPr>
          <w:b/>
          <w:sz w:val="26"/>
          <w:szCs w:val="26"/>
        </w:rPr>
      </w:pPr>
    </w:p>
    <w:p w:rsidR="00745C20" w:rsidRPr="00FF22AE" w:rsidRDefault="00745C20" w:rsidP="00745C20">
      <w:pPr>
        <w:keepNext/>
        <w:spacing w:line="360" w:lineRule="auto"/>
        <w:ind w:firstLine="1440"/>
        <w:rPr>
          <w:b/>
          <w:sz w:val="26"/>
          <w:szCs w:val="26"/>
        </w:rPr>
      </w:pPr>
      <w:r w:rsidRPr="00FF22AE">
        <w:rPr>
          <w:b/>
          <w:sz w:val="26"/>
          <w:szCs w:val="26"/>
        </w:rPr>
        <w:t>IT IS ORDERED:</w:t>
      </w:r>
    </w:p>
    <w:p w:rsidR="00745C20" w:rsidRPr="00315A9C" w:rsidRDefault="00745C20" w:rsidP="00745C20">
      <w:pPr>
        <w:keepNext/>
        <w:spacing w:line="360" w:lineRule="auto"/>
        <w:rPr>
          <w:sz w:val="26"/>
          <w:szCs w:val="26"/>
        </w:rPr>
      </w:pPr>
    </w:p>
    <w:p w:rsidR="00745C20" w:rsidRPr="00315A9C" w:rsidRDefault="00745C20" w:rsidP="00745C20">
      <w:pPr>
        <w:keepNext/>
        <w:spacing w:line="360" w:lineRule="auto"/>
        <w:ind w:firstLine="1440"/>
        <w:rPr>
          <w:sz w:val="26"/>
          <w:szCs w:val="26"/>
        </w:rPr>
      </w:pPr>
      <w:r>
        <w:rPr>
          <w:sz w:val="26"/>
          <w:szCs w:val="26"/>
        </w:rPr>
        <w:t>1.</w:t>
      </w:r>
      <w:r>
        <w:rPr>
          <w:sz w:val="26"/>
          <w:szCs w:val="26"/>
        </w:rPr>
        <w:tab/>
      </w:r>
      <w:r w:rsidRPr="00315A9C">
        <w:rPr>
          <w:sz w:val="26"/>
          <w:szCs w:val="26"/>
        </w:rPr>
        <w:t>That the Recommended Decision of Admin</w:t>
      </w:r>
      <w:r w:rsidR="008B6481">
        <w:rPr>
          <w:sz w:val="26"/>
          <w:szCs w:val="26"/>
        </w:rPr>
        <w:t>istrative Law Judge Christopher P. Pell</w:t>
      </w:r>
      <w:r w:rsidRPr="00315A9C">
        <w:rPr>
          <w:sz w:val="26"/>
          <w:szCs w:val="26"/>
        </w:rPr>
        <w:t xml:space="preserve"> is </w:t>
      </w:r>
      <w:r w:rsidR="00D4077A">
        <w:rPr>
          <w:sz w:val="26"/>
          <w:szCs w:val="26"/>
        </w:rPr>
        <w:t xml:space="preserve">adopted as </w:t>
      </w:r>
      <w:r w:rsidRPr="00315A9C">
        <w:rPr>
          <w:sz w:val="26"/>
          <w:szCs w:val="26"/>
        </w:rPr>
        <w:t>modified, consistent with this Opinion and Order.</w:t>
      </w:r>
    </w:p>
    <w:p w:rsidR="00745C20" w:rsidRPr="00315A9C" w:rsidRDefault="00745C20" w:rsidP="00745C20">
      <w:pPr>
        <w:ind w:firstLine="1440"/>
        <w:rPr>
          <w:sz w:val="26"/>
          <w:szCs w:val="26"/>
        </w:rPr>
      </w:pPr>
    </w:p>
    <w:p w:rsidR="00745C20" w:rsidRPr="00315A9C" w:rsidRDefault="00745C20" w:rsidP="00745C20">
      <w:pPr>
        <w:spacing w:line="360" w:lineRule="auto"/>
        <w:ind w:firstLine="1440"/>
        <w:rPr>
          <w:sz w:val="26"/>
          <w:szCs w:val="26"/>
        </w:rPr>
      </w:pPr>
      <w:r w:rsidRPr="00315A9C">
        <w:rPr>
          <w:sz w:val="26"/>
          <w:szCs w:val="26"/>
        </w:rPr>
        <w:t>2.</w:t>
      </w:r>
      <w:r w:rsidRPr="00315A9C">
        <w:rPr>
          <w:sz w:val="26"/>
          <w:szCs w:val="26"/>
        </w:rPr>
        <w:tab/>
        <w:t>That th</w:t>
      </w:r>
      <w:r w:rsidR="008B6481">
        <w:rPr>
          <w:sz w:val="26"/>
          <w:szCs w:val="26"/>
        </w:rPr>
        <w:t>e Joint Petition for Settlement</w:t>
      </w:r>
      <w:r w:rsidRPr="00315A9C">
        <w:rPr>
          <w:sz w:val="26"/>
          <w:szCs w:val="26"/>
        </w:rPr>
        <w:t xml:space="preserve"> execut</w:t>
      </w:r>
      <w:r w:rsidR="008B6481">
        <w:rPr>
          <w:sz w:val="26"/>
          <w:szCs w:val="26"/>
        </w:rPr>
        <w:t>ed by the Philadelphia Gas Works</w:t>
      </w:r>
      <w:r w:rsidRPr="00315A9C">
        <w:rPr>
          <w:sz w:val="26"/>
          <w:szCs w:val="26"/>
        </w:rPr>
        <w:t>, the Office of Consumer Advocate, and the Office of Small Business Advocate in this proceeding</w:t>
      </w:r>
      <w:r>
        <w:rPr>
          <w:sz w:val="26"/>
          <w:szCs w:val="26"/>
        </w:rPr>
        <w:t>,</w:t>
      </w:r>
      <w:r w:rsidRPr="00315A9C">
        <w:rPr>
          <w:sz w:val="26"/>
          <w:szCs w:val="26"/>
        </w:rPr>
        <w:t xml:space="preserve"> </w:t>
      </w:r>
      <w:r>
        <w:rPr>
          <w:sz w:val="26"/>
          <w:szCs w:val="26"/>
        </w:rPr>
        <w:t>is approved, in part, and modified</w:t>
      </w:r>
      <w:r w:rsidRPr="00315A9C">
        <w:rPr>
          <w:sz w:val="26"/>
          <w:szCs w:val="26"/>
        </w:rPr>
        <w:t>, in part, consistent with this Opinion and Order.</w:t>
      </w:r>
    </w:p>
    <w:p w:rsidR="00745C20" w:rsidRPr="00315A9C" w:rsidRDefault="00745C20" w:rsidP="00745C20">
      <w:pPr>
        <w:spacing w:line="360" w:lineRule="auto"/>
        <w:ind w:firstLine="1440"/>
        <w:rPr>
          <w:sz w:val="26"/>
          <w:szCs w:val="26"/>
        </w:rPr>
      </w:pPr>
    </w:p>
    <w:p w:rsidR="00745C20" w:rsidRDefault="00745C20" w:rsidP="00745C20">
      <w:pPr>
        <w:spacing w:line="360" w:lineRule="auto"/>
        <w:ind w:firstLine="1440"/>
        <w:rPr>
          <w:sz w:val="26"/>
          <w:szCs w:val="26"/>
        </w:rPr>
      </w:pPr>
      <w:r w:rsidRPr="00315A9C">
        <w:rPr>
          <w:sz w:val="26"/>
          <w:szCs w:val="26"/>
        </w:rPr>
        <w:lastRenderedPageBreak/>
        <w:t>3.</w:t>
      </w:r>
      <w:r w:rsidRPr="00315A9C">
        <w:rPr>
          <w:sz w:val="26"/>
          <w:szCs w:val="26"/>
        </w:rPr>
        <w:tab/>
        <w:t>That, within twenty</w:t>
      </w:r>
      <w:r>
        <w:rPr>
          <w:sz w:val="26"/>
          <w:szCs w:val="26"/>
        </w:rPr>
        <w:t xml:space="preserve"> (20)</w:t>
      </w:r>
      <w:r w:rsidRPr="00315A9C">
        <w:rPr>
          <w:sz w:val="26"/>
          <w:szCs w:val="26"/>
        </w:rPr>
        <w:t xml:space="preserve"> days of the entry date of t</w:t>
      </w:r>
      <w:r w:rsidR="008B6481">
        <w:rPr>
          <w:sz w:val="26"/>
          <w:szCs w:val="26"/>
        </w:rPr>
        <w:t xml:space="preserve">his Opinion and Order, Philadelphia Gas Works </w:t>
      </w:r>
      <w:r w:rsidRPr="00315A9C">
        <w:rPr>
          <w:sz w:val="26"/>
          <w:szCs w:val="26"/>
        </w:rPr>
        <w:t xml:space="preserve">shall submit a </w:t>
      </w:r>
      <w:r w:rsidR="00D4077A">
        <w:rPr>
          <w:sz w:val="26"/>
          <w:szCs w:val="26"/>
        </w:rPr>
        <w:t>C</w:t>
      </w:r>
      <w:r w:rsidRPr="00315A9C">
        <w:rPr>
          <w:sz w:val="26"/>
          <w:szCs w:val="26"/>
        </w:rPr>
        <w:t xml:space="preserve">ompliance </w:t>
      </w:r>
      <w:r w:rsidR="00D4077A">
        <w:rPr>
          <w:sz w:val="26"/>
          <w:szCs w:val="26"/>
        </w:rPr>
        <w:t>F</w:t>
      </w:r>
      <w:r w:rsidRPr="00315A9C">
        <w:rPr>
          <w:sz w:val="26"/>
          <w:szCs w:val="26"/>
        </w:rPr>
        <w:t>iling removing</w:t>
      </w:r>
      <w:r>
        <w:rPr>
          <w:sz w:val="26"/>
          <w:szCs w:val="26"/>
        </w:rPr>
        <w:t>, from base rates,</w:t>
      </w:r>
      <w:r w:rsidRPr="00315A9C">
        <w:rPr>
          <w:sz w:val="26"/>
          <w:szCs w:val="26"/>
        </w:rPr>
        <w:t xml:space="preserve"> the estimated costs for </w:t>
      </w:r>
      <w:r w:rsidR="008B6481">
        <w:rPr>
          <w:sz w:val="26"/>
          <w:szCs w:val="26"/>
        </w:rPr>
        <w:t xml:space="preserve">PGW’s storage gas working capital and cash </w:t>
      </w:r>
      <w:r w:rsidRPr="00315A9C">
        <w:rPr>
          <w:sz w:val="26"/>
          <w:szCs w:val="26"/>
        </w:rPr>
        <w:t>working capital</w:t>
      </w:r>
      <w:r>
        <w:rPr>
          <w:sz w:val="26"/>
          <w:szCs w:val="26"/>
        </w:rPr>
        <w:t xml:space="preserve"> relating to gas procurement, and shall file a revised Gas Procurement Charge</w:t>
      </w:r>
      <w:r w:rsidRPr="00315A9C">
        <w:rPr>
          <w:sz w:val="26"/>
          <w:szCs w:val="26"/>
        </w:rPr>
        <w:t xml:space="preserve"> and</w:t>
      </w:r>
      <w:r>
        <w:rPr>
          <w:sz w:val="26"/>
          <w:szCs w:val="26"/>
        </w:rPr>
        <w:t xml:space="preserve"> revised distribution rates </w:t>
      </w:r>
      <w:r w:rsidRPr="0083562C">
        <w:rPr>
          <w:sz w:val="26"/>
          <w:szCs w:val="26"/>
        </w:rPr>
        <w:t>reflecting the removal of the</w:t>
      </w:r>
      <w:r>
        <w:rPr>
          <w:sz w:val="26"/>
          <w:szCs w:val="26"/>
        </w:rPr>
        <w:t>se</w:t>
      </w:r>
      <w:r w:rsidRPr="0083562C">
        <w:rPr>
          <w:sz w:val="26"/>
          <w:szCs w:val="26"/>
        </w:rPr>
        <w:t xml:space="preserve"> estimated working capital costs from base rates, and the incorp</w:t>
      </w:r>
      <w:r>
        <w:rPr>
          <w:sz w:val="26"/>
          <w:szCs w:val="26"/>
        </w:rPr>
        <w:t>oration of such costs in</w:t>
      </w:r>
      <w:r w:rsidR="00D4077A">
        <w:rPr>
          <w:sz w:val="26"/>
          <w:szCs w:val="26"/>
        </w:rPr>
        <w:t>to</w:t>
      </w:r>
      <w:r>
        <w:rPr>
          <w:sz w:val="26"/>
          <w:szCs w:val="26"/>
        </w:rPr>
        <w:t xml:space="preserve"> the Gas Procurement Charge</w:t>
      </w:r>
      <w:r w:rsidRPr="0083562C">
        <w:rPr>
          <w:sz w:val="26"/>
          <w:szCs w:val="26"/>
        </w:rPr>
        <w:t>.</w:t>
      </w:r>
    </w:p>
    <w:p w:rsidR="00745C20" w:rsidRDefault="00745C20" w:rsidP="00745C20">
      <w:pPr>
        <w:spacing w:line="360" w:lineRule="auto"/>
        <w:ind w:firstLine="1440"/>
        <w:rPr>
          <w:sz w:val="26"/>
          <w:szCs w:val="26"/>
        </w:rPr>
      </w:pPr>
    </w:p>
    <w:p w:rsidR="00745C20" w:rsidRDefault="00745C20" w:rsidP="00745C20">
      <w:pPr>
        <w:spacing w:line="360" w:lineRule="auto"/>
        <w:ind w:firstLine="1440"/>
        <w:rPr>
          <w:sz w:val="26"/>
          <w:szCs w:val="26"/>
        </w:rPr>
      </w:pPr>
      <w:r>
        <w:rPr>
          <w:sz w:val="26"/>
          <w:szCs w:val="26"/>
        </w:rPr>
        <w:t>4.</w:t>
      </w:r>
      <w:r>
        <w:rPr>
          <w:sz w:val="26"/>
          <w:szCs w:val="26"/>
        </w:rPr>
        <w:tab/>
        <w:t xml:space="preserve">That within five (5) days of the entry date of this Opinion and Order, </w:t>
      </w:r>
      <w:r w:rsidR="00D665E8">
        <w:rPr>
          <w:sz w:val="26"/>
          <w:szCs w:val="26"/>
        </w:rPr>
        <w:t>Philadelphia G</w:t>
      </w:r>
      <w:r w:rsidR="008B6481">
        <w:rPr>
          <w:sz w:val="26"/>
          <w:szCs w:val="26"/>
        </w:rPr>
        <w:t>as Works</w:t>
      </w:r>
      <w:r w:rsidRPr="000F3236">
        <w:rPr>
          <w:sz w:val="26"/>
          <w:szCs w:val="26"/>
        </w:rPr>
        <w:t xml:space="preserve">, the Office of Consumer Advocate, and the Office of Small Business Advocate may inform the Commission if they propose to withdraw support for </w:t>
      </w:r>
      <w:r w:rsidR="008B6481">
        <w:rPr>
          <w:sz w:val="26"/>
          <w:szCs w:val="26"/>
        </w:rPr>
        <w:t>the S</w:t>
      </w:r>
      <w:r w:rsidRPr="000F3236">
        <w:rPr>
          <w:sz w:val="26"/>
          <w:szCs w:val="26"/>
        </w:rPr>
        <w:t>ettlement</w:t>
      </w:r>
      <w:r w:rsidR="008B6481">
        <w:rPr>
          <w:sz w:val="26"/>
          <w:szCs w:val="26"/>
        </w:rPr>
        <w:t xml:space="preserve"> </w:t>
      </w:r>
      <w:r w:rsidRPr="000F3236">
        <w:rPr>
          <w:sz w:val="26"/>
          <w:szCs w:val="26"/>
        </w:rPr>
        <w:t xml:space="preserve">as set forth in the Joint Petition for </w:t>
      </w:r>
      <w:r w:rsidR="008B6481">
        <w:rPr>
          <w:sz w:val="26"/>
          <w:szCs w:val="26"/>
        </w:rPr>
        <w:t xml:space="preserve">Settlement </w:t>
      </w:r>
      <w:r>
        <w:rPr>
          <w:sz w:val="26"/>
          <w:szCs w:val="26"/>
        </w:rPr>
        <w:t>as modified by this Opinion and Order.</w:t>
      </w:r>
    </w:p>
    <w:p w:rsidR="00745C20" w:rsidRDefault="00745C20" w:rsidP="00745C20">
      <w:pPr>
        <w:spacing w:line="360" w:lineRule="auto"/>
        <w:ind w:firstLine="1440"/>
        <w:rPr>
          <w:sz w:val="26"/>
          <w:szCs w:val="26"/>
        </w:rPr>
      </w:pPr>
    </w:p>
    <w:p w:rsidR="00745C20" w:rsidRDefault="00745C20" w:rsidP="00745C20">
      <w:pPr>
        <w:spacing w:line="360" w:lineRule="auto"/>
        <w:ind w:firstLine="1440"/>
        <w:rPr>
          <w:sz w:val="26"/>
          <w:szCs w:val="26"/>
        </w:rPr>
      </w:pPr>
      <w:r>
        <w:rPr>
          <w:sz w:val="26"/>
          <w:szCs w:val="26"/>
        </w:rPr>
        <w:t>5</w:t>
      </w:r>
      <w:r w:rsidRPr="002D6FFC">
        <w:rPr>
          <w:sz w:val="26"/>
          <w:szCs w:val="26"/>
        </w:rPr>
        <w:t>.</w:t>
      </w:r>
      <w:r w:rsidRPr="002D6FFC">
        <w:rPr>
          <w:sz w:val="26"/>
          <w:szCs w:val="26"/>
        </w:rPr>
        <w:tab/>
        <w:t>That</w:t>
      </w:r>
      <w:r w:rsidRPr="00532605">
        <w:rPr>
          <w:sz w:val="26"/>
          <w:szCs w:val="26"/>
        </w:rPr>
        <w:t xml:space="preserve"> the Office of Consumer Advocate</w:t>
      </w:r>
      <w:r w:rsidR="00D665E8">
        <w:rPr>
          <w:sz w:val="26"/>
          <w:szCs w:val="26"/>
        </w:rPr>
        <w:t>,</w:t>
      </w:r>
      <w:r w:rsidRPr="00532605">
        <w:rPr>
          <w:sz w:val="26"/>
          <w:szCs w:val="26"/>
        </w:rPr>
        <w:t xml:space="preserve"> the Office of Small Business Advocate</w:t>
      </w:r>
      <w:r w:rsidR="00D665E8">
        <w:rPr>
          <w:sz w:val="26"/>
          <w:szCs w:val="26"/>
        </w:rPr>
        <w:t>, the Philadelphia Industrial and Commercial Gas Users Group</w:t>
      </w:r>
      <w:r w:rsidRPr="00532605">
        <w:rPr>
          <w:sz w:val="26"/>
          <w:szCs w:val="26"/>
        </w:rPr>
        <w:t xml:space="preserve"> </w:t>
      </w:r>
      <w:r w:rsidR="00D665E8">
        <w:rPr>
          <w:sz w:val="26"/>
          <w:szCs w:val="26"/>
        </w:rPr>
        <w:t xml:space="preserve">and any other interested party </w:t>
      </w:r>
      <w:r w:rsidRPr="00532605">
        <w:rPr>
          <w:sz w:val="26"/>
          <w:szCs w:val="26"/>
        </w:rPr>
        <w:t xml:space="preserve">may </w:t>
      </w:r>
      <w:r>
        <w:rPr>
          <w:sz w:val="26"/>
          <w:szCs w:val="26"/>
        </w:rPr>
        <w:t xml:space="preserve">file comments to the </w:t>
      </w:r>
      <w:r w:rsidR="00D4077A">
        <w:rPr>
          <w:sz w:val="26"/>
          <w:szCs w:val="26"/>
        </w:rPr>
        <w:t>C</w:t>
      </w:r>
      <w:r>
        <w:rPr>
          <w:sz w:val="26"/>
          <w:szCs w:val="26"/>
        </w:rPr>
        <w:t xml:space="preserve">ompliance </w:t>
      </w:r>
      <w:r w:rsidR="00D4077A">
        <w:rPr>
          <w:sz w:val="26"/>
          <w:szCs w:val="26"/>
        </w:rPr>
        <w:t>F</w:t>
      </w:r>
      <w:r>
        <w:rPr>
          <w:sz w:val="26"/>
          <w:szCs w:val="26"/>
        </w:rPr>
        <w:t>iling submitt</w:t>
      </w:r>
      <w:r w:rsidR="008B6481">
        <w:rPr>
          <w:sz w:val="26"/>
          <w:szCs w:val="26"/>
        </w:rPr>
        <w:t>ed by Philadelphia Gas Works</w:t>
      </w:r>
      <w:r>
        <w:rPr>
          <w:sz w:val="26"/>
          <w:szCs w:val="26"/>
        </w:rPr>
        <w:t xml:space="preserve">, as directed in Ordering Paragraph No. 3, within ten (10) days of the filing date of such </w:t>
      </w:r>
      <w:r w:rsidR="00D4077A">
        <w:rPr>
          <w:sz w:val="26"/>
          <w:szCs w:val="26"/>
        </w:rPr>
        <w:t>C</w:t>
      </w:r>
      <w:r>
        <w:rPr>
          <w:sz w:val="26"/>
          <w:szCs w:val="26"/>
        </w:rPr>
        <w:t xml:space="preserve">ompliance </w:t>
      </w:r>
      <w:r w:rsidR="00D4077A">
        <w:rPr>
          <w:sz w:val="26"/>
          <w:szCs w:val="26"/>
        </w:rPr>
        <w:t>F</w:t>
      </w:r>
      <w:r>
        <w:rPr>
          <w:sz w:val="26"/>
          <w:szCs w:val="26"/>
        </w:rPr>
        <w:t>iling.</w:t>
      </w:r>
    </w:p>
    <w:p w:rsidR="00745C20" w:rsidRDefault="00745C20" w:rsidP="00745C20">
      <w:pPr>
        <w:spacing w:line="360" w:lineRule="auto"/>
        <w:ind w:firstLine="1440"/>
        <w:rPr>
          <w:sz w:val="26"/>
          <w:szCs w:val="26"/>
        </w:rPr>
      </w:pPr>
    </w:p>
    <w:p w:rsidR="00745C20" w:rsidRDefault="00745C20" w:rsidP="00745C20">
      <w:pPr>
        <w:spacing w:line="360" w:lineRule="auto"/>
        <w:ind w:firstLine="1440"/>
        <w:rPr>
          <w:sz w:val="26"/>
          <w:szCs w:val="26"/>
        </w:rPr>
      </w:pPr>
      <w:r>
        <w:rPr>
          <w:sz w:val="26"/>
          <w:szCs w:val="26"/>
        </w:rPr>
        <w:t>6.</w:t>
      </w:r>
      <w:r>
        <w:rPr>
          <w:sz w:val="26"/>
          <w:szCs w:val="26"/>
        </w:rPr>
        <w:tab/>
        <w:t xml:space="preserve">That, pursuant to Ordering Paragraph No. 5, above, if no adverse comments are filed by the Office of Consumer Advocate and the Office of Small Business Advocate, and pursuant to Ordering Paragraph No. 4, above, if the Office of Consumer Advocate and the Office of Small Business Advocate do not </w:t>
      </w:r>
      <w:r w:rsidRPr="000F3236">
        <w:rPr>
          <w:sz w:val="26"/>
          <w:szCs w:val="26"/>
        </w:rPr>
        <w:t>withdraw suppor</w:t>
      </w:r>
      <w:r w:rsidR="008B6481">
        <w:rPr>
          <w:sz w:val="26"/>
          <w:szCs w:val="26"/>
        </w:rPr>
        <w:t>t for the S</w:t>
      </w:r>
      <w:r w:rsidRPr="000F3236">
        <w:rPr>
          <w:sz w:val="26"/>
          <w:szCs w:val="26"/>
        </w:rPr>
        <w:t>ettlement</w:t>
      </w:r>
      <w:r w:rsidR="008B6481">
        <w:rPr>
          <w:sz w:val="26"/>
          <w:szCs w:val="26"/>
        </w:rPr>
        <w:t xml:space="preserve"> </w:t>
      </w:r>
      <w:r w:rsidRPr="000F3236">
        <w:rPr>
          <w:sz w:val="26"/>
          <w:szCs w:val="26"/>
        </w:rPr>
        <w:t xml:space="preserve">as set forth in the Joint Petition for </w:t>
      </w:r>
      <w:r w:rsidR="008B6481">
        <w:rPr>
          <w:sz w:val="26"/>
          <w:szCs w:val="26"/>
        </w:rPr>
        <w:t xml:space="preserve">Settlement, </w:t>
      </w:r>
      <w:r>
        <w:rPr>
          <w:sz w:val="26"/>
          <w:szCs w:val="26"/>
        </w:rPr>
        <w:t>as modified by this Opinion and Order, it is further ordered:</w:t>
      </w:r>
    </w:p>
    <w:p w:rsidR="00745C20" w:rsidRDefault="00745C20" w:rsidP="00745C20">
      <w:pPr>
        <w:spacing w:line="360" w:lineRule="auto"/>
        <w:ind w:firstLine="1440"/>
        <w:rPr>
          <w:sz w:val="26"/>
          <w:szCs w:val="26"/>
        </w:rPr>
      </w:pPr>
    </w:p>
    <w:p w:rsidR="00745C20" w:rsidRDefault="00745C20" w:rsidP="00745C20">
      <w:pPr>
        <w:spacing w:line="360" w:lineRule="auto"/>
        <w:ind w:left="2880" w:hanging="1440"/>
        <w:rPr>
          <w:sz w:val="26"/>
          <w:szCs w:val="26"/>
        </w:rPr>
      </w:pPr>
      <w:r>
        <w:rPr>
          <w:sz w:val="26"/>
          <w:szCs w:val="26"/>
        </w:rPr>
        <w:t>a.</w:t>
      </w:r>
      <w:r>
        <w:rPr>
          <w:sz w:val="26"/>
          <w:szCs w:val="26"/>
        </w:rPr>
        <w:tab/>
        <w:t>That the Formal Complaint of the Office of Consumer Advoca</w:t>
      </w:r>
      <w:r w:rsidR="008B6481">
        <w:rPr>
          <w:sz w:val="26"/>
          <w:szCs w:val="26"/>
        </w:rPr>
        <w:t>te at Docket No. C-2012-2337124</w:t>
      </w:r>
      <w:r>
        <w:rPr>
          <w:sz w:val="26"/>
          <w:szCs w:val="26"/>
        </w:rPr>
        <w:t xml:space="preserve">, is deemed satisfied </w:t>
      </w:r>
      <w:r>
        <w:rPr>
          <w:sz w:val="26"/>
          <w:szCs w:val="26"/>
        </w:rPr>
        <w:lastRenderedPageBreak/>
        <w:t>consistent with the modified Joint Petition for Settlement and shall be marked closed.</w:t>
      </w:r>
    </w:p>
    <w:p w:rsidR="00745C20" w:rsidRDefault="00745C20" w:rsidP="00745C20">
      <w:pPr>
        <w:spacing w:line="360" w:lineRule="auto"/>
        <w:ind w:left="2880" w:hanging="1440"/>
        <w:rPr>
          <w:sz w:val="26"/>
          <w:szCs w:val="26"/>
        </w:rPr>
      </w:pPr>
    </w:p>
    <w:p w:rsidR="00745C20" w:rsidRDefault="00745C20" w:rsidP="00745C20">
      <w:pPr>
        <w:spacing w:line="360" w:lineRule="auto"/>
        <w:ind w:left="2880" w:hanging="1440"/>
        <w:rPr>
          <w:sz w:val="26"/>
          <w:szCs w:val="26"/>
        </w:rPr>
      </w:pPr>
      <w:r>
        <w:rPr>
          <w:sz w:val="26"/>
          <w:szCs w:val="26"/>
        </w:rPr>
        <w:t>b.</w:t>
      </w:r>
      <w:r>
        <w:rPr>
          <w:sz w:val="26"/>
          <w:szCs w:val="26"/>
        </w:rPr>
        <w:tab/>
        <w:t>That the Formal Complaint of the Office of Small Business Advoc</w:t>
      </w:r>
      <w:r w:rsidR="008B6481">
        <w:rPr>
          <w:sz w:val="26"/>
          <w:szCs w:val="26"/>
        </w:rPr>
        <w:t>ate at Docket No. C-2012-2337594</w:t>
      </w:r>
      <w:r>
        <w:rPr>
          <w:sz w:val="26"/>
          <w:szCs w:val="26"/>
        </w:rPr>
        <w:t>, is deemed satisfied consistent with the modified Joint Petition for Settlement and shall be marked closed.</w:t>
      </w:r>
    </w:p>
    <w:p w:rsidR="00745C20" w:rsidRDefault="00745C20" w:rsidP="00745C20">
      <w:pPr>
        <w:spacing w:line="360" w:lineRule="auto"/>
        <w:ind w:left="2880" w:hanging="1440"/>
        <w:rPr>
          <w:sz w:val="26"/>
          <w:szCs w:val="26"/>
        </w:rPr>
      </w:pPr>
    </w:p>
    <w:p w:rsidR="00745C20" w:rsidRPr="000F3236" w:rsidRDefault="00745C20" w:rsidP="00745C20">
      <w:pPr>
        <w:spacing w:line="360" w:lineRule="auto"/>
        <w:ind w:left="2880" w:hanging="1440"/>
        <w:rPr>
          <w:sz w:val="26"/>
          <w:szCs w:val="26"/>
        </w:rPr>
      </w:pPr>
      <w:r>
        <w:rPr>
          <w:sz w:val="26"/>
          <w:szCs w:val="26"/>
        </w:rPr>
        <w:t>c.</w:t>
      </w:r>
      <w:r>
        <w:rPr>
          <w:sz w:val="26"/>
          <w:szCs w:val="26"/>
        </w:rPr>
        <w:tab/>
        <w:t>That upon acceptance and approval by the Commission of the tariff supplement fil</w:t>
      </w:r>
      <w:r w:rsidR="008B6481">
        <w:rPr>
          <w:sz w:val="26"/>
          <w:szCs w:val="26"/>
        </w:rPr>
        <w:t>ed by the Philadelphia Gas Works</w:t>
      </w:r>
      <w:r>
        <w:rPr>
          <w:sz w:val="26"/>
          <w:szCs w:val="26"/>
        </w:rPr>
        <w:t>, in accordance with Ordering Paragraph No. 3, above, the docket at this proceeding shall be marked closed.</w:t>
      </w:r>
    </w:p>
    <w:p w:rsidR="00745C20" w:rsidRDefault="00C4007D" w:rsidP="00745C20">
      <w:pPr>
        <w:spacing w:line="360" w:lineRule="auto"/>
        <w:ind w:firstLine="1440"/>
        <w:rPr>
          <w:sz w:val="26"/>
          <w:szCs w:val="26"/>
        </w:rPr>
      </w:pPr>
      <w:r>
        <w:rPr>
          <w:noProof/>
        </w:rPr>
        <w:drawing>
          <wp:anchor distT="0" distB="0" distL="114300" distR="114300" simplePos="0" relativeHeight="251658240" behindDoc="1" locked="0" layoutInCell="1" allowOverlap="1" wp14:anchorId="21AF296E" wp14:editId="57D5261E">
            <wp:simplePos x="0" y="0"/>
            <wp:positionH relativeFrom="column">
              <wp:posOffset>2946400</wp:posOffset>
            </wp:positionH>
            <wp:positionV relativeFrom="paragraph">
              <wp:posOffset>182880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745C20" w:rsidRPr="003C63B1" w:rsidRDefault="00745C20" w:rsidP="00745C20">
      <w:pPr>
        <w:tabs>
          <w:tab w:val="left" w:pos="-720"/>
        </w:tabs>
        <w:suppressAutoHyphens/>
        <w:ind w:firstLine="5040"/>
        <w:rPr>
          <w:sz w:val="26"/>
        </w:rPr>
      </w:pPr>
      <w:r w:rsidRPr="003C63B1">
        <w:rPr>
          <w:b/>
          <w:sz w:val="26"/>
        </w:rPr>
        <w:t>BY THE COMMISSION,</w:t>
      </w:r>
    </w:p>
    <w:p w:rsidR="00745C20" w:rsidRPr="003C63B1" w:rsidRDefault="00745C20" w:rsidP="00745C20">
      <w:pPr>
        <w:tabs>
          <w:tab w:val="left" w:pos="-720"/>
        </w:tabs>
        <w:suppressAutoHyphens/>
        <w:ind w:firstLine="5040"/>
        <w:rPr>
          <w:sz w:val="26"/>
        </w:rPr>
      </w:pPr>
    </w:p>
    <w:p w:rsidR="00745C20" w:rsidRPr="003C63B1" w:rsidRDefault="00745C20" w:rsidP="00745C20">
      <w:pPr>
        <w:tabs>
          <w:tab w:val="left" w:pos="-720"/>
        </w:tabs>
        <w:suppressAutoHyphens/>
        <w:ind w:firstLine="5040"/>
        <w:rPr>
          <w:sz w:val="26"/>
        </w:rPr>
      </w:pPr>
    </w:p>
    <w:p w:rsidR="00745C20" w:rsidRPr="003C63B1" w:rsidRDefault="00745C20" w:rsidP="00745C20">
      <w:pPr>
        <w:tabs>
          <w:tab w:val="left" w:pos="-720"/>
        </w:tabs>
        <w:suppressAutoHyphens/>
        <w:ind w:firstLine="5040"/>
        <w:rPr>
          <w:sz w:val="26"/>
        </w:rPr>
      </w:pPr>
      <w:r>
        <w:rPr>
          <w:sz w:val="26"/>
        </w:rPr>
        <w:t>Rosemary Chiavetta</w:t>
      </w:r>
    </w:p>
    <w:p w:rsidR="00745C20" w:rsidRPr="003C63B1" w:rsidRDefault="00745C20" w:rsidP="00745C20">
      <w:pPr>
        <w:tabs>
          <w:tab w:val="left" w:pos="-720"/>
        </w:tabs>
        <w:suppressAutoHyphens/>
        <w:ind w:firstLine="5040"/>
        <w:rPr>
          <w:sz w:val="26"/>
        </w:rPr>
      </w:pPr>
      <w:r w:rsidRPr="003C63B1">
        <w:rPr>
          <w:sz w:val="26"/>
        </w:rPr>
        <w:t>Secretary</w:t>
      </w:r>
    </w:p>
    <w:p w:rsidR="00745C20" w:rsidRPr="003C63B1" w:rsidRDefault="00745C20" w:rsidP="00745C20">
      <w:pPr>
        <w:tabs>
          <w:tab w:val="left" w:pos="-720"/>
        </w:tabs>
        <w:suppressAutoHyphens/>
        <w:rPr>
          <w:sz w:val="26"/>
        </w:rPr>
      </w:pPr>
    </w:p>
    <w:p w:rsidR="00745C20" w:rsidRPr="003C63B1" w:rsidRDefault="00745C20" w:rsidP="00745C20">
      <w:pPr>
        <w:tabs>
          <w:tab w:val="left" w:pos="-720"/>
        </w:tabs>
        <w:suppressAutoHyphens/>
        <w:rPr>
          <w:sz w:val="26"/>
        </w:rPr>
      </w:pPr>
      <w:r w:rsidRPr="003C63B1">
        <w:rPr>
          <w:sz w:val="26"/>
        </w:rPr>
        <w:t>(SEAL)</w:t>
      </w:r>
    </w:p>
    <w:p w:rsidR="00745C20" w:rsidRPr="003C63B1" w:rsidRDefault="00745C20" w:rsidP="00745C20">
      <w:pPr>
        <w:tabs>
          <w:tab w:val="left" w:pos="-720"/>
        </w:tabs>
        <w:suppressAutoHyphens/>
        <w:rPr>
          <w:sz w:val="26"/>
        </w:rPr>
      </w:pPr>
    </w:p>
    <w:p w:rsidR="00745C20" w:rsidRPr="003C63B1" w:rsidRDefault="008B6481" w:rsidP="00745C20">
      <w:pPr>
        <w:tabs>
          <w:tab w:val="left" w:pos="-720"/>
        </w:tabs>
        <w:suppressAutoHyphens/>
        <w:rPr>
          <w:sz w:val="26"/>
        </w:rPr>
      </w:pPr>
      <w:r>
        <w:rPr>
          <w:sz w:val="26"/>
        </w:rPr>
        <w:t>ORDER ADOPTED:  May 23</w:t>
      </w:r>
      <w:r w:rsidR="00745C20">
        <w:rPr>
          <w:sz w:val="26"/>
        </w:rPr>
        <w:t>, 2013</w:t>
      </w:r>
    </w:p>
    <w:p w:rsidR="00745C20" w:rsidRPr="003C63B1" w:rsidRDefault="00745C20" w:rsidP="00745C20">
      <w:pPr>
        <w:tabs>
          <w:tab w:val="left" w:pos="-720"/>
        </w:tabs>
        <w:suppressAutoHyphens/>
        <w:rPr>
          <w:sz w:val="26"/>
        </w:rPr>
      </w:pPr>
    </w:p>
    <w:p w:rsidR="00745C20" w:rsidRPr="003C63B1" w:rsidRDefault="00745C20" w:rsidP="00745C20">
      <w:pPr>
        <w:tabs>
          <w:tab w:val="left" w:pos="-720"/>
        </w:tabs>
        <w:suppressAutoHyphens/>
        <w:rPr>
          <w:sz w:val="26"/>
        </w:rPr>
      </w:pPr>
      <w:r w:rsidRPr="003C63B1">
        <w:rPr>
          <w:sz w:val="26"/>
        </w:rPr>
        <w:t xml:space="preserve">ORDER ENTERED: </w:t>
      </w:r>
      <w:r w:rsidR="00C4007D">
        <w:rPr>
          <w:sz w:val="26"/>
        </w:rPr>
        <w:t>June 20, 2013</w:t>
      </w:r>
      <w:bookmarkStart w:id="0" w:name="_GoBack"/>
      <w:bookmarkEnd w:id="0"/>
    </w:p>
    <w:sectPr w:rsidR="00745C20" w:rsidRPr="003C63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F54" w:rsidRDefault="006A4F54" w:rsidP="00326666">
      <w:r>
        <w:separator/>
      </w:r>
    </w:p>
  </w:endnote>
  <w:endnote w:type="continuationSeparator" w:id="0">
    <w:p w:rsidR="006A4F54" w:rsidRDefault="006A4F54" w:rsidP="0032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81" w:rsidRDefault="002121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0435"/>
      <w:docPartObj>
        <w:docPartGallery w:val="Page Numbers (Bottom of Page)"/>
        <w:docPartUnique/>
      </w:docPartObj>
    </w:sdtPr>
    <w:sdtEndPr>
      <w:rPr>
        <w:noProof/>
      </w:rPr>
    </w:sdtEndPr>
    <w:sdtContent>
      <w:p w:rsidR="00212181" w:rsidRDefault="00212181">
        <w:pPr>
          <w:pStyle w:val="Footer"/>
          <w:jc w:val="center"/>
        </w:pPr>
        <w:r>
          <w:fldChar w:fldCharType="begin"/>
        </w:r>
        <w:r>
          <w:instrText xml:space="preserve"> PAGE   \* MERGEFORMAT </w:instrText>
        </w:r>
        <w:r>
          <w:fldChar w:fldCharType="separate"/>
        </w:r>
        <w:r w:rsidR="00C4007D">
          <w:rPr>
            <w:noProof/>
          </w:rPr>
          <w:t>13</w:t>
        </w:r>
        <w:r>
          <w:rPr>
            <w:noProof/>
          </w:rPr>
          <w:fldChar w:fldCharType="end"/>
        </w:r>
      </w:p>
    </w:sdtContent>
  </w:sdt>
  <w:p w:rsidR="00212181" w:rsidRDefault="002121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81" w:rsidRDefault="002121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F54" w:rsidRDefault="006A4F54" w:rsidP="00326666">
      <w:r>
        <w:separator/>
      </w:r>
    </w:p>
  </w:footnote>
  <w:footnote w:type="continuationSeparator" w:id="0">
    <w:p w:rsidR="006A4F54" w:rsidRDefault="006A4F54" w:rsidP="00326666">
      <w:r>
        <w:continuationSeparator/>
      </w:r>
    </w:p>
  </w:footnote>
  <w:footnote w:id="1">
    <w:p w:rsidR="00326666" w:rsidRPr="00EE5402" w:rsidRDefault="00326666" w:rsidP="00326666">
      <w:pPr>
        <w:pStyle w:val="FootnoteText"/>
        <w:rPr>
          <w:sz w:val="26"/>
          <w:szCs w:val="26"/>
        </w:rPr>
      </w:pPr>
      <w:r w:rsidRPr="00EE5402">
        <w:rPr>
          <w:sz w:val="26"/>
          <w:szCs w:val="26"/>
        </w:rPr>
        <w:tab/>
      </w:r>
      <w:r w:rsidRPr="00EE5402">
        <w:rPr>
          <w:rStyle w:val="FootnoteReference"/>
          <w:sz w:val="26"/>
          <w:szCs w:val="26"/>
        </w:rPr>
        <w:footnoteRef/>
      </w:r>
      <w:r w:rsidRPr="00EE5402">
        <w:rPr>
          <w:sz w:val="26"/>
          <w:szCs w:val="26"/>
        </w:rPr>
        <w:tab/>
      </w:r>
      <w:r w:rsidRPr="00EE5402">
        <w:rPr>
          <w:i/>
          <w:sz w:val="26"/>
          <w:szCs w:val="26"/>
        </w:rPr>
        <w:t>See also</w:t>
      </w:r>
      <w:r w:rsidRPr="00EE5402">
        <w:rPr>
          <w:sz w:val="26"/>
          <w:szCs w:val="26"/>
        </w:rPr>
        <w:t xml:space="preserve"> 52 Pa. Code § 62.223(b).</w:t>
      </w:r>
    </w:p>
    <w:p w:rsidR="00326666" w:rsidRPr="00EE5402" w:rsidRDefault="00326666" w:rsidP="00326666">
      <w:pPr>
        <w:pStyle w:val="FootnoteText"/>
        <w:spacing w:line="60" w:lineRule="auto"/>
        <w:rPr>
          <w:sz w:val="26"/>
          <w:szCs w:val="26"/>
        </w:rPr>
      </w:pPr>
    </w:p>
  </w:footnote>
  <w:footnote w:id="2">
    <w:p w:rsidR="00326666" w:rsidRPr="00EE5402" w:rsidRDefault="00326666" w:rsidP="00326666">
      <w:pPr>
        <w:pStyle w:val="FootnoteText"/>
        <w:rPr>
          <w:sz w:val="26"/>
          <w:szCs w:val="26"/>
        </w:rPr>
      </w:pPr>
      <w:r w:rsidRPr="00EE5402">
        <w:rPr>
          <w:sz w:val="26"/>
          <w:szCs w:val="26"/>
        </w:rPr>
        <w:tab/>
      </w:r>
      <w:r w:rsidRPr="00EE5402">
        <w:rPr>
          <w:rStyle w:val="FootnoteReference"/>
          <w:sz w:val="26"/>
          <w:szCs w:val="26"/>
        </w:rPr>
        <w:footnoteRef/>
      </w:r>
      <w:r w:rsidRPr="00EE5402">
        <w:rPr>
          <w:sz w:val="26"/>
          <w:szCs w:val="26"/>
        </w:rPr>
        <w:tab/>
      </w:r>
      <w:r w:rsidRPr="00EE5402">
        <w:rPr>
          <w:i/>
          <w:sz w:val="26"/>
          <w:szCs w:val="26"/>
        </w:rPr>
        <w:t>See also</w:t>
      </w:r>
      <w:r w:rsidRPr="00EE5402">
        <w:rPr>
          <w:sz w:val="26"/>
          <w:szCs w:val="26"/>
        </w:rPr>
        <w:t xml:space="preserve"> 52 Pa. Code § 62.223(c).</w:t>
      </w:r>
    </w:p>
    <w:p w:rsidR="00326666" w:rsidRPr="00EE5402" w:rsidRDefault="00326666" w:rsidP="00326666">
      <w:pPr>
        <w:pStyle w:val="FootnoteText"/>
        <w:spacing w:line="60" w:lineRule="auto"/>
        <w:rPr>
          <w:sz w:val="26"/>
          <w:szCs w:val="26"/>
        </w:rPr>
      </w:pPr>
    </w:p>
  </w:footnote>
  <w:footnote w:id="3">
    <w:p w:rsidR="00326666" w:rsidRPr="00EA4DE5" w:rsidRDefault="00326666" w:rsidP="00326666">
      <w:pPr>
        <w:pStyle w:val="FootnoteText"/>
        <w:keepLines/>
        <w:rPr>
          <w:sz w:val="26"/>
          <w:szCs w:val="26"/>
        </w:rPr>
      </w:pPr>
      <w:r w:rsidRPr="00EE5402">
        <w:rPr>
          <w:sz w:val="26"/>
          <w:szCs w:val="26"/>
        </w:rPr>
        <w:tab/>
      </w:r>
      <w:r w:rsidRPr="00EE5402">
        <w:rPr>
          <w:rStyle w:val="FootnoteReference"/>
          <w:sz w:val="26"/>
          <w:szCs w:val="26"/>
        </w:rPr>
        <w:footnoteRef/>
      </w:r>
      <w:r w:rsidR="00BB6BEB">
        <w:rPr>
          <w:sz w:val="26"/>
          <w:szCs w:val="26"/>
        </w:rPr>
        <w:tab/>
        <w:t>PGW filed Supplement No. 55</w:t>
      </w:r>
      <w:r>
        <w:rPr>
          <w:sz w:val="26"/>
          <w:szCs w:val="26"/>
        </w:rPr>
        <w:t xml:space="preserve"> in accordance with the schedule set forth in the Commission’s Secretarial Letter issued May 25, 2012</w:t>
      </w:r>
      <w:r w:rsidR="00BB6BEB">
        <w:rPr>
          <w:sz w:val="26"/>
          <w:szCs w:val="26"/>
        </w:rPr>
        <w:t>,</w:t>
      </w:r>
      <w:r>
        <w:rPr>
          <w:sz w:val="26"/>
          <w:szCs w:val="26"/>
        </w:rPr>
        <w:t xml:space="preserve"> in</w:t>
      </w:r>
      <w:r w:rsidRPr="00EA4DE5">
        <w:rPr>
          <w:i/>
          <w:sz w:val="26"/>
          <w:szCs w:val="26"/>
        </w:rPr>
        <w:t xml:space="preserve"> </w:t>
      </w:r>
      <w:r w:rsidRPr="00067743">
        <w:rPr>
          <w:i/>
          <w:sz w:val="26"/>
          <w:szCs w:val="26"/>
        </w:rPr>
        <w:t xml:space="preserve">Natural Gas Distribution Companies and Promotion of Competitive Retail </w:t>
      </w:r>
      <w:r w:rsidRPr="00504A50">
        <w:rPr>
          <w:i/>
          <w:sz w:val="26"/>
          <w:szCs w:val="26"/>
        </w:rPr>
        <w:t>Markets</w:t>
      </w:r>
      <w:r>
        <w:rPr>
          <w:sz w:val="26"/>
          <w:szCs w:val="26"/>
        </w:rPr>
        <w:t xml:space="preserve"> at</w:t>
      </w:r>
      <w:r w:rsidRPr="00504A50">
        <w:rPr>
          <w:sz w:val="26"/>
          <w:szCs w:val="26"/>
        </w:rPr>
        <w:t xml:space="preserve"> Docket</w:t>
      </w:r>
      <w:r>
        <w:rPr>
          <w:sz w:val="26"/>
          <w:szCs w:val="26"/>
        </w:rPr>
        <w:t xml:space="preserve"> No. </w:t>
      </w:r>
      <w:proofErr w:type="gramStart"/>
      <w:r>
        <w:rPr>
          <w:sz w:val="26"/>
          <w:szCs w:val="26"/>
        </w:rPr>
        <w:t>L</w:t>
      </w:r>
      <w:r>
        <w:rPr>
          <w:sz w:val="26"/>
          <w:szCs w:val="26"/>
        </w:rPr>
        <w:noBreakHyphen/>
      </w:r>
      <w:r w:rsidRPr="00067743">
        <w:rPr>
          <w:sz w:val="26"/>
          <w:szCs w:val="26"/>
        </w:rPr>
        <w:t>2008-2069114</w:t>
      </w:r>
      <w:r w:rsidR="00BB6BEB">
        <w:rPr>
          <w:sz w:val="26"/>
          <w:szCs w:val="26"/>
        </w:rPr>
        <w:t>.</w:t>
      </w:r>
      <w:proofErr w:type="gramEnd"/>
    </w:p>
  </w:footnote>
  <w:footnote w:id="4">
    <w:p w:rsidR="00C07FF6" w:rsidRPr="002C00A0" w:rsidRDefault="00C07FF6" w:rsidP="002C00A0">
      <w:pPr>
        <w:pStyle w:val="FootnoteText"/>
        <w:ind w:firstLine="720"/>
        <w:rPr>
          <w:sz w:val="26"/>
          <w:szCs w:val="26"/>
        </w:rPr>
      </w:pPr>
      <w:r w:rsidRPr="002C00A0">
        <w:rPr>
          <w:rStyle w:val="FootnoteReference"/>
          <w:sz w:val="26"/>
          <w:szCs w:val="26"/>
        </w:rPr>
        <w:footnoteRef/>
      </w:r>
      <w:r w:rsidRPr="002C00A0">
        <w:rPr>
          <w:sz w:val="26"/>
          <w:szCs w:val="26"/>
        </w:rPr>
        <w:t xml:space="preserve"> </w:t>
      </w:r>
      <w:r w:rsidRPr="002C00A0">
        <w:rPr>
          <w:sz w:val="26"/>
          <w:szCs w:val="26"/>
        </w:rPr>
        <w:tab/>
        <w:t>Joint Petition for Settlement, Appendix 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81" w:rsidRDefault="002121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81" w:rsidRDefault="002121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181" w:rsidRDefault="00212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7284"/>
    <w:multiLevelType w:val="hybridMultilevel"/>
    <w:tmpl w:val="1F101DC0"/>
    <w:lvl w:ilvl="0" w:tplc="C72C62C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806"/>
    <w:rsid w:val="000F6FAD"/>
    <w:rsid w:val="001064FB"/>
    <w:rsid w:val="001932C0"/>
    <w:rsid w:val="001D1047"/>
    <w:rsid w:val="00212181"/>
    <w:rsid w:val="00252F46"/>
    <w:rsid w:val="00295D0A"/>
    <w:rsid w:val="002C00A0"/>
    <w:rsid w:val="00323553"/>
    <w:rsid w:val="00326666"/>
    <w:rsid w:val="00396376"/>
    <w:rsid w:val="004222A0"/>
    <w:rsid w:val="00423B21"/>
    <w:rsid w:val="00457B71"/>
    <w:rsid w:val="00460F97"/>
    <w:rsid w:val="0055766E"/>
    <w:rsid w:val="00574787"/>
    <w:rsid w:val="005924C3"/>
    <w:rsid w:val="005E4891"/>
    <w:rsid w:val="00607C36"/>
    <w:rsid w:val="00610C68"/>
    <w:rsid w:val="00676148"/>
    <w:rsid w:val="006A4F54"/>
    <w:rsid w:val="006D4715"/>
    <w:rsid w:val="00745C20"/>
    <w:rsid w:val="00753806"/>
    <w:rsid w:val="007D070D"/>
    <w:rsid w:val="00825FBE"/>
    <w:rsid w:val="0084091E"/>
    <w:rsid w:val="00877CAB"/>
    <w:rsid w:val="008B6481"/>
    <w:rsid w:val="008D5720"/>
    <w:rsid w:val="00906B6F"/>
    <w:rsid w:val="00930CA5"/>
    <w:rsid w:val="00964B92"/>
    <w:rsid w:val="009767C2"/>
    <w:rsid w:val="009D1540"/>
    <w:rsid w:val="00A43844"/>
    <w:rsid w:val="00B20D4E"/>
    <w:rsid w:val="00B4450E"/>
    <w:rsid w:val="00B91BE8"/>
    <w:rsid w:val="00BB27A7"/>
    <w:rsid w:val="00BB6BEB"/>
    <w:rsid w:val="00C07022"/>
    <w:rsid w:val="00C07FF6"/>
    <w:rsid w:val="00C4007D"/>
    <w:rsid w:val="00CE3141"/>
    <w:rsid w:val="00D375B4"/>
    <w:rsid w:val="00D4077A"/>
    <w:rsid w:val="00D665E8"/>
    <w:rsid w:val="00D706FA"/>
    <w:rsid w:val="00DA348F"/>
    <w:rsid w:val="00DC0E97"/>
    <w:rsid w:val="00E26B82"/>
    <w:rsid w:val="00EB53E0"/>
    <w:rsid w:val="00EE1C0E"/>
    <w:rsid w:val="00F65603"/>
    <w:rsid w:val="00F76941"/>
    <w:rsid w:val="00F87813"/>
    <w:rsid w:val="00F90653"/>
    <w:rsid w:val="00F94AFB"/>
    <w:rsid w:val="00FB0147"/>
    <w:rsid w:val="00FE2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5FBE"/>
    <w:pPr>
      <w:ind w:left="720"/>
    </w:pPr>
  </w:style>
  <w:style w:type="paragraph" w:styleId="FootnoteText">
    <w:name w:val="footnote text"/>
    <w:aliases w:val="Car"/>
    <w:basedOn w:val="Normal"/>
    <w:link w:val="FootnoteTextChar"/>
    <w:uiPriority w:val="99"/>
    <w:unhideWhenUsed/>
    <w:qFormat/>
    <w:rsid w:val="00326666"/>
    <w:rPr>
      <w:sz w:val="20"/>
      <w:szCs w:val="20"/>
    </w:rPr>
  </w:style>
  <w:style w:type="character" w:customStyle="1" w:styleId="FootnoteTextChar">
    <w:name w:val="Footnote Text Char"/>
    <w:aliases w:val="Car Char"/>
    <w:basedOn w:val="DefaultParagraphFont"/>
    <w:link w:val="FootnoteText"/>
    <w:uiPriority w:val="99"/>
    <w:rsid w:val="0032666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26666"/>
    <w:rPr>
      <w:vertAlign w:val="superscript"/>
    </w:rPr>
  </w:style>
  <w:style w:type="paragraph" w:styleId="BalloonText">
    <w:name w:val="Balloon Text"/>
    <w:basedOn w:val="Normal"/>
    <w:link w:val="BalloonTextChar"/>
    <w:uiPriority w:val="99"/>
    <w:semiHidden/>
    <w:unhideWhenUsed/>
    <w:rsid w:val="001932C0"/>
    <w:rPr>
      <w:rFonts w:ascii="Tahoma" w:hAnsi="Tahoma" w:cs="Tahoma"/>
      <w:sz w:val="16"/>
      <w:szCs w:val="16"/>
    </w:rPr>
  </w:style>
  <w:style w:type="character" w:customStyle="1" w:styleId="BalloonTextChar">
    <w:name w:val="Balloon Text Char"/>
    <w:basedOn w:val="DefaultParagraphFont"/>
    <w:link w:val="BalloonText"/>
    <w:uiPriority w:val="99"/>
    <w:semiHidden/>
    <w:rsid w:val="001932C0"/>
    <w:rPr>
      <w:rFonts w:ascii="Tahoma" w:eastAsia="Times New Roman" w:hAnsi="Tahoma" w:cs="Tahoma"/>
      <w:sz w:val="16"/>
      <w:szCs w:val="16"/>
    </w:rPr>
  </w:style>
  <w:style w:type="paragraph" w:styleId="Header">
    <w:name w:val="header"/>
    <w:basedOn w:val="Normal"/>
    <w:link w:val="HeaderChar"/>
    <w:uiPriority w:val="99"/>
    <w:unhideWhenUsed/>
    <w:rsid w:val="00212181"/>
    <w:pPr>
      <w:tabs>
        <w:tab w:val="center" w:pos="4680"/>
        <w:tab w:val="right" w:pos="9360"/>
      </w:tabs>
    </w:pPr>
  </w:style>
  <w:style w:type="character" w:customStyle="1" w:styleId="HeaderChar">
    <w:name w:val="Header Char"/>
    <w:basedOn w:val="DefaultParagraphFont"/>
    <w:link w:val="Header"/>
    <w:uiPriority w:val="99"/>
    <w:rsid w:val="002121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181"/>
    <w:pPr>
      <w:tabs>
        <w:tab w:val="center" w:pos="4680"/>
        <w:tab w:val="right" w:pos="9360"/>
      </w:tabs>
    </w:pPr>
  </w:style>
  <w:style w:type="character" w:customStyle="1" w:styleId="FooterChar">
    <w:name w:val="Footer Char"/>
    <w:basedOn w:val="DefaultParagraphFont"/>
    <w:link w:val="Footer"/>
    <w:uiPriority w:val="99"/>
    <w:rsid w:val="002121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8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8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5FBE"/>
    <w:pPr>
      <w:ind w:left="720"/>
    </w:pPr>
  </w:style>
  <w:style w:type="paragraph" w:styleId="FootnoteText">
    <w:name w:val="footnote text"/>
    <w:aliases w:val="Car"/>
    <w:basedOn w:val="Normal"/>
    <w:link w:val="FootnoteTextChar"/>
    <w:uiPriority w:val="99"/>
    <w:unhideWhenUsed/>
    <w:qFormat/>
    <w:rsid w:val="00326666"/>
    <w:rPr>
      <w:sz w:val="20"/>
      <w:szCs w:val="20"/>
    </w:rPr>
  </w:style>
  <w:style w:type="character" w:customStyle="1" w:styleId="FootnoteTextChar">
    <w:name w:val="Footnote Text Char"/>
    <w:aliases w:val="Car Char"/>
    <w:basedOn w:val="DefaultParagraphFont"/>
    <w:link w:val="FootnoteText"/>
    <w:uiPriority w:val="99"/>
    <w:rsid w:val="00326666"/>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26666"/>
    <w:rPr>
      <w:vertAlign w:val="superscript"/>
    </w:rPr>
  </w:style>
  <w:style w:type="paragraph" w:styleId="BalloonText">
    <w:name w:val="Balloon Text"/>
    <w:basedOn w:val="Normal"/>
    <w:link w:val="BalloonTextChar"/>
    <w:uiPriority w:val="99"/>
    <w:semiHidden/>
    <w:unhideWhenUsed/>
    <w:rsid w:val="001932C0"/>
    <w:rPr>
      <w:rFonts w:ascii="Tahoma" w:hAnsi="Tahoma" w:cs="Tahoma"/>
      <w:sz w:val="16"/>
      <w:szCs w:val="16"/>
    </w:rPr>
  </w:style>
  <w:style w:type="character" w:customStyle="1" w:styleId="BalloonTextChar">
    <w:name w:val="Balloon Text Char"/>
    <w:basedOn w:val="DefaultParagraphFont"/>
    <w:link w:val="BalloonText"/>
    <w:uiPriority w:val="99"/>
    <w:semiHidden/>
    <w:rsid w:val="001932C0"/>
    <w:rPr>
      <w:rFonts w:ascii="Tahoma" w:eastAsia="Times New Roman" w:hAnsi="Tahoma" w:cs="Tahoma"/>
      <w:sz w:val="16"/>
      <w:szCs w:val="16"/>
    </w:rPr>
  </w:style>
  <w:style w:type="paragraph" w:styleId="Header">
    <w:name w:val="header"/>
    <w:basedOn w:val="Normal"/>
    <w:link w:val="HeaderChar"/>
    <w:uiPriority w:val="99"/>
    <w:unhideWhenUsed/>
    <w:rsid w:val="00212181"/>
    <w:pPr>
      <w:tabs>
        <w:tab w:val="center" w:pos="4680"/>
        <w:tab w:val="right" w:pos="9360"/>
      </w:tabs>
    </w:pPr>
  </w:style>
  <w:style w:type="character" w:customStyle="1" w:styleId="HeaderChar">
    <w:name w:val="Header Char"/>
    <w:basedOn w:val="DefaultParagraphFont"/>
    <w:link w:val="Header"/>
    <w:uiPriority w:val="99"/>
    <w:rsid w:val="002121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181"/>
    <w:pPr>
      <w:tabs>
        <w:tab w:val="center" w:pos="4680"/>
        <w:tab w:val="right" w:pos="9360"/>
      </w:tabs>
    </w:pPr>
  </w:style>
  <w:style w:type="character" w:customStyle="1" w:styleId="FooterChar">
    <w:name w:val="Footer Char"/>
    <w:basedOn w:val="DefaultParagraphFont"/>
    <w:link w:val="Footer"/>
    <w:uiPriority w:val="99"/>
    <w:rsid w:val="0021218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8F6BA-474E-4567-B8FE-8C14B838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2993</Words>
  <Characters>17066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rocarran</dc:creator>
  <cp:lastModifiedBy>Hinds, Margaret</cp:lastModifiedBy>
  <cp:revision>3</cp:revision>
  <cp:lastPrinted>2013-06-20T15:46:00Z</cp:lastPrinted>
  <dcterms:created xsi:type="dcterms:W3CDTF">2013-06-20T14:21:00Z</dcterms:created>
  <dcterms:modified xsi:type="dcterms:W3CDTF">2013-06-20T15:46:00Z</dcterms:modified>
</cp:coreProperties>
</file>