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7A" w:rsidRPr="0077188E" w:rsidRDefault="00446C7A" w:rsidP="00446C7A">
      <w:pPr>
        <w:spacing w:line="240" w:lineRule="auto"/>
        <w:rPr>
          <w:b/>
        </w:rPr>
      </w:pPr>
      <w:r w:rsidRPr="0077188E">
        <w:rPr>
          <w:b/>
        </w:rPr>
        <w:t>BEFORE THE</w:t>
      </w:r>
    </w:p>
    <w:p w:rsidR="00446C7A" w:rsidRPr="0077188E" w:rsidRDefault="00446C7A" w:rsidP="00446C7A">
      <w:pPr>
        <w:spacing w:line="240" w:lineRule="auto"/>
        <w:rPr>
          <w:b/>
        </w:rPr>
      </w:pPr>
      <w:r w:rsidRPr="0077188E">
        <w:rPr>
          <w:b/>
        </w:rPr>
        <w:t>PENNSYLVANIA PUBLIC UTILITY COMMISSION</w:t>
      </w:r>
    </w:p>
    <w:p w:rsidR="00446C7A" w:rsidRDefault="00446C7A" w:rsidP="00446C7A">
      <w:pPr>
        <w:spacing w:line="240" w:lineRule="auto"/>
        <w:rPr>
          <w:b/>
        </w:rPr>
      </w:pPr>
    </w:p>
    <w:p w:rsidR="00446C7A" w:rsidRPr="0077188E" w:rsidRDefault="00446C7A" w:rsidP="00446C7A">
      <w:pPr>
        <w:spacing w:line="240" w:lineRule="auto"/>
        <w:rPr>
          <w:b/>
        </w:rPr>
      </w:pPr>
    </w:p>
    <w:p w:rsidR="00446C7A" w:rsidRPr="0077188E" w:rsidRDefault="00446C7A" w:rsidP="00446C7A">
      <w:pPr>
        <w:spacing w:line="240" w:lineRule="auto"/>
        <w:rPr>
          <w:b/>
        </w:rPr>
      </w:pPr>
    </w:p>
    <w:p w:rsidR="00446C7A" w:rsidRPr="0077188E" w:rsidRDefault="00446C7A" w:rsidP="00446C7A">
      <w:pPr>
        <w:spacing w:line="240" w:lineRule="auto"/>
        <w:jc w:val="left"/>
      </w:pPr>
      <w:r w:rsidRPr="0077188E">
        <w:t xml:space="preserve">Tracey Andrews </w:t>
      </w:r>
      <w:r w:rsidRPr="0077188E">
        <w:tab/>
      </w:r>
      <w:r w:rsidRPr="0077188E">
        <w:tab/>
      </w:r>
      <w:r w:rsidRPr="0077188E">
        <w:tab/>
      </w:r>
      <w:r w:rsidRPr="0077188E">
        <w:tab/>
      </w:r>
      <w:r>
        <w:tab/>
      </w:r>
      <w:r w:rsidRPr="0077188E">
        <w:t>:</w:t>
      </w:r>
    </w:p>
    <w:p w:rsidR="00446C7A" w:rsidRPr="0077188E" w:rsidRDefault="00446C7A" w:rsidP="00446C7A">
      <w:pPr>
        <w:spacing w:line="240" w:lineRule="auto"/>
        <w:jc w:val="left"/>
      </w:pPr>
      <w:r w:rsidRPr="0077188E">
        <w:tab/>
      </w:r>
      <w:r w:rsidRPr="0077188E">
        <w:tab/>
      </w:r>
      <w:r w:rsidRPr="0077188E">
        <w:tab/>
      </w:r>
      <w:r w:rsidRPr="0077188E">
        <w:tab/>
      </w:r>
      <w:r w:rsidRPr="0077188E">
        <w:tab/>
      </w:r>
      <w:r w:rsidRPr="0077188E">
        <w:tab/>
      </w:r>
      <w:r>
        <w:tab/>
      </w:r>
      <w:r w:rsidRPr="0077188E">
        <w:t>:</w:t>
      </w:r>
    </w:p>
    <w:p w:rsidR="00446C7A" w:rsidRPr="0077188E" w:rsidRDefault="00446C7A" w:rsidP="00446C7A">
      <w:pPr>
        <w:spacing w:line="240" w:lineRule="auto"/>
        <w:jc w:val="left"/>
      </w:pPr>
      <w:r w:rsidRPr="0077188E">
        <w:tab/>
        <w:t>v.</w:t>
      </w:r>
      <w:r w:rsidRPr="0077188E">
        <w:tab/>
      </w:r>
      <w:r w:rsidRPr="0077188E">
        <w:tab/>
      </w:r>
      <w:r w:rsidRPr="0077188E">
        <w:tab/>
      </w:r>
      <w:r w:rsidRPr="0077188E">
        <w:tab/>
      </w:r>
      <w:r w:rsidRPr="0077188E">
        <w:tab/>
      </w:r>
      <w:r>
        <w:tab/>
        <w:t>:</w:t>
      </w:r>
      <w:r>
        <w:tab/>
      </w:r>
      <w:r>
        <w:tab/>
      </w:r>
      <w:r w:rsidRPr="0077188E">
        <w:t>C-2012-2304551</w:t>
      </w:r>
    </w:p>
    <w:p w:rsidR="00446C7A" w:rsidRPr="0077188E" w:rsidRDefault="00446C7A" w:rsidP="00446C7A">
      <w:pPr>
        <w:spacing w:line="240" w:lineRule="auto"/>
        <w:jc w:val="left"/>
      </w:pPr>
      <w:r w:rsidRPr="0077188E">
        <w:tab/>
      </w:r>
      <w:r w:rsidRPr="0077188E">
        <w:tab/>
      </w:r>
      <w:r w:rsidRPr="0077188E">
        <w:tab/>
      </w:r>
      <w:r w:rsidRPr="0077188E">
        <w:tab/>
      </w:r>
      <w:r w:rsidRPr="0077188E">
        <w:tab/>
      </w:r>
      <w:r w:rsidRPr="0077188E">
        <w:tab/>
      </w:r>
      <w:r>
        <w:tab/>
      </w:r>
      <w:r w:rsidRPr="0077188E">
        <w:t>:</w:t>
      </w:r>
    </w:p>
    <w:p w:rsidR="00446C7A" w:rsidRPr="0077188E" w:rsidRDefault="00446C7A" w:rsidP="00446C7A">
      <w:pPr>
        <w:spacing w:line="240" w:lineRule="auto"/>
        <w:jc w:val="left"/>
      </w:pPr>
      <w:r w:rsidRPr="0077188E">
        <w:t>PPL Electric Utilities Corporation</w:t>
      </w:r>
      <w:r w:rsidRPr="0077188E">
        <w:tab/>
      </w:r>
      <w:r w:rsidRPr="0077188E">
        <w:tab/>
      </w:r>
      <w:r>
        <w:tab/>
      </w:r>
      <w:r w:rsidRPr="0077188E">
        <w:t>:</w:t>
      </w:r>
    </w:p>
    <w:p w:rsidR="00446C7A" w:rsidRDefault="00446C7A" w:rsidP="00446C7A">
      <w:pPr>
        <w:spacing w:line="240" w:lineRule="auto"/>
        <w:jc w:val="left"/>
      </w:pPr>
    </w:p>
    <w:p w:rsidR="00446C7A" w:rsidRPr="0077188E" w:rsidRDefault="00446C7A" w:rsidP="00446C7A">
      <w:pPr>
        <w:spacing w:line="240" w:lineRule="auto"/>
        <w:jc w:val="left"/>
      </w:pPr>
    </w:p>
    <w:p w:rsidR="00446C7A" w:rsidRPr="0077188E" w:rsidRDefault="00446C7A" w:rsidP="00446C7A">
      <w:pPr>
        <w:spacing w:line="240" w:lineRule="auto"/>
        <w:jc w:val="left"/>
      </w:pPr>
      <w:r w:rsidRPr="0077188E">
        <w:t xml:space="preserve">William Andrews </w:t>
      </w:r>
      <w:r w:rsidRPr="0077188E">
        <w:tab/>
      </w:r>
      <w:r w:rsidRPr="0077188E">
        <w:tab/>
      </w:r>
      <w:r w:rsidRPr="0077188E">
        <w:tab/>
      </w:r>
      <w:r w:rsidRPr="0077188E">
        <w:tab/>
      </w:r>
      <w:r>
        <w:tab/>
      </w:r>
      <w:r w:rsidRPr="0077188E">
        <w:t>:</w:t>
      </w:r>
    </w:p>
    <w:p w:rsidR="00446C7A" w:rsidRPr="0077188E" w:rsidRDefault="00446C7A" w:rsidP="00446C7A">
      <w:pPr>
        <w:spacing w:line="240" w:lineRule="auto"/>
        <w:jc w:val="left"/>
      </w:pPr>
      <w:r w:rsidRPr="0077188E">
        <w:tab/>
      </w:r>
      <w:r w:rsidRPr="0077188E">
        <w:tab/>
      </w:r>
      <w:r w:rsidRPr="0077188E">
        <w:tab/>
      </w:r>
      <w:r w:rsidRPr="0077188E">
        <w:tab/>
      </w:r>
      <w:r w:rsidRPr="0077188E">
        <w:tab/>
      </w:r>
      <w:r w:rsidRPr="0077188E">
        <w:tab/>
      </w:r>
      <w:r>
        <w:tab/>
      </w:r>
      <w:r w:rsidRPr="0077188E">
        <w:t>:</w:t>
      </w:r>
    </w:p>
    <w:p w:rsidR="00446C7A" w:rsidRPr="0077188E" w:rsidRDefault="00446C7A" w:rsidP="00446C7A">
      <w:pPr>
        <w:spacing w:line="240" w:lineRule="auto"/>
        <w:jc w:val="left"/>
      </w:pPr>
      <w:r w:rsidRPr="0077188E">
        <w:tab/>
        <w:t>v.</w:t>
      </w:r>
      <w:r w:rsidRPr="0077188E">
        <w:tab/>
      </w:r>
      <w:r w:rsidRPr="0077188E">
        <w:tab/>
      </w:r>
      <w:r w:rsidRPr="0077188E">
        <w:tab/>
      </w:r>
      <w:r w:rsidRPr="0077188E">
        <w:tab/>
      </w:r>
      <w:r w:rsidRPr="0077188E">
        <w:tab/>
      </w:r>
      <w:r>
        <w:tab/>
        <w:t>:</w:t>
      </w:r>
      <w:r>
        <w:tab/>
      </w:r>
      <w:r>
        <w:tab/>
      </w:r>
      <w:r w:rsidRPr="0077188E">
        <w:t>C-2012-230</w:t>
      </w:r>
      <w:r w:rsidR="00A840DC">
        <w:t>0</w:t>
      </w:r>
      <w:r w:rsidRPr="0077188E">
        <w:t>410</w:t>
      </w:r>
    </w:p>
    <w:p w:rsidR="00446C7A" w:rsidRPr="0077188E" w:rsidRDefault="00446C7A" w:rsidP="00446C7A">
      <w:pPr>
        <w:spacing w:line="240" w:lineRule="auto"/>
        <w:jc w:val="left"/>
      </w:pPr>
      <w:r w:rsidRPr="0077188E">
        <w:tab/>
      </w:r>
      <w:r w:rsidRPr="0077188E">
        <w:tab/>
      </w:r>
      <w:r w:rsidRPr="0077188E">
        <w:tab/>
      </w:r>
      <w:r w:rsidRPr="0077188E">
        <w:tab/>
      </w:r>
      <w:r w:rsidRPr="0077188E">
        <w:tab/>
      </w:r>
      <w:r w:rsidRPr="0077188E">
        <w:tab/>
      </w:r>
      <w:r>
        <w:tab/>
      </w:r>
      <w:r w:rsidRPr="0077188E">
        <w:t>:</w:t>
      </w:r>
    </w:p>
    <w:p w:rsidR="00446C7A" w:rsidRPr="0077188E" w:rsidRDefault="00446C7A" w:rsidP="00446C7A">
      <w:pPr>
        <w:spacing w:line="240" w:lineRule="auto"/>
        <w:jc w:val="left"/>
      </w:pPr>
      <w:r w:rsidRPr="0077188E">
        <w:t>PPL Electric Utilities Corporation</w:t>
      </w:r>
      <w:r w:rsidRPr="0077188E">
        <w:tab/>
      </w:r>
      <w:r w:rsidRPr="0077188E">
        <w:tab/>
      </w:r>
      <w:r>
        <w:tab/>
      </w:r>
      <w:r w:rsidRPr="0077188E">
        <w:t>:</w:t>
      </w:r>
    </w:p>
    <w:p w:rsidR="00446C7A" w:rsidRDefault="00446C7A" w:rsidP="00446C7A">
      <w:pPr>
        <w:spacing w:line="240" w:lineRule="auto"/>
        <w:jc w:val="left"/>
      </w:pPr>
    </w:p>
    <w:p w:rsidR="00446C7A" w:rsidRPr="0077188E" w:rsidRDefault="00446C7A" w:rsidP="00446C7A">
      <w:pPr>
        <w:spacing w:line="240" w:lineRule="auto"/>
        <w:jc w:val="left"/>
      </w:pPr>
    </w:p>
    <w:p w:rsidR="00446C7A" w:rsidRPr="0077188E" w:rsidRDefault="00446C7A" w:rsidP="00446C7A">
      <w:pPr>
        <w:spacing w:line="240" w:lineRule="auto"/>
        <w:jc w:val="left"/>
      </w:pPr>
    </w:p>
    <w:p w:rsidR="00446C7A" w:rsidRPr="0077188E" w:rsidRDefault="00446C7A" w:rsidP="00446C7A">
      <w:pPr>
        <w:spacing w:line="240" w:lineRule="auto"/>
        <w:rPr>
          <w:b/>
          <w:u w:val="single"/>
        </w:rPr>
      </w:pPr>
      <w:r w:rsidRPr="0077188E">
        <w:rPr>
          <w:b/>
          <w:u w:val="single"/>
        </w:rPr>
        <w:t>INITIAL DECISION</w:t>
      </w:r>
    </w:p>
    <w:p w:rsidR="00446C7A" w:rsidRDefault="00446C7A" w:rsidP="00446C7A">
      <w:pPr>
        <w:spacing w:line="240" w:lineRule="auto"/>
        <w:rPr>
          <w:b/>
          <w:u w:val="single"/>
        </w:rPr>
      </w:pPr>
    </w:p>
    <w:p w:rsidR="00446C7A" w:rsidRPr="0077188E" w:rsidRDefault="00446C7A" w:rsidP="00446C7A">
      <w:pPr>
        <w:spacing w:line="240" w:lineRule="auto"/>
        <w:rPr>
          <w:b/>
          <w:u w:val="single"/>
        </w:rPr>
      </w:pPr>
    </w:p>
    <w:p w:rsidR="00446C7A" w:rsidRPr="0077188E" w:rsidRDefault="00446C7A" w:rsidP="00446C7A">
      <w:pPr>
        <w:spacing w:line="240" w:lineRule="auto"/>
        <w:rPr>
          <w:b/>
        </w:rPr>
      </w:pPr>
      <w:r w:rsidRPr="0077188E">
        <w:rPr>
          <w:b/>
        </w:rPr>
        <w:t xml:space="preserve">Granting the Motion for Summary Judgment filed </w:t>
      </w:r>
    </w:p>
    <w:p w:rsidR="00446C7A" w:rsidRPr="0077188E" w:rsidRDefault="00446C7A" w:rsidP="00446C7A">
      <w:pPr>
        <w:spacing w:line="240" w:lineRule="auto"/>
        <w:rPr>
          <w:b/>
        </w:rPr>
      </w:pPr>
      <w:r w:rsidRPr="0077188E">
        <w:rPr>
          <w:b/>
        </w:rPr>
        <w:t>by PPL Electric Utilities Corporation</w:t>
      </w:r>
    </w:p>
    <w:p w:rsidR="00446C7A" w:rsidRDefault="00446C7A" w:rsidP="00446C7A">
      <w:pPr>
        <w:spacing w:line="240" w:lineRule="auto"/>
        <w:rPr>
          <w:b/>
          <w:u w:val="single"/>
        </w:rPr>
      </w:pPr>
    </w:p>
    <w:p w:rsidR="00446C7A" w:rsidRPr="0077188E" w:rsidRDefault="00446C7A" w:rsidP="00446C7A">
      <w:pPr>
        <w:spacing w:line="240" w:lineRule="auto"/>
        <w:rPr>
          <w:b/>
          <w:u w:val="single"/>
        </w:rPr>
      </w:pPr>
    </w:p>
    <w:p w:rsidR="00446C7A" w:rsidRPr="0077188E" w:rsidRDefault="00446C7A" w:rsidP="00446C7A">
      <w:pPr>
        <w:spacing w:line="240" w:lineRule="auto"/>
      </w:pPr>
      <w:r w:rsidRPr="0077188E">
        <w:t>Before</w:t>
      </w:r>
    </w:p>
    <w:p w:rsidR="00446C7A" w:rsidRPr="0077188E" w:rsidRDefault="00446C7A" w:rsidP="00446C7A">
      <w:pPr>
        <w:spacing w:line="240" w:lineRule="auto"/>
      </w:pPr>
      <w:r w:rsidRPr="0077188E">
        <w:t>Susan D. Colwell</w:t>
      </w:r>
    </w:p>
    <w:p w:rsidR="00446C7A" w:rsidRPr="0077188E" w:rsidRDefault="00446C7A" w:rsidP="00446C7A">
      <w:pPr>
        <w:spacing w:line="240" w:lineRule="auto"/>
      </w:pPr>
      <w:r w:rsidRPr="0077188E">
        <w:t>Administrative Law Judge</w:t>
      </w:r>
    </w:p>
    <w:p w:rsidR="00446C7A" w:rsidRPr="0077188E" w:rsidRDefault="00446C7A" w:rsidP="00446C7A">
      <w:pPr>
        <w:spacing w:line="240" w:lineRule="auto"/>
      </w:pPr>
    </w:p>
    <w:p w:rsidR="00446C7A" w:rsidRPr="0077188E" w:rsidRDefault="00446C7A" w:rsidP="00446C7A">
      <w:pPr>
        <w:spacing w:line="240" w:lineRule="auto"/>
      </w:pPr>
    </w:p>
    <w:p w:rsidR="00446C7A" w:rsidRPr="0077188E" w:rsidRDefault="00446C7A" w:rsidP="00446C7A">
      <w:pPr>
        <w:spacing w:line="240" w:lineRule="auto"/>
        <w:rPr>
          <w:u w:val="single"/>
        </w:rPr>
      </w:pPr>
      <w:r w:rsidRPr="0077188E">
        <w:rPr>
          <w:u w:val="single"/>
        </w:rPr>
        <w:t>HISTORY OF THE PROCEEDINGS</w:t>
      </w:r>
    </w:p>
    <w:p w:rsidR="00446C7A" w:rsidRPr="0077188E" w:rsidRDefault="00446C7A" w:rsidP="00446C7A">
      <w:pPr>
        <w:spacing w:line="240" w:lineRule="auto"/>
        <w:rPr>
          <w:u w:val="single"/>
        </w:rPr>
      </w:pPr>
    </w:p>
    <w:p w:rsidR="00446C7A" w:rsidRPr="0077188E" w:rsidRDefault="00446C7A" w:rsidP="00446C7A">
      <w:pPr>
        <w:spacing w:line="240" w:lineRule="auto"/>
        <w:rPr>
          <w:u w:val="single"/>
        </w:rPr>
      </w:pPr>
    </w:p>
    <w:p w:rsidR="00446C7A" w:rsidRPr="0077188E" w:rsidRDefault="00446C7A" w:rsidP="00446C7A">
      <w:pPr>
        <w:jc w:val="left"/>
      </w:pPr>
      <w:r w:rsidRPr="0077188E">
        <w:tab/>
      </w:r>
      <w:r w:rsidRPr="0077188E">
        <w:tab/>
        <w:t>The purpose of this Initial Decision is to grant the Motion for Summary Judgment filed by PPL Electric Utilities Corporation where the factual issues are not in dispute, the safety issues have been addressed, and the remaining issues are beyond the jurisdiction of the Commission to grant.</w:t>
      </w:r>
    </w:p>
    <w:p w:rsidR="00446C7A" w:rsidRPr="0077188E" w:rsidRDefault="00446C7A" w:rsidP="00446C7A">
      <w:pPr>
        <w:jc w:val="left"/>
      </w:pPr>
    </w:p>
    <w:p w:rsidR="00446C7A" w:rsidRPr="0077188E" w:rsidRDefault="00446C7A" w:rsidP="00446C7A">
      <w:pPr>
        <w:jc w:val="left"/>
      </w:pPr>
      <w:r w:rsidRPr="0077188E">
        <w:tab/>
      </w:r>
      <w:r w:rsidRPr="0077188E">
        <w:tab/>
        <w:t xml:space="preserve">On April 19, 2012, William Andrews filed a formal Complaint against PPL Electric Utilities Corporation (PPL Electric or Respondent) alleging that (1) he wanted to oppose the rate increase, which is docketed at C-2012-2300402 and consolidated with the base rate case </w:t>
      </w:r>
      <w:r w:rsidRPr="0077188E">
        <w:lastRenderedPageBreak/>
        <w:t>at R-2012-2290597</w:t>
      </w:r>
      <w:r w:rsidRPr="0077188E">
        <w:rPr>
          <w:rStyle w:val="FootnoteReference"/>
        </w:rPr>
        <w:footnoteReference w:id="1"/>
      </w:r>
      <w:r w:rsidRPr="0077188E">
        <w:t>; and (2) the Respondent has refused to show the right</w:t>
      </w:r>
      <w:r>
        <w:t>-</w:t>
      </w:r>
      <w:r w:rsidRPr="0077188E">
        <w:t>of</w:t>
      </w:r>
      <w:r>
        <w:t>-</w:t>
      </w:r>
      <w:r w:rsidR="00014995">
        <w:t>way for the power </w:t>
      </w:r>
      <w:r w:rsidRPr="0077188E">
        <w:t>lines on his property despite his asking many times, docketed at C-2012-2300410, to be addressed here.  He alleged that the lines are a safety hazard to his home and property.  He asks that the Commission not grant a rate increase until his issues have been resolved.</w:t>
      </w:r>
    </w:p>
    <w:p w:rsidR="00446C7A" w:rsidRPr="0077188E" w:rsidRDefault="00446C7A" w:rsidP="00446C7A">
      <w:pPr>
        <w:jc w:val="left"/>
      </w:pPr>
    </w:p>
    <w:p w:rsidR="00446C7A" w:rsidRPr="0077188E" w:rsidRDefault="00446C7A" w:rsidP="00014995">
      <w:pPr>
        <w:jc w:val="left"/>
      </w:pPr>
      <w:r w:rsidRPr="0077188E">
        <w:tab/>
      </w:r>
      <w:r w:rsidRPr="0077188E">
        <w:tab/>
        <w:t>The Secretary served the Complaint on P</w:t>
      </w:r>
      <w:r w:rsidR="00014995">
        <w:t xml:space="preserve">PL Electric on April 24, 2012. </w:t>
      </w:r>
      <w:bookmarkStart w:id="0" w:name="_GoBack"/>
      <w:bookmarkEnd w:id="0"/>
      <w:r w:rsidR="00014995">
        <w:t>R</w:t>
      </w:r>
      <w:r w:rsidRPr="0077188E">
        <w:t>espondent filed its Answer on May 24, 2012, denying the material allegations of the Complaint.</w:t>
      </w:r>
    </w:p>
    <w:p w:rsidR="00446C7A" w:rsidRPr="0077188E" w:rsidRDefault="00446C7A" w:rsidP="00446C7A">
      <w:pPr>
        <w:jc w:val="left"/>
      </w:pPr>
    </w:p>
    <w:p w:rsidR="00446C7A" w:rsidRPr="0077188E" w:rsidRDefault="00446C7A" w:rsidP="00446C7A">
      <w:pPr>
        <w:jc w:val="left"/>
      </w:pPr>
      <w:r w:rsidRPr="0077188E">
        <w:tab/>
      </w:r>
      <w:r w:rsidRPr="0077188E">
        <w:tab/>
        <w:t xml:space="preserve">Also on April 19, 2012, Tracey Andrews filed a formal Complaint against PPL Electric, although it was returned to her by the Commission's Secretary for her original signature and is docketed on May 1, 2012.  The Complaint alleges that there are power lines on her property and they are dangerous and should be removed, or, in the </w:t>
      </w:r>
      <w:r>
        <w:t xml:space="preserve">alternative, just compensation </w:t>
      </w:r>
      <w:r w:rsidRPr="0077188E">
        <w:t>should be given.  She alleges that the Carbondale Fire Department has been called because the power lines caused her trees to catch fire.</w:t>
      </w:r>
    </w:p>
    <w:p w:rsidR="00446C7A" w:rsidRPr="0077188E" w:rsidRDefault="00446C7A" w:rsidP="00446C7A">
      <w:pPr>
        <w:jc w:val="left"/>
      </w:pPr>
    </w:p>
    <w:p w:rsidR="00446C7A" w:rsidRPr="0077188E" w:rsidRDefault="00446C7A" w:rsidP="00446C7A">
      <w:pPr>
        <w:jc w:val="left"/>
      </w:pPr>
      <w:r w:rsidRPr="0077188E">
        <w:tab/>
      </w:r>
      <w:r w:rsidRPr="0077188E">
        <w:tab/>
        <w:t>The Respondent filed its Answer on June 5, 2012, denying the material allegations of the Complaint and asking that the matter be refer</w:t>
      </w:r>
      <w:r>
        <w:t>red to mediation.  Also on June 5, </w:t>
      </w:r>
      <w:r w:rsidRPr="0077188E">
        <w:t>2012, Respondent filed its Motion to Consolidate the two Complaints, alleging that the two Complainants are married and the same property is the subject of both complaints.</w:t>
      </w:r>
    </w:p>
    <w:p w:rsidR="00446C7A" w:rsidRPr="0077188E" w:rsidRDefault="00446C7A" w:rsidP="00446C7A">
      <w:pPr>
        <w:jc w:val="left"/>
      </w:pPr>
    </w:p>
    <w:p w:rsidR="00446C7A" w:rsidRPr="0077188E" w:rsidRDefault="00446C7A" w:rsidP="00446C7A">
      <w:pPr>
        <w:jc w:val="left"/>
      </w:pPr>
      <w:r w:rsidRPr="0077188E">
        <w:tab/>
      </w:r>
      <w:r w:rsidRPr="0077188E">
        <w:tab/>
        <w:t>On September 18, 2012, by Motion Judge Assignment Notice, the Motion to Consolidate was assigned to me for processing.  No opposition was filed to the Motion in either docket, and the matters were consolidated by Order dated October 12, 2012.</w:t>
      </w:r>
    </w:p>
    <w:p w:rsidR="00446C7A" w:rsidRPr="0077188E" w:rsidRDefault="00446C7A" w:rsidP="00446C7A">
      <w:pPr>
        <w:jc w:val="left"/>
      </w:pPr>
    </w:p>
    <w:p w:rsidR="00446C7A" w:rsidRPr="0077188E" w:rsidRDefault="00446C7A" w:rsidP="00446C7A">
      <w:pPr>
        <w:jc w:val="left"/>
      </w:pPr>
      <w:r w:rsidRPr="0077188E">
        <w:tab/>
      </w:r>
      <w:r w:rsidRPr="0077188E">
        <w:tab/>
        <w:t>The matter was referred to mediation, where it remained until the utility filed a Motion for Summary Judgment on May 9, 2013, alleging that the safety issues alleged in the Complaints have been resolved and the remainder of the case should be dismissed for lack of subject matter jurisdiction.  No response was received within the twenty day answer period.  The</w:t>
      </w:r>
      <w:r>
        <w:t> </w:t>
      </w:r>
      <w:r w:rsidRPr="0077188E">
        <w:t>matter was assigned back to me on June 5, 2013, and the Motion for Summary Judgment is ripe for disposition.</w:t>
      </w:r>
    </w:p>
    <w:p w:rsidR="00446C7A" w:rsidRPr="0077188E" w:rsidRDefault="00446C7A" w:rsidP="00446C7A">
      <w:pPr>
        <w:jc w:val="left"/>
      </w:pPr>
    </w:p>
    <w:p w:rsidR="00446C7A" w:rsidRPr="0077188E" w:rsidRDefault="00446C7A" w:rsidP="00446C7A">
      <w:pPr>
        <w:rPr>
          <w:u w:val="single"/>
        </w:rPr>
      </w:pPr>
      <w:r w:rsidRPr="0077188E">
        <w:rPr>
          <w:u w:val="single"/>
        </w:rPr>
        <w:t>FINDINGS OF FACT</w:t>
      </w:r>
    </w:p>
    <w:p w:rsidR="00446C7A" w:rsidRPr="0077188E" w:rsidRDefault="00446C7A" w:rsidP="00446C7A">
      <w:pPr>
        <w:rPr>
          <w:u w:val="single"/>
        </w:rPr>
      </w:pPr>
    </w:p>
    <w:p w:rsidR="00446C7A" w:rsidRPr="0077188E" w:rsidRDefault="00446C7A" w:rsidP="00446C7A">
      <w:pPr>
        <w:jc w:val="left"/>
      </w:pPr>
      <w:r w:rsidRPr="0077188E">
        <w:tab/>
      </w:r>
      <w:r w:rsidRPr="0077188E">
        <w:tab/>
        <w:t>1.</w:t>
      </w:r>
      <w:r w:rsidRPr="0077188E">
        <w:tab/>
        <w:t>Complainants are William and Tracey Andrews, residing at 40 Gordon Avenue, Carbondale, PA 18407.</w:t>
      </w:r>
    </w:p>
    <w:p w:rsidR="00446C7A" w:rsidRPr="0077188E" w:rsidRDefault="00446C7A" w:rsidP="00446C7A">
      <w:pPr>
        <w:jc w:val="left"/>
      </w:pPr>
    </w:p>
    <w:p w:rsidR="00446C7A" w:rsidRPr="0077188E" w:rsidRDefault="00446C7A" w:rsidP="00446C7A">
      <w:pPr>
        <w:jc w:val="left"/>
      </w:pPr>
      <w:r w:rsidRPr="0077188E">
        <w:tab/>
      </w:r>
      <w:r w:rsidRPr="0077188E">
        <w:tab/>
        <w:t>2.</w:t>
      </w:r>
      <w:r w:rsidRPr="0077188E">
        <w:tab/>
        <w:t>Respondent is PPL Electric Utilities Corporation, a jurisdictional public utility providing residential and commercial electric distribution service in the Commonwealth of Pennsylvania.</w:t>
      </w:r>
    </w:p>
    <w:p w:rsidR="00446C7A" w:rsidRPr="0077188E" w:rsidRDefault="00446C7A" w:rsidP="00446C7A">
      <w:pPr>
        <w:jc w:val="left"/>
      </w:pPr>
    </w:p>
    <w:p w:rsidR="00446C7A" w:rsidRPr="0077188E" w:rsidRDefault="00446C7A" w:rsidP="00446C7A">
      <w:pPr>
        <w:jc w:val="left"/>
      </w:pPr>
      <w:r w:rsidRPr="0077188E">
        <w:tab/>
      </w:r>
      <w:r w:rsidRPr="0077188E">
        <w:tab/>
        <w:t>3.</w:t>
      </w:r>
      <w:r w:rsidRPr="0077188E">
        <w:tab/>
        <w:t>Following a resolution conference on September 4, 2012, Complainants permitted Respondent's employees to enter the Complainants' property to identify problem vegetation and subsequently to trim it.  Motion ¶10.</w:t>
      </w:r>
    </w:p>
    <w:p w:rsidR="00446C7A" w:rsidRPr="0077188E" w:rsidRDefault="00446C7A" w:rsidP="00446C7A">
      <w:pPr>
        <w:jc w:val="left"/>
      </w:pPr>
    </w:p>
    <w:p w:rsidR="00446C7A" w:rsidRPr="0077188E" w:rsidRDefault="00446C7A" w:rsidP="00446C7A">
      <w:pPr>
        <w:jc w:val="left"/>
      </w:pPr>
      <w:r w:rsidRPr="0077188E">
        <w:tab/>
      </w:r>
      <w:r w:rsidRPr="0077188E">
        <w:tab/>
        <w:t>4.</w:t>
      </w:r>
      <w:r w:rsidRPr="0077188E">
        <w:tab/>
        <w:t>PPL's Line Clearance Inspector, Stephen M. Lefchak, personally oversaw the tree removal and trimming which occurred on the distribution line in question.  Motion ¶17, Affidavit of Stephen M. Lefchak ¶6.</w:t>
      </w:r>
    </w:p>
    <w:p w:rsidR="00446C7A" w:rsidRPr="0077188E" w:rsidRDefault="00446C7A" w:rsidP="00446C7A">
      <w:pPr>
        <w:jc w:val="left"/>
      </w:pPr>
    </w:p>
    <w:p w:rsidR="00446C7A" w:rsidRPr="0077188E" w:rsidRDefault="00446C7A" w:rsidP="00446C7A">
      <w:pPr>
        <w:jc w:val="left"/>
      </w:pPr>
      <w:r w:rsidRPr="0077188E">
        <w:tab/>
      </w:r>
      <w:r w:rsidRPr="0077188E">
        <w:tab/>
        <w:t>5.</w:t>
      </w:r>
      <w:r w:rsidRPr="0077188E">
        <w:tab/>
        <w:t>The work at the site in question was completed by November 19, 2012, and stump removal was completed on December 28, 2012.  Affidavit of Stephen M. Lefchak ¶¶7, 8.</w:t>
      </w:r>
    </w:p>
    <w:p w:rsidR="00446C7A" w:rsidRPr="0077188E" w:rsidRDefault="00446C7A" w:rsidP="00446C7A">
      <w:pPr>
        <w:jc w:val="left"/>
      </w:pPr>
    </w:p>
    <w:p w:rsidR="00446C7A" w:rsidRPr="0077188E" w:rsidRDefault="00446C7A" w:rsidP="00446C7A">
      <w:pPr>
        <w:jc w:val="left"/>
      </w:pPr>
      <w:r w:rsidRPr="0077188E">
        <w:tab/>
      </w:r>
      <w:r w:rsidRPr="0077188E">
        <w:tab/>
        <w:t>6.</w:t>
      </w:r>
      <w:r w:rsidRPr="0077188E">
        <w:tab/>
        <w:t>The subject circuit is scheduled for maintenan</w:t>
      </w:r>
      <w:r>
        <w:t>ce trimming again in 2015.  ¶8.</w:t>
      </w:r>
    </w:p>
    <w:p w:rsidR="00446C7A" w:rsidRPr="0077188E" w:rsidRDefault="00446C7A" w:rsidP="00446C7A">
      <w:pPr>
        <w:jc w:val="left"/>
      </w:pPr>
    </w:p>
    <w:p w:rsidR="00446C7A" w:rsidRPr="0077188E" w:rsidRDefault="00446C7A" w:rsidP="00446C7A">
      <w:pPr>
        <w:jc w:val="left"/>
      </w:pPr>
      <w:r w:rsidRPr="0077188E">
        <w:tab/>
      </w:r>
      <w:r w:rsidRPr="0077188E">
        <w:tab/>
        <w:t>7.</w:t>
      </w:r>
      <w:r w:rsidRPr="0077188E">
        <w:tab/>
        <w:t>PPL's Right</w:t>
      </w:r>
      <w:r>
        <w:t>-</w:t>
      </w:r>
      <w:r w:rsidRPr="0077188E">
        <w:t>of</w:t>
      </w:r>
      <w:r>
        <w:t>-</w:t>
      </w:r>
      <w:r w:rsidRPr="0077188E">
        <w:t>Way Agent, Margaret R. Alvarez, conducted an investigation into the three poles in question and discovered that they were placed in their current locations in 1928, 1935, and 1950, when the property was owned by the Delaware and Hudson Railroad Company (D&amp;HRR).  D&amp;HRR sold the property to John and Enid Baumann in 1968, who in turn, sold the property to the Complainants in 1976.  Affidavit of Margaret R. Alvarez ¶4.</w:t>
      </w:r>
    </w:p>
    <w:p w:rsidR="00446C7A" w:rsidRPr="0077188E" w:rsidRDefault="00446C7A" w:rsidP="00446C7A">
      <w:pPr>
        <w:jc w:val="left"/>
      </w:pPr>
    </w:p>
    <w:p w:rsidR="00446C7A" w:rsidRPr="0077188E" w:rsidRDefault="00446C7A" w:rsidP="00446C7A">
      <w:pPr>
        <w:jc w:val="left"/>
      </w:pPr>
      <w:r w:rsidRPr="0077188E">
        <w:tab/>
      </w:r>
      <w:r w:rsidRPr="0077188E">
        <w:tab/>
        <w:t>8.</w:t>
      </w:r>
      <w:r w:rsidRPr="0077188E">
        <w:tab/>
        <w:t>The three poles in question appear to be located within the Lancaster County road right</w:t>
      </w:r>
      <w:r>
        <w:t>-</w:t>
      </w:r>
      <w:r w:rsidRPr="0077188E">
        <w:t>of</w:t>
      </w:r>
      <w:r>
        <w:t>-</w:t>
      </w:r>
      <w:r w:rsidRPr="0077188E">
        <w:t>way.  Affidavit of Margaret R. Alvarez ¶8.</w:t>
      </w:r>
    </w:p>
    <w:p w:rsidR="00446C7A" w:rsidRPr="0077188E" w:rsidRDefault="00446C7A" w:rsidP="00446C7A">
      <w:pPr>
        <w:jc w:val="left"/>
      </w:pPr>
    </w:p>
    <w:p w:rsidR="00446C7A" w:rsidRPr="0077188E" w:rsidRDefault="00446C7A" w:rsidP="00446C7A">
      <w:pPr>
        <w:jc w:val="left"/>
      </w:pPr>
      <w:r w:rsidRPr="0077188E">
        <w:tab/>
      </w:r>
      <w:r w:rsidRPr="0077188E">
        <w:tab/>
        <w:t>9.</w:t>
      </w:r>
      <w:r w:rsidRPr="0077188E">
        <w:tab/>
        <w:t>On May 9, 2013, Respondent filed a Motion for Summary Judgment.</w:t>
      </w:r>
    </w:p>
    <w:p w:rsidR="00446C7A" w:rsidRPr="0077188E" w:rsidRDefault="00446C7A" w:rsidP="00446C7A">
      <w:pPr>
        <w:jc w:val="left"/>
      </w:pPr>
    </w:p>
    <w:p w:rsidR="00446C7A" w:rsidRPr="0077188E" w:rsidRDefault="00446C7A" w:rsidP="00446C7A">
      <w:pPr>
        <w:jc w:val="left"/>
      </w:pPr>
      <w:r w:rsidRPr="0077188E">
        <w:tab/>
      </w:r>
      <w:r w:rsidRPr="0077188E">
        <w:tab/>
        <w:t>10.</w:t>
      </w:r>
      <w:r w:rsidRPr="0077188E">
        <w:tab/>
        <w:t>No responsive pleading was filed.</w:t>
      </w:r>
    </w:p>
    <w:p w:rsidR="00446C7A" w:rsidRPr="0077188E" w:rsidRDefault="00446C7A" w:rsidP="00446C7A">
      <w:pPr>
        <w:jc w:val="left"/>
      </w:pPr>
    </w:p>
    <w:p w:rsidR="00446C7A" w:rsidRPr="0077188E" w:rsidRDefault="00446C7A" w:rsidP="00446C7A">
      <w:pPr>
        <w:rPr>
          <w:u w:val="single"/>
        </w:rPr>
      </w:pPr>
      <w:r w:rsidRPr="0077188E">
        <w:rPr>
          <w:u w:val="single"/>
        </w:rPr>
        <w:t>DISCUSSION</w:t>
      </w:r>
    </w:p>
    <w:p w:rsidR="00446C7A" w:rsidRPr="0077188E" w:rsidRDefault="00446C7A" w:rsidP="00446C7A">
      <w:pPr>
        <w:rPr>
          <w:u w:val="single"/>
        </w:rPr>
      </w:pPr>
    </w:p>
    <w:p w:rsidR="00446C7A" w:rsidRPr="0077188E" w:rsidRDefault="00446C7A" w:rsidP="00446C7A">
      <w:pPr>
        <w:jc w:val="left"/>
      </w:pPr>
      <w:r w:rsidRPr="0077188E">
        <w:tab/>
      </w:r>
      <w:r w:rsidRPr="0077188E">
        <w:tab/>
        <w:t xml:space="preserve">Summary relief may be granted where the moving party establishes that the case is clear and free from doubt, that there exist no genuine issues of material fact to be tried and that the moving party is entitled to relief as a matter of law.  </w:t>
      </w:r>
      <w:r w:rsidRPr="0077188E">
        <w:rPr>
          <w:i/>
        </w:rPr>
        <w:t>Magazine Publishers of America v. Dept. of Revenue,</w:t>
      </w:r>
      <w:r w:rsidRPr="0077188E">
        <w:t xml:space="preserve"> 618 A.2d 156 (Pa. Cmwlth. 1992), AFF'D, 539 Pa. 563, 654 A.2d 519 (1994); </w:t>
      </w:r>
      <w:r w:rsidRPr="0077188E">
        <w:rPr>
          <w:i/>
        </w:rPr>
        <w:t xml:space="preserve">Dept. of Auditor General v. SERA, et al., </w:t>
      </w:r>
      <w:r w:rsidRPr="0077188E">
        <w:t>860 A.2d 206 (Pa. Cmwlth. Ct. 200</w:t>
      </w:r>
      <w:r>
        <w:t>4); 2004 Pa. Commw. LEXIS 756.</w:t>
      </w:r>
    </w:p>
    <w:p w:rsidR="00446C7A" w:rsidRPr="0077188E" w:rsidRDefault="00446C7A" w:rsidP="00446C7A">
      <w:pPr>
        <w:jc w:val="left"/>
      </w:pPr>
    </w:p>
    <w:p w:rsidR="00446C7A" w:rsidRPr="0077188E" w:rsidRDefault="00446C7A" w:rsidP="00446C7A">
      <w:pPr>
        <w:jc w:val="left"/>
      </w:pPr>
      <w:r w:rsidRPr="0077188E">
        <w:tab/>
      </w:r>
      <w:r w:rsidRPr="0077188E">
        <w:tab/>
        <w:t xml:space="preserve">The Complaints allege that the Respondent's power lines on the Complainants' property are a safety hazard, and the fire department had to be called because the power lines caused Complainants' trees to be set on fire.  As a remedy, the Complainants seek just compensation or removal of the power lines, or </w:t>
      </w:r>
      <w:r>
        <w:t>resolution of the safety issue.</w:t>
      </w:r>
    </w:p>
    <w:p w:rsidR="00446C7A" w:rsidRPr="0077188E" w:rsidRDefault="00446C7A" w:rsidP="00446C7A">
      <w:pPr>
        <w:jc w:val="left"/>
      </w:pPr>
    </w:p>
    <w:p w:rsidR="00446C7A" w:rsidRDefault="00446C7A" w:rsidP="00446C7A">
      <w:pPr>
        <w:jc w:val="left"/>
      </w:pPr>
      <w:r w:rsidRPr="0077188E">
        <w:tab/>
      </w:r>
      <w:r w:rsidRPr="0077188E">
        <w:tab/>
      </w:r>
      <w:r>
        <w:br w:type="page"/>
      </w:r>
    </w:p>
    <w:p w:rsidR="00446C7A" w:rsidRPr="0077188E" w:rsidRDefault="00446C7A" w:rsidP="00446C7A">
      <w:pPr>
        <w:jc w:val="left"/>
      </w:pPr>
      <w:r w:rsidRPr="0077188E">
        <w:t>Commission regulations provide:</w:t>
      </w:r>
    </w:p>
    <w:p w:rsidR="00446C7A" w:rsidRPr="0077188E" w:rsidRDefault="00446C7A" w:rsidP="00446C7A">
      <w:pPr>
        <w:spacing w:before="100" w:beforeAutospacing="1" w:after="100" w:afterAutospacing="1" w:line="240" w:lineRule="auto"/>
        <w:ind w:left="1440" w:right="1440"/>
        <w:jc w:val="left"/>
        <w:outlineLvl w:val="3"/>
        <w:rPr>
          <w:rFonts w:eastAsia="Times New Roman"/>
          <w:b/>
          <w:bCs/>
        </w:rPr>
      </w:pPr>
      <w:bookmarkStart w:id="1" w:name="5.102."/>
      <w:r w:rsidRPr="0077188E">
        <w:rPr>
          <w:rFonts w:eastAsia="Times New Roman"/>
          <w:b/>
          <w:bCs/>
        </w:rPr>
        <w:t>§ 5.102. Motions for summary judgment and judgment on the pleadings.</w:t>
      </w:r>
    </w:p>
    <w:p w:rsidR="00446C7A" w:rsidRPr="0077188E" w:rsidRDefault="00446C7A" w:rsidP="00446C7A">
      <w:pPr>
        <w:spacing w:before="100" w:beforeAutospacing="1" w:after="100" w:afterAutospacing="1" w:line="240" w:lineRule="auto"/>
        <w:ind w:left="1440" w:right="1440"/>
        <w:outlineLvl w:val="3"/>
        <w:rPr>
          <w:rFonts w:eastAsia="Times New Roman"/>
          <w:b/>
          <w:bCs/>
        </w:rPr>
      </w:pPr>
      <w:r w:rsidRPr="0077188E">
        <w:rPr>
          <w:rFonts w:eastAsia="Times New Roman"/>
          <w:b/>
          <w:bCs/>
        </w:rPr>
        <w:t>* * *</w:t>
      </w:r>
    </w:p>
    <w:p w:rsidR="00446C7A" w:rsidRPr="0077188E" w:rsidRDefault="00446C7A" w:rsidP="00446C7A">
      <w:pPr>
        <w:spacing w:before="100" w:beforeAutospacing="1" w:after="100" w:afterAutospacing="1" w:line="240" w:lineRule="auto"/>
        <w:ind w:left="1440" w:right="1440"/>
        <w:jc w:val="left"/>
        <w:rPr>
          <w:rFonts w:eastAsia="Times New Roman"/>
        </w:rPr>
      </w:pPr>
      <w:r w:rsidRPr="0077188E">
        <w:rPr>
          <w:rFonts w:eastAsia="Times New Roman"/>
        </w:rPr>
        <w:t> (d)  </w:t>
      </w:r>
      <w:r w:rsidRPr="0077188E">
        <w:rPr>
          <w:rFonts w:eastAsia="Times New Roman"/>
          <w:i/>
          <w:iCs/>
        </w:rPr>
        <w:t>Decisions on motions</w:t>
      </w:r>
      <w:r>
        <w:rPr>
          <w:rFonts w:eastAsia="Times New Roman"/>
        </w:rPr>
        <w:t>.</w:t>
      </w:r>
    </w:p>
    <w:p w:rsidR="00446C7A" w:rsidRPr="0077188E" w:rsidRDefault="00446C7A" w:rsidP="00446C7A">
      <w:pPr>
        <w:spacing w:before="100" w:beforeAutospacing="1" w:after="100" w:afterAutospacing="1" w:line="240" w:lineRule="auto"/>
        <w:ind w:left="1440" w:right="1440"/>
        <w:jc w:val="left"/>
        <w:rPr>
          <w:rFonts w:eastAsia="Times New Roman"/>
        </w:rPr>
      </w:pPr>
      <w:r w:rsidRPr="0077188E">
        <w:rPr>
          <w:rFonts w:eastAsia="Times New Roman"/>
        </w:rPr>
        <w:t>   (1)  </w:t>
      </w:r>
      <w:r w:rsidRPr="0077188E">
        <w:rPr>
          <w:rFonts w:eastAsia="Times New Roman"/>
          <w:i/>
          <w:iCs/>
        </w:rPr>
        <w:t>Standard for grant or denial on all counts</w:t>
      </w:r>
      <w:r w:rsidRPr="0077188E">
        <w:rPr>
          <w:rFonts w:eastAsia="Times New Roman"/>
        </w:rPr>
        <w:t xml:space="preserve">. </w:t>
      </w:r>
      <w:r>
        <w:rPr>
          <w:rFonts w:eastAsia="Times New Roman"/>
        </w:rPr>
        <w:t xml:space="preserve"> </w:t>
      </w:r>
      <w:r w:rsidRPr="0077188E">
        <w:rPr>
          <w:rFonts w:eastAsia="Times New Roman"/>
        </w:rPr>
        <w:t xml:space="preserve">The presiding officer will grant or deny a motion for judgment on the pleadings or a motion for summary judgment, as appropriate. </w:t>
      </w:r>
      <w:r>
        <w:rPr>
          <w:rFonts w:eastAsia="Times New Roman"/>
        </w:rPr>
        <w:t xml:space="preserve"> </w:t>
      </w:r>
      <w:r w:rsidRPr="0077188E">
        <w:rPr>
          <w:rFonts w:eastAsia="Times New Roman"/>
        </w:rPr>
        <w:t>The judgment sought will be rendered if the applicable pleadings, depositions, answers to interrogatories and admissions, together with affidavits, if any, show that there is no genuine issue as to a material fact and that the moving party is entitled to</w:t>
      </w:r>
      <w:r>
        <w:rPr>
          <w:rFonts w:eastAsia="Times New Roman"/>
        </w:rPr>
        <w:t xml:space="preserve"> a judgment as a matter of law.</w:t>
      </w:r>
    </w:p>
    <w:p w:rsidR="00446C7A" w:rsidRPr="0077188E" w:rsidRDefault="00446C7A" w:rsidP="00446C7A">
      <w:pPr>
        <w:spacing w:before="100" w:beforeAutospacing="1" w:after="100" w:afterAutospacing="1" w:line="240" w:lineRule="auto"/>
        <w:ind w:left="1440" w:right="1440"/>
        <w:jc w:val="left"/>
        <w:rPr>
          <w:rFonts w:eastAsia="Times New Roman"/>
        </w:rPr>
      </w:pPr>
      <w:r w:rsidRPr="0077188E">
        <w:rPr>
          <w:rFonts w:eastAsia="Times New Roman"/>
        </w:rPr>
        <w:t>   (2)  </w:t>
      </w:r>
      <w:r w:rsidRPr="0077188E">
        <w:rPr>
          <w:rFonts w:eastAsia="Times New Roman"/>
          <w:i/>
          <w:iCs/>
        </w:rPr>
        <w:t>Standard for grant or denial in part</w:t>
      </w:r>
      <w:r w:rsidRPr="0077188E">
        <w:rPr>
          <w:rFonts w:eastAsia="Times New Roman"/>
        </w:rPr>
        <w:t xml:space="preserve">. </w:t>
      </w:r>
      <w:r>
        <w:rPr>
          <w:rFonts w:eastAsia="Times New Roman"/>
        </w:rPr>
        <w:t xml:space="preserve"> </w:t>
      </w:r>
      <w:r w:rsidRPr="0077188E">
        <w:rPr>
          <w:rFonts w:eastAsia="Times New Roman"/>
        </w:rPr>
        <w:t xml:space="preserve">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w:t>
      </w:r>
      <w:r>
        <w:rPr>
          <w:rFonts w:eastAsia="Times New Roman"/>
        </w:rPr>
        <w:t>but not all outstanding issues.</w:t>
      </w:r>
    </w:p>
    <w:p w:rsidR="00446C7A" w:rsidRPr="0077188E" w:rsidRDefault="00446C7A" w:rsidP="00446C7A">
      <w:pPr>
        <w:spacing w:before="100" w:beforeAutospacing="1" w:after="100" w:afterAutospacing="1" w:line="240" w:lineRule="auto"/>
        <w:ind w:left="1440" w:right="1440"/>
        <w:jc w:val="left"/>
        <w:rPr>
          <w:rFonts w:eastAsia="Times New Roman"/>
        </w:rPr>
      </w:pPr>
      <w:r w:rsidRPr="0077188E">
        <w:rPr>
          <w:rFonts w:eastAsia="Times New Roman"/>
        </w:rPr>
        <w:t>   (3)  </w:t>
      </w:r>
      <w:r w:rsidRPr="0077188E">
        <w:rPr>
          <w:rFonts w:eastAsia="Times New Roman"/>
          <w:i/>
          <w:iCs/>
        </w:rPr>
        <w:t>Form of decision</w:t>
      </w:r>
      <w:r w:rsidRPr="0077188E">
        <w:rPr>
          <w:rFonts w:eastAsia="Times New Roman"/>
        </w:rPr>
        <w:t xml:space="preserve">. </w:t>
      </w:r>
      <w:r>
        <w:rPr>
          <w:rFonts w:eastAsia="Times New Roman"/>
        </w:rPr>
        <w:t xml:space="preserve"> </w:t>
      </w:r>
      <w:r w:rsidRPr="0077188E">
        <w:rPr>
          <w:rFonts w:eastAsia="Times New Roman"/>
        </w:rPr>
        <w:t xml:space="preserve">The presiding officer will grant, in whole or in part, the motion in the form of an initial or recommended decision which shall be subject to exceptions as set forth in §  5.533 (relating to exceptions). </w:t>
      </w:r>
      <w:r>
        <w:rPr>
          <w:rFonts w:eastAsia="Times New Roman"/>
        </w:rPr>
        <w:t xml:space="preserve"> </w:t>
      </w:r>
      <w:r w:rsidRPr="0077188E">
        <w:rPr>
          <w:rFonts w:eastAsia="Times New Roman"/>
        </w:rPr>
        <w:t>Denial of a motion will be in the form of a written order.</w:t>
      </w:r>
    </w:p>
    <w:bookmarkEnd w:id="1"/>
    <w:p w:rsidR="00446C7A" w:rsidRPr="0077188E" w:rsidRDefault="00446C7A" w:rsidP="00446C7A">
      <w:pPr>
        <w:jc w:val="left"/>
      </w:pPr>
      <w:r w:rsidRPr="0077188E">
        <w:t>52 Pa. Code § 5.102 (in pertinent part).</w:t>
      </w:r>
    </w:p>
    <w:p w:rsidR="00446C7A" w:rsidRPr="0077188E" w:rsidRDefault="00446C7A" w:rsidP="00446C7A">
      <w:pPr>
        <w:jc w:val="left"/>
      </w:pPr>
    </w:p>
    <w:p w:rsidR="00446C7A" w:rsidRPr="0077188E" w:rsidRDefault="00446C7A" w:rsidP="00446C7A">
      <w:pPr>
        <w:jc w:val="left"/>
      </w:pPr>
      <w:r w:rsidRPr="0077188E">
        <w:tab/>
      </w:r>
      <w:r w:rsidRPr="0077188E">
        <w:tab/>
        <w:t>The facts must be evaluated in a light most favo</w:t>
      </w:r>
      <w:r>
        <w:t>rable to the non-moving party.</w:t>
      </w:r>
    </w:p>
    <w:p w:rsidR="00446C7A" w:rsidRPr="0077188E" w:rsidRDefault="00446C7A" w:rsidP="00446C7A">
      <w:pPr>
        <w:jc w:val="left"/>
      </w:pPr>
    </w:p>
    <w:p w:rsidR="00446C7A" w:rsidRPr="0077188E" w:rsidRDefault="00446C7A" w:rsidP="00446C7A">
      <w:pPr>
        <w:jc w:val="left"/>
      </w:pPr>
      <w:r w:rsidRPr="0077188E">
        <w:tab/>
      </w:r>
      <w:r w:rsidRPr="0077188E">
        <w:tab/>
        <w:t>I note that the usual method of ending a case initiated by a complaint, following resolution of the issues is for the utility to file a certificate of satisfaction, thus ending the litigation without the need for further involvement of the Commission</w:t>
      </w:r>
      <w:r>
        <w:t>,</w:t>
      </w:r>
      <w:r w:rsidRPr="0077188E">
        <w:t xml:space="preserve"> save the routine processing necessary to close a docket.  PPL's footnote 2 on page 7 of the Motion indicates that the Company has contacted Complainants' counsel to determine if the Complainants are satisfied but was unable to procure agreement to the satisfaction, although n</w:t>
      </w:r>
      <w:r>
        <w:t>o specific objection was made.</w:t>
      </w:r>
    </w:p>
    <w:p w:rsidR="00446C7A" w:rsidRPr="0077188E" w:rsidRDefault="00446C7A" w:rsidP="00446C7A">
      <w:pPr>
        <w:jc w:val="left"/>
      </w:pPr>
      <w:r w:rsidRPr="0077188E">
        <w:tab/>
      </w:r>
      <w:r w:rsidRPr="0077188E">
        <w:tab/>
        <w:t>While PPL has apparently been dealing with Complainants' counsel, there has been no notice of appearance made on behalf of either Complainant in this docket, as required by the Commission's rules of procedure.  52 Pa. Code § 1.24.  This has put the Respondent in the awkward position of not being able to contact the Complainants directly, as they have counsel, while not being able to serve and deal with only the Complainants' counsel exclusively, as he has not entered</w:t>
      </w:r>
      <w:r>
        <w:t xml:space="preserve"> an appearance in this matter.</w:t>
      </w:r>
    </w:p>
    <w:p w:rsidR="00446C7A" w:rsidRPr="0077188E" w:rsidRDefault="00446C7A" w:rsidP="00446C7A">
      <w:pPr>
        <w:jc w:val="left"/>
      </w:pPr>
    </w:p>
    <w:p w:rsidR="00446C7A" w:rsidRPr="0077188E" w:rsidRDefault="00446C7A" w:rsidP="00446C7A">
      <w:pPr>
        <w:jc w:val="left"/>
      </w:pPr>
      <w:r w:rsidRPr="0077188E">
        <w:tab/>
      </w:r>
      <w:r w:rsidRPr="0077188E">
        <w:tab/>
        <w:t>From the Commission's point of view, this approach is problematic as well, as unrepresented complainants are generally given more leeway in litigation matters than those represented by attorneys.  It would be quite unfair for Complainants to take advantage of this unwritten policy while actually receiving the be</w:t>
      </w:r>
      <w:r>
        <w:t>nefit of legal representation.</w:t>
      </w:r>
    </w:p>
    <w:p w:rsidR="00446C7A" w:rsidRPr="0077188E" w:rsidRDefault="00446C7A" w:rsidP="00446C7A">
      <w:pPr>
        <w:jc w:val="left"/>
      </w:pPr>
    </w:p>
    <w:p w:rsidR="00446C7A" w:rsidRPr="0077188E" w:rsidRDefault="00446C7A" w:rsidP="00446C7A">
      <w:pPr>
        <w:jc w:val="left"/>
      </w:pPr>
      <w:r w:rsidRPr="0077188E">
        <w:tab/>
      </w:r>
      <w:r w:rsidRPr="0077188E">
        <w:tab/>
        <w:t>However, from a strictly legal standpoint, Complainants are not represented by counsel, and the Respondent has filed a Motion for Summary Judgment.  Neither the Complainants nor their counsel, if any, has filed a response.  Therefore, regardless of the Complainants' representation, the analysis is based on the record as it exists.</w:t>
      </w:r>
    </w:p>
    <w:p w:rsidR="00446C7A" w:rsidRPr="0077188E" w:rsidRDefault="00446C7A" w:rsidP="00446C7A">
      <w:pPr>
        <w:jc w:val="left"/>
      </w:pPr>
    </w:p>
    <w:p w:rsidR="00446C7A" w:rsidRPr="0077188E" w:rsidRDefault="00446C7A" w:rsidP="00446C7A">
      <w:pPr>
        <w:jc w:val="left"/>
        <w:rPr>
          <w:rFonts w:eastAsia="Times New Roman"/>
        </w:rPr>
      </w:pPr>
      <w:r w:rsidRPr="0077188E">
        <w:tab/>
      </w:r>
      <w:r w:rsidRPr="0077188E">
        <w:tab/>
        <w:t xml:space="preserve">As the regulation requires, the Motion will be granted, "if </w:t>
      </w:r>
      <w:r w:rsidRPr="0077188E">
        <w:rPr>
          <w:rFonts w:eastAsia="Times New Roman"/>
        </w:rPr>
        <w:t>the applicable pleadings, depositions, answers to interrogatories and admissions, together with affidavits, if any, show that there is no genuine issue as to a material fact and that the moving party is entitled to a judgment as a matter of law</w:t>
      </w:r>
      <w:r>
        <w:rPr>
          <w:rFonts w:eastAsia="Times New Roman"/>
        </w:rPr>
        <w:t>."  52 Pa. Code § 5.102(d)(2).</w:t>
      </w:r>
    </w:p>
    <w:p w:rsidR="00446C7A" w:rsidRPr="0077188E" w:rsidRDefault="00446C7A" w:rsidP="00446C7A">
      <w:pPr>
        <w:jc w:val="left"/>
        <w:rPr>
          <w:rFonts w:eastAsia="Times New Roman"/>
        </w:rPr>
      </w:pPr>
    </w:p>
    <w:p w:rsidR="00446C7A" w:rsidRPr="0077188E" w:rsidRDefault="00446C7A" w:rsidP="00446C7A">
      <w:pPr>
        <w:jc w:val="left"/>
        <w:rPr>
          <w:rFonts w:eastAsia="Times New Roman"/>
        </w:rPr>
      </w:pPr>
      <w:r w:rsidRPr="0077188E">
        <w:rPr>
          <w:rFonts w:eastAsia="Times New Roman"/>
        </w:rPr>
        <w:tab/>
      </w:r>
      <w:r w:rsidRPr="0077188E">
        <w:rPr>
          <w:rFonts w:eastAsia="Times New Roman"/>
        </w:rPr>
        <w:tab/>
        <w:t xml:space="preserve">The facts alleged in the Complaints are that the vegetation surrounding the three poles on or near the property of the Complainants require management, as contact with PPL facilities </w:t>
      </w:r>
      <w:r>
        <w:rPr>
          <w:rFonts w:eastAsia="Times New Roman"/>
        </w:rPr>
        <w:t>resulted in</w:t>
      </w:r>
      <w:r w:rsidRPr="0077188E">
        <w:rPr>
          <w:rFonts w:eastAsia="Times New Roman"/>
        </w:rPr>
        <w:t xml:space="preserve"> a </w:t>
      </w:r>
      <w:r>
        <w:rPr>
          <w:rFonts w:eastAsia="Times New Roman"/>
        </w:rPr>
        <w:t>fire on at least one occasion.</w:t>
      </w:r>
    </w:p>
    <w:p w:rsidR="00446C7A" w:rsidRPr="0077188E" w:rsidRDefault="00446C7A" w:rsidP="00446C7A">
      <w:pPr>
        <w:jc w:val="left"/>
        <w:rPr>
          <w:rFonts w:eastAsia="Times New Roman"/>
        </w:rPr>
      </w:pPr>
    </w:p>
    <w:p w:rsidR="00446C7A" w:rsidRPr="0077188E" w:rsidRDefault="00446C7A" w:rsidP="00446C7A">
      <w:pPr>
        <w:jc w:val="left"/>
        <w:rPr>
          <w:rFonts w:eastAsia="Times New Roman"/>
        </w:rPr>
      </w:pPr>
      <w:r w:rsidRPr="0077188E">
        <w:rPr>
          <w:rFonts w:eastAsia="Times New Roman"/>
        </w:rPr>
        <w:tab/>
      </w:r>
      <w:r w:rsidRPr="0077188E">
        <w:rPr>
          <w:rFonts w:eastAsia="Times New Roman"/>
        </w:rPr>
        <w:tab/>
        <w:t>The affidavits attached to the Motion reveal that the Company has met with the Complainants, that the Company has entered Complainants' property with their permission, and that the necessary vegetation management had been both identified and carried out.  In addition, the three poles in question have been attached to the property far longer than the Complainants owned the property, and that they are most likely located on the county road right-of-way, as the property abuts the road.  Importantly, the three poles in question support the distribution line that provides electric service to the Complainants' residence, and their removal would jeopardize Complainants' service</w:t>
      </w:r>
      <w:r>
        <w:rPr>
          <w:rFonts w:eastAsia="Times New Roman"/>
        </w:rPr>
        <w:t>.</w:t>
      </w:r>
    </w:p>
    <w:p w:rsidR="00446C7A" w:rsidRPr="0077188E" w:rsidRDefault="00446C7A" w:rsidP="00446C7A">
      <w:pPr>
        <w:jc w:val="left"/>
        <w:rPr>
          <w:rFonts w:eastAsia="Times New Roman"/>
        </w:rPr>
      </w:pPr>
    </w:p>
    <w:p w:rsidR="00446C7A" w:rsidRPr="0077188E" w:rsidRDefault="00446C7A" w:rsidP="00446C7A">
      <w:pPr>
        <w:jc w:val="left"/>
      </w:pPr>
      <w:r w:rsidRPr="0077188E">
        <w:rPr>
          <w:rFonts w:eastAsia="Times New Roman"/>
        </w:rPr>
        <w:tab/>
      </w:r>
      <w:r w:rsidRPr="0077188E">
        <w:rPr>
          <w:rFonts w:eastAsia="Times New Roman"/>
        </w:rPr>
        <w:tab/>
      </w:r>
      <w:r w:rsidRPr="0077188E">
        <w:t xml:space="preserve">That the Commission is not authorized to grant monetary damages is well-settled.  The Commission must act within and cannot exceed its jurisdiction.  </w:t>
      </w:r>
      <w:r w:rsidRPr="0077188E">
        <w:rPr>
          <w:i/>
        </w:rPr>
        <w:t>Feingold v. Bell of PA,</w:t>
      </w:r>
      <w:r w:rsidR="00A840DC">
        <w:t xml:space="preserve"> 383 </w:t>
      </w:r>
      <w:r w:rsidRPr="0077188E">
        <w:t xml:space="preserve">A.2d 791 (Pa. 1977); </w:t>
      </w:r>
      <w:r w:rsidRPr="0077188E">
        <w:rPr>
          <w:i/>
        </w:rPr>
        <w:t xml:space="preserve">Loma, Inc. v. Pa. Publ. Util. Comm’n, </w:t>
      </w:r>
      <w:r w:rsidRPr="0077188E">
        <w:t>682 A.2d 425 (Pa. C</w:t>
      </w:r>
      <w:r>
        <w:t xml:space="preserve">mwlth. 1996).  </w:t>
      </w:r>
      <w:r w:rsidRPr="0077188E">
        <w:t xml:space="preserve">One measure of relief that the Commission is not authorized to grant is monetary damages.  </w:t>
      </w:r>
      <w:r w:rsidRPr="0077188E">
        <w:rPr>
          <w:i/>
        </w:rPr>
        <w:t>Elkin v. Bell,</w:t>
      </w:r>
      <w:r w:rsidRPr="0077188E">
        <w:t xml:space="preserve"> 491 Pa. 123, 420 A.2d 371 (1980); </w:t>
      </w:r>
      <w:r w:rsidRPr="0077188E">
        <w:rPr>
          <w:i/>
        </w:rPr>
        <w:t>Feingold v. Bell of PA,</w:t>
      </w:r>
      <w:r>
        <w:t xml:space="preserve"> 383 A.2d 791 (Pa. </w:t>
      </w:r>
      <w:r w:rsidRPr="0077188E">
        <w:t xml:space="preserve">1977); </w:t>
      </w:r>
      <w:r w:rsidRPr="0077188E">
        <w:rPr>
          <w:i/>
        </w:rPr>
        <w:t xml:space="preserve">Loma, Inc. v. Pa. Publ. Util. Comm’n, </w:t>
      </w:r>
      <w:r w:rsidRPr="0077188E">
        <w:t>682 A.2d 425 (Pa. Cmwlth. 1996).  Therefore, the Commission cannot order PPL to pay monetary damages to the Complainants.</w:t>
      </w:r>
    </w:p>
    <w:p w:rsidR="00446C7A" w:rsidRPr="0077188E" w:rsidRDefault="00446C7A" w:rsidP="00446C7A">
      <w:pPr>
        <w:jc w:val="left"/>
      </w:pPr>
    </w:p>
    <w:p w:rsidR="00446C7A" w:rsidRPr="0077188E" w:rsidRDefault="00446C7A" w:rsidP="00446C7A">
      <w:pPr>
        <w:jc w:val="left"/>
      </w:pPr>
      <w:r w:rsidRPr="0077188E">
        <w:tab/>
      </w:r>
      <w:r w:rsidRPr="0077188E">
        <w:tab/>
        <w:t xml:space="preserve">Similarly, the Commission is not the proper forum to resolve a controversy which will determine property rights. </w:t>
      </w:r>
      <w:r>
        <w:t xml:space="preserve"> </w:t>
      </w:r>
      <w:r w:rsidRPr="0077188E">
        <w:rPr>
          <w:i/>
        </w:rPr>
        <w:t>Tod and Lisa Shedlosky v. Pennsylvania Electric Company,</w:t>
      </w:r>
      <w:r w:rsidRPr="0077188E">
        <w:t xml:space="preserve"> Docket No. C-20066937 (Order entered May 28, 2008).  Property disputes belong in a court of general jurisdiction.  </w:t>
      </w:r>
      <w:r w:rsidRPr="0077188E">
        <w:rPr>
          <w:i/>
        </w:rPr>
        <w:t>Anne E. Perrige v. Metropolitan Edison Co.,</w:t>
      </w:r>
      <w:r w:rsidRPr="0077188E">
        <w:t xml:space="preserve"> Docket No. C-00004110 (Order entered J</w:t>
      </w:r>
      <w:r>
        <w:t>uly 11, 2003)(Commission had no</w:t>
      </w:r>
      <w:r w:rsidRPr="0077188E">
        <w:t xml:space="preserve"> jurisdiction to interpret the meaning of a written right-of-way agreement); </w:t>
      </w:r>
      <w:r w:rsidRPr="0077188E">
        <w:rPr>
          <w:i/>
        </w:rPr>
        <w:t>Stefanoski v. P</w:t>
      </w:r>
      <w:r w:rsidR="0063385C">
        <w:rPr>
          <w:i/>
        </w:rPr>
        <w:t>ennsylvania-American Water Co.,</w:t>
      </w:r>
      <w:r w:rsidRPr="0077188E">
        <w:t xml:space="preserve"> Docket No. C-20078219 (Order entered September 22, 2008)(Commission declined to resolve dispute where complainant sought removal of utility's waterline or compensation for i</w:t>
      </w:r>
      <w:r>
        <w:t>ts remaining on his property).</w:t>
      </w:r>
    </w:p>
    <w:p w:rsidR="00446C7A" w:rsidRPr="0077188E" w:rsidRDefault="00446C7A" w:rsidP="00446C7A">
      <w:pPr>
        <w:jc w:val="left"/>
      </w:pPr>
    </w:p>
    <w:p w:rsidR="00446C7A" w:rsidRPr="0077188E" w:rsidRDefault="00446C7A" w:rsidP="00446C7A">
      <w:pPr>
        <w:jc w:val="left"/>
      </w:pPr>
      <w:r w:rsidRPr="0077188E">
        <w:tab/>
      </w:r>
      <w:r w:rsidRPr="0077188E">
        <w:tab/>
        <w:t>The safety issues raised in the Complaints have been addressed, and the Commission is not empowered to direct the Company to move its poles from their present location or to direct the payment of monetary damages.  The Motion for Summary Judgment is properly supported, is unopposed, and is granted.</w:t>
      </w:r>
    </w:p>
    <w:p w:rsidR="00446C7A" w:rsidRPr="0077188E" w:rsidRDefault="00446C7A" w:rsidP="00446C7A">
      <w:pPr>
        <w:jc w:val="left"/>
      </w:pPr>
    </w:p>
    <w:p w:rsidR="00446C7A" w:rsidRDefault="00446C7A" w:rsidP="00446C7A">
      <w:pPr>
        <w:rPr>
          <w:u w:val="single"/>
        </w:rPr>
      </w:pPr>
      <w:r>
        <w:rPr>
          <w:u w:val="single"/>
        </w:rPr>
        <w:br w:type="page"/>
      </w:r>
    </w:p>
    <w:p w:rsidR="00446C7A" w:rsidRPr="0077188E" w:rsidRDefault="00446C7A" w:rsidP="00446C7A">
      <w:pPr>
        <w:rPr>
          <w:u w:val="single"/>
        </w:rPr>
      </w:pPr>
      <w:r w:rsidRPr="0077188E">
        <w:rPr>
          <w:u w:val="single"/>
        </w:rPr>
        <w:t>CONCLUSIONS OF LAW</w:t>
      </w:r>
    </w:p>
    <w:p w:rsidR="00446C7A" w:rsidRPr="0077188E" w:rsidRDefault="00446C7A" w:rsidP="00446C7A">
      <w:pPr>
        <w:rPr>
          <w:u w:val="single"/>
        </w:rPr>
      </w:pPr>
    </w:p>
    <w:p w:rsidR="00446C7A" w:rsidRDefault="00446C7A" w:rsidP="00446C7A">
      <w:pPr>
        <w:pStyle w:val="ListParagraph"/>
        <w:numPr>
          <w:ilvl w:val="0"/>
          <w:numId w:val="1"/>
        </w:numPr>
        <w:jc w:val="left"/>
      </w:pPr>
      <w:r w:rsidRPr="0077188E">
        <w:t>The Commission has jurisdiction over this matter.  66 Pa. C.S. § 703.</w:t>
      </w:r>
    </w:p>
    <w:p w:rsidR="00446C7A" w:rsidRPr="0077188E" w:rsidRDefault="00446C7A" w:rsidP="00446C7A">
      <w:pPr>
        <w:pStyle w:val="ListParagraph"/>
        <w:ind w:left="2160"/>
        <w:jc w:val="left"/>
      </w:pPr>
    </w:p>
    <w:p w:rsidR="00446C7A" w:rsidRPr="008F41FD" w:rsidRDefault="00446C7A" w:rsidP="00446C7A">
      <w:pPr>
        <w:pStyle w:val="ListParagraph"/>
        <w:numPr>
          <w:ilvl w:val="0"/>
          <w:numId w:val="1"/>
        </w:numPr>
        <w:spacing w:before="100" w:beforeAutospacing="1" w:after="100" w:afterAutospacing="1"/>
        <w:ind w:left="0" w:firstLine="1440"/>
        <w:jc w:val="left"/>
        <w:rPr>
          <w:rFonts w:eastAsia="Times New Roman"/>
        </w:rPr>
      </w:pPr>
      <w:r w:rsidRPr="0077188E">
        <w:t>Summary</w:t>
      </w:r>
      <w:r w:rsidRPr="008F41FD">
        <w:rPr>
          <w:rFonts w:eastAsia="Times New Roman"/>
        </w:rPr>
        <w:t xml:space="preserve"> judgment will be rendered if the applicable pleadings, depositions, answers to interrogatories and admissions, together with affidavits, if any, show that there is no genuine issue as to a material fact and that the moving party is entitled to a judgment as a matter of law.  52 Pa. Code § 5.102(d)(2).</w:t>
      </w:r>
    </w:p>
    <w:p w:rsidR="00446C7A" w:rsidRPr="0077188E" w:rsidRDefault="00446C7A" w:rsidP="00446C7A">
      <w:pPr>
        <w:jc w:val="left"/>
      </w:pPr>
      <w:r w:rsidRPr="0077188E">
        <w:tab/>
      </w:r>
      <w:r w:rsidRPr="0077188E">
        <w:tab/>
        <w:t>3.</w:t>
      </w:r>
      <w:r w:rsidRPr="0077188E">
        <w:tab/>
        <w:t>That the Commission is not authorized to</w:t>
      </w:r>
      <w:r w:rsidR="0063385C">
        <w:t xml:space="preserve"> grant monetary damages is well</w:t>
      </w:r>
      <w:r w:rsidR="0063385C">
        <w:noBreakHyphen/>
      </w:r>
      <w:r w:rsidRPr="0077188E">
        <w:t xml:space="preserve">settled.  The Commission must act within and cannot exceed its jurisdiction.  </w:t>
      </w:r>
      <w:r w:rsidRPr="0077188E">
        <w:rPr>
          <w:i/>
        </w:rPr>
        <w:t>Feingold v. Bell of PA,</w:t>
      </w:r>
      <w:r w:rsidRPr="0077188E">
        <w:t xml:space="preserve"> 383 A.2d 791 (Pa. 1977); </w:t>
      </w:r>
      <w:r w:rsidRPr="0077188E">
        <w:rPr>
          <w:i/>
        </w:rPr>
        <w:t xml:space="preserve">Loma, Inc. v. Pa. Publ. Util. Comm’n, </w:t>
      </w:r>
      <w:r w:rsidR="0063385C">
        <w:t>682 A.2d 425 (Pa. </w:t>
      </w:r>
      <w:r>
        <w:t>Cmwlth.</w:t>
      </w:r>
      <w:r w:rsidR="0063385C">
        <w:t xml:space="preserve"> </w:t>
      </w:r>
      <w:r>
        <w:t xml:space="preserve">1996).  </w:t>
      </w:r>
      <w:r w:rsidRPr="0077188E">
        <w:t xml:space="preserve">One measure of relief that the Commission is not authorized to grant is monetary damages.  </w:t>
      </w:r>
      <w:r w:rsidRPr="0077188E">
        <w:rPr>
          <w:i/>
        </w:rPr>
        <w:t>Elkin v. Bell,</w:t>
      </w:r>
      <w:r w:rsidRPr="0077188E">
        <w:t xml:space="preserve"> 491 Pa. 123, 420 A.2d 371 (1980); </w:t>
      </w:r>
      <w:r w:rsidRPr="0077188E">
        <w:rPr>
          <w:i/>
        </w:rPr>
        <w:t>Feingold v. Bell of PA,</w:t>
      </w:r>
      <w:r w:rsidRPr="0077188E">
        <w:t xml:space="preserve"> 383 A.2d 791 (Pa. 1977); </w:t>
      </w:r>
      <w:r w:rsidRPr="0077188E">
        <w:rPr>
          <w:i/>
        </w:rPr>
        <w:t xml:space="preserve">Loma, Inc. v. Pa. Publ. Util. Comm’n, </w:t>
      </w:r>
      <w:r w:rsidRPr="0077188E">
        <w:t>68</w:t>
      </w:r>
      <w:r>
        <w:t>2 A.2d 425 (Pa. Cmwlth. 1996).</w:t>
      </w:r>
    </w:p>
    <w:p w:rsidR="00446C7A" w:rsidRPr="0077188E" w:rsidRDefault="00446C7A" w:rsidP="00446C7A">
      <w:pPr>
        <w:jc w:val="left"/>
      </w:pPr>
    </w:p>
    <w:p w:rsidR="00446C7A" w:rsidRPr="0077188E" w:rsidRDefault="00446C7A" w:rsidP="00446C7A">
      <w:pPr>
        <w:jc w:val="left"/>
      </w:pPr>
      <w:r w:rsidRPr="0077188E">
        <w:tab/>
      </w:r>
      <w:r w:rsidRPr="0077188E">
        <w:tab/>
        <w:t>4.</w:t>
      </w:r>
      <w:r w:rsidRPr="0077188E">
        <w:tab/>
        <w:t xml:space="preserve">The Commission is not the proper forum to resolve a controversy which will determine property rights. </w:t>
      </w:r>
      <w:r>
        <w:t xml:space="preserve"> </w:t>
      </w:r>
      <w:r w:rsidRPr="0077188E">
        <w:rPr>
          <w:i/>
        </w:rPr>
        <w:t>Tod and Lisa Shedlosky v. Pennsylvania Electric Company,</w:t>
      </w:r>
      <w:r w:rsidRPr="0077188E">
        <w:t xml:space="preserve"> Docket No. C-20066937 (Order entered May </w:t>
      </w:r>
      <w:r>
        <w:t>28, 2008).</w:t>
      </w:r>
    </w:p>
    <w:p w:rsidR="00446C7A" w:rsidRPr="0077188E" w:rsidRDefault="00446C7A" w:rsidP="00446C7A">
      <w:pPr>
        <w:jc w:val="left"/>
      </w:pPr>
    </w:p>
    <w:p w:rsidR="00446C7A" w:rsidRPr="0077188E" w:rsidRDefault="00446C7A" w:rsidP="00446C7A">
      <w:pPr>
        <w:jc w:val="left"/>
      </w:pPr>
      <w:r w:rsidRPr="0077188E">
        <w:tab/>
      </w:r>
      <w:r w:rsidRPr="0077188E">
        <w:tab/>
        <w:t>5.</w:t>
      </w:r>
      <w:r w:rsidRPr="0077188E">
        <w:tab/>
        <w:t xml:space="preserve">Property disputes belong in a court of general jurisdiction.  </w:t>
      </w:r>
      <w:r w:rsidRPr="0077188E">
        <w:rPr>
          <w:i/>
        </w:rPr>
        <w:t>Anne E. Perrige v. Metropolitan Edison Co.,</w:t>
      </w:r>
      <w:r w:rsidRPr="0077188E">
        <w:t xml:space="preserve"> Docket No.</w:t>
      </w:r>
      <w:r>
        <w:t xml:space="preserve"> C-00004110 (Order entered July</w:t>
      </w:r>
      <w:r w:rsidR="0063385C">
        <w:t xml:space="preserve"> </w:t>
      </w:r>
      <w:r>
        <w:t>11,</w:t>
      </w:r>
      <w:r w:rsidR="0063385C">
        <w:t xml:space="preserve"> </w:t>
      </w:r>
      <w:r>
        <w:t>2003)</w:t>
      </w:r>
      <w:r w:rsidR="00A840DC">
        <w:t xml:space="preserve"> </w:t>
      </w:r>
      <w:r>
        <w:t>(Commission had no</w:t>
      </w:r>
      <w:r w:rsidRPr="0077188E">
        <w:t xml:space="preserve"> jurisdiction to interpret the meaning of a written right-of-way agreement); </w:t>
      </w:r>
      <w:r w:rsidRPr="0077188E">
        <w:rPr>
          <w:i/>
        </w:rPr>
        <w:t>Stefanoski v. Pennsylvania-American Water Co.,</w:t>
      </w:r>
      <w:r w:rsidRPr="0077188E">
        <w:t xml:space="preserve"> Docket No. C-20078219 (Order entered September 22, 2008)</w:t>
      </w:r>
      <w:r w:rsidR="00A840DC">
        <w:t xml:space="preserve"> </w:t>
      </w:r>
      <w:r w:rsidRPr="0077188E">
        <w:t>(Commission declined to resolve dispute where complainant sought removal of utility's waterline or compensation for its remaining on his</w:t>
      </w:r>
      <w:r>
        <w:t xml:space="preserve"> property).</w:t>
      </w:r>
    </w:p>
    <w:p w:rsidR="00446C7A" w:rsidRPr="0077188E" w:rsidRDefault="00446C7A" w:rsidP="00446C7A">
      <w:pPr>
        <w:jc w:val="left"/>
      </w:pPr>
    </w:p>
    <w:p w:rsidR="00446C7A" w:rsidRPr="0077188E" w:rsidRDefault="00446C7A" w:rsidP="00446C7A">
      <w:pPr>
        <w:jc w:val="left"/>
      </w:pPr>
      <w:r w:rsidRPr="0077188E">
        <w:tab/>
      </w:r>
      <w:r w:rsidRPr="0077188E">
        <w:tab/>
        <w:t>6.</w:t>
      </w:r>
      <w:r w:rsidRPr="0077188E">
        <w:tab/>
        <w:t>The standard for the grant of summary judgment is met.</w:t>
      </w:r>
    </w:p>
    <w:p w:rsidR="00446C7A" w:rsidRPr="0077188E" w:rsidRDefault="00446C7A" w:rsidP="00446C7A">
      <w:pPr>
        <w:jc w:val="left"/>
      </w:pPr>
    </w:p>
    <w:p w:rsidR="00446C7A" w:rsidRDefault="00446C7A" w:rsidP="00446C7A">
      <w:pPr>
        <w:rPr>
          <w:u w:val="single"/>
        </w:rPr>
      </w:pPr>
      <w:r>
        <w:rPr>
          <w:u w:val="single"/>
        </w:rPr>
        <w:br w:type="page"/>
      </w:r>
    </w:p>
    <w:p w:rsidR="00446C7A" w:rsidRPr="0077188E" w:rsidRDefault="00446C7A" w:rsidP="00446C7A">
      <w:pPr>
        <w:rPr>
          <w:u w:val="single"/>
        </w:rPr>
      </w:pPr>
      <w:r w:rsidRPr="0077188E">
        <w:rPr>
          <w:u w:val="single"/>
        </w:rPr>
        <w:t>ORDER</w:t>
      </w:r>
    </w:p>
    <w:p w:rsidR="00446C7A" w:rsidRDefault="00446C7A" w:rsidP="00446C7A">
      <w:pPr>
        <w:rPr>
          <w:u w:val="single"/>
        </w:rPr>
      </w:pPr>
    </w:p>
    <w:p w:rsidR="00446C7A" w:rsidRPr="0077188E" w:rsidRDefault="00446C7A" w:rsidP="00446C7A">
      <w:pPr>
        <w:rPr>
          <w:u w:val="single"/>
        </w:rPr>
      </w:pPr>
    </w:p>
    <w:p w:rsidR="00446C7A" w:rsidRPr="0077188E" w:rsidRDefault="00446C7A" w:rsidP="00446C7A">
      <w:pPr>
        <w:jc w:val="left"/>
      </w:pPr>
      <w:r w:rsidRPr="0077188E">
        <w:tab/>
      </w:r>
      <w:r w:rsidRPr="0077188E">
        <w:tab/>
        <w:t>THEREFORE,</w:t>
      </w:r>
    </w:p>
    <w:p w:rsidR="00446C7A" w:rsidRPr="0077188E" w:rsidRDefault="00446C7A" w:rsidP="00446C7A">
      <w:pPr>
        <w:jc w:val="left"/>
      </w:pPr>
    </w:p>
    <w:p w:rsidR="00446C7A" w:rsidRPr="0077188E" w:rsidRDefault="00446C7A" w:rsidP="00446C7A">
      <w:pPr>
        <w:jc w:val="left"/>
      </w:pPr>
      <w:r w:rsidRPr="0077188E">
        <w:tab/>
      </w:r>
      <w:r w:rsidRPr="0077188E">
        <w:tab/>
        <w:t>IT IS ORDERED:</w:t>
      </w:r>
    </w:p>
    <w:p w:rsidR="00446C7A" w:rsidRPr="0077188E" w:rsidRDefault="00446C7A" w:rsidP="00446C7A">
      <w:pPr>
        <w:jc w:val="left"/>
      </w:pPr>
    </w:p>
    <w:p w:rsidR="00446C7A" w:rsidRPr="0077188E" w:rsidRDefault="00446C7A" w:rsidP="00446C7A">
      <w:pPr>
        <w:jc w:val="left"/>
      </w:pPr>
      <w:r w:rsidRPr="0077188E">
        <w:tab/>
      </w:r>
      <w:r w:rsidRPr="0077188E">
        <w:tab/>
        <w:t>1.</w:t>
      </w:r>
      <w:r w:rsidRPr="0077188E">
        <w:tab/>
        <w:t xml:space="preserve">That the Motion for Summary Judgment filed by PPL Electric Utilities Corporation in the cases captioned </w:t>
      </w:r>
      <w:r w:rsidRPr="00446C7A">
        <w:t>Tracey Andrews v. PPL Electric Utilities Corporation, Docket No. C-2012-2304551 and William Andrews v. PPL Electric Utilities Corporation,</w:t>
      </w:r>
      <w:r>
        <w:t xml:space="preserve"> Docket No. C</w:t>
      </w:r>
      <w:r>
        <w:noBreakHyphen/>
      </w:r>
      <w:r w:rsidRPr="0077188E">
        <w:t>2012-2300410, is granted.</w:t>
      </w:r>
    </w:p>
    <w:p w:rsidR="00446C7A" w:rsidRPr="0077188E" w:rsidRDefault="00446C7A" w:rsidP="00446C7A">
      <w:pPr>
        <w:jc w:val="left"/>
      </w:pPr>
    </w:p>
    <w:p w:rsidR="00446C7A" w:rsidRPr="0077188E" w:rsidRDefault="00446C7A" w:rsidP="00446C7A">
      <w:pPr>
        <w:jc w:val="left"/>
      </w:pPr>
      <w:r w:rsidRPr="0077188E">
        <w:tab/>
      </w:r>
      <w:r w:rsidRPr="0077188E">
        <w:tab/>
        <w:t>2.</w:t>
      </w:r>
      <w:r w:rsidRPr="0077188E">
        <w:tab/>
        <w:t>That the Complaints filed by Tracey Andrews and William Andrews at Docket Nos. C-2012-2304551 and C-2012-2300410, are dismissed.</w:t>
      </w:r>
    </w:p>
    <w:p w:rsidR="00446C7A" w:rsidRPr="0077188E" w:rsidRDefault="00446C7A" w:rsidP="00446C7A">
      <w:pPr>
        <w:jc w:val="left"/>
      </w:pPr>
    </w:p>
    <w:p w:rsidR="00446C7A" w:rsidRPr="0077188E" w:rsidRDefault="00446C7A" w:rsidP="00446C7A">
      <w:pPr>
        <w:jc w:val="left"/>
      </w:pPr>
      <w:r w:rsidRPr="0077188E">
        <w:tab/>
      </w:r>
      <w:r w:rsidRPr="0077188E">
        <w:tab/>
        <w:t>3.</w:t>
      </w:r>
      <w:r w:rsidRPr="0077188E">
        <w:tab/>
        <w:t>That the Secretary mark this docket closed.</w:t>
      </w:r>
    </w:p>
    <w:p w:rsidR="00446C7A" w:rsidRDefault="00446C7A" w:rsidP="00446C7A">
      <w:pPr>
        <w:jc w:val="left"/>
      </w:pPr>
    </w:p>
    <w:p w:rsidR="00446C7A" w:rsidRPr="0077188E" w:rsidRDefault="00446C7A" w:rsidP="00446C7A">
      <w:pPr>
        <w:jc w:val="left"/>
      </w:pPr>
    </w:p>
    <w:p w:rsidR="00446C7A" w:rsidRPr="0077188E" w:rsidRDefault="00446C7A" w:rsidP="00446C7A">
      <w:pPr>
        <w:tabs>
          <w:tab w:val="left" w:pos="720"/>
          <w:tab w:val="left" w:pos="5040"/>
          <w:tab w:val="left" w:pos="5760"/>
        </w:tabs>
        <w:spacing w:line="240" w:lineRule="auto"/>
        <w:jc w:val="left"/>
      </w:pPr>
      <w:r w:rsidRPr="0077188E">
        <w:t>Dated:</w:t>
      </w:r>
      <w:r w:rsidRPr="0077188E">
        <w:tab/>
      </w:r>
      <w:r w:rsidRPr="0077188E">
        <w:rPr>
          <w:u w:val="single"/>
        </w:rPr>
        <w:t>June 10, 2013</w:t>
      </w:r>
      <w:r>
        <w:tab/>
      </w:r>
      <w:r>
        <w:rPr>
          <w:u w:val="single"/>
        </w:rPr>
        <w:tab/>
        <w:t>/s/</w:t>
      </w:r>
      <w:r>
        <w:rPr>
          <w:u w:val="single"/>
        </w:rPr>
        <w:tab/>
      </w:r>
      <w:r>
        <w:rPr>
          <w:u w:val="single"/>
        </w:rPr>
        <w:tab/>
      </w:r>
      <w:r>
        <w:rPr>
          <w:u w:val="single"/>
        </w:rPr>
        <w:tab/>
      </w:r>
      <w:r>
        <w:rPr>
          <w:u w:val="single"/>
        </w:rPr>
        <w:tab/>
      </w:r>
      <w:r>
        <w:rPr>
          <w:u w:val="single"/>
        </w:rPr>
        <w:tab/>
      </w:r>
      <w:r>
        <w:tab/>
      </w:r>
      <w:r>
        <w:tab/>
      </w:r>
      <w:r w:rsidRPr="0077188E">
        <w:t>Susan D. Colwell</w:t>
      </w:r>
    </w:p>
    <w:p w:rsidR="00446C7A" w:rsidRPr="0077188E" w:rsidRDefault="00446C7A" w:rsidP="00446C7A">
      <w:pPr>
        <w:spacing w:line="240" w:lineRule="auto"/>
        <w:jc w:val="left"/>
      </w:pPr>
      <w:r w:rsidRPr="0077188E">
        <w:tab/>
      </w:r>
      <w:r w:rsidRPr="0077188E">
        <w:tab/>
      </w:r>
      <w:r w:rsidRPr="0077188E">
        <w:tab/>
      </w:r>
      <w:r w:rsidRPr="0077188E">
        <w:tab/>
      </w:r>
      <w:r w:rsidRPr="0077188E">
        <w:tab/>
      </w:r>
      <w:r w:rsidRPr="0077188E">
        <w:tab/>
      </w:r>
      <w:r w:rsidRPr="0077188E">
        <w:tab/>
        <w:t>Administrative Law Judge</w:t>
      </w:r>
    </w:p>
    <w:sectPr w:rsidR="00446C7A" w:rsidRPr="0077188E" w:rsidSect="003B10C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79" w:rsidRDefault="00923C79" w:rsidP="003B10C1">
      <w:pPr>
        <w:spacing w:line="240" w:lineRule="auto"/>
      </w:pPr>
      <w:r>
        <w:separator/>
      </w:r>
    </w:p>
  </w:endnote>
  <w:endnote w:type="continuationSeparator" w:id="0">
    <w:p w:rsidR="00923C79" w:rsidRDefault="00923C79" w:rsidP="003B1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825949"/>
      <w:docPartObj>
        <w:docPartGallery w:val="Page Numbers (Bottom of Page)"/>
        <w:docPartUnique/>
      </w:docPartObj>
    </w:sdtPr>
    <w:sdtEndPr>
      <w:rPr>
        <w:noProof/>
        <w:sz w:val="20"/>
        <w:szCs w:val="20"/>
      </w:rPr>
    </w:sdtEndPr>
    <w:sdtContent>
      <w:p w:rsidR="00446C7A" w:rsidRPr="008566A4" w:rsidRDefault="00446C7A" w:rsidP="008566A4">
        <w:pPr>
          <w:pStyle w:val="Footer"/>
          <w:rPr>
            <w:sz w:val="20"/>
            <w:szCs w:val="20"/>
          </w:rPr>
        </w:pPr>
        <w:r w:rsidRPr="008566A4">
          <w:rPr>
            <w:sz w:val="20"/>
            <w:szCs w:val="20"/>
          </w:rPr>
          <w:fldChar w:fldCharType="begin"/>
        </w:r>
        <w:r w:rsidRPr="008566A4">
          <w:rPr>
            <w:sz w:val="20"/>
            <w:szCs w:val="20"/>
          </w:rPr>
          <w:instrText xml:space="preserve"> PAGE   \* MERGEFORMAT </w:instrText>
        </w:r>
        <w:r w:rsidRPr="008566A4">
          <w:rPr>
            <w:sz w:val="20"/>
            <w:szCs w:val="20"/>
          </w:rPr>
          <w:fldChar w:fldCharType="separate"/>
        </w:r>
        <w:r w:rsidR="00B10B03">
          <w:rPr>
            <w:noProof/>
            <w:sz w:val="20"/>
            <w:szCs w:val="20"/>
          </w:rPr>
          <w:t>3</w:t>
        </w:r>
        <w:r w:rsidRPr="008566A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79" w:rsidRDefault="00923C79" w:rsidP="008566A4">
      <w:pPr>
        <w:spacing w:line="240" w:lineRule="auto"/>
        <w:jc w:val="left"/>
      </w:pPr>
      <w:r>
        <w:separator/>
      </w:r>
    </w:p>
  </w:footnote>
  <w:footnote w:type="continuationSeparator" w:id="0">
    <w:p w:rsidR="00923C79" w:rsidRDefault="00923C79" w:rsidP="003B10C1">
      <w:pPr>
        <w:spacing w:line="240" w:lineRule="auto"/>
      </w:pPr>
      <w:r>
        <w:continuationSeparator/>
      </w:r>
    </w:p>
  </w:footnote>
  <w:footnote w:id="1">
    <w:p w:rsidR="00446C7A" w:rsidRDefault="00446C7A" w:rsidP="00446C7A">
      <w:pPr>
        <w:pStyle w:val="FootnoteText"/>
        <w:jc w:val="left"/>
      </w:pPr>
      <w:r>
        <w:rPr>
          <w:rStyle w:val="FootnoteReference"/>
        </w:rPr>
        <w:footnoteRef/>
      </w:r>
      <w:r>
        <w:t xml:space="preserve"> The issue related to the rate case was addressed in the Company's recent case at R-2012-2290597.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D0384"/>
    <w:multiLevelType w:val="hybridMultilevel"/>
    <w:tmpl w:val="4E66229C"/>
    <w:lvl w:ilvl="0" w:tplc="58BED5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FB"/>
    <w:rsid w:val="00001E3A"/>
    <w:rsid w:val="00001EF6"/>
    <w:rsid w:val="000028EA"/>
    <w:rsid w:val="00003D11"/>
    <w:rsid w:val="00004AA3"/>
    <w:rsid w:val="00005558"/>
    <w:rsid w:val="000079FE"/>
    <w:rsid w:val="00012104"/>
    <w:rsid w:val="00012655"/>
    <w:rsid w:val="0001305A"/>
    <w:rsid w:val="00014995"/>
    <w:rsid w:val="00016E55"/>
    <w:rsid w:val="0002023D"/>
    <w:rsid w:val="00020760"/>
    <w:rsid w:val="0002105C"/>
    <w:rsid w:val="0002110E"/>
    <w:rsid w:val="00022B3F"/>
    <w:rsid w:val="00025D7A"/>
    <w:rsid w:val="000304BF"/>
    <w:rsid w:val="000304D2"/>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7CD"/>
    <w:rsid w:val="00073BE1"/>
    <w:rsid w:val="00074065"/>
    <w:rsid w:val="00074748"/>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6DF9"/>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BE5"/>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1DEE"/>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36F"/>
    <w:rsid w:val="002B3E20"/>
    <w:rsid w:val="002B541A"/>
    <w:rsid w:val="002B754D"/>
    <w:rsid w:val="002C0694"/>
    <w:rsid w:val="002C1023"/>
    <w:rsid w:val="002C4E60"/>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10C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7A"/>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27D3"/>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225C"/>
    <w:rsid w:val="004D38F8"/>
    <w:rsid w:val="004D4A68"/>
    <w:rsid w:val="004D5646"/>
    <w:rsid w:val="004D6D13"/>
    <w:rsid w:val="004D6DCE"/>
    <w:rsid w:val="004E1B61"/>
    <w:rsid w:val="004E1FD5"/>
    <w:rsid w:val="004E23ED"/>
    <w:rsid w:val="004E429F"/>
    <w:rsid w:val="004E60E4"/>
    <w:rsid w:val="004E60F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4D15"/>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49C"/>
    <w:rsid w:val="005E3768"/>
    <w:rsid w:val="005E448D"/>
    <w:rsid w:val="005F064D"/>
    <w:rsid w:val="005F2E53"/>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1689F"/>
    <w:rsid w:val="00620850"/>
    <w:rsid w:val="00620DB5"/>
    <w:rsid w:val="00621A59"/>
    <w:rsid w:val="0062201A"/>
    <w:rsid w:val="006225AC"/>
    <w:rsid w:val="006230A9"/>
    <w:rsid w:val="00623799"/>
    <w:rsid w:val="00624D32"/>
    <w:rsid w:val="006273ED"/>
    <w:rsid w:val="00630C84"/>
    <w:rsid w:val="0063256A"/>
    <w:rsid w:val="006326D0"/>
    <w:rsid w:val="0063385C"/>
    <w:rsid w:val="00634EB5"/>
    <w:rsid w:val="0063516D"/>
    <w:rsid w:val="00635AE1"/>
    <w:rsid w:val="00635DA6"/>
    <w:rsid w:val="00640871"/>
    <w:rsid w:val="006416B8"/>
    <w:rsid w:val="0064349A"/>
    <w:rsid w:val="00643E46"/>
    <w:rsid w:val="006466B3"/>
    <w:rsid w:val="0064692D"/>
    <w:rsid w:val="00646A27"/>
    <w:rsid w:val="00646FCC"/>
    <w:rsid w:val="0064750C"/>
    <w:rsid w:val="00651F0A"/>
    <w:rsid w:val="006540C5"/>
    <w:rsid w:val="006543FB"/>
    <w:rsid w:val="006549F5"/>
    <w:rsid w:val="00655505"/>
    <w:rsid w:val="00655AA7"/>
    <w:rsid w:val="00655F80"/>
    <w:rsid w:val="00656541"/>
    <w:rsid w:val="006571D4"/>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132C"/>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188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66A4"/>
    <w:rsid w:val="00857642"/>
    <w:rsid w:val="00857872"/>
    <w:rsid w:val="00857D68"/>
    <w:rsid w:val="00857F8E"/>
    <w:rsid w:val="00860759"/>
    <w:rsid w:val="0086268A"/>
    <w:rsid w:val="008644EC"/>
    <w:rsid w:val="00864B15"/>
    <w:rsid w:val="00864D3B"/>
    <w:rsid w:val="00865C18"/>
    <w:rsid w:val="0086621E"/>
    <w:rsid w:val="0086717D"/>
    <w:rsid w:val="0087121E"/>
    <w:rsid w:val="00876B32"/>
    <w:rsid w:val="00882A2F"/>
    <w:rsid w:val="00882CB8"/>
    <w:rsid w:val="00884366"/>
    <w:rsid w:val="00884650"/>
    <w:rsid w:val="008851B9"/>
    <w:rsid w:val="00885F50"/>
    <w:rsid w:val="00887314"/>
    <w:rsid w:val="00890EB4"/>
    <w:rsid w:val="00891D35"/>
    <w:rsid w:val="00893901"/>
    <w:rsid w:val="0089667B"/>
    <w:rsid w:val="0089728F"/>
    <w:rsid w:val="008973C1"/>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845"/>
    <w:rsid w:val="008E5A58"/>
    <w:rsid w:val="008E5F96"/>
    <w:rsid w:val="008E6FB7"/>
    <w:rsid w:val="008E7557"/>
    <w:rsid w:val="008E7FE5"/>
    <w:rsid w:val="008F1874"/>
    <w:rsid w:val="008F25DF"/>
    <w:rsid w:val="008F29E0"/>
    <w:rsid w:val="008F41FD"/>
    <w:rsid w:val="008F4FCE"/>
    <w:rsid w:val="008F63E4"/>
    <w:rsid w:val="008F7E50"/>
    <w:rsid w:val="00900008"/>
    <w:rsid w:val="00900E6A"/>
    <w:rsid w:val="00902EB1"/>
    <w:rsid w:val="00904C01"/>
    <w:rsid w:val="009050BB"/>
    <w:rsid w:val="00905195"/>
    <w:rsid w:val="00905609"/>
    <w:rsid w:val="00905F7A"/>
    <w:rsid w:val="00906A31"/>
    <w:rsid w:val="00906B1B"/>
    <w:rsid w:val="00907024"/>
    <w:rsid w:val="00910398"/>
    <w:rsid w:val="0091039C"/>
    <w:rsid w:val="00911640"/>
    <w:rsid w:val="0091213F"/>
    <w:rsid w:val="00912783"/>
    <w:rsid w:val="00913D36"/>
    <w:rsid w:val="0091451C"/>
    <w:rsid w:val="00915C3E"/>
    <w:rsid w:val="00915D45"/>
    <w:rsid w:val="00916C5E"/>
    <w:rsid w:val="00920088"/>
    <w:rsid w:val="00922DF5"/>
    <w:rsid w:val="00923349"/>
    <w:rsid w:val="00923C79"/>
    <w:rsid w:val="00923CE8"/>
    <w:rsid w:val="009252D3"/>
    <w:rsid w:val="00926002"/>
    <w:rsid w:val="00930061"/>
    <w:rsid w:val="00930EBA"/>
    <w:rsid w:val="0093151F"/>
    <w:rsid w:val="0093268C"/>
    <w:rsid w:val="00934728"/>
    <w:rsid w:val="009347A5"/>
    <w:rsid w:val="00935580"/>
    <w:rsid w:val="009366E0"/>
    <w:rsid w:val="00936EB3"/>
    <w:rsid w:val="00937A2D"/>
    <w:rsid w:val="00940622"/>
    <w:rsid w:val="009412D9"/>
    <w:rsid w:val="00944730"/>
    <w:rsid w:val="00944858"/>
    <w:rsid w:val="0094559C"/>
    <w:rsid w:val="009471B5"/>
    <w:rsid w:val="009502D3"/>
    <w:rsid w:val="00951A6C"/>
    <w:rsid w:val="00952928"/>
    <w:rsid w:val="009531DA"/>
    <w:rsid w:val="00953CFD"/>
    <w:rsid w:val="009540FD"/>
    <w:rsid w:val="0095579C"/>
    <w:rsid w:val="00955C23"/>
    <w:rsid w:val="00956E7E"/>
    <w:rsid w:val="00963A5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C87"/>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102"/>
    <w:rsid w:val="00A02ABC"/>
    <w:rsid w:val="00A039B4"/>
    <w:rsid w:val="00A0555A"/>
    <w:rsid w:val="00A063F2"/>
    <w:rsid w:val="00A0799C"/>
    <w:rsid w:val="00A07CE4"/>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18FB"/>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40DC"/>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3F6"/>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6FB7"/>
    <w:rsid w:val="00AE7E8A"/>
    <w:rsid w:val="00AF32D8"/>
    <w:rsid w:val="00AF3F64"/>
    <w:rsid w:val="00AF40CA"/>
    <w:rsid w:val="00AF4C64"/>
    <w:rsid w:val="00AF70FF"/>
    <w:rsid w:val="00B01BE5"/>
    <w:rsid w:val="00B02385"/>
    <w:rsid w:val="00B03878"/>
    <w:rsid w:val="00B06DDF"/>
    <w:rsid w:val="00B07809"/>
    <w:rsid w:val="00B079A5"/>
    <w:rsid w:val="00B10B03"/>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533A"/>
    <w:rsid w:val="00B374E5"/>
    <w:rsid w:val="00B3764A"/>
    <w:rsid w:val="00B37AA5"/>
    <w:rsid w:val="00B41FA0"/>
    <w:rsid w:val="00B42826"/>
    <w:rsid w:val="00B430FA"/>
    <w:rsid w:val="00B43982"/>
    <w:rsid w:val="00B459AF"/>
    <w:rsid w:val="00B475B6"/>
    <w:rsid w:val="00B53428"/>
    <w:rsid w:val="00B5417A"/>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2D87"/>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49C6"/>
    <w:rsid w:val="00BF5004"/>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749F"/>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6FBD"/>
    <w:rsid w:val="00C8762A"/>
    <w:rsid w:val="00C87C90"/>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5E89"/>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0EDF"/>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16EE"/>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77F88"/>
    <w:rsid w:val="00D80799"/>
    <w:rsid w:val="00D81512"/>
    <w:rsid w:val="00D84747"/>
    <w:rsid w:val="00D84BD3"/>
    <w:rsid w:val="00D85346"/>
    <w:rsid w:val="00D90E7B"/>
    <w:rsid w:val="00D91EDC"/>
    <w:rsid w:val="00D92D94"/>
    <w:rsid w:val="00D961DB"/>
    <w:rsid w:val="00DA0625"/>
    <w:rsid w:val="00DA1F69"/>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576"/>
    <w:rsid w:val="00DC6711"/>
    <w:rsid w:val="00DC6826"/>
    <w:rsid w:val="00DD20E3"/>
    <w:rsid w:val="00DD2605"/>
    <w:rsid w:val="00DD28E7"/>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0CF"/>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5F1B"/>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28C4"/>
    <w:rsid w:val="00EB3C74"/>
    <w:rsid w:val="00EB5926"/>
    <w:rsid w:val="00EB5D98"/>
    <w:rsid w:val="00EB65F4"/>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6D5C"/>
    <w:rsid w:val="00ED7658"/>
    <w:rsid w:val="00ED77D6"/>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F59"/>
    <w:rsid w:val="00F579BE"/>
    <w:rsid w:val="00F606F4"/>
    <w:rsid w:val="00F60DF6"/>
    <w:rsid w:val="00F61E12"/>
    <w:rsid w:val="00F626E7"/>
    <w:rsid w:val="00F62D04"/>
    <w:rsid w:val="00F6342B"/>
    <w:rsid w:val="00F6434A"/>
    <w:rsid w:val="00F70887"/>
    <w:rsid w:val="00F70A7D"/>
    <w:rsid w:val="00F748DD"/>
    <w:rsid w:val="00F76633"/>
    <w:rsid w:val="00F77EEC"/>
    <w:rsid w:val="00F81710"/>
    <w:rsid w:val="00F81FF7"/>
    <w:rsid w:val="00F83A2C"/>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65DF"/>
    <w:rsid w:val="00FB106B"/>
    <w:rsid w:val="00FB4326"/>
    <w:rsid w:val="00FB460B"/>
    <w:rsid w:val="00FB4C6F"/>
    <w:rsid w:val="00FB64A1"/>
    <w:rsid w:val="00FB6732"/>
    <w:rsid w:val="00FB7D16"/>
    <w:rsid w:val="00FC0858"/>
    <w:rsid w:val="00FC110D"/>
    <w:rsid w:val="00FC3800"/>
    <w:rsid w:val="00FC38C3"/>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AC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0C1"/>
    <w:pPr>
      <w:tabs>
        <w:tab w:val="center" w:pos="4680"/>
        <w:tab w:val="right" w:pos="9360"/>
      </w:tabs>
      <w:spacing w:line="240" w:lineRule="auto"/>
    </w:pPr>
  </w:style>
  <w:style w:type="character" w:customStyle="1" w:styleId="HeaderChar">
    <w:name w:val="Header Char"/>
    <w:basedOn w:val="DefaultParagraphFont"/>
    <w:link w:val="Header"/>
    <w:uiPriority w:val="99"/>
    <w:rsid w:val="003B10C1"/>
  </w:style>
  <w:style w:type="paragraph" w:styleId="Footer">
    <w:name w:val="footer"/>
    <w:basedOn w:val="Normal"/>
    <w:link w:val="FooterChar"/>
    <w:uiPriority w:val="99"/>
    <w:unhideWhenUsed/>
    <w:rsid w:val="003B10C1"/>
    <w:pPr>
      <w:tabs>
        <w:tab w:val="center" w:pos="4680"/>
        <w:tab w:val="right" w:pos="9360"/>
      </w:tabs>
      <w:spacing w:line="240" w:lineRule="auto"/>
    </w:pPr>
  </w:style>
  <w:style w:type="character" w:customStyle="1" w:styleId="FooterChar">
    <w:name w:val="Footer Char"/>
    <w:basedOn w:val="DefaultParagraphFont"/>
    <w:link w:val="Footer"/>
    <w:uiPriority w:val="99"/>
    <w:rsid w:val="003B10C1"/>
  </w:style>
  <w:style w:type="paragraph" w:styleId="FootnoteText">
    <w:name w:val="footnote text"/>
    <w:basedOn w:val="Normal"/>
    <w:link w:val="FootnoteTextChar"/>
    <w:uiPriority w:val="99"/>
    <w:semiHidden/>
    <w:unhideWhenUsed/>
    <w:rsid w:val="00FF7ACA"/>
    <w:pPr>
      <w:spacing w:line="240" w:lineRule="auto"/>
    </w:pPr>
    <w:rPr>
      <w:sz w:val="20"/>
      <w:szCs w:val="20"/>
    </w:rPr>
  </w:style>
  <w:style w:type="character" w:customStyle="1" w:styleId="FootnoteTextChar">
    <w:name w:val="Footnote Text Char"/>
    <w:basedOn w:val="DefaultParagraphFont"/>
    <w:link w:val="FootnoteText"/>
    <w:uiPriority w:val="99"/>
    <w:semiHidden/>
    <w:rsid w:val="00FF7ACA"/>
    <w:rPr>
      <w:sz w:val="20"/>
      <w:szCs w:val="20"/>
    </w:rPr>
  </w:style>
  <w:style w:type="character" w:styleId="FootnoteReference">
    <w:name w:val="footnote reference"/>
    <w:basedOn w:val="DefaultParagraphFont"/>
    <w:uiPriority w:val="99"/>
    <w:semiHidden/>
    <w:unhideWhenUsed/>
    <w:rsid w:val="00FF7ACA"/>
    <w:rPr>
      <w:vertAlign w:val="superscript"/>
    </w:rPr>
  </w:style>
  <w:style w:type="paragraph" w:styleId="ListParagraph">
    <w:name w:val="List Paragraph"/>
    <w:basedOn w:val="Normal"/>
    <w:uiPriority w:val="34"/>
    <w:qFormat/>
    <w:rsid w:val="005E2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0C1"/>
    <w:pPr>
      <w:tabs>
        <w:tab w:val="center" w:pos="4680"/>
        <w:tab w:val="right" w:pos="9360"/>
      </w:tabs>
      <w:spacing w:line="240" w:lineRule="auto"/>
    </w:pPr>
  </w:style>
  <w:style w:type="character" w:customStyle="1" w:styleId="HeaderChar">
    <w:name w:val="Header Char"/>
    <w:basedOn w:val="DefaultParagraphFont"/>
    <w:link w:val="Header"/>
    <w:uiPriority w:val="99"/>
    <w:rsid w:val="003B10C1"/>
  </w:style>
  <w:style w:type="paragraph" w:styleId="Footer">
    <w:name w:val="footer"/>
    <w:basedOn w:val="Normal"/>
    <w:link w:val="FooterChar"/>
    <w:uiPriority w:val="99"/>
    <w:unhideWhenUsed/>
    <w:rsid w:val="003B10C1"/>
    <w:pPr>
      <w:tabs>
        <w:tab w:val="center" w:pos="4680"/>
        <w:tab w:val="right" w:pos="9360"/>
      </w:tabs>
      <w:spacing w:line="240" w:lineRule="auto"/>
    </w:pPr>
  </w:style>
  <w:style w:type="character" w:customStyle="1" w:styleId="FooterChar">
    <w:name w:val="Footer Char"/>
    <w:basedOn w:val="DefaultParagraphFont"/>
    <w:link w:val="Footer"/>
    <w:uiPriority w:val="99"/>
    <w:rsid w:val="003B10C1"/>
  </w:style>
  <w:style w:type="paragraph" w:styleId="FootnoteText">
    <w:name w:val="footnote text"/>
    <w:basedOn w:val="Normal"/>
    <w:link w:val="FootnoteTextChar"/>
    <w:uiPriority w:val="99"/>
    <w:semiHidden/>
    <w:unhideWhenUsed/>
    <w:rsid w:val="00FF7ACA"/>
    <w:pPr>
      <w:spacing w:line="240" w:lineRule="auto"/>
    </w:pPr>
    <w:rPr>
      <w:sz w:val="20"/>
      <w:szCs w:val="20"/>
    </w:rPr>
  </w:style>
  <w:style w:type="character" w:customStyle="1" w:styleId="FootnoteTextChar">
    <w:name w:val="Footnote Text Char"/>
    <w:basedOn w:val="DefaultParagraphFont"/>
    <w:link w:val="FootnoteText"/>
    <w:uiPriority w:val="99"/>
    <w:semiHidden/>
    <w:rsid w:val="00FF7ACA"/>
    <w:rPr>
      <w:sz w:val="20"/>
      <w:szCs w:val="20"/>
    </w:rPr>
  </w:style>
  <w:style w:type="character" w:styleId="FootnoteReference">
    <w:name w:val="footnote reference"/>
    <w:basedOn w:val="DefaultParagraphFont"/>
    <w:uiPriority w:val="99"/>
    <w:semiHidden/>
    <w:unhideWhenUsed/>
    <w:rsid w:val="00FF7ACA"/>
    <w:rPr>
      <w:vertAlign w:val="superscript"/>
    </w:rPr>
  </w:style>
  <w:style w:type="paragraph" w:styleId="ListParagraph">
    <w:name w:val="List Paragraph"/>
    <w:basedOn w:val="Normal"/>
    <w:uiPriority w:val="34"/>
    <w:qFormat/>
    <w:rsid w:val="005E2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28BD-742E-4034-82F1-2F2E9109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5</cp:revision>
  <dcterms:created xsi:type="dcterms:W3CDTF">2013-06-21T15:28:00Z</dcterms:created>
  <dcterms:modified xsi:type="dcterms:W3CDTF">2013-06-21T16:00:00Z</dcterms:modified>
</cp:coreProperties>
</file>