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3EB" w:rsidRDefault="009563EB" w:rsidP="009563EB">
      <w:pPr>
        <w:tabs>
          <w:tab w:val="center" w:pos="4680"/>
        </w:tabs>
        <w:jc w:val="both"/>
        <w:rPr>
          <w:b/>
          <w:sz w:val="24"/>
        </w:rPr>
      </w:pPr>
      <w:r>
        <w:rPr>
          <w:b/>
          <w:sz w:val="24"/>
        </w:rPr>
        <w:tab/>
        <w:t>BEFORE THE</w:t>
      </w:r>
    </w:p>
    <w:p w:rsidR="009563EB" w:rsidRDefault="009563EB" w:rsidP="009563EB">
      <w:pPr>
        <w:tabs>
          <w:tab w:val="center" w:pos="4680"/>
        </w:tabs>
        <w:jc w:val="both"/>
        <w:rPr>
          <w:b/>
          <w:sz w:val="24"/>
        </w:rPr>
      </w:pPr>
      <w:r>
        <w:rPr>
          <w:b/>
          <w:sz w:val="24"/>
        </w:rPr>
        <w:tab/>
      </w: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9563EB" w:rsidRDefault="009563EB" w:rsidP="009563EB">
      <w:pPr>
        <w:tabs>
          <w:tab w:val="center" w:pos="4680"/>
        </w:tabs>
        <w:jc w:val="both"/>
        <w:rPr>
          <w:b/>
          <w:sz w:val="24"/>
        </w:rPr>
      </w:pPr>
    </w:p>
    <w:p w:rsidR="009563EB" w:rsidRDefault="009563EB" w:rsidP="009563EB">
      <w:pPr>
        <w:tabs>
          <w:tab w:val="center" w:pos="4680"/>
        </w:tabs>
        <w:jc w:val="both"/>
        <w:rPr>
          <w:b/>
          <w:sz w:val="24"/>
        </w:rPr>
      </w:pPr>
    </w:p>
    <w:p w:rsidR="009563EB" w:rsidRDefault="009563EB" w:rsidP="009563EB">
      <w:pPr>
        <w:tabs>
          <w:tab w:val="center" w:pos="4680"/>
        </w:tabs>
        <w:jc w:val="both"/>
        <w:rPr>
          <w:sz w:val="24"/>
        </w:rPr>
      </w:pPr>
    </w:p>
    <w:p w:rsidR="009563EB" w:rsidRPr="00656BBE" w:rsidRDefault="009563EB" w:rsidP="009563EB">
      <w:pPr>
        <w:autoSpaceDE w:val="0"/>
        <w:autoSpaceDN w:val="0"/>
        <w:adjustRightInd w:val="0"/>
        <w:rPr>
          <w:sz w:val="24"/>
          <w:szCs w:val="24"/>
        </w:rPr>
      </w:pPr>
      <w:r w:rsidRPr="00D813E6">
        <w:rPr>
          <w:sz w:val="24"/>
          <w:szCs w:val="24"/>
        </w:rPr>
        <w:t xml:space="preserve">Joint Application </w:t>
      </w:r>
      <w:r>
        <w:rPr>
          <w:sz w:val="24"/>
          <w:szCs w:val="24"/>
        </w:rPr>
        <w:t>of Peoples Natural</w:t>
      </w:r>
      <w:r>
        <w:rPr>
          <w:sz w:val="24"/>
          <w:szCs w:val="24"/>
        </w:rPr>
        <w:tab/>
      </w:r>
      <w:r>
        <w:rPr>
          <w:sz w:val="24"/>
          <w:szCs w:val="24"/>
        </w:rPr>
        <w:tab/>
      </w:r>
      <w:r>
        <w:rPr>
          <w:sz w:val="24"/>
          <w:szCs w:val="24"/>
        </w:rPr>
        <w:tab/>
        <w:t>:</w:t>
      </w:r>
      <w:r>
        <w:rPr>
          <w:b/>
          <w:sz w:val="24"/>
          <w:szCs w:val="24"/>
        </w:rPr>
        <w:tab/>
      </w:r>
      <w:r>
        <w:rPr>
          <w:b/>
          <w:sz w:val="24"/>
          <w:szCs w:val="24"/>
        </w:rPr>
        <w:tab/>
      </w:r>
      <w:r w:rsidRPr="00656BBE">
        <w:rPr>
          <w:sz w:val="24"/>
          <w:szCs w:val="24"/>
        </w:rPr>
        <w:t>A-2013-2353647</w:t>
      </w:r>
    </w:p>
    <w:p w:rsidR="009563EB" w:rsidRPr="00656BBE" w:rsidRDefault="009563EB" w:rsidP="009563EB">
      <w:pPr>
        <w:autoSpaceDE w:val="0"/>
        <w:autoSpaceDN w:val="0"/>
        <w:adjustRightInd w:val="0"/>
        <w:rPr>
          <w:sz w:val="24"/>
          <w:szCs w:val="24"/>
        </w:rPr>
      </w:pPr>
      <w:r w:rsidRPr="00656BBE">
        <w:rPr>
          <w:sz w:val="24"/>
          <w:szCs w:val="24"/>
        </w:rPr>
        <w:t>Gas Company LLC, Peoples TWP LLC, and</w:t>
      </w:r>
      <w:r w:rsidRPr="00656BBE">
        <w:rPr>
          <w:sz w:val="24"/>
          <w:szCs w:val="24"/>
        </w:rPr>
        <w:tab/>
      </w:r>
      <w:r w:rsidRPr="00656BBE">
        <w:rPr>
          <w:sz w:val="24"/>
          <w:szCs w:val="24"/>
        </w:rPr>
        <w:tab/>
      </w:r>
      <w:r>
        <w:rPr>
          <w:sz w:val="24"/>
          <w:szCs w:val="24"/>
        </w:rPr>
        <w:t>:</w:t>
      </w:r>
      <w:r>
        <w:rPr>
          <w:b/>
          <w:sz w:val="24"/>
          <w:szCs w:val="24"/>
        </w:rPr>
        <w:tab/>
      </w:r>
      <w:r>
        <w:rPr>
          <w:b/>
          <w:sz w:val="24"/>
          <w:szCs w:val="24"/>
        </w:rPr>
        <w:tab/>
      </w:r>
      <w:r w:rsidRPr="0087748A">
        <w:rPr>
          <w:caps/>
          <w:sz w:val="24"/>
          <w:szCs w:val="24"/>
        </w:rPr>
        <w:t>A-2013-2353649</w:t>
      </w:r>
    </w:p>
    <w:p w:rsidR="009563EB" w:rsidRPr="00D00B6B" w:rsidRDefault="009563EB" w:rsidP="009563EB">
      <w:pPr>
        <w:autoSpaceDE w:val="0"/>
        <w:autoSpaceDN w:val="0"/>
        <w:adjustRightInd w:val="0"/>
        <w:rPr>
          <w:sz w:val="24"/>
          <w:szCs w:val="24"/>
        </w:rPr>
      </w:pPr>
      <w:r>
        <w:rPr>
          <w:sz w:val="24"/>
          <w:szCs w:val="24"/>
        </w:rPr>
        <w:t>Equitable Gas Company, LLC</w:t>
      </w:r>
      <w:r>
        <w:rPr>
          <w:sz w:val="24"/>
          <w:szCs w:val="24"/>
        </w:rPr>
        <w:tab/>
      </w:r>
      <w:r>
        <w:rPr>
          <w:sz w:val="24"/>
          <w:szCs w:val="24"/>
        </w:rPr>
        <w:tab/>
      </w:r>
      <w:r>
        <w:rPr>
          <w:sz w:val="24"/>
          <w:szCs w:val="24"/>
        </w:rPr>
        <w:tab/>
        <w:t>:</w:t>
      </w:r>
      <w:r>
        <w:rPr>
          <w:b/>
          <w:sz w:val="24"/>
          <w:szCs w:val="24"/>
        </w:rPr>
        <w:tab/>
      </w:r>
      <w:r>
        <w:rPr>
          <w:b/>
          <w:sz w:val="24"/>
          <w:szCs w:val="24"/>
        </w:rPr>
        <w:tab/>
      </w:r>
      <w:r w:rsidRPr="00D00B6B">
        <w:rPr>
          <w:caps/>
          <w:sz w:val="24"/>
          <w:szCs w:val="24"/>
        </w:rPr>
        <w:t>A-2013-2353651</w:t>
      </w:r>
    </w:p>
    <w:p w:rsidR="009563EB" w:rsidRPr="00F54816" w:rsidRDefault="009563EB" w:rsidP="009563EB">
      <w:pPr>
        <w:jc w:val="both"/>
        <w:rPr>
          <w:sz w:val="24"/>
          <w:szCs w:val="24"/>
        </w:rPr>
      </w:pPr>
    </w:p>
    <w:p w:rsidR="009563EB" w:rsidRPr="00C055EF" w:rsidRDefault="009563EB" w:rsidP="009563EB">
      <w:pPr>
        <w:jc w:val="both"/>
        <w:rPr>
          <w:sz w:val="24"/>
          <w:szCs w:val="24"/>
        </w:rPr>
      </w:pPr>
    </w:p>
    <w:p w:rsidR="009563EB" w:rsidRPr="00C055EF" w:rsidRDefault="009563EB" w:rsidP="009563EB">
      <w:pPr>
        <w:jc w:val="both"/>
        <w:rPr>
          <w:sz w:val="24"/>
          <w:szCs w:val="24"/>
        </w:rPr>
      </w:pPr>
    </w:p>
    <w:p w:rsidR="009563EB" w:rsidRDefault="00EF0C2B" w:rsidP="009563EB">
      <w:pPr>
        <w:jc w:val="center"/>
        <w:rPr>
          <w:b/>
          <w:sz w:val="24"/>
          <w:szCs w:val="24"/>
          <w:u w:val="single"/>
        </w:rPr>
      </w:pPr>
      <w:r w:rsidRPr="00D6408E">
        <w:rPr>
          <w:b/>
          <w:sz w:val="24"/>
          <w:szCs w:val="24"/>
        </w:rPr>
        <w:t>SECOND INTERIM ORDER SUSTAINING OBJECTION TO DOMINION TRANSMISSION INC.’S WRITTEN INTERROGATORY SET I- 2(C)</w:t>
      </w:r>
      <w:r w:rsidR="00877545" w:rsidRPr="00D6408E">
        <w:rPr>
          <w:b/>
          <w:sz w:val="24"/>
          <w:szCs w:val="24"/>
        </w:rPr>
        <w:t>, GRANTING MOTION FOR ADMISSION OF LOIS M. HENRY</w:t>
      </w:r>
      <w:r w:rsidR="00EB5D04" w:rsidRPr="00D6408E">
        <w:rPr>
          <w:b/>
          <w:sz w:val="24"/>
          <w:szCs w:val="24"/>
        </w:rPr>
        <w:t>, ESQUIRE,</w:t>
      </w:r>
      <w:r w:rsidR="00877545" w:rsidRPr="00D6408E">
        <w:rPr>
          <w:b/>
          <w:sz w:val="24"/>
          <w:szCs w:val="24"/>
        </w:rPr>
        <w:t xml:space="preserve"> </w:t>
      </w:r>
      <w:r w:rsidR="00877545" w:rsidRPr="00D6408E">
        <w:rPr>
          <w:b/>
          <w:i/>
          <w:sz w:val="24"/>
          <w:szCs w:val="24"/>
        </w:rPr>
        <w:t>PRO HAC VICE</w:t>
      </w:r>
      <w:r w:rsidR="007B14C9">
        <w:rPr>
          <w:b/>
          <w:i/>
          <w:sz w:val="24"/>
          <w:szCs w:val="24"/>
        </w:rPr>
        <w:t>,</w:t>
      </w:r>
      <w:r w:rsidR="00877545">
        <w:rPr>
          <w:b/>
          <w:sz w:val="24"/>
          <w:szCs w:val="24"/>
          <w:u w:val="single"/>
        </w:rPr>
        <w:t xml:space="preserve"> </w:t>
      </w:r>
      <w:r>
        <w:rPr>
          <w:b/>
          <w:sz w:val="24"/>
          <w:szCs w:val="24"/>
          <w:u w:val="single"/>
        </w:rPr>
        <w:t>REVISING LITIGATION SCHEDULE</w:t>
      </w:r>
      <w:r w:rsidR="00682AF7">
        <w:rPr>
          <w:b/>
          <w:sz w:val="24"/>
          <w:szCs w:val="24"/>
          <w:u w:val="single"/>
        </w:rPr>
        <w:t xml:space="preserve"> AND MODIFYING DISCOVERY RULES</w:t>
      </w:r>
    </w:p>
    <w:p w:rsidR="00EF0C2B" w:rsidRDefault="00EF0C2B" w:rsidP="00EF0C2B">
      <w:pPr>
        <w:spacing w:line="360" w:lineRule="auto"/>
        <w:rPr>
          <w:b/>
          <w:sz w:val="24"/>
          <w:szCs w:val="24"/>
          <w:u w:val="single"/>
        </w:rPr>
      </w:pPr>
    </w:p>
    <w:p w:rsidR="00EF0C2B" w:rsidRDefault="00EF0C2B" w:rsidP="00EF0C2B">
      <w:pPr>
        <w:spacing w:line="360" w:lineRule="auto"/>
        <w:rPr>
          <w:b/>
          <w:sz w:val="24"/>
          <w:szCs w:val="24"/>
          <w:u w:val="single"/>
        </w:rPr>
      </w:pPr>
    </w:p>
    <w:p w:rsidR="009B4716" w:rsidRDefault="00EF0C2B" w:rsidP="00EB5D04">
      <w:pPr>
        <w:spacing w:line="360" w:lineRule="auto"/>
        <w:ind w:firstLine="1440"/>
        <w:rPr>
          <w:sz w:val="24"/>
          <w:szCs w:val="24"/>
        </w:rPr>
      </w:pPr>
      <w:r w:rsidRPr="00F54816">
        <w:rPr>
          <w:sz w:val="24"/>
          <w:szCs w:val="24"/>
        </w:rPr>
        <w:t xml:space="preserve">On </w:t>
      </w:r>
      <w:r>
        <w:rPr>
          <w:sz w:val="24"/>
          <w:szCs w:val="24"/>
        </w:rPr>
        <w:t xml:space="preserve">March 19, 2013, Peoples Natural Gas Company LLC (“Peoples”), Peoples TWP LLC (“Peoples TWP”), and Equitable Gas Company, LLC (“Equitable”) (hereinafter collectively referred to as the “Applicants”) filed a Joint Application </w:t>
      </w:r>
      <w:r w:rsidRPr="00355EE8">
        <w:rPr>
          <w:sz w:val="24"/>
          <w:szCs w:val="24"/>
        </w:rPr>
        <w:t>for all of the Authority and the Necessary Certificates of Public Convenience</w:t>
      </w:r>
      <w:r w:rsidR="007B14C9">
        <w:rPr>
          <w:sz w:val="24"/>
          <w:szCs w:val="24"/>
        </w:rPr>
        <w:t xml:space="preserve">: </w:t>
      </w:r>
      <w:r w:rsidRPr="00355EE8">
        <w:rPr>
          <w:sz w:val="24"/>
          <w:szCs w:val="24"/>
        </w:rPr>
        <w:t xml:space="preserve"> 1) to Transfer all of the Issued and Outstanding Limited Liability Company Membership Interest of Equitable Gas Company, LLC to PNG Companies, LLC</w:t>
      </w:r>
      <w:r w:rsidR="007B14C9">
        <w:rPr>
          <w:sz w:val="24"/>
          <w:szCs w:val="24"/>
        </w:rPr>
        <w:t>;</w:t>
      </w:r>
      <w:r w:rsidRPr="00355EE8">
        <w:rPr>
          <w:sz w:val="24"/>
          <w:szCs w:val="24"/>
        </w:rPr>
        <w:t xml:space="preserve"> 2) to Merge Equitable Gas Company</w:t>
      </w:r>
      <w:r w:rsidR="006678BD">
        <w:rPr>
          <w:sz w:val="24"/>
          <w:szCs w:val="24"/>
        </w:rPr>
        <w:t>,</w:t>
      </w:r>
      <w:r w:rsidRPr="00355EE8">
        <w:rPr>
          <w:sz w:val="24"/>
          <w:szCs w:val="24"/>
        </w:rPr>
        <w:t xml:space="preserve"> LLC with Peoples Natural Gas Company LLC</w:t>
      </w:r>
      <w:r w:rsidR="007B14C9">
        <w:rPr>
          <w:sz w:val="24"/>
          <w:szCs w:val="24"/>
        </w:rPr>
        <w:t>;</w:t>
      </w:r>
      <w:r w:rsidRPr="00355EE8">
        <w:rPr>
          <w:sz w:val="24"/>
          <w:szCs w:val="24"/>
        </w:rPr>
        <w:t xml:space="preserve"> 3) to Transfer Certain Storage and Transmission Assets of Peoples Natural Gas Company LLC to Affiliates of EQT Corporation</w:t>
      </w:r>
      <w:r w:rsidR="007B14C9">
        <w:rPr>
          <w:sz w:val="24"/>
          <w:szCs w:val="24"/>
        </w:rPr>
        <w:t>;</w:t>
      </w:r>
      <w:r w:rsidRPr="00355EE8">
        <w:rPr>
          <w:sz w:val="24"/>
          <w:szCs w:val="24"/>
        </w:rPr>
        <w:t xml:space="preserve"> 4) to Transfer Certain Assets between Equitable Gas Company, LLC and Affiliates of EQT Corporation</w:t>
      </w:r>
      <w:r w:rsidR="007B14C9">
        <w:rPr>
          <w:sz w:val="24"/>
          <w:szCs w:val="24"/>
        </w:rPr>
        <w:t>;</w:t>
      </w:r>
      <w:r w:rsidRPr="00355EE8">
        <w:rPr>
          <w:sz w:val="24"/>
          <w:szCs w:val="24"/>
        </w:rPr>
        <w:t xml:space="preserve"> 5) for Approval of Certain Ownership Changes Associated with the Transaction</w:t>
      </w:r>
      <w:r w:rsidR="007B14C9">
        <w:rPr>
          <w:sz w:val="24"/>
          <w:szCs w:val="24"/>
        </w:rPr>
        <w:t>;</w:t>
      </w:r>
      <w:r w:rsidRPr="00355EE8">
        <w:rPr>
          <w:sz w:val="24"/>
          <w:szCs w:val="24"/>
        </w:rPr>
        <w:t xml:space="preserve"> 6) for approval of Certain Associated Gas Capacity and Supply Agreements, and 7) for approval of Certain Changes in the Tariff of Peoples Natural Gas Company LLC</w:t>
      </w:r>
      <w:r w:rsidRPr="00F54816">
        <w:rPr>
          <w:sz w:val="24"/>
          <w:szCs w:val="24"/>
        </w:rPr>
        <w:t>.</w:t>
      </w:r>
    </w:p>
    <w:p w:rsidR="00EB5D04" w:rsidRDefault="00EB5D04" w:rsidP="00EB5D04">
      <w:pPr>
        <w:spacing w:line="360" w:lineRule="auto"/>
        <w:rPr>
          <w:sz w:val="24"/>
          <w:szCs w:val="24"/>
        </w:rPr>
      </w:pPr>
    </w:p>
    <w:p w:rsidR="00EB5D04" w:rsidRPr="00EB5D04" w:rsidRDefault="00EB5D04" w:rsidP="00EB5D04">
      <w:pPr>
        <w:spacing w:line="360" w:lineRule="auto"/>
        <w:rPr>
          <w:sz w:val="24"/>
          <w:szCs w:val="24"/>
          <w:u w:val="single"/>
        </w:rPr>
      </w:pPr>
      <w:r>
        <w:rPr>
          <w:sz w:val="24"/>
          <w:szCs w:val="24"/>
          <w:u w:val="single"/>
        </w:rPr>
        <w:t xml:space="preserve">Motion for Admission </w:t>
      </w:r>
      <w:r w:rsidRPr="00EB5D04">
        <w:rPr>
          <w:sz w:val="24"/>
          <w:szCs w:val="24"/>
          <w:u w:val="single"/>
        </w:rPr>
        <w:t xml:space="preserve">of Lois M. Henry, Esquire, </w:t>
      </w:r>
      <w:r w:rsidRPr="00EB5D04">
        <w:rPr>
          <w:i/>
          <w:sz w:val="24"/>
          <w:szCs w:val="24"/>
          <w:u w:val="single"/>
        </w:rPr>
        <w:t xml:space="preserve">pro </w:t>
      </w:r>
      <w:proofErr w:type="spellStart"/>
      <w:r w:rsidRPr="00EB5D04">
        <w:rPr>
          <w:i/>
          <w:sz w:val="24"/>
          <w:szCs w:val="24"/>
          <w:u w:val="single"/>
        </w:rPr>
        <w:t>hac</w:t>
      </w:r>
      <w:proofErr w:type="spellEnd"/>
      <w:r w:rsidRPr="00EB5D04">
        <w:rPr>
          <w:i/>
          <w:sz w:val="24"/>
          <w:szCs w:val="24"/>
          <w:u w:val="single"/>
        </w:rPr>
        <w:t xml:space="preserve"> vice</w:t>
      </w:r>
    </w:p>
    <w:p w:rsidR="00EB5D04" w:rsidRDefault="00EB5D04" w:rsidP="00EB5D04">
      <w:pPr>
        <w:spacing w:line="360" w:lineRule="auto"/>
        <w:ind w:firstLine="1440"/>
        <w:rPr>
          <w:sz w:val="24"/>
          <w:szCs w:val="24"/>
        </w:rPr>
      </w:pPr>
    </w:p>
    <w:p w:rsidR="00EB5D04" w:rsidRDefault="00EB5D04" w:rsidP="00EB5D04">
      <w:pPr>
        <w:spacing w:line="360" w:lineRule="auto"/>
        <w:ind w:firstLine="1440"/>
        <w:rPr>
          <w:sz w:val="24"/>
          <w:szCs w:val="24"/>
        </w:rPr>
      </w:pPr>
      <w:r>
        <w:rPr>
          <w:sz w:val="24"/>
          <w:szCs w:val="24"/>
        </w:rPr>
        <w:t>On June 12, 2013, Dominion Transmission, Inc. (</w:t>
      </w:r>
      <w:r w:rsidR="00082C70">
        <w:rPr>
          <w:sz w:val="24"/>
          <w:szCs w:val="24"/>
        </w:rPr>
        <w:t>“</w:t>
      </w:r>
      <w:r>
        <w:rPr>
          <w:sz w:val="24"/>
          <w:szCs w:val="24"/>
        </w:rPr>
        <w:t>DTI</w:t>
      </w:r>
      <w:r w:rsidR="00082C70">
        <w:rPr>
          <w:sz w:val="24"/>
          <w:szCs w:val="24"/>
        </w:rPr>
        <w:t>”</w:t>
      </w:r>
      <w:r>
        <w:rPr>
          <w:sz w:val="24"/>
          <w:szCs w:val="24"/>
        </w:rPr>
        <w:t xml:space="preserve">) filed and served its Motion for Admission of Lois M. Henry, Esquire, </w:t>
      </w:r>
      <w:proofErr w:type="gramStart"/>
      <w:r>
        <w:rPr>
          <w:i/>
          <w:sz w:val="24"/>
          <w:szCs w:val="24"/>
        </w:rPr>
        <w:t>pro</w:t>
      </w:r>
      <w:proofErr w:type="gramEnd"/>
      <w:r>
        <w:rPr>
          <w:i/>
          <w:sz w:val="24"/>
          <w:szCs w:val="24"/>
        </w:rPr>
        <w:t xml:space="preserve"> </w:t>
      </w:r>
      <w:proofErr w:type="spellStart"/>
      <w:r>
        <w:rPr>
          <w:i/>
          <w:sz w:val="24"/>
          <w:szCs w:val="24"/>
        </w:rPr>
        <w:t>hac</w:t>
      </w:r>
      <w:proofErr w:type="spellEnd"/>
      <w:r>
        <w:rPr>
          <w:i/>
          <w:sz w:val="24"/>
          <w:szCs w:val="24"/>
        </w:rPr>
        <w:t xml:space="preserve"> vice</w:t>
      </w:r>
      <w:r>
        <w:rPr>
          <w:sz w:val="24"/>
          <w:szCs w:val="24"/>
        </w:rPr>
        <w:t xml:space="preserve">.  No responses to this Motion were filed.  The Motion for Admission of Lois M. Henry, Esquire, </w:t>
      </w:r>
      <w:r>
        <w:rPr>
          <w:i/>
          <w:sz w:val="24"/>
          <w:szCs w:val="24"/>
        </w:rPr>
        <w:t xml:space="preserve">pro </w:t>
      </w:r>
      <w:proofErr w:type="spellStart"/>
      <w:r>
        <w:rPr>
          <w:i/>
          <w:sz w:val="24"/>
          <w:szCs w:val="24"/>
        </w:rPr>
        <w:t>hac</w:t>
      </w:r>
      <w:proofErr w:type="spellEnd"/>
      <w:r>
        <w:rPr>
          <w:i/>
          <w:sz w:val="24"/>
          <w:szCs w:val="24"/>
        </w:rPr>
        <w:t xml:space="preserve"> vice</w:t>
      </w:r>
      <w:r>
        <w:rPr>
          <w:sz w:val="24"/>
          <w:szCs w:val="24"/>
        </w:rPr>
        <w:t xml:space="preserve">, is granted.  </w:t>
      </w:r>
    </w:p>
    <w:p w:rsidR="009B4716" w:rsidRDefault="009B4716" w:rsidP="009B4716">
      <w:pPr>
        <w:spacing w:line="360" w:lineRule="auto"/>
        <w:rPr>
          <w:sz w:val="24"/>
          <w:szCs w:val="24"/>
        </w:rPr>
      </w:pPr>
      <w:r>
        <w:rPr>
          <w:sz w:val="24"/>
          <w:szCs w:val="24"/>
          <w:u w:val="single"/>
        </w:rPr>
        <w:lastRenderedPageBreak/>
        <w:t>Revised Litigation Schedule</w:t>
      </w:r>
    </w:p>
    <w:p w:rsidR="009B4716" w:rsidRDefault="009B4716" w:rsidP="009B4716">
      <w:pPr>
        <w:spacing w:line="360" w:lineRule="auto"/>
        <w:rPr>
          <w:sz w:val="24"/>
          <w:szCs w:val="24"/>
        </w:rPr>
      </w:pPr>
    </w:p>
    <w:p w:rsidR="00682AF7" w:rsidRDefault="009B4716" w:rsidP="009B4716">
      <w:pPr>
        <w:spacing w:line="360" w:lineRule="auto"/>
        <w:rPr>
          <w:sz w:val="24"/>
          <w:szCs w:val="24"/>
        </w:rPr>
      </w:pPr>
      <w:r>
        <w:rPr>
          <w:sz w:val="24"/>
          <w:szCs w:val="24"/>
        </w:rPr>
        <w:tab/>
      </w:r>
      <w:r>
        <w:rPr>
          <w:sz w:val="24"/>
          <w:szCs w:val="24"/>
        </w:rPr>
        <w:tab/>
      </w:r>
      <w:r w:rsidR="00082C70">
        <w:rPr>
          <w:sz w:val="24"/>
          <w:szCs w:val="24"/>
        </w:rPr>
        <w:t xml:space="preserve">On June 11, 2013, the Office of Small Business Advocate (“OSBA”) filed a Motion to Strike Direct Testimony filed on behalf of Peoples Natural Gas Company LLC, Peoples TWP LLC, and Equitable Gas Company, LLC.  No responses to this Motion were filed.  The Applicants and the OSBA entered into an agreement to amicably resolve </w:t>
      </w:r>
      <w:r w:rsidR="00A4126F">
        <w:rPr>
          <w:sz w:val="24"/>
          <w:szCs w:val="24"/>
        </w:rPr>
        <w:t>the issues contained in the</w:t>
      </w:r>
      <w:r w:rsidR="00082C70">
        <w:rPr>
          <w:sz w:val="24"/>
          <w:szCs w:val="24"/>
        </w:rPr>
        <w:t xml:space="preserve"> Motion and revise the litigation schedule.   </w:t>
      </w:r>
      <w:r w:rsidR="00682AF7">
        <w:rPr>
          <w:sz w:val="24"/>
          <w:szCs w:val="24"/>
        </w:rPr>
        <w:t xml:space="preserve">The Motion to Strike is hereby denied.  </w:t>
      </w:r>
      <w:r w:rsidR="00082C70">
        <w:rPr>
          <w:sz w:val="24"/>
          <w:szCs w:val="24"/>
        </w:rPr>
        <w:t>The following revised litigation schedule is hereby ordered:</w:t>
      </w:r>
    </w:p>
    <w:p w:rsidR="00682AF7" w:rsidRDefault="00682AF7" w:rsidP="009B4716">
      <w:pPr>
        <w:spacing w:line="36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6678"/>
      </w:tblGrid>
      <w:tr w:rsidR="00682AF7" w:rsidRPr="00C055EF" w:rsidTr="00333B83">
        <w:tc>
          <w:tcPr>
            <w:tcW w:w="2898" w:type="dxa"/>
            <w:tcBorders>
              <w:top w:val="thinThickSmallGap" w:sz="24" w:space="0" w:color="auto"/>
              <w:left w:val="thinThickSmallGap" w:sz="24" w:space="0" w:color="auto"/>
            </w:tcBorders>
          </w:tcPr>
          <w:p w:rsidR="00682AF7" w:rsidRPr="00C055EF" w:rsidRDefault="00682AF7" w:rsidP="00333B83">
            <w:pPr>
              <w:pStyle w:val="Heading2"/>
              <w:rPr>
                <w:sz w:val="24"/>
                <w:szCs w:val="24"/>
                <w:u w:val="none"/>
              </w:rPr>
            </w:pPr>
            <w:r w:rsidRPr="00C055EF">
              <w:rPr>
                <w:sz w:val="24"/>
                <w:szCs w:val="24"/>
              </w:rPr>
              <w:t>Date</w:t>
            </w:r>
          </w:p>
        </w:tc>
        <w:tc>
          <w:tcPr>
            <w:tcW w:w="6678" w:type="dxa"/>
            <w:tcBorders>
              <w:top w:val="thinThickSmallGap" w:sz="24" w:space="0" w:color="auto"/>
              <w:right w:val="thickThinSmallGap" w:sz="24" w:space="0" w:color="auto"/>
            </w:tcBorders>
          </w:tcPr>
          <w:p w:rsidR="00682AF7" w:rsidRPr="00C055EF" w:rsidRDefault="00682AF7" w:rsidP="00333B83">
            <w:pPr>
              <w:pStyle w:val="Heading2"/>
              <w:rPr>
                <w:sz w:val="24"/>
                <w:szCs w:val="24"/>
                <w:u w:val="none"/>
              </w:rPr>
            </w:pPr>
            <w:r w:rsidRPr="00C055EF">
              <w:rPr>
                <w:sz w:val="24"/>
                <w:szCs w:val="24"/>
              </w:rPr>
              <w:t>Event</w:t>
            </w:r>
          </w:p>
        </w:tc>
      </w:tr>
      <w:tr w:rsidR="00682AF7" w:rsidRPr="00C055EF" w:rsidTr="00333B83">
        <w:tc>
          <w:tcPr>
            <w:tcW w:w="2898" w:type="dxa"/>
            <w:tcBorders>
              <w:left w:val="thinThickSmallGap" w:sz="24" w:space="0" w:color="auto"/>
            </w:tcBorders>
          </w:tcPr>
          <w:p w:rsidR="00682AF7" w:rsidRPr="00C055EF" w:rsidRDefault="00682AF7" w:rsidP="00333B83">
            <w:pPr>
              <w:spacing w:line="360" w:lineRule="auto"/>
              <w:rPr>
                <w:sz w:val="24"/>
                <w:szCs w:val="24"/>
              </w:rPr>
            </w:pPr>
            <w:r>
              <w:rPr>
                <w:sz w:val="24"/>
                <w:szCs w:val="24"/>
              </w:rPr>
              <w:t>May 29, 2013</w:t>
            </w:r>
          </w:p>
        </w:tc>
        <w:tc>
          <w:tcPr>
            <w:tcW w:w="6678" w:type="dxa"/>
            <w:tcBorders>
              <w:right w:val="thickThinSmallGap" w:sz="24" w:space="0" w:color="auto"/>
            </w:tcBorders>
          </w:tcPr>
          <w:p w:rsidR="00682AF7" w:rsidRPr="00C055EF" w:rsidRDefault="00682AF7" w:rsidP="00333B83">
            <w:pPr>
              <w:spacing w:line="360" w:lineRule="auto"/>
              <w:rPr>
                <w:sz w:val="24"/>
                <w:szCs w:val="24"/>
              </w:rPr>
            </w:pPr>
            <w:r>
              <w:rPr>
                <w:sz w:val="24"/>
                <w:szCs w:val="24"/>
              </w:rPr>
              <w:t>Service of Applicants’ Supplemental Written Direct Testimony</w:t>
            </w:r>
          </w:p>
        </w:tc>
      </w:tr>
      <w:tr w:rsidR="00682AF7" w:rsidRPr="00C055EF" w:rsidTr="00333B83">
        <w:tc>
          <w:tcPr>
            <w:tcW w:w="2898" w:type="dxa"/>
            <w:tcBorders>
              <w:left w:val="thinThickSmallGap" w:sz="24" w:space="0" w:color="auto"/>
            </w:tcBorders>
          </w:tcPr>
          <w:p w:rsidR="00682AF7" w:rsidRDefault="00682AF7" w:rsidP="00333B83">
            <w:pPr>
              <w:spacing w:line="360" w:lineRule="auto"/>
              <w:rPr>
                <w:sz w:val="24"/>
                <w:szCs w:val="24"/>
              </w:rPr>
            </w:pPr>
            <w:r>
              <w:rPr>
                <w:sz w:val="24"/>
                <w:szCs w:val="24"/>
              </w:rPr>
              <w:t>July 10, 2013 at 1:00 p.m.</w:t>
            </w:r>
          </w:p>
        </w:tc>
        <w:tc>
          <w:tcPr>
            <w:tcW w:w="6678" w:type="dxa"/>
            <w:tcBorders>
              <w:right w:val="thickThinSmallGap" w:sz="24" w:space="0" w:color="auto"/>
            </w:tcBorders>
          </w:tcPr>
          <w:p w:rsidR="00682AF7" w:rsidRDefault="00682AF7" w:rsidP="000F4DA7">
            <w:pPr>
              <w:spacing w:line="360" w:lineRule="auto"/>
              <w:rPr>
                <w:sz w:val="24"/>
                <w:szCs w:val="24"/>
              </w:rPr>
            </w:pPr>
            <w:r>
              <w:rPr>
                <w:sz w:val="24"/>
                <w:szCs w:val="24"/>
              </w:rPr>
              <w:t>Telephon</w:t>
            </w:r>
            <w:r w:rsidR="000F4DA7">
              <w:rPr>
                <w:sz w:val="24"/>
                <w:szCs w:val="24"/>
              </w:rPr>
              <w:t>ic</w:t>
            </w:r>
            <w:r>
              <w:rPr>
                <w:sz w:val="24"/>
                <w:szCs w:val="24"/>
              </w:rPr>
              <w:t xml:space="preserve"> Public Input Hearing</w:t>
            </w:r>
          </w:p>
        </w:tc>
      </w:tr>
      <w:tr w:rsidR="00682AF7" w:rsidRPr="00C055EF" w:rsidTr="00333B83">
        <w:tc>
          <w:tcPr>
            <w:tcW w:w="2898" w:type="dxa"/>
            <w:tcBorders>
              <w:left w:val="thinThickSmallGap" w:sz="24" w:space="0" w:color="auto"/>
            </w:tcBorders>
          </w:tcPr>
          <w:p w:rsidR="00682AF7" w:rsidRPr="00C055EF" w:rsidRDefault="00682AF7" w:rsidP="00333B83">
            <w:pPr>
              <w:spacing w:line="360" w:lineRule="auto"/>
              <w:rPr>
                <w:sz w:val="24"/>
                <w:szCs w:val="24"/>
              </w:rPr>
            </w:pPr>
            <w:r>
              <w:rPr>
                <w:sz w:val="24"/>
                <w:szCs w:val="24"/>
              </w:rPr>
              <w:t>July 24, 2013</w:t>
            </w:r>
          </w:p>
        </w:tc>
        <w:tc>
          <w:tcPr>
            <w:tcW w:w="6678" w:type="dxa"/>
            <w:tcBorders>
              <w:right w:val="thickThinSmallGap" w:sz="24" w:space="0" w:color="auto"/>
            </w:tcBorders>
          </w:tcPr>
          <w:p w:rsidR="00682AF7" w:rsidRPr="00C055EF" w:rsidRDefault="00682AF7" w:rsidP="00333B83">
            <w:pPr>
              <w:spacing w:line="360" w:lineRule="auto"/>
              <w:rPr>
                <w:sz w:val="24"/>
                <w:szCs w:val="24"/>
                <w:u w:val="single"/>
              </w:rPr>
            </w:pPr>
            <w:r>
              <w:rPr>
                <w:sz w:val="24"/>
                <w:szCs w:val="24"/>
              </w:rPr>
              <w:t xml:space="preserve">Service of </w:t>
            </w:r>
            <w:r w:rsidRPr="00C055EF">
              <w:rPr>
                <w:sz w:val="24"/>
                <w:szCs w:val="24"/>
              </w:rPr>
              <w:t xml:space="preserve">Written Direct Testimony of All Other Parties </w:t>
            </w:r>
          </w:p>
        </w:tc>
      </w:tr>
      <w:tr w:rsidR="00682AF7" w:rsidRPr="00C055EF" w:rsidTr="00333B83">
        <w:tc>
          <w:tcPr>
            <w:tcW w:w="2898" w:type="dxa"/>
            <w:tcBorders>
              <w:left w:val="thinThickSmallGap" w:sz="24" w:space="0" w:color="auto"/>
            </w:tcBorders>
          </w:tcPr>
          <w:p w:rsidR="00682AF7" w:rsidRDefault="00682AF7" w:rsidP="00333B83">
            <w:pPr>
              <w:spacing w:line="360" w:lineRule="auto"/>
              <w:rPr>
                <w:sz w:val="24"/>
                <w:szCs w:val="24"/>
              </w:rPr>
            </w:pPr>
            <w:r>
              <w:rPr>
                <w:sz w:val="24"/>
                <w:szCs w:val="24"/>
              </w:rPr>
              <w:t>August 5, 2013</w:t>
            </w:r>
          </w:p>
        </w:tc>
        <w:tc>
          <w:tcPr>
            <w:tcW w:w="6678" w:type="dxa"/>
            <w:tcBorders>
              <w:right w:val="thickThinSmallGap" w:sz="24" w:space="0" w:color="auto"/>
            </w:tcBorders>
          </w:tcPr>
          <w:p w:rsidR="00682AF7" w:rsidRDefault="00682AF7" w:rsidP="00682AF7">
            <w:pPr>
              <w:rPr>
                <w:sz w:val="24"/>
                <w:szCs w:val="24"/>
              </w:rPr>
            </w:pPr>
            <w:r>
              <w:rPr>
                <w:sz w:val="24"/>
                <w:szCs w:val="24"/>
              </w:rPr>
              <w:t xml:space="preserve">Service of Other Parties’ Direct Testimony in response to the Direct Testimony of Christine S. </w:t>
            </w:r>
            <w:proofErr w:type="spellStart"/>
            <w:r>
              <w:rPr>
                <w:sz w:val="24"/>
                <w:szCs w:val="24"/>
              </w:rPr>
              <w:t>Mayernik</w:t>
            </w:r>
            <w:proofErr w:type="spellEnd"/>
            <w:r>
              <w:rPr>
                <w:sz w:val="24"/>
                <w:szCs w:val="24"/>
              </w:rPr>
              <w:t xml:space="preserve">, if necessary </w:t>
            </w:r>
          </w:p>
        </w:tc>
      </w:tr>
      <w:tr w:rsidR="00682AF7" w:rsidRPr="00C055EF" w:rsidTr="00333B83">
        <w:tc>
          <w:tcPr>
            <w:tcW w:w="2898" w:type="dxa"/>
            <w:tcBorders>
              <w:left w:val="thinThickSmallGap" w:sz="24" w:space="0" w:color="auto"/>
            </w:tcBorders>
          </w:tcPr>
          <w:p w:rsidR="00682AF7" w:rsidRPr="00C055EF" w:rsidRDefault="00682AF7" w:rsidP="00333B83">
            <w:pPr>
              <w:spacing w:line="360" w:lineRule="auto"/>
              <w:rPr>
                <w:sz w:val="24"/>
                <w:szCs w:val="24"/>
              </w:rPr>
            </w:pPr>
            <w:r>
              <w:rPr>
                <w:sz w:val="24"/>
                <w:szCs w:val="24"/>
              </w:rPr>
              <w:t>August 19, 2013</w:t>
            </w:r>
          </w:p>
        </w:tc>
        <w:tc>
          <w:tcPr>
            <w:tcW w:w="6678" w:type="dxa"/>
            <w:tcBorders>
              <w:right w:val="thickThinSmallGap" w:sz="24" w:space="0" w:color="auto"/>
            </w:tcBorders>
          </w:tcPr>
          <w:p w:rsidR="00682AF7" w:rsidRPr="00C055EF" w:rsidRDefault="00682AF7" w:rsidP="00333B83">
            <w:pPr>
              <w:spacing w:line="360" w:lineRule="auto"/>
              <w:rPr>
                <w:sz w:val="24"/>
                <w:szCs w:val="24"/>
              </w:rPr>
            </w:pPr>
            <w:r>
              <w:rPr>
                <w:sz w:val="24"/>
                <w:szCs w:val="24"/>
              </w:rPr>
              <w:t xml:space="preserve">Service of </w:t>
            </w:r>
            <w:r w:rsidRPr="00C055EF">
              <w:rPr>
                <w:sz w:val="24"/>
                <w:szCs w:val="24"/>
              </w:rPr>
              <w:t>Written Rebuttal Testimony</w:t>
            </w:r>
            <w:r>
              <w:rPr>
                <w:sz w:val="24"/>
                <w:szCs w:val="24"/>
              </w:rPr>
              <w:t xml:space="preserve"> </w:t>
            </w:r>
            <w:r w:rsidRPr="00C055EF">
              <w:rPr>
                <w:sz w:val="24"/>
                <w:szCs w:val="24"/>
              </w:rPr>
              <w:t xml:space="preserve"> </w:t>
            </w:r>
          </w:p>
        </w:tc>
      </w:tr>
      <w:tr w:rsidR="00682AF7" w:rsidRPr="00C055EF" w:rsidTr="00333B83">
        <w:tc>
          <w:tcPr>
            <w:tcW w:w="2898" w:type="dxa"/>
            <w:tcBorders>
              <w:left w:val="thinThickSmallGap" w:sz="24" w:space="0" w:color="auto"/>
            </w:tcBorders>
          </w:tcPr>
          <w:p w:rsidR="00682AF7" w:rsidRDefault="00682AF7" w:rsidP="00333B83">
            <w:pPr>
              <w:spacing w:line="360" w:lineRule="auto"/>
              <w:rPr>
                <w:sz w:val="24"/>
                <w:szCs w:val="24"/>
              </w:rPr>
            </w:pPr>
            <w:r>
              <w:rPr>
                <w:sz w:val="24"/>
                <w:szCs w:val="24"/>
              </w:rPr>
              <w:t>August 26, 2013</w:t>
            </w:r>
          </w:p>
        </w:tc>
        <w:tc>
          <w:tcPr>
            <w:tcW w:w="6678" w:type="dxa"/>
            <w:tcBorders>
              <w:right w:val="thickThinSmallGap" w:sz="24" w:space="0" w:color="auto"/>
            </w:tcBorders>
          </w:tcPr>
          <w:p w:rsidR="00682AF7" w:rsidRDefault="00682AF7" w:rsidP="00174BEB">
            <w:pPr>
              <w:rPr>
                <w:sz w:val="24"/>
                <w:szCs w:val="24"/>
              </w:rPr>
            </w:pPr>
            <w:r>
              <w:rPr>
                <w:sz w:val="24"/>
                <w:szCs w:val="24"/>
              </w:rPr>
              <w:t xml:space="preserve">Service of Written Rebuttal Testimony of Christine S. </w:t>
            </w:r>
            <w:proofErr w:type="spellStart"/>
            <w:r>
              <w:rPr>
                <w:sz w:val="24"/>
                <w:szCs w:val="24"/>
              </w:rPr>
              <w:t>Mayernik</w:t>
            </w:r>
            <w:proofErr w:type="spellEnd"/>
            <w:r>
              <w:rPr>
                <w:sz w:val="24"/>
                <w:szCs w:val="24"/>
              </w:rPr>
              <w:t xml:space="preserve"> is due if Other Party’s/Parties’ Direct Testimony in response to the Direct Testimony of Christine S. </w:t>
            </w:r>
            <w:proofErr w:type="spellStart"/>
            <w:r>
              <w:rPr>
                <w:sz w:val="24"/>
                <w:szCs w:val="24"/>
              </w:rPr>
              <w:t>Mayernik</w:t>
            </w:r>
            <w:proofErr w:type="spellEnd"/>
            <w:r>
              <w:rPr>
                <w:sz w:val="24"/>
                <w:szCs w:val="24"/>
              </w:rPr>
              <w:t xml:space="preserve"> is </w:t>
            </w:r>
            <w:r w:rsidR="00174BEB">
              <w:rPr>
                <w:sz w:val="24"/>
                <w:szCs w:val="24"/>
              </w:rPr>
              <w:t>served after July 24, 2013</w:t>
            </w:r>
            <w:r>
              <w:rPr>
                <w:sz w:val="24"/>
                <w:szCs w:val="24"/>
              </w:rPr>
              <w:t xml:space="preserve">   </w:t>
            </w:r>
          </w:p>
        </w:tc>
      </w:tr>
      <w:tr w:rsidR="00682AF7" w:rsidRPr="00C055EF" w:rsidTr="00333B83">
        <w:tc>
          <w:tcPr>
            <w:tcW w:w="2898" w:type="dxa"/>
            <w:tcBorders>
              <w:left w:val="thinThickSmallGap" w:sz="24" w:space="0" w:color="auto"/>
            </w:tcBorders>
          </w:tcPr>
          <w:p w:rsidR="00682AF7" w:rsidRPr="00C055EF" w:rsidRDefault="00682AF7" w:rsidP="00333B83">
            <w:pPr>
              <w:spacing w:line="360" w:lineRule="auto"/>
              <w:rPr>
                <w:sz w:val="24"/>
                <w:szCs w:val="24"/>
              </w:rPr>
            </w:pPr>
            <w:r>
              <w:rPr>
                <w:sz w:val="24"/>
                <w:szCs w:val="24"/>
              </w:rPr>
              <w:t>September 6, 2013</w:t>
            </w:r>
          </w:p>
        </w:tc>
        <w:tc>
          <w:tcPr>
            <w:tcW w:w="6678" w:type="dxa"/>
            <w:tcBorders>
              <w:right w:val="thickThinSmallGap" w:sz="24" w:space="0" w:color="auto"/>
            </w:tcBorders>
          </w:tcPr>
          <w:p w:rsidR="00682AF7" w:rsidRPr="00C055EF" w:rsidRDefault="00682AF7" w:rsidP="00333B83">
            <w:pPr>
              <w:spacing w:line="360" w:lineRule="auto"/>
              <w:rPr>
                <w:sz w:val="24"/>
                <w:szCs w:val="24"/>
              </w:rPr>
            </w:pPr>
            <w:r>
              <w:rPr>
                <w:sz w:val="24"/>
                <w:szCs w:val="24"/>
              </w:rPr>
              <w:t xml:space="preserve">Service of </w:t>
            </w:r>
            <w:r w:rsidRPr="00C055EF">
              <w:rPr>
                <w:sz w:val="24"/>
                <w:szCs w:val="24"/>
              </w:rPr>
              <w:t xml:space="preserve">Written </w:t>
            </w:r>
            <w:proofErr w:type="spellStart"/>
            <w:r w:rsidRPr="00C055EF">
              <w:rPr>
                <w:sz w:val="24"/>
                <w:szCs w:val="24"/>
              </w:rPr>
              <w:t>Surrebuttal</w:t>
            </w:r>
            <w:proofErr w:type="spellEnd"/>
            <w:r w:rsidRPr="00C055EF">
              <w:rPr>
                <w:sz w:val="24"/>
                <w:szCs w:val="24"/>
              </w:rPr>
              <w:t xml:space="preserve"> Testimony </w:t>
            </w:r>
          </w:p>
        </w:tc>
      </w:tr>
      <w:tr w:rsidR="00682AF7" w:rsidRPr="00B123A6" w:rsidTr="00333B83">
        <w:tc>
          <w:tcPr>
            <w:tcW w:w="2898" w:type="dxa"/>
            <w:tcBorders>
              <w:left w:val="thinThickSmallGap" w:sz="24" w:space="0" w:color="auto"/>
            </w:tcBorders>
          </w:tcPr>
          <w:p w:rsidR="00682AF7" w:rsidRPr="00C055EF" w:rsidRDefault="00682AF7" w:rsidP="00333B83">
            <w:pPr>
              <w:rPr>
                <w:sz w:val="24"/>
                <w:szCs w:val="24"/>
              </w:rPr>
            </w:pPr>
            <w:r>
              <w:rPr>
                <w:sz w:val="24"/>
                <w:szCs w:val="24"/>
              </w:rPr>
              <w:t>September 9, 2013</w:t>
            </w:r>
          </w:p>
        </w:tc>
        <w:tc>
          <w:tcPr>
            <w:tcW w:w="6678" w:type="dxa"/>
            <w:tcBorders>
              <w:right w:val="thickThinSmallGap" w:sz="24" w:space="0" w:color="auto"/>
            </w:tcBorders>
          </w:tcPr>
          <w:p w:rsidR="00682AF7" w:rsidRPr="00B123A6" w:rsidRDefault="00682AF7" w:rsidP="00333B83">
            <w:pPr>
              <w:spacing w:line="360" w:lineRule="auto"/>
              <w:rPr>
                <w:sz w:val="24"/>
                <w:szCs w:val="24"/>
              </w:rPr>
            </w:pPr>
            <w:r>
              <w:rPr>
                <w:sz w:val="24"/>
                <w:szCs w:val="24"/>
              </w:rPr>
              <w:t>Service of Rejoinder Testimony Outlines</w:t>
            </w:r>
          </w:p>
        </w:tc>
      </w:tr>
      <w:tr w:rsidR="00682AF7" w:rsidRPr="00C055EF" w:rsidTr="00333B83">
        <w:tc>
          <w:tcPr>
            <w:tcW w:w="2898" w:type="dxa"/>
            <w:tcBorders>
              <w:left w:val="thinThickSmallGap" w:sz="24" w:space="0" w:color="auto"/>
            </w:tcBorders>
          </w:tcPr>
          <w:p w:rsidR="00682AF7" w:rsidRPr="00C055EF" w:rsidRDefault="00682AF7" w:rsidP="00333B83">
            <w:pPr>
              <w:spacing w:line="360" w:lineRule="auto"/>
              <w:rPr>
                <w:sz w:val="24"/>
                <w:szCs w:val="24"/>
              </w:rPr>
            </w:pPr>
            <w:r>
              <w:rPr>
                <w:sz w:val="24"/>
                <w:szCs w:val="24"/>
              </w:rPr>
              <w:t>September 11-13, 2013</w:t>
            </w:r>
          </w:p>
        </w:tc>
        <w:tc>
          <w:tcPr>
            <w:tcW w:w="6678" w:type="dxa"/>
            <w:tcBorders>
              <w:right w:val="thickThinSmallGap" w:sz="24" w:space="0" w:color="auto"/>
            </w:tcBorders>
          </w:tcPr>
          <w:p w:rsidR="00682AF7" w:rsidRPr="00C055EF" w:rsidRDefault="00682AF7" w:rsidP="00333B83">
            <w:pPr>
              <w:spacing w:line="360" w:lineRule="auto"/>
              <w:rPr>
                <w:sz w:val="24"/>
                <w:szCs w:val="24"/>
              </w:rPr>
            </w:pPr>
            <w:r w:rsidRPr="00C055EF">
              <w:rPr>
                <w:sz w:val="24"/>
                <w:szCs w:val="24"/>
              </w:rPr>
              <w:t xml:space="preserve">Technical Evidentiary Hearings </w:t>
            </w:r>
            <w:r>
              <w:rPr>
                <w:sz w:val="24"/>
                <w:szCs w:val="24"/>
              </w:rPr>
              <w:t>i</w:t>
            </w:r>
            <w:r w:rsidRPr="00C055EF">
              <w:rPr>
                <w:sz w:val="24"/>
                <w:szCs w:val="24"/>
              </w:rPr>
              <w:t>n Harrisburg</w:t>
            </w:r>
          </w:p>
        </w:tc>
      </w:tr>
      <w:tr w:rsidR="00682AF7" w:rsidRPr="00C055EF" w:rsidTr="00333B83">
        <w:tc>
          <w:tcPr>
            <w:tcW w:w="2898" w:type="dxa"/>
            <w:tcBorders>
              <w:left w:val="thinThickSmallGap" w:sz="24" w:space="0" w:color="auto"/>
            </w:tcBorders>
          </w:tcPr>
          <w:p w:rsidR="00682AF7" w:rsidRPr="00C055EF" w:rsidRDefault="00682AF7" w:rsidP="00333B83">
            <w:pPr>
              <w:rPr>
                <w:sz w:val="24"/>
                <w:szCs w:val="24"/>
              </w:rPr>
            </w:pPr>
            <w:r>
              <w:rPr>
                <w:sz w:val="24"/>
                <w:szCs w:val="24"/>
              </w:rPr>
              <w:t>September 30, 2013</w:t>
            </w:r>
          </w:p>
        </w:tc>
        <w:tc>
          <w:tcPr>
            <w:tcW w:w="6678" w:type="dxa"/>
            <w:tcBorders>
              <w:right w:val="thickThinSmallGap" w:sz="24" w:space="0" w:color="auto"/>
            </w:tcBorders>
          </w:tcPr>
          <w:p w:rsidR="00682AF7" w:rsidRPr="00C055EF" w:rsidRDefault="00682AF7" w:rsidP="00333B83">
            <w:pPr>
              <w:spacing w:line="360" w:lineRule="auto"/>
              <w:rPr>
                <w:sz w:val="24"/>
                <w:szCs w:val="24"/>
              </w:rPr>
            </w:pPr>
            <w:r>
              <w:rPr>
                <w:sz w:val="24"/>
                <w:szCs w:val="24"/>
              </w:rPr>
              <w:t xml:space="preserve">Filing and Service of </w:t>
            </w:r>
            <w:r w:rsidRPr="00C055EF">
              <w:rPr>
                <w:sz w:val="24"/>
                <w:szCs w:val="24"/>
              </w:rPr>
              <w:t xml:space="preserve">Main Briefs </w:t>
            </w:r>
          </w:p>
        </w:tc>
      </w:tr>
      <w:tr w:rsidR="00682AF7" w:rsidRPr="00C055EF" w:rsidTr="00333B83">
        <w:tc>
          <w:tcPr>
            <w:tcW w:w="2898" w:type="dxa"/>
            <w:tcBorders>
              <w:left w:val="thinThickSmallGap" w:sz="24" w:space="0" w:color="auto"/>
            </w:tcBorders>
          </w:tcPr>
          <w:p w:rsidR="00682AF7" w:rsidRPr="00C055EF" w:rsidRDefault="00682AF7" w:rsidP="00333B83">
            <w:pPr>
              <w:spacing w:line="360" w:lineRule="auto"/>
              <w:rPr>
                <w:sz w:val="24"/>
                <w:szCs w:val="24"/>
              </w:rPr>
            </w:pPr>
            <w:r>
              <w:rPr>
                <w:sz w:val="24"/>
                <w:szCs w:val="24"/>
              </w:rPr>
              <w:t>October 9, 2013</w:t>
            </w:r>
          </w:p>
        </w:tc>
        <w:tc>
          <w:tcPr>
            <w:tcW w:w="6678" w:type="dxa"/>
            <w:tcBorders>
              <w:right w:val="thickThinSmallGap" w:sz="24" w:space="0" w:color="auto"/>
            </w:tcBorders>
          </w:tcPr>
          <w:p w:rsidR="00682AF7" w:rsidRPr="00C055EF" w:rsidRDefault="00682AF7" w:rsidP="00333B83">
            <w:pPr>
              <w:rPr>
                <w:sz w:val="24"/>
                <w:szCs w:val="24"/>
              </w:rPr>
            </w:pPr>
            <w:r>
              <w:rPr>
                <w:sz w:val="24"/>
                <w:szCs w:val="24"/>
              </w:rPr>
              <w:t xml:space="preserve">Filing and Service of </w:t>
            </w:r>
            <w:r w:rsidRPr="00C055EF">
              <w:rPr>
                <w:sz w:val="24"/>
                <w:szCs w:val="24"/>
              </w:rPr>
              <w:t>Reply Briefs or Submission of Joint Settlement Petition Executed By Representatives of All Parties</w:t>
            </w:r>
            <w:r>
              <w:rPr>
                <w:sz w:val="24"/>
                <w:szCs w:val="24"/>
              </w:rPr>
              <w:t xml:space="preserve"> thereto</w:t>
            </w:r>
            <w:r w:rsidRPr="00C055EF">
              <w:rPr>
                <w:sz w:val="24"/>
                <w:szCs w:val="24"/>
              </w:rPr>
              <w:t>, Together With All Parties’ Statements In Support of Settlement</w:t>
            </w:r>
          </w:p>
        </w:tc>
      </w:tr>
    </w:tbl>
    <w:p w:rsidR="009B4716" w:rsidRPr="009B4716" w:rsidRDefault="00082C70" w:rsidP="009B4716">
      <w:pPr>
        <w:spacing w:line="360" w:lineRule="auto"/>
        <w:rPr>
          <w:sz w:val="24"/>
          <w:szCs w:val="24"/>
        </w:rPr>
      </w:pPr>
      <w:r>
        <w:rPr>
          <w:sz w:val="24"/>
          <w:szCs w:val="24"/>
        </w:rPr>
        <w:t xml:space="preserve"> </w:t>
      </w:r>
    </w:p>
    <w:p w:rsidR="00682AF7" w:rsidRDefault="00682AF7" w:rsidP="00682AF7">
      <w:pPr>
        <w:spacing w:line="360" w:lineRule="auto"/>
        <w:rPr>
          <w:sz w:val="24"/>
          <w:szCs w:val="24"/>
        </w:rPr>
      </w:pPr>
    </w:p>
    <w:p w:rsidR="00403336" w:rsidRDefault="00403336" w:rsidP="00682AF7">
      <w:pPr>
        <w:spacing w:line="360" w:lineRule="auto"/>
        <w:rPr>
          <w:sz w:val="24"/>
          <w:szCs w:val="24"/>
          <w:u w:val="single"/>
        </w:rPr>
      </w:pPr>
    </w:p>
    <w:p w:rsidR="00403336" w:rsidRDefault="00403336" w:rsidP="00682AF7">
      <w:pPr>
        <w:spacing w:line="360" w:lineRule="auto"/>
        <w:rPr>
          <w:sz w:val="24"/>
          <w:szCs w:val="24"/>
          <w:u w:val="single"/>
        </w:rPr>
      </w:pPr>
    </w:p>
    <w:p w:rsidR="0085032C" w:rsidRDefault="0085032C" w:rsidP="00682AF7">
      <w:pPr>
        <w:spacing w:line="360" w:lineRule="auto"/>
        <w:rPr>
          <w:sz w:val="24"/>
          <w:szCs w:val="24"/>
          <w:u w:val="single"/>
        </w:rPr>
      </w:pPr>
    </w:p>
    <w:p w:rsidR="00682AF7" w:rsidRDefault="00682AF7" w:rsidP="00682AF7">
      <w:pPr>
        <w:spacing w:line="360" w:lineRule="auto"/>
        <w:rPr>
          <w:sz w:val="24"/>
          <w:szCs w:val="24"/>
        </w:rPr>
      </w:pPr>
      <w:r>
        <w:rPr>
          <w:sz w:val="24"/>
          <w:szCs w:val="24"/>
          <w:u w:val="single"/>
        </w:rPr>
        <w:lastRenderedPageBreak/>
        <w:t>Modification of Discovery Rules</w:t>
      </w:r>
    </w:p>
    <w:p w:rsidR="00174BEB" w:rsidRDefault="00174BEB" w:rsidP="00682AF7">
      <w:pPr>
        <w:spacing w:line="360" w:lineRule="auto"/>
        <w:rPr>
          <w:sz w:val="24"/>
          <w:szCs w:val="24"/>
        </w:rPr>
      </w:pPr>
    </w:p>
    <w:p w:rsidR="00174BEB" w:rsidRDefault="00174BEB" w:rsidP="00682AF7">
      <w:pPr>
        <w:spacing w:line="360" w:lineRule="auto"/>
        <w:rPr>
          <w:sz w:val="24"/>
          <w:szCs w:val="24"/>
        </w:rPr>
      </w:pPr>
      <w:r>
        <w:rPr>
          <w:sz w:val="24"/>
          <w:szCs w:val="24"/>
        </w:rPr>
        <w:tab/>
      </w:r>
      <w:r>
        <w:rPr>
          <w:sz w:val="24"/>
          <w:szCs w:val="24"/>
        </w:rPr>
        <w:tab/>
        <w:t xml:space="preserve">In addition to the modifications to the discovery rules contained in the Prehearing Order issued on May 14, 2013, the Applicants and the OSBA agreed to a further modification of the discovery rules as part of the resolution of the issues contained in the OSBA’s Motion to Strike.  The Applicants have agreed and it is hereby ordered that responses to all discovery requests related to the Direct Testimony of Christine S. </w:t>
      </w:r>
      <w:proofErr w:type="spellStart"/>
      <w:r>
        <w:rPr>
          <w:sz w:val="24"/>
          <w:szCs w:val="24"/>
        </w:rPr>
        <w:t>Mayernik</w:t>
      </w:r>
      <w:proofErr w:type="spellEnd"/>
      <w:r>
        <w:rPr>
          <w:sz w:val="24"/>
          <w:szCs w:val="24"/>
        </w:rPr>
        <w:t xml:space="preserve"> shall be served by the Applicants in accordance with the Prehearing Order and within ten (10) days of service of the discovery request(s) on the Applicants.     </w:t>
      </w:r>
    </w:p>
    <w:p w:rsidR="00174BEB" w:rsidRDefault="00174BEB" w:rsidP="00682AF7">
      <w:pPr>
        <w:spacing w:line="360" w:lineRule="auto"/>
        <w:rPr>
          <w:sz w:val="24"/>
          <w:szCs w:val="24"/>
        </w:rPr>
      </w:pPr>
    </w:p>
    <w:p w:rsidR="00174BEB" w:rsidRDefault="00174BEB" w:rsidP="00682AF7">
      <w:pPr>
        <w:spacing w:line="360" w:lineRule="auto"/>
        <w:rPr>
          <w:sz w:val="24"/>
          <w:szCs w:val="24"/>
        </w:rPr>
      </w:pPr>
      <w:r>
        <w:rPr>
          <w:sz w:val="24"/>
          <w:szCs w:val="24"/>
          <w:u w:val="single"/>
        </w:rPr>
        <w:t>Objection to DTI’s Written Interrogatory Set I-2(c)</w:t>
      </w:r>
    </w:p>
    <w:p w:rsidR="00174BEB" w:rsidRDefault="00174BEB" w:rsidP="00682AF7">
      <w:pPr>
        <w:spacing w:line="360" w:lineRule="auto"/>
        <w:rPr>
          <w:sz w:val="24"/>
          <w:szCs w:val="24"/>
        </w:rPr>
      </w:pPr>
    </w:p>
    <w:p w:rsidR="00ED533C" w:rsidRPr="00ED533C" w:rsidRDefault="00ED533C" w:rsidP="00ED533C">
      <w:pPr>
        <w:spacing w:line="360" w:lineRule="auto"/>
        <w:ind w:firstLine="1440"/>
        <w:rPr>
          <w:sz w:val="24"/>
          <w:szCs w:val="24"/>
        </w:rPr>
      </w:pPr>
      <w:r w:rsidRPr="00ED533C">
        <w:rPr>
          <w:sz w:val="24"/>
          <w:szCs w:val="24"/>
        </w:rPr>
        <w:t>DTI propounded the following written interrogatory to the Applicants on June 7, 2013:</w:t>
      </w:r>
    </w:p>
    <w:p w:rsidR="00ED533C" w:rsidRPr="00ED533C" w:rsidRDefault="00ED533C" w:rsidP="00D52CFC">
      <w:pPr>
        <w:spacing w:line="360" w:lineRule="auto"/>
        <w:ind w:left="2160" w:right="720" w:hanging="720"/>
        <w:rPr>
          <w:sz w:val="24"/>
          <w:szCs w:val="24"/>
        </w:rPr>
      </w:pPr>
      <w:r w:rsidRPr="00ED533C">
        <w:rPr>
          <w:sz w:val="24"/>
          <w:szCs w:val="24"/>
        </w:rPr>
        <w:t>2.</w:t>
      </w:r>
      <w:r w:rsidRPr="00ED533C">
        <w:rPr>
          <w:sz w:val="24"/>
          <w:szCs w:val="24"/>
        </w:rPr>
        <w:tab/>
        <w:t>Referencing Joint Applicants Statement No. 5 (</w:t>
      </w:r>
      <w:proofErr w:type="spellStart"/>
      <w:r w:rsidRPr="00ED533C">
        <w:rPr>
          <w:sz w:val="24"/>
          <w:szCs w:val="24"/>
        </w:rPr>
        <w:t>Nehr</w:t>
      </w:r>
      <w:proofErr w:type="spellEnd"/>
      <w:r w:rsidRPr="00ED533C">
        <w:rPr>
          <w:sz w:val="24"/>
          <w:szCs w:val="24"/>
        </w:rPr>
        <w:t xml:space="preserve"> Direct) at 5:17,</w:t>
      </w:r>
    </w:p>
    <w:p w:rsidR="00ED533C" w:rsidRPr="00ED533C" w:rsidRDefault="00ED533C" w:rsidP="00ED533C">
      <w:pPr>
        <w:spacing w:line="360" w:lineRule="auto"/>
        <w:ind w:left="2160" w:right="720" w:hanging="720"/>
        <w:jc w:val="both"/>
        <w:rPr>
          <w:sz w:val="24"/>
          <w:szCs w:val="24"/>
        </w:rPr>
      </w:pPr>
    </w:p>
    <w:p w:rsidR="00ED533C" w:rsidRPr="00ED533C" w:rsidRDefault="00ED533C" w:rsidP="00ED533C">
      <w:pPr>
        <w:spacing w:line="360" w:lineRule="auto"/>
        <w:ind w:left="1440" w:right="720"/>
        <w:jc w:val="center"/>
        <w:rPr>
          <w:sz w:val="24"/>
          <w:szCs w:val="24"/>
        </w:rPr>
      </w:pPr>
      <w:r w:rsidRPr="00ED533C">
        <w:rPr>
          <w:sz w:val="24"/>
          <w:szCs w:val="24"/>
        </w:rPr>
        <w:t>*</w:t>
      </w:r>
      <w:r w:rsidRPr="00ED533C">
        <w:rPr>
          <w:sz w:val="24"/>
          <w:szCs w:val="24"/>
        </w:rPr>
        <w:tab/>
        <w:t>*</w:t>
      </w:r>
      <w:r w:rsidRPr="00ED533C">
        <w:rPr>
          <w:sz w:val="24"/>
          <w:szCs w:val="24"/>
        </w:rPr>
        <w:tab/>
        <w:t>*</w:t>
      </w:r>
    </w:p>
    <w:p w:rsidR="00ED533C" w:rsidRPr="00ED533C" w:rsidRDefault="00ED533C" w:rsidP="00D52CFC">
      <w:pPr>
        <w:spacing w:line="360" w:lineRule="auto"/>
        <w:ind w:left="2160" w:right="720" w:hanging="720"/>
        <w:rPr>
          <w:sz w:val="24"/>
          <w:szCs w:val="24"/>
        </w:rPr>
      </w:pPr>
      <w:r w:rsidRPr="00ED533C">
        <w:rPr>
          <w:sz w:val="24"/>
          <w:szCs w:val="24"/>
        </w:rPr>
        <w:t>c.</w:t>
      </w:r>
      <w:r w:rsidRPr="00ED533C">
        <w:rPr>
          <w:sz w:val="24"/>
          <w:szCs w:val="24"/>
        </w:rPr>
        <w:tab/>
        <w:t>Please provide copies of documents, including without limitation communications between Joint Applicants, evidencing or referring or relating to the negotiation of the “negotiated rates for service under the Sunrise Transportation Agreement” were negotiated.</w:t>
      </w:r>
    </w:p>
    <w:p w:rsidR="00ED533C" w:rsidRDefault="00ED533C" w:rsidP="00ED533C">
      <w:pPr>
        <w:ind w:left="1440" w:right="720" w:hanging="720"/>
        <w:jc w:val="both"/>
      </w:pPr>
    </w:p>
    <w:p w:rsidR="00ED533C" w:rsidRDefault="00ED533C" w:rsidP="00ED533C">
      <w:pPr>
        <w:pStyle w:val="ListParagraph"/>
        <w:spacing w:line="360" w:lineRule="auto"/>
        <w:ind w:left="0" w:firstLine="1440"/>
      </w:pPr>
      <w:r>
        <w:t>Pursuant to an agreement of counsel, the Applicants were provided an extension of time to noon, June 14, 2013</w:t>
      </w:r>
      <w:r w:rsidR="00616413">
        <w:t>,</w:t>
      </w:r>
      <w:r>
        <w:t xml:space="preserve"> to lodge an Objection to this interrogatory due to the efforts of counsel to resolve the matter informally.  The Applicants served an Objection to DTI Set 1-2(c) on June 14, 2013.   </w:t>
      </w:r>
    </w:p>
    <w:p w:rsidR="00ED533C" w:rsidRDefault="00ED533C" w:rsidP="00ED533C">
      <w:pPr>
        <w:pStyle w:val="ListParagraph"/>
        <w:spacing w:line="360" w:lineRule="auto"/>
        <w:ind w:left="0" w:firstLine="1440"/>
      </w:pPr>
    </w:p>
    <w:p w:rsidR="00ED533C" w:rsidRDefault="00ED533C" w:rsidP="00ED533C">
      <w:pPr>
        <w:pStyle w:val="ListParagraph"/>
        <w:spacing w:line="360" w:lineRule="auto"/>
        <w:ind w:left="0" w:firstLine="1440"/>
      </w:pPr>
      <w:r>
        <w:t xml:space="preserve"> Pursuant to an agreement of counsel, DTI was given an extension of time to file a Motion to Compel.  On June 24, 2013, DTI filed the Motion seeking an order “dismissing the </w:t>
      </w:r>
      <w:r>
        <w:lastRenderedPageBreak/>
        <w:t xml:space="preserve">Joint Applicants’ objection to DTI Discovery Request No. 2c., and compelling DTI [the Applicants] to provide documents responsive to the request.”  </w:t>
      </w:r>
      <w:proofErr w:type="gramStart"/>
      <w:r>
        <w:t>(Motion, p. 9).</w:t>
      </w:r>
      <w:proofErr w:type="gramEnd"/>
    </w:p>
    <w:p w:rsidR="00E565BA" w:rsidRDefault="00E565BA" w:rsidP="00E565BA">
      <w:pPr>
        <w:pStyle w:val="ListParagraph"/>
        <w:spacing w:line="240" w:lineRule="auto"/>
        <w:ind w:left="0" w:firstLine="1440"/>
      </w:pPr>
    </w:p>
    <w:p w:rsidR="0065413E" w:rsidRDefault="00D52CFC" w:rsidP="0014745F">
      <w:pPr>
        <w:spacing w:line="360" w:lineRule="auto"/>
        <w:ind w:firstLine="1440"/>
        <w:rPr>
          <w:sz w:val="24"/>
          <w:szCs w:val="24"/>
        </w:rPr>
      </w:pPr>
      <w:r>
        <w:rPr>
          <w:sz w:val="24"/>
          <w:szCs w:val="24"/>
        </w:rPr>
        <w:t>O</w:t>
      </w:r>
      <w:r w:rsidR="00ED533C" w:rsidRPr="00ED533C">
        <w:rPr>
          <w:sz w:val="24"/>
          <w:szCs w:val="24"/>
        </w:rPr>
        <w:t xml:space="preserve">n June 25, 2013, the Applicants served a response to DTI Set I-2(c) in the form of a Highly Confidential Attachment, which </w:t>
      </w:r>
      <w:r>
        <w:rPr>
          <w:sz w:val="24"/>
          <w:szCs w:val="24"/>
        </w:rPr>
        <w:t xml:space="preserve">Applicants contend </w:t>
      </w:r>
      <w:r w:rsidR="00ED533C" w:rsidRPr="00ED533C">
        <w:rPr>
          <w:sz w:val="24"/>
          <w:szCs w:val="24"/>
        </w:rPr>
        <w:t xml:space="preserve">provided DTI with a complete draft of a Draft Non-Binding High-Level Term Sheet (“Term Sheet”) dated October 23, 2013 that was exchanged between Peoples Natural Gas (“PNG”) and </w:t>
      </w:r>
      <w:proofErr w:type="spellStart"/>
      <w:r w:rsidR="00ED533C" w:rsidRPr="00ED533C">
        <w:rPr>
          <w:sz w:val="24"/>
          <w:szCs w:val="24"/>
        </w:rPr>
        <w:t>Equitrans</w:t>
      </w:r>
      <w:proofErr w:type="spellEnd"/>
      <w:r w:rsidR="00ED533C" w:rsidRPr="00ED533C">
        <w:rPr>
          <w:sz w:val="24"/>
          <w:szCs w:val="24"/>
        </w:rPr>
        <w:t xml:space="preserve">.  </w:t>
      </w:r>
      <w:r w:rsidR="0014745F">
        <w:rPr>
          <w:sz w:val="24"/>
          <w:szCs w:val="24"/>
        </w:rPr>
        <w:t>According to the Applicants’ Answer to the Motion to Compel, t</w:t>
      </w:r>
      <w:r w:rsidR="00ED533C" w:rsidRPr="00ED533C">
        <w:rPr>
          <w:sz w:val="24"/>
          <w:szCs w:val="24"/>
        </w:rPr>
        <w:t xml:space="preserve">he Term Sheet predated the Agreement and is a written communication exchanged between the Applicants during the Agreement’s negotiation process that refers to the negotiated rates for service under the Agreement.  </w:t>
      </w:r>
    </w:p>
    <w:p w:rsidR="00785C62" w:rsidRDefault="00785C62" w:rsidP="0014745F">
      <w:pPr>
        <w:spacing w:line="360" w:lineRule="auto"/>
        <w:ind w:firstLine="1440"/>
        <w:rPr>
          <w:sz w:val="24"/>
          <w:szCs w:val="24"/>
        </w:rPr>
      </w:pPr>
    </w:p>
    <w:p w:rsidR="0065413E" w:rsidRDefault="0065413E" w:rsidP="00F71C3F">
      <w:pPr>
        <w:pStyle w:val="Numberedpara"/>
        <w:rPr>
          <w:szCs w:val="24"/>
        </w:rPr>
      </w:pPr>
      <w:r>
        <w:t>Section 5.321(c) of the Commission</w:t>
      </w:r>
      <w:r w:rsidR="002E210B">
        <w:t>’</w:t>
      </w:r>
      <w:r>
        <w:t>s Rules of Administrative Practice and Procedure provides that “</w:t>
      </w:r>
      <w:r w:rsidRPr="003A491D">
        <w:t>a party may obtain discovery regarding any matter, not privileged, which is relevant to the subject matter involved in the pending action</w:t>
      </w:r>
      <w:r>
        <w:t xml:space="preserve">.”  </w:t>
      </w:r>
      <w:proofErr w:type="gramStart"/>
      <w:r>
        <w:t>52 Pa Code §5.321(c).</w:t>
      </w:r>
      <w:proofErr w:type="gramEnd"/>
      <w:r>
        <w:t xml:space="preserve">  Discovery is permitted </w:t>
      </w:r>
      <w:r w:rsidRPr="00F71C3F">
        <w:t>regardless</w:t>
      </w:r>
      <w:r>
        <w:t xml:space="preserve"> of whether the information sought “</w:t>
      </w:r>
      <w:r w:rsidRPr="00466B48">
        <w:t>relates to the claim or defense of the party seeking discovery or to the claim or defense of another part</w:t>
      </w:r>
      <w:r>
        <w:t xml:space="preserve">y.”  </w:t>
      </w:r>
      <w:r w:rsidRPr="00CF2300">
        <w:rPr>
          <w:i/>
        </w:rPr>
        <w:t>Id.</w:t>
      </w:r>
      <w:r>
        <w:t xml:space="preserve"> Information may be discoverable, even if it would be inadmissible at a hearing:  “</w:t>
      </w:r>
      <w:r w:rsidRPr="00466B48">
        <w:t>It is not ground</w:t>
      </w:r>
      <w:r w:rsidR="007A4665">
        <w:t>s</w:t>
      </w:r>
      <w:r w:rsidRPr="00466B48">
        <w:t xml:space="preserve"> for objection that the information sought will be inadmissible at hearing if the information sought appears reasonably calculated to lead to the discovery of admissible evidence.</w:t>
      </w:r>
      <w:r>
        <w:t xml:space="preserve">”  </w:t>
      </w:r>
      <w:r w:rsidRPr="00CF2300">
        <w:rPr>
          <w:i/>
        </w:rPr>
        <w:t>Id.</w:t>
      </w:r>
      <w:r>
        <w:t xml:space="preserve">  “Consistently, the Commission has allowed participants wide latitude in discovery matters.”  </w:t>
      </w:r>
      <w:r w:rsidRPr="00CF2300">
        <w:rPr>
          <w:i/>
        </w:rPr>
        <w:t xml:space="preserve">Application of Nabil Nasr and </w:t>
      </w:r>
      <w:proofErr w:type="spellStart"/>
      <w:r w:rsidRPr="00CF2300">
        <w:rPr>
          <w:i/>
        </w:rPr>
        <w:t>Wael</w:t>
      </w:r>
      <w:proofErr w:type="spellEnd"/>
      <w:r w:rsidRPr="00CF2300">
        <w:rPr>
          <w:i/>
        </w:rPr>
        <w:t xml:space="preserve"> Hafez, </w:t>
      </w:r>
      <w:r>
        <w:rPr>
          <w:i/>
        </w:rPr>
        <w:t>etc.</w:t>
      </w:r>
      <w:r>
        <w:t xml:space="preserve">, </w:t>
      </w:r>
      <w:r w:rsidRPr="00CF2300">
        <w:t>Docket No. A-2012-2295813</w:t>
      </w:r>
      <w:r>
        <w:t xml:space="preserve">, Initial Decision, slip op., 2012 WL 6763606 (Nov. 28, 2012) (citing </w:t>
      </w:r>
      <w:r w:rsidRPr="00CF2300">
        <w:rPr>
          <w:i/>
        </w:rPr>
        <w:t>Pa. P.U.C. v. The</w:t>
      </w:r>
      <w:r w:rsidR="002303CF">
        <w:rPr>
          <w:i/>
        </w:rPr>
        <w:t> </w:t>
      </w:r>
      <w:r w:rsidRPr="00CF2300">
        <w:rPr>
          <w:i/>
        </w:rPr>
        <w:t>Peoples Natural Gas Company</w:t>
      </w:r>
      <w:r>
        <w:t xml:space="preserve">, 62 Pa. P.U.C. 56 (1986); </w:t>
      </w:r>
      <w:r w:rsidRPr="00CF2300">
        <w:rPr>
          <w:i/>
        </w:rPr>
        <w:t>Pa. P.U.C. v. Equitable Gas Company</w:t>
      </w:r>
      <w:r>
        <w:t>, 61 Pa. P.U.C. 468 (1986).</w:t>
      </w:r>
    </w:p>
    <w:p w:rsidR="00D52CFC" w:rsidRDefault="00D52CFC" w:rsidP="0014745F">
      <w:pPr>
        <w:spacing w:line="360" w:lineRule="auto"/>
        <w:ind w:firstLine="1440"/>
        <w:rPr>
          <w:sz w:val="24"/>
          <w:szCs w:val="24"/>
        </w:rPr>
      </w:pPr>
    </w:p>
    <w:p w:rsidR="00FD017C" w:rsidRDefault="00FD017C" w:rsidP="0014745F">
      <w:pPr>
        <w:spacing w:line="360" w:lineRule="auto"/>
        <w:ind w:firstLine="1440"/>
        <w:rPr>
          <w:sz w:val="24"/>
          <w:szCs w:val="24"/>
        </w:rPr>
      </w:pPr>
      <w:r w:rsidRPr="00FD017C">
        <w:rPr>
          <w:sz w:val="24"/>
          <w:szCs w:val="24"/>
        </w:rPr>
        <w:t xml:space="preserve">The Objection to DTI Set 1-2(c) filed by the Applicants on June 14, 2013 is sustained and DTI’s Motion to Compel is denied.  The information sought by this particular subpart of DTI’s written interrogatory Set I-2 </w:t>
      </w:r>
      <w:r w:rsidR="00AA330D">
        <w:rPr>
          <w:sz w:val="24"/>
          <w:szCs w:val="24"/>
        </w:rPr>
        <w:t>is</w:t>
      </w:r>
      <w:r w:rsidRPr="00FD017C">
        <w:rPr>
          <w:sz w:val="24"/>
          <w:szCs w:val="24"/>
        </w:rPr>
        <w:t xml:space="preserve"> neither relevant to any finding the Commission must make in this proceeding on the Sunrise Transportation Agreement (“Agreement”) nor likely to lead to the discovery of any admissible evidence. </w:t>
      </w:r>
    </w:p>
    <w:p w:rsidR="00D52CFC" w:rsidRDefault="00994A06" w:rsidP="0014745F">
      <w:pPr>
        <w:spacing w:line="360" w:lineRule="auto"/>
        <w:ind w:firstLine="1440"/>
        <w:rPr>
          <w:sz w:val="24"/>
          <w:szCs w:val="24"/>
        </w:rPr>
      </w:pPr>
      <w:bookmarkStart w:id="0" w:name="_GoBack"/>
      <w:bookmarkEnd w:id="0"/>
      <w:r>
        <w:rPr>
          <w:sz w:val="24"/>
          <w:szCs w:val="24"/>
        </w:rPr>
        <w:lastRenderedPageBreak/>
        <w:t xml:space="preserve">I agree with the Applicants’ assertion that </w:t>
      </w:r>
      <w:r w:rsidR="00FD017C" w:rsidRPr="00FD017C">
        <w:rPr>
          <w:sz w:val="24"/>
          <w:szCs w:val="24"/>
        </w:rPr>
        <w:t xml:space="preserve">DTI does </w:t>
      </w:r>
      <w:r w:rsidR="00FD017C">
        <w:rPr>
          <w:sz w:val="24"/>
          <w:szCs w:val="24"/>
        </w:rPr>
        <w:t>not</w:t>
      </w:r>
      <w:r w:rsidR="00FD017C" w:rsidRPr="00FD017C">
        <w:rPr>
          <w:sz w:val="24"/>
          <w:szCs w:val="24"/>
        </w:rPr>
        <w:t xml:space="preserve"> need any information about </w:t>
      </w:r>
      <w:r w:rsidR="00FD017C">
        <w:rPr>
          <w:sz w:val="24"/>
          <w:szCs w:val="24"/>
        </w:rPr>
        <w:t>how</w:t>
      </w:r>
      <w:r w:rsidR="00FD017C" w:rsidRPr="00FD017C">
        <w:rPr>
          <w:sz w:val="24"/>
          <w:szCs w:val="24"/>
        </w:rPr>
        <w:t xml:space="preserve"> the rates were negotiated to challenge the final contract rates as not being market based, or the best available rates for comparable services.</w:t>
      </w:r>
    </w:p>
    <w:p w:rsidR="00AA330D" w:rsidRDefault="00AA330D" w:rsidP="00AA330D">
      <w:pPr>
        <w:spacing w:line="360" w:lineRule="auto"/>
        <w:rPr>
          <w:sz w:val="24"/>
          <w:szCs w:val="24"/>
        </w:rPr>
      </w:pPr>
    </w:p>
    <w:p w:rsidR="00AA330D" w:rsidRDefault="00AA330D" w:rsidP="00AA330D">
      <w:pPr>
        <w:spacing w:line="360" w:lineRule="auto"/>
        <w:rPr>
          <w:sz w:val="24"/>
          <w:szCs w:val="24"/>
        </w:rPr>
      </w:pPr>
    </w:p>
    <w:p w:rsidR="003C4FBA" w:rsidRDefault="003C4FBA" w:rsidP="00AA330D">
      <w:pPr>
        <w:spacing w:line="360" w:lineRule="auto"/>
        <w:rPr>
          <w:sz w:val="24"/>
          <w:szCs w:val="24"/>
        </w:rPr>
      </w:pPr>
    </w:p>
    <w:p w:rsidR="00AA330D" w:rsidRPr="00C055EF" w:rsidRDefault="00AA330D" w:rsidP="00AA330D">
      <w:pPr>
        <w:pStyle w:val="Footer"/>
        <w:tabs>
          <w:tab w:val="clear" w:pos="4320"/>
          <w:tab w:val="clear" w:pos="8640"/>
        </w:tabs>
        <w:rPr>
          <w:sz w:val="24"/>
          <w:szCs w:val="24"/>
        </w:rPr>
      </w:pPr>
      <w:r w:rsidRPr="00C055EF">
        <w:rPr>
          <w:spacing w:val="-3"/>
          <w:sz w:val="24"/>
          <w:szCs w:val="24"/>
        </w:rPr>
        <w:t xml:space="preserve">Date:  </w:t>
      </w:r>
      <w:r>
        <w:rPr>
          <w:spacing w:val="-3"/>
          <w:sz w:val="24"/>
          <w:szCs w:val="24"/>
          <w:u w:val="single"/>
        </w:rPr>
        <w:t>July 3, 2013</w:t>
      </w:r>
      <w:r w:rsidRPr="00C055EF">
        <w:rPr>
          <w:sz w:val="24"/>
          <w:szCs w:val="24"/>
        </w:rPr>
        <w:tab/>
      </w:r>
      <w:r>
        <w:rPr>
          <w:sz w:val="24"/>
          <w:szCs w:val="24"/>
        </w:rPr>
        <w:tab/>
      </w:r>
      <w:r>
        <w:rPr>
          <w:sz w:val="24"/>
          <w:szCs w:val="24"/>
        </w:rPr>
        <w:tab/>
      </w:r>
      <w:r>
        <w:rPr>
          <w:sz w:val="24"/>
          <w:szCs w:val="24"/>
        </w:rPr>
        <w:tab/>
      </w:r>
      <w:r>
        <w:rPr>
          <w:sz w:val="24"/>
          <w:szCs w:val="24"/>
        </w:rPr>
        <w:tab/>
      </w:r>
      <w:r w:rsidR="00C40760">
        <w:rPr>
          <w:sz w:val="24"/>
          <w:szCs w:val="24"/>
        </w:rPr>
        <w:tab/>
      </w:r>
      <w:r w:rsidRPr="00C055EF">
        <w:rPr>
          <w:sz w:val="24"/>
          <w:szCs w:val="24"/>
          <w:u w:val="single"/>
        </w:rPr>
        <w:tab/>
      </w:r>
      <w:r w:rsidRPr="00C055EF">
        <w:rPr>
          <w:sz w:val="24"/>
          <w:szCs w:val="24"/>
          <w:u w:val="single"/>
        </w:rPr>
        <w:tab/>
      </w:r>
      <w:r w:rsidRPr="00C055EF">
        <w:rPr>
          <w:sz w:val="24"/>
          <w:szCs w:val="24"/>
          <w:u w:val="single"/>
        </w:rPr>
        <w:tab/>
      </w:r>
      <w:r w:rsidRPr="00C055EF">
        <w:rPr>
          <w:sz w:val="24"/>
          <w:szCs w:val="24"/>
          <w:u w:val="single"/>
        </w:rPr>
        <w:tab/>
      </w:r>
      <w:r w:rsidRPr="00C055EF">
        <w:rPr>
          <w:sz w:val="24"/>
          <w:szCs w:val="24"/>
          <w:u w:val="single"/>
        </w:rPr>
        <w:tab/>
      </w:r>
    </w:p>
    <w:p w:rsidR="00AA330D" w:rsidRPr="00C055EF" w:rsidRDefault="00AA330D" w:rsidP="00AA330D">
      <w:pPr>
        <w:rPr>
          <w:sz w:val="24"/>
          <w:szCs w:val="24"/>
        </w:rPr>
      </w:pPr>
      <w:r w:rsidRPr="00C055EF">
        <w:rPr>
          <w:sz w:val="24"/>
          <w:szCs w:val="24"/>
        </w:rPr>
        <w:tab/>
      </w:r>
      <w:r w:rsidRPr="00C055EF">
        <w:rPr>
          <w:sz w:val="24"/>
          <w:szCs w:val="24"/>
        </w:rPr>
        <w:tab/>
      </w:r>
      <w:r w:rsidRPr="00C055EF">
        <w:rPr>
          <w:sz w:val="24"/>
          <w:szCs w:val="24"/>
        </w:rPr>
        <w:tab/>
      </w:r>
      <w:r w:rsidRPr="00C055EF">
        <w:rPr>
          <w:sz w:val="24"/>
          <w:szCs w:val="24"/>
        </w:rPr>
        <w:tab/>
      </w:r>
      <w:r w:rsidRPr="00C055EF">
        <w:rPr>
          <w:sz w:val="24"/>
          <w:szCs w:val="24"/>
        </w:rPr>
        <w:tab/>
      </w:r>
      <w:r w:rsidRPr="00C055EF">
        <w:rPr>
          <w:sz w:val="24"/>
          <w:szCs w:val="24"/>
        </w:rPr>
        <w:tab/>
      </w:r>
      <w:r w:rsidRPr="00C055EF">
        <w:rPr>
          <w:sz w:val="24"/>
          <w:szCs w:val="24"/>
        </w:rPr>
        <w:tab/>
      </w:r>
      <w:r w:rsidR="00C40760">
        <w:rPr>
          <w:sz w:val="24"/>
          <w:szCs w:val="24"/>
        </w:rPr>
        <w:tab/>
      </w:r>
      <w:r w:rsidRPr="00C055EF">
        <w:rPr>
          <w:sz w:val="24"/>
          <w:szCs w:val="24"/>
        </w:rPr>
        <w:t>Mark A. Hoyer</w:t>
      </w:r>
    </w:p>
    <w:p w:rsidR="00AA330D" w:rsidRPr="00C055EF" w:rsidRDefault="00AA330D" w:rsidP="00AA330D">
      <w:pPr>
        <w:rPr>
          <w:sz w:val="24"/>
          <w:szCs w:val="24"/>
        </w:rPr>
      </w:pPr>
      <w:r w:rsidRPr="00C055EF">
        <w:rPr>
          <w:sz w:val="24"/>
          <w:szCs w:val="24"/>
        </w:rPr>
        <w:tab/>
      </w:r>
      <w:r w:rsidRPr="00C055EF">
        <w:rPr>
          <w:sz w:val="24"/>
          <w:szCs w:val="24"/>
        </w:rPr>
        <w:tab/>
      </w:r>
      <w:r w:rsidRPr="00C055EF">
        <w:rPr>
          <w:sz w:val="24"/>
          <w:szCs w:val="24"/>
        </w:rPr>
        <w:tab/>
      </w:r>
      <w:r w:rsidRPr="00C055EF">
        <w:rPr>
          <w:sz w:val="24"/>
          <w:szCs w:val="24"/>
        </w:rPr>
        <w:tab/>
      </w:r>
      <w:r w:rsidRPr="00C055EF">
        <w:rPr>
          <w:sz w:val="24"/>
          <w:szCs w:val="24"/>
        </w:rPr>
        <w:tab/>
      </w:r>
      <w:r w:rsidRPr="00C055EF">
        <w:rPr>
          <w:sz w:val="24"/>
          <w:szCs w:val="24"/>
        </w:rPr>
        <w:tab/>
      </w:r>
      <w:r w:rsidRPr="00C055EF">
        <w:rPr>
          <w:sz w:val="24"/>
          <w:szCs w:val="24"/>
        </w:rPr>
        <w:tab/>
      </w:r>
      <w:r w:rsidR="00C40760">
        <w:rPr>
          <w:sz w:val="24"/>
          <w:szCs w:val="24"/>
        </w:rPr>
        <w:tab/>
      </w:r>
      <w:r w:rsidRPr="00C055EF">
        <w:rPr>
          <w:sz w:val="24"/>
          <w:szCs w:val="24"/>
        </w:rPr>
        <w:t>Administrative Law Judge</w:t>
      </w:r>
    </w:p>
    <w:p w:rsidR="00AA330D" w:rsidRDefault="00AA330D" w:rsidP="00AA330D">
      <w:pPr>
        <w:rPr>
          <w:sz w:val="24"/>
          <w:szCs w:val="24"/>
        </w:rPr>
      </w:pPr>
    </w:p>
    <w:p w:rsidR="00AA330D" w:rsidRPr="00FD017C" w:rsidRDefault="00AA330D" w:rsidP="00AA330D">
      <w:pPr>
        <w:spacing w:line="360" w:lineRule="auto"/>
        <w:rPr>
          <w:sz w:val="24"/>
          <w:szCs w:val="24"/>
        </w:rPr>
      </w:pPr>
    </w:p>
    <w:p w:rsidR="00174BEB" w:rsidRPr="00174BEB" w:rsidRDefault="00174BEB" w:rsidP="00682AF7">
      <w:pPr>
        <w:spacing w:line="360" w:lineRule="auto"/>
        <w:rPr>
          <w:sz w:val="24"/>
          <w:szCs w:val="24"/>
        </w:rPr>
      </w:pPr>
    </w:p>
    <w:p w:rsidR="00682AF7" w:rsidRDefault="00682AF7" w:rsidP="00682AF7">
      <w:pPr>
        <w:spacing w:line="360" w:lineRule="auto"/>
        <w:rPr>
          <w:sz w:val="24"/>
          <w:szCs w:val="24"/>
        </w:rPr>
      </w:pPr>
    </w:p>
    <w:p w:rsidR="00682AF7" w:rsidRPr="00682AF7" w:rsidRDefault="00682AF7" w:rsidP="00682AF7">
      <w:pPr>
        <w:spacing w:line="360" w:lineRule="auto"/>
        <w:rPr>
          <w:sz w:val="24"/>
          <w:szCs w:val="24"/>
        </w:rPr>
      </w:pPr>
      <w:r>
        <w:rPr>
          <w:sz w:val="24"/>
          <w:szCs w:val="24"/>
        </w:rPr>
        <w:tab/>
      </w:r>
      <w:r>
        <w:rPr>
          <w:sz w:val="24"/>
          <w:szCs w:val="24"/>
        </w:rPr>
        <w:tab/>
      </w:r>
    </w:p>
    <w:p w:rsidR="00EF0C2B" w:rsidRPr="00EF0C2B" w:rsidRDefault="00EF0C2B" w:rsidP="00EF0C2B">
      <w:pPr>
        <w:spacing w:line="360" w:lineRule="auto"/>
        <w:ind w:firstLine="1440"/>
        <w:rPr>
          <w:sz w:val="24"/>
          <w:szCs w:val="24"/>
        </w:rPr>
      </w:pPr>
    </w:p>
    <w:sectPr w:rsidR="00EF0C2B" w:rsidRPr="00EF0C2B" w:rsidSect="00403336">
      <w:footerReference w:type="default" r:id="rId9"/>
      <w:pgSz w:w="12240" w:h="15840"/>
      <w:pgMar w:top="1440" w:right="1440" w:bottom="172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51D" w:rsidRDefault="00EE751D" w:rsidP="0099188C">
      <w:r>
        <w:separator/>
      </w:r>
    </w:p>
  </w:endnote>
  <w:endnote w:type="continuationSeparator" w:id="0">
    <w:p w:rsidR="00EE751D" w:rsidRDefault="00EE751D" w:rsidP="0099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243725"/>
      <w:docPartObj>
        <w:docPartGallery w:val="Page Numbers (Bottom of Page)"/>
        <w:docPartUnique/>
      </w:docPartObj>
    </w:sdtPr>
    <w:sdtEndPr>
      <w:rPr>
        <w:noProof/>
      </w:rPr>
    </w:sdtEndPr>
    <w:sdtContent>
      <w:p w:rsidR="0099188C" w:rsidRDefault="0099188C">
        <w:pPr>
          <w:pStyle w:val="Footer"/>
          <w:jc w:val="center"/>
        </w:pPr>
        <w:r>
          <w:fldChar w:fldCharType="begin"/>
        </w:r>
        <w:r>
          <w:instrText xml:space="preserve"> PAGE   \* MERGEFORMAT </w:instrText>
        </w:r>
        <w:r>
          <w:fldChar w:fldCharType="separate"/>
        </w:r>
        <w:r w:rsidR="00570287">
          <w:rPr>
            <w:noProof/>
          </w:rPr>
          <w:t>5</w:t>
        </w:r>
        <w:r>
          <w:rPr>
            <w:noProof/>
          </w:rPr>
          <w:fldChar w:fldCharType="end"/>
        </w:r>
      </w:p>
    </w:sdtContent>
  </w:sdt>
  <w:p w:rsidR="0099188C" w:rsidRDefault="00991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51D" w:rsidRDefault="00EE751D" w:rsidP="0099188C">
      <w:r>
        <w:separator/>
      </w:r>
    </w:p>
  </w:footnote>
  <w:footnote w:type="continuationSeparator" w:id="0">
    <w:p w:rsidR="00EE751D" w:rsidRDefault="00EE751D" w:rsidP="009918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C7F2F"/>
    <w:multiLevelType w:val="hybridMultilevel"/>
    <w:tmpl w:val="27681462"/>
    <w:lvl w:ilvl="0" w:tplc="3CA6FB96">
      <w:start w:val="1"/>
      <w:numFmt w:val="decimal"/>
      <w:lvlText w:val="%1."/>
      <w:lvlJc w:val="left"/>
      <w:pPr>
        <w:ind w:left="1080" w:hanging="360"/>
      </w:pPr>
      <w:rPr>
        <w:rFonts w:hint="default"/>
      </w:rPr>
    </w:lvl>
    <w:lvl w:ilvl="1" w:tplc="AC62C5B0">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F083792"/>
    <w:multiLevelType w:val="hybridMultilevel"/>
    <w:tmpl w:val="36443886"/>
    <w:lvl w:ilvl="0" w:tplc="8AEE59D0">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3EB"/>
    <w:rsid w:val="00037ADC"/>
    <w:rsid w:val="00082C70"/>
    <w:rsid w:val="0008774A"/>
    <w:rsid w:val="000D00A7"/>
    <w:rsid w:val="000F4DA7"/>
    <w:rsid w:val="001332CD"/>
    <w:rsid w:val="0014745F"/>
    <w:rsid w:val="00174BEB"/>
    <w:rsid w:val="001E42B2"/>
    <w:rsid w:val="002303CF"/>
    <w:rsid w:val="002E210B"/>
    <w:rsid w:val="00370A1B"/>
    <w:rsid w:val="003C31EB"/>
    <w:rsid w:val="003C4FBA"/>
    <w:rsid w:val="00403336"/>
    <w:rsid w:val="00412CC2"/>
    <w:rsid w:val="004F6206"/>
    <w:rsid w:val="00570287"/>
    <w:rsid w:val="00616413"/>
    <w:rsid w:val="0065413E"/>
    <w:rsid w:val="006678BD"/>
    <w:rsid w:val="00682AF7"/>
    <w:rsid w:val="0069741D"/>
    <w:rsid w:val="00703F5E"/>
    <w:rsid w:val="00785C62"/>
    <w:rsid w:val="007A4665"/>
    <w:rsid w:val="007B14C9"/>
    <w:rsid w:val="0085032C"/>
    <w:rsid w:val="00877545"/>
    <w:rsid w:val="009563EB"/>
    <w:rsid w:val="0099188C"/>
    <w:rsid w:val="00994A06"/>
    <w:rsid w:val="009B4716"/>
    <w:rsid w:val="00A4126F"/>
    <w:rsid w:val="00AA330D"/>
    <w:rsid w:val="00BE0837"/>
    <w:rsid w:val="00C367B4"/>
    <w:rsid w:val="00C40760"/>
    <w:rsid w:val="00D52CFC"/>
    <w:rsid w:val="00D6408E"/>
    <w:rsid w:val="00D820F9"/>
    <w:rsid w:val="00DC775E"/>
    <w:rsid w:val="00E44862"/>
    <w:rsid w:val="00E565BA"/>
    <w:rsid w:val="00E76ABA"/>
    <w:rsid w:val="00E80C84"/>
    <w:rsid w:val="00EB5D04"/>
    <w:rsid w:val="00ED533C"/>
    <w:rsid w:val="00EE3E91"/>
    <w:rsid w:val="00EE751D"/>
    <w:rsid w:val="00EF0C2B"/>
    <w:rsid w:val="00F33D93"/>
    <w:rsid w:val="00F35E48"/>
    <w:rsid w:val="00F71C3F"/>
    <w:rsid w:val="00FA0A87"/>
    <w:rsid w:val="00FB3117"/>
    <w:rsid w:val="00FD0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3E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682AF7"/>
    <w:pPr>
      <w:keepNext/>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2AF7"/>
    <w:rPr>
      <w:rFonts w:ascii="Times New Roman" w:eastAsia="Times New Roman" w:hAnsi="Times New Roman" w:cs="Times New Roman"/>
      <w:b/>
      <w:sz w:val="26"/>
      <w:szCs w:val="20"/>
      <w:u w:val="single"/>
    </w:rPr>
  </w:style>
  <w:style w:type="paragraph" w:styleId="ListParagraph">
    <w:name w:val="List Paragraph"/>
    <w:basedOn w:val="Normal"/>
    <w:uiPriority w:val="99"/>
    <w:qFormat/>
    <w:rsid w:val="00ED533C"/>
    <w:pPr>
      <w:spacing w:after="240" w:line="480" w:lineRule="auto"/>
      <w:ind w:left="720"/>
      <w:contextualSpacing/>
    </w:pPr>
    <w:rPr>
      <w:sz w:val="24"/>
      <w:szCs w:val="24"/>
    </w:rPr>
  </w:style>
  <w:style w:type="paragraph" w:styleId="Footer">
    <w:name w:val="footer"/>
    <w:basedOn w:val="Normal"/>
    <w:link w:val="FooterChar"/>
    <w:uiPriority w:val="99"/>
    <w:rsid w:val="00AA330D"/>
    <w:pPr>
      <w:tabs>
        <w:tab w:val="center" w:pos="4320"/>
        <w:tab w:val="right" w:pos="8640"/>
      </w:tabs>
    </w:pPr>
  </w:style>
  <w:style w:type="character" w:customStyle="1" w:styleId="FooterChar">
    <w:name w:val="Footer Char"/>
    <w:basedOn w:val="DefaultParagraphFont"/>
    <w:link w:val="Footer"/>
    <w:uiPriority w:val="99"/>
    <w:rsid w:val="00AA330D"/>
    <w:rPr>
      <w:rFonts w:ascii="Times New Roman" w:eastAsia="Times New Roman" w:hAnsi="Times New Roman" w:cs="Times New Roman"/>
      <w:sz w:val="20"/>
      <w:szCs w:val="20"/>
    </w:rPr>
  </w:style>
  <w:style w:type="paragraph" w:customStyle="1" w:styleId="Numberedpara">
    <w:name w:val="Numbered para"/>
    <w:basedOn w:val="Normal"/>
    <w:link w:val="NumberedparaChar"/>
    <w:autoRedefine/>
    <w:qFormat/>
    <w:rsid w:val="00F71C3F"/>
    <w:pPr>
      <w:tabs>
        <w:tab w:val="left" w:pos="1440"/>
      </w:tabs>
      <w:spacing w:line="360" w:lineRule="auto"/>
      <w:ind w:firstLine="1440"/>
    </w:pPr>
    <w:rPr>
      <w:rFonts w:eastAsia="Calibri"/>
      <w:sz w:val="24"/>
      <w:szCs w:val="22"/>
    </w:rPr>
  </w:style>
  <w:style w:type="character" w:customStyle="1" w:styleId="NumberedparaChar">
    <w:name w:val="Numbered para Char"/>
    <w:link w:val="Numberedpara"/>
    <w:rsid w:val="00F71C3F"/>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D6408E"/>
    <w:rPr>
      <w:rFonts w:ascii="Tahoma" w:hAnsi="Tahoma" w:cs="Tahoma"/>
      <w:sz w:val="16"/>
      <w:szCs w:val="16"/>
    </w:rPr>
  </w:style>
  <w:style w:type="character" w:customStyle="1" w:styleId="BalloonTextChar">
    <w:name w:val="Balloon Text Char"/>
    <w:basedOn w:val="DefaultParagraphFont"/>
    <w:link w:val="BalloonText"/>
    <w:uiPriority w:val="99"/>
    <w:semiHidden/>
    <w:rsid w:val="00D6408E"/>
    <w:rPr>
      <w:rFonts w:ascii="Tahoma" w:eastAsia="Times New Roman" w:hAnsi="Tahoma" w:cs="Tahoma"/>
      <w:sz w:val="16"/>
      <w:szCs w:val="16"/>
    </w:rPr>
  </w:style>
  <w:style w:type="paragraph" w:styleId="Header">
    <w:name w:val="header"/>
    <w:basedOn w:val="Normal"/>
    <w:link w:val="HeaderChar"/>
    <w:uiPriority w:val="99"/>
    <w:unhideWhenUsed/>
    <w:rsid w:val="0099188C"/>
    <w:pPr>
      <w:tabs>
        <w:tab w:val="center" w:pos="4680"/>
        <w:tab w:val="right" w:pos="9360"/>
      </w:tabs>
    </w:pPr>
  </w:style>
  <w:style w:type="character" w:customStyle="1" w:styleId="HeaderChar">
    <w:name w:val="Header Char"/>
    <w:basedOn w:val="DefaultParagraphFont"/>
    <w:link w:val="Header"/>
    <w:uiPriority w:val="99"/>
    <w:rsid w:val="0099188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3E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682AF7"/>
    <w:pPr>
      <w:keepNext/>
      <w:spacing w:line="360" w:lineRule="auto"/>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2AF7"/>
    <w:rPr>
      <w:rFonts w:ascii="Times New Roman" w:eastAsia="Times New Roman" w:hAnsi="Times New Roman" w:cs="Times New Roman"/>
      <w:b/>
      <w:sz w:val="26"/>
      <w:szCs w:val="20"/>
      <w:u w:val="single"/>
    </w:rPr>
  </w:style>
  <w:style w:type="paragraph" w:styleId="ListParagraph">
    <w:name w:val="List Paragraph"/>
    <w:basedOn w:val="Normal"/>
    <w:uiPriority w:val="99"/>
    <w:qFormat/>
    <w:rsid w:val="00ED533C"/>
    <w:pPr>
      <w:spacing w:after="240" w:line="480" w:lineRule="auto"/>
      <w:ind w:left="720"/>
      <w:contextualSpacing/>
    </w:pPr>
    <w:rPr>
      <w:sz w:val="24"/>
      <w:szCs w:val="24"/>
    </w:rPr>
  </w:style>
  <w:style w:type="paragraph" w:styleId="Footer">
    <w:name w:val="footer"/>
    <w:basedOn w:val="Normal"/>
    <w:link w:val="FooterChar"/>
    <w:uiPriority w:val="99"/>
    <w:rsid w:val="00AA330D"/>
    <w:pPr>
      <w:tabs>
        <w:tab w:val="center" w:pos="4320"/>
        <w:tab w:val="right" w:pos="8640"/>
      </w:tabs>
    </w:pPr>
  </w:style>
  <w:style w:type="character" w:customStyle="1" w:styleId="FooterChar">
    <w:name w:val="Footer Char"/>
    <w:basedOn w:val="DefaultParagraphFont"/>
    <w:link w:val="Footer"/>
    <w:uiPriority w:val="99"/>
    <w:rsid w:val="00AA330D"/>
    <w:rPr>
      <w:rFonts w:ascii="Times New Roman" w:eastAsia="Times New Roman" w:hAnsi="Times New Roman" w:cs="Times New Roman"/>
      <w:sz w:val="20"/>
      <w:szCs w:val="20"/>
    </w:rPr>
  </w:style>
  <w:style w:type="paragraph" w:customStyle="1" w:styleId="Numberedpara">
    <w:name w:val="Numbered para"/>
    <w:basedOn w:val="Normal"/>
    <w:link w:val="NumberedparaChar"/>
    <w:autoRedefine/>
    <w:qFormat/>
    <w:rsid w:val="00F71C3F"/>
    <w:pPr>
      <w:tabs>
        <w:tab w:val="left" w:pos="1440"/>
      </w:tabs>
      <w:spacing w:line="360" w:lineRule="auto"/>
      <w:ind w:firstLine="1440"/>
    </w:pPr>
    <w:rPr>
      <w:rFonts w:eastAsia="Calibri"/>
      <w:sz w:val="24"/>
      <w:szCs w:val="22"/>
    </w:rPr>
  </w:style>
  <w:style w:type="character" w:customStyle="1" w:styleId="NumberedparaChar">
    <w:name w:val="Numbered para Char"/>
    <w:link w:val="Numberedpara"/>
    <w:rsid w:val="00F71C3F"/>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D6408E"/>
    <w:rPr>
      <w:rFonts w:ascii="Tahoma" w:hAnsi="Tahoma" w:cs="Tahoma"/>
      <w:sz w:val="16"/>
      <w:szCs w:val="16"/>
    </w:rPr>
  </w:style>
  <w:style w:type="character" w:customStyle="1" w:styleId="BalloonTextChar">
    <w:name w:val="Balloon Text Char"/>
    <w:basedOn w:val="DefaultParagraphFont"/>
    <w:link w:val="BalloonText"/>
    <w:uiPriority w:val="99"/>
    <w:semiHidden/>
    <w:rsid w:val="00D6408E"/>
    <w:rPr>
      <w:rFonts w:ascii="Tahoma" w:eastAsia="Times New Roman" w:hAnsi="Tahoma" w:cs="Tahoma"/>
      <w:sz w:val="16"/>
      <w:szCs w:val="16"/>
    </w:rPr>
  </w:style>
  <w:style w:type="paragraph" w:styleId="Header">
    <w:name w:val="header"/>
    <w:basedOn w:val="Normal"/>
    <w:link w:val="HeaderChar"/>
    <w:uiPriority w:val="99"/>
    <w:unhideWhenUsed/>
    <w:rsid w:val="0099188C"/>
    <w:pPr>
      <w:tabs>
        <w:tab w:val="center" w:pos="4680"/>
        <w:tab w:val="right" w:pos="9360"/>
      </w:tabs>
    </w:pPr>
  </w:style>
  <w:style w:type="character" w:customStyle="1" w:styleId="HeaderChar">
    <w:name w:val="Header Char"/>
    <w:basedOn w:val="DefaultParagraphFont"/>
    <w:link w:val="Header"/>
    <w:uiPriority w:val="99"/>
    <w:rsid w:val="0099188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1B137-9588-4019-B13C-070B9944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Hoyer, Mark A</dc:creator>
  <cp:lastModifiedBy>sandra elizabeth oldynski</cp:lastModifiedBy>
  <cp:revision>36</cp:revision>
  <cp:lastPrinted>2013-07-03T13:18:00Z</cp:lastPrinted>
  <dcterms:created xsi:type="dcterms:W3CDTF">2013-07-03T12:31:00Z</dcterms:created>
  <dcterms:modified xsi:type="dcterms:W3CDTF">2013-07-03T13:21:00Z</dcterms:modified>
</cp:coreProperties>
</file>