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14:anchorId="7803EF34" wp14:editId="49FCA84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982D60">
          <w:footerReference w:type="default" r:id="rId9"/>
          <w:type w:val="continuous"/>
          <w:pgSz w:w="12240" w:h="15840"/>
          <w:pgMar w:top="720" w:right="1440" w:bottom="1440" w:left="1440" w:header="720" w:footer="720" w:gutter="0"/>
          <w:cols w:space="720"/>
          <w:titlePg/>
          <w:docGrid w:linePitch="326"/>
        </w:sectPr>
      </w:pPr>
    </w:p>
    <w:p w:rsidR="00E9717D" w:rsidRPr="0008427B" w:rsidRDefault="001A115E" w:rsidP="001A115E">
      <w:pPr>
        <w:jc w:val="center"/>
        <w:rPr>
          <w:sz w:val="26"/>
          <w:szCs w:val="26"/>
        </w:rPr>
      </w:pPr>
      <w:r>
        <w:rPr>
          <w:sz w:val="26"/>
          <w:szCs w:val="26"/>
        </w:rPr>
        <w:lastRenderedPageBreak/>
        <w:t>July 9, 2013</w:t>
      </w:r>
    </w:p>
    <w:p w:rsidR="00157C40" w:rsidRPr="00614FDE" w:rsidRDefault="002E5260" w:rsidP="007914D2">
      <w:pPr>
        <w:jc w:val="center"/>
        <w:rPr>
          <w:color w:val="FF66FF"/>
          <w:szCs w:val="24"/>
        </w:rPr>
      </w:pPr>
      <w:r w:rsidRPr="00614FDE">
        <w:rPr>
          <w:color w:val="FF66FF"/>
          <w:szCs w:val="24"/>
        </w:rPr>
        <w:fldChar w:fldCharType="begin">
          <w:ffData>
            <w:name w:val="Text15"/>
            <w:enabled/>
            <w:calcOnExit w:val="0"/>
            <w:textInput/>
          </w:ffData>
        </w:fldChar>
      </w:r>
      <w:bookmarkStart w:id="0" w:name="Text15"/>
      <w:r w:rsidR="006721A8" w:rsidRPr="00614FDE">
        <w:rPr>
          <w:color w:val="FF66FF"/>
          <w:szCs w:val="24"/>
        </w:rPr>
        <w:instrText xml:space="preserve"> FORMTEXT </w:instrText>
      </w:r>
      <w:r w:rsidRPr="00614FDE">
        <w:rPr>
          <w:color w:val="FF66FF"/>
          <w:szCs w:val="24"/>
        </w:rPr>
      </w:r>
      <w:r w:rsidRPr="00614FDE">
        <w:rPr>
          <w:color w:val="FF66FF"/>
          <w:szCs w:val="24"/>
        </w:rPr>
        <w:fldChar w:fldCharType="end"/>
      </w:r>
      <w:bookmarkEnd w:id="0"/>
    </w:p>
    <w:p w:rsidR="004376E3" w:rsidRPr="00F30773" w:rsidRDefault="004376E3" w:rsidP="004376E3">
      <w:pPr>
        <w:jc w:val="right"/>
        <w:rPr>
          <w:szCs w:val="24"/>
        </w:rPr>
      </w:pPr>
      <w:r w:rsidRPr="00F30773">
        <w:rPr>
          <w:szCs w:val="24"/>
        </w:rPr>
        <w:t>Docket No. R-20</w:t>
      </w:r>
      <w:r w:rsidR="00F30773">
        <w:rPr>
          <w:szCs w:val="24"/>
        </w:rPr>
        <w:t>13</w:t>
      </w:r>
      <w:r w:rsidRPr="00F30773">
        <w:rPr>
          <w:szCs w:val="24"/>
        </w:rPr>
        <w:t>-</w:t>
      </w:r>
      <w:r w:rsidR="00F30773">
        <w:rPr>
          <w:szCs w:val="24"/>
        </w:rPr>
        <w:t>2366687</w:t>
      </w:r>
      <w:r w:rsidR="002E5260" w:rsidRPr="00F30773">
        <w:rPr>
          <w:szCs w:val="24"/>
        </w:rPr>
        <w:fldChar w:fldCharType="begin">
          <w:ffData>
            <w:name w:val="Text15"/>
            <w:enabled/>
            <w:calcOnExit w:val="0"/>
            <w:textInput/>
          </w:ffData>
        </w:fldChar>
      </w:r>
      <w:r w:rsidRPr="00F30773">
        <w:rPr>
          <w:szCs w:val="24"/>
        </w:rPr>
        <w:instrText xml:space="preserve"> FORMTEXT </w:instrText>
      </w:r>
      <w:r w:rsidR="002E5260" w:rsidRPr="00F30773">
        <w:rPr>
          <w:szCs w:val="24"/>
        </w:rPr>
      </w:r>
      <w:r w:rsidR="002E5260" w:rsidRPr="00F30773">
        <w:rPr>
          <w:szCs w:val="24"/>
        </w:rPr>
        <w:fldChar w:fldCharType="end"/>
      </w:r>
    </w:p>
    <w:p w:rsidR="004376E3" w:rsidRPr="00F30773" w:rsidRDefault="004376E3" w:rsidP="004376E3">
      <w:pPr>
        <w:pStyle w:val="BodyText"/>
        <w:jc w:val="right"/>
      </w:pPr>
      <w:r w:rsidRPr="00F30773">
        <w:rPr>
          <w:szCs w:val="24"/>
        </w:rPr>
        <w:t xml:space="preserve">                                                                           </w:t>
      </w:r>
      <w:r w:rsidRPr="00F30773">
        <w:t xml:space="preserve">Utility Code: </w:t>
      </w:r>
      <w:r w:rsidR="00F30773">
        <w:t>310814</w:t>
      </w:r>
    </w:p>
    <w:p w:rsidR="004376E3" w:rsidRPr="00F30773" w:rsidRDefault="001E2460" w:rsidP="004376E3">
      <w:pPr>
        <w:rPr>
          <w:caps/>
          <w:szCs w:val="24"/>
        </w:rPr>
      </w:pPr>
      <w:r w:rsidRPr="00F30773">
        <w:rPr>
          <w:caps/>
          <w:szCs w:val="24"/>
        </w:rPr>
        <w:t>chris cranford</w:t>
      </w:r>
    </w:p>
    <w:p w:rsidR="004376E3" w:rsidRPr="00F30773" w:rsidRDefault="001E2460" w:rsidP="004376E3">
      <w:pPr>
        <w:rPr>
          <w:szCs w:val="24"/>
        </w:rPr>
      </w:pPr>
      <w:r w:rsidRPr="00F30773">
        <w:rPr>
          <w:szCs w:val="24"/>
        </w:rPr>
        <w:t>WINDSTREAM COMMUNICATIONS INC</w:t>
      </w:r>
    </w:p>
    <w:p w:rsidR="004376E3" w:rsidRPr="00F30773" w:rsidRDefault="001E2460" w:rsidP="004376E3">
      <w:pPr>
        <w:rPr>
          <w:szCs w:val="24"/>
        </w:rPr>
      </w:pPr>
      <w:r w:rsidRPr="00F30773">
        <w:rPr>
          <w:szCs w:val="24"/>
        </w:rPr>
        <w:t>4001 RODNEY PARAHAM ROAD</w:t>
      </w:r>
    </w:p>
    <w:p w:rsidR="004376E3" w:rsidRPr="00F30773" w:rsidRDefault="001E2460" w:rsidP="004376E3">
      <w:pPr>
        <w:rPr>
          <w:szCs w:val="24"/>
        </w:rPr>
      </w:pPr>
      <w:r w:rsidRPr="00F30773">
        <w:rPr>
          <w:szCs w:val="24"/>
        </w:rPr>
        <w:t>LITTLE ROCK ARKANSAS</w:t>
      </w:r>
    </w:p>
    <w:p w:rsidR="004376E3" w:rsidRPr="00F30773" w:rsidRDefault="004376E3" w:rsidP="004376E3">
      <w:pPr>
        <w:ind w:left="-90" w:firstLine="90"/>
        <w:jc w:val="both"/>
        <w:rPr>
          <w:szCs w:val="24"/>
        </w:rPr>
      </w:pPr>
    </w:p>
    <w:p w:rsidR="004376E3" w:rsidRPr="00F30773" w:rsidRDefault="004376E3" w:rsidP="004376E3">
      <w:pPr>
        <w:ind w:left="-90" w:firstLine="90"/>
        <w:jc w:val="both"/>
        <w:rPr>
          <w:szCs w:val="24"/>
        </w:rPr>
      </w:pPr>
    </w:p>
    <w:p w:rsidR="004376E3" w:rsidRPr="00F30773" w:rsidRDefault="004376E3" w:rsidP="004376E3">
      <w:pPr>
        <w:ind w:left="1440" w:hanging="720"/>
        <w:jc w:val="both"/>
        <w:rPr>
          <w:szCs w:val="24"/>
        </w:rPr>
      </w:pPr>
      <w:r w:rsidRPr="00F30773">
        <w:rPr>
          <w:szCs w:val="24"/>
        </w:rPr>
        <w:t>Re:</w:t>
      </w:r>
      <w:r w:rsidRPr="00F30773">
        <w:rPr>
          <w:szCs w:val="24"/>
        </w:rPr>
        <w:tab/>
      </w:r>
      <w:r w:rsidR="001E2460" w:rsidRPr="00F30773">
        <w:rPr>
          <w:szCs w:val="24"/>
        </w:rPr>
        <w:t xml:space="preserve">US LEC of Pennsylvania, Inc. </w:t>
      </w:r>
    </w:p>
    <w:p w:rsidR="004376E3" w:rsidRPr="00F30773" w:rsidRDefault="004376E3" w:rsidP="004376E3">
      <w:pPr>
        <w:ind w:left="1440"/>
        <w:jc w:val="both"/>
        <w:rPr>
          <w:szCs w:val="24"/>
        </w:rPr>
      </w:pPr>
      <w:r w:rsidRPr="00F30773">
        <w:rPr>
          <w:szCs w:val="24"/>
        </w:rPr>
        <w:t xml:space="preserve">Revisions to </w:t>
      </w:r>
      <w:r w:rsidR="00302CBB" w:rsidRPr="00F30773">
        <w:rPr>
          <w:szCs w:val="24"/>
        </w:rPr>
        <w:t xml:space="preserve">Intrastate </w:t>
      </w:r>
      <w:r w:rsidRPr="00F30773">
        <w:rPr>
          <w:szCs w:val="24"/>
        </w:rPr>
        <w:t>Switched Access Service</w:t>
      </w:r>
      <w:r w:rsidR="00180CFB" w:rsidRPr="00F30773">
        <w:rPr>
          <w:szCs w:val="24"/>
        </w:rPr>
        <w:t>s</w:t>
      </w:r>
      <w:r w:rsidR="001D5749" w:rsidRPr="00F30773">
        <w:rPr>
          <w:szCs w:val="24"/>
        </w:rPr>
        <w:t xml:space="preserve"> Tariff N</w:t>
      </w:r>
      <w:r w:rsidR="001E2460" w:rsidRPr="00F30773">
        <w:rPr>
          <w:szCs w:val="24"/>
        </w:rPr>
        <w:t>o. 2</w:t>
      </w:r>
    </w:p>
    <w:p w:rsidR="004376E3" w:rsidRPr="00F30773" w:rsidRDefault="004376E3" w:rsidP="004376E3">
      <w:pPr>
        <w:rPr>
          <w:szCs w:val="24"/>
        </w:rPr>
      </w:pPr>
    </w:p>
    <w:p w:rsidR="004376E3" w:rsidRPr="00F30773" w:rsidRDefault="004376E3" w:rsidP="004376E3">
      <w:pPr>
        <w:rPr>
          <w:szCs w:val="24"/>
        </w:rPr>
      </w:pPr>
      <w:r w:rsidRPr="00F30773">
        <w:rPr>
          <w:szCs w:val="24"/>
        </w:rPr>
        <w:t>Dear M</w:t>
      </w:r>
      <w:r w:rsidR="001E2460" w:rsidRPr="00F30773">
        <w:rPr>
          <w:szCs w:val="24"/>
        </w:rPr>
        <w:t xml:space="preserve">r. </w:t>
      </w:r>
      <w:proofErr w:type="gramStart"/>
      <w:r w:rsidR="001E2460" w:rsidRPr="00F30773">
        <w:rPr>
          <w:szCs w:val="24"/>
        </w:rPr>
        <w:t>Cranford</w:t>
      </w:r>
      <w:r w:rsidRPr="00F30773">
        <w:rPr>
          <w:szCs w:val="24"/>
        </w:rPr>
        <w:t xml:space="preserve"> :</w:t>
      </w:r>
      <w:proofErr w:type="gramEnd"/>
    </w:p>
    <w:p w:rsidR="007914D2" w:rsidRPr="00F30773" w:rsidRDefault="007914D2" w:rsidP="004376E3">
      <w:pPr>
        <w:rPr>
          <w:szCs w:val="24"/>
        </w:rPr>
      </w:pPr>
    </w:p>
    <w:p w:rsidR="00CA70F9" w:rsidRPr="00F30773" w:rsidRDefault="002354DC" w:rsidP="00434D2A">
      <w:pPr>
        <w:pStyle w:val="BodyText"/>
        <w:ind w:firstLine="720"/>
        <w:rPr>
          <w:szCs w:val="24"/>
        </w:rPr>
      </w:pPr>
      <w:r w:rsidRPr="00F30773">
        <w:rPr>
          <w:szCs w:val="24"/>
        </w:rPr>
        <w:t xml:space="preserve">On </w:t>
      </w:r>
      <w:r w:rsidR="001E2460" w:rsidRPr="00F30773">
        <w:rPr>
          <w:szCs w:val="24"/>
        </w:rPr>
        <w:t>May 31, 2013</w:t>
      </w:r>
      <w:r w:rsidRPr="00F30773">
        <w:rPr>
          <w:szCs w:val="24"/>
        </w:rPr>
        <w:t xml:space="preserve">, </w:t>
      </w:r>
      <w:r w:rsidR="001E2460" w:rsidRPr="00F30773">
        <w:rPr>
          <w:szCs w:val="24"/>
        </w:rPr>
        <w:t xml:space="preserve">US LEC of Pennsylvania, Inc. </w:t>
      </w:r>
      <w:r w:rsidRPr="00F30773">
        <w:rPr>
          <w:szCs w:val="24"/>
        </w:rPr>
        <w:t xml:space="preserve">(the Company) submitted Supplement No. </w:t>
      </w:r>
      <w:r w:rsidR="001E2460" w:rsidRPr="00F30773">
        <w:rPr>
          <w:szCs w:val="24"/>
        </w:rPr>
        <w:t>11</w:t>
      </w:r>
      <w:r w:rsidRPr="00F30773">
        <w:rPr>
          <w:szCs w:val="24"/>
        </w:rPr>
        <w:t xml:space="preserve"> to its intrastate switched access services Tariff N</w:t>
      </w:r>
      <w:r w:rsidR="001E2460" w:rsidRPr="00F30773">
        <w:rPr>
          <w:szCs w:val="24"/>
        </w:rPr>
        <w:t>o. 2</w:t>
      </w:r>
      <w:r w:rsidRPr="00F30773">
        <w:rPr>
          <w:szCs w:val="24"/>
        </w:rPr>
        <w:t>, effective July 1, 201</w:t>
      </w:r>
      <w:r w:rsidR="00D36951" w:rsidRPr="00F30773">
        <w:rPr>
          <w:szCs w:val="24"/>
        </w:rPr>
        <w:t>3</w:t>
      </w:r>
      <w:r w:rsidR="002B4044" w:rsidRPr="00F30773">
        <w:rPr>
          <w:szCs w:val="24"/>
        </w:rPr>
        <w:t xml:space="preserve">.  The instant filing was made in compliance with the Pennsylvania Public Utility Commission’s (Commission) Order that was entered on </w:t>
      </w:r>
      <w:r w:rsidR="00D36951" w:rsidRPr="00F30773">
        <w:rPr>
          <w:szCs w:val="24"/>
        </w:rPr>
        <w:t>April 18</w:t>
      </w:r>
      <w:r w:rsidR="002B4044" w:rsidRPr="00F30773">
        <w:rPr>
          <w:szCs w:val="24"/>
        </w:rPr>
        <w:t>, 201</w:t>
      </w:r>
      <w:r w:rsidR="00D36951" w:rsidRPr="00F30773">
        <w:rPr>
          <w:szCs w:val="24"/>
        </w:rPr>
        <w:t>3</w:t>
      </w:r>
      <w:r w:rsidR="002B4044" w:rsidRPr="00F30773">
        <w:rPr>
          <w:szCs w:val="24"/>
        </w:rPr>
        <w:t>,</w:t>
      </w:r>
      <w:r w:rsidR="002B4044" w:rsidRPr="00F30773">
        <w:rPr>
          <w:rStyle w:val="FootnoteReference"/>
          <w:szCs w:val="24"/>
        </w:rPr>
        <w:footnoteReference w:id="1"/>
      </w:r>
      <w:r w:rsidR="002B4044" w:rsidRPr="00F30773">
        <w:rPr>
          <w:szCs w:val="24"/>
        </w:rPr>
        <w:t xml:space="preserve"> to implement certain provisions of the </w:t>
      </w:r>
      <w:r w:rsidR="00A35DD0" w:rsidRPr="00F30773">
        <w:rPr>
          <w:szCs w:val="24"/>
        </w:rPr>
        <w:t xml:space="preserve">November 18, 2011 </w:t>
      </w:r>
      <w:r w:rsidR="002B4044" w:rsidRPr="00F30773">
        <w:rPr>
          <w:szCs w:val="24"/>
        </w:rPr>
        <w:t>FCC Order.</w:t>
      </w:r>
      <w:r w:rsidRPr="00F30773">
        <w:rPr>
          <w:rStyle w:val="FootnoteReference"/>
          <w:szCs w:val="24"/>
        </w:rPr>
        <w:footnoteReference w:id="2"/>
      </w:r>
      <w:r w:rsidRPr="00F30773">
        <w:rPr>
          <w:szCs w:val="24"/>
        </w:rPr>
        <w:t xml:space="preserve"> </w:t>
      </w:r>
    </w:p>
    <w:p w:rsidR="0011013E" w:rsidRPr="00F30773" w:rsidRDefault="0011013E" w:rsidP="00434D2A">
      <w:pPr>
        <w:pStyle w:val="BodyText"/>
        <w:ind w:firstLine="720"/>
        <w:rPr>
          <w:szCs w:val="24"/>
        </w:rPr>
      </w:pPr>
    </w:p>
    <w:p w:rsidR="0011013E" w:rsidRPr="00F30773" w:rsidRDefault="0011013E" w:rsidP="0011013E">
      <w:pPr>
        <w:pStyle w:val="BodyText"/>
        <w:ind w:firstLine="720"/>
        <w:rPr>
          <w:szCs w:val="24"/>
        </w:rPr>
      </w:pPr>
      <w:r w:rsidRPr="00F30773">
        <w:rPr>
          <w:szCs w:val="24"/>
        </w:rPr>
        <w:t>The Company’s proposed intrastate switched carrier access service revenue and rate reductions amount to $</w:t>
      </w:r>
      <w:r w:rsidR="001E2460" w:rsidRPr="00F30773">
        <w:rPr>
          <w:szCs w:val="24"/>
        </w:rPr>
        <w:t>91,319.87</w:t>
      </w:r>
      <w:r w:rsidRPr="00F30773">
        <w:rPr>
          <w:szCs w:val="24"/>
        </w:rPr>
        <w:t>.</w:t>
      </w:r>
    </w:p>
    <w:p w:rsidR="007914D2" w:rsidRPr="00F30773" w:rsidRDefault="007914D2" w:rsidP="00434D2A">
      <w:pPr>
        <w:pStyle w:val="BodyText"/>
        <w:ind w:firstLine="720"/>
        <w:rPr>
          <w:szCs w:val="24"/>
        </w:rPr>
      </w:pPr>
    </w:p>
    <w:p w:rsidR="00734009" w:rsidRPr="00F30773" w:rsidRDefault="00614FDE" w:rsidP="00434D2A">
      <w:pPr>
        <w:pStyle w:val="BodyText"/>
        <w:ind w:firstLine="720"/>
        <w:rPr>
          <w:szCs w:val="24"/>
        </w:rPr>
      </w:pPr>
      <w:r w:rsidRPr="00F30773">
        <w:rPr>
          <w:szCs w:val="24"/>
        </w:rPr>
        <w:t xml:space="preserve">Commission Staff has reviewed </w:t>
      </w:r>
      <w:r w:rsidR="008970CE" w:rsidRPr="00F30773">
        <w:rPr>
          <w:szCs w:val="24"/>
        </w:rPr>
        <w:t>this s</w:t>
      </w:r>
      <w:r w:rsidRPr="00F30773">
        <w:rPr>
          <w:szCs w:val="24"/>
        </w:rPr>
        <w:t>upplement.</w:t>
      </w:r>
      <w:r w:rsidR="00734009" w:rsidRPr="00F30773">
        <w:rPr>
          <w:szCs w:val="24"/>
        </w:rPr>
        <w:t xml:space="preserve">  Suspension or further investigation does not appear warranted at this time.  Therefore, in accordance with 52 Pa. Code, the tariff revisions</w:t>
      </w:r>
      <w:r w:rsidR="00180CFB" w:rsidRPr="00F30773">
        <w:rPr>
          <w:szCs w:val="24"/>
        </w:rPr>
        <w:t xml:space="preserve"> contained in </w:t>
      </w:r>
      <w:r w:rsidR="008970CE" w:rsidRPr="00F30773">
        <w:rPr>
          <w:szCs w:val="24"/>
        </w:rPr>
        <w:t>this s</w:t>
      </w:r>
      <w:r w:rsidR="00180CFB" w:rsidRPr="00F30773">
        <w:rPr>
          <w:szCs w:val="24"/>
        </w:rPr>
        <w:t>upplement</w:t>
      </w:r>
      <w:r w:rsidR="00734009" w:rsidRPr="00F30773">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F30773">
        <w:rPr>
          <w:szCs w:val="24"/>
        </w:rPr>
        <w:t>.  This</w:t>
      </w:r>
      <w:r w:rsidR="00734009" w:rsidRPr="00F30773">
        <w:rPr>
          <w:szCs w:val="24"/>
        </w:rPr>
        <w:t xml:space="preserve"> is without prejudice to any formal complaints timely filed against said tariff revisions</w:t>
      </w:r>
      <w:r w:rsidR="000233A9" w:rsidRPr="00F30773">
        <w:rPr>
          <w:szCs w:val="24"/>
        </w:rPr>
        <w:t>, and the</w:t>
      </w:r>
      <w:r w:rsidR="00A35DD0" w:rsidRPr="00F30773">
        <w:rPr>
          <w:szCs w:val="24"/>
        </w:rPr>
        <w:t xml:space="preserve"> revisions may be subjec</w:t>
      </w:r>
      <w:r w:rsidR="0078188E" w:rsidRPr="00F30773">
        <w:rPr>
          <w:szCs w:val="24"/>
        </w:rPr>
        <w:t xml:space="preserve">t to true-up to the extent </w:t>
      </w:r>
      <w:r w:rsidR="00A35DD0" w:rsidRPr="00F30773">
        <w:rPr>
          <w:szCs w:val="24"/>
        </w:rPr>
        <w:t>they are subsequently found to be unlawful, unjust, or unreasonable</w:t>
      </w:r>
      <w:r w:rsidR="00734009" w:rsidRPr="00F30773">
        <w:rPr>
          <w:szCs w:val="24"/>
        </w:rPr>
        <w:t>.</w:t>
      </w:r>
      <w:r w:rsidR="00CA70F9" w:rsidRPr="00F30773">
        <w:rPr>
          <w:szCs w:val="24"/>
        </w:rPr>
        <w:t xml:space="preserve">  Furthermore, in accordance with our </w:t>
      </w:r>
      <w:r w:rsidR="00D36951" w:rsidRPr="00F30773">
        <w:rPr>
          <w:szCs w:val="24"/>
        </w:rPr>
        <w:t>April 18</w:t>
      </w:r>
      <w:r w:rsidR="00CA70F9" w:rsidRPr="00F30773">
        <w:rPr>
          <w:szCs w:val="24"/>
        </w:rPr>
        <w:t xml:space="preserve"> Order, </w:t>
      </w:r>
      <w:r w:rsidR="00B87AA5" w:rsidRPr="00F30773">
        <w:rPr>
          <w:szCs w:val="24"/>
        </w:rPr>
        <w:t xml:space="preserve">the tariff submissions and </w:t>
      </w:r>
      <w:r w:rsidR="00B87AA5" w:rsidRPr="00F30773">
        <w:rPr>
          <w:szCs w:val="24"/>
        </w:rPr>
        <w:lastRenderedPageBreak/>
        <w:t>supporting data are potentially subject to “any joint state-federal investigation or enforcement action.”</w:t>
      </w:r>
      <w:r w:rsidR="00B87AA5" w:rsidRPr="00F30773">
        <w:rPr>
          <w:rStyle w:val="FootnoteReference"/>
          <w:szCs w:val="24"/>
        </w:rPr>
        <w:footnoteReference w:id="3"/>
      </w:r>
    </w:p>
    <w:p w:rsidR="00272D3C" w:rsidRPr="00F30773" w:rsidRDefault="00272D3C" w:rsidP="00272D3C">
      <w:pPr>
        <w:pStyle w:val="BodyText"/>
        <w:rPr>
          <w:szCs w:val="24"/>
        </w:rPr>
      </w:pPr>
    </w:p>
    <w:p w:rsidR="00614FDE" w:rsidRPr="00F30773" w:rsidRDefault="00614FDE" w:rsidP="00614FDE">
      <w:pPr>
        <w:ind w:firstLine="720"/>
        <w:rPr>
          <w:szCs w:val="24"/>
        </w:rPr>
      </w:pPr>
      <w:r w:rsidRPr="00F30773">
        <w:rPr>
          <w:szCs w:val="24"/>
        </w:rPr>
        <w:t xml:space="preserve">We note that the Commission has filed an appeal of the FCC Order </w:t>
      </w:r>
      <w:r w:rsidR="00A35DD0" w:rsidRPr="00F30773">
        <w:rPr>
          <w:szCs w:val="24"/>
        </w:rPr>
        <w:t>that directed</w:t>
      </w:r>
      <w:r w:rsidRPr="00F30773">
        <w:rPr>
          <w:szCs w:val="24"/>
        </w:rPr>
        <w:t xml:space="preserve"> </w:t>
      </w:r>
      <w:r w:rsidR="00CA70F9" w:rsidRPr="00F30773">
        <w:rPr>
          <w:szCs w:val="24"/>
        </w:rPr>
        <w:t xml:space="preserve">the submission </w:t>
      </w:r>
      <w:r w:rsidRPr="00F30773">
        <w:rPr>
          <w:szCs w:val="24"/>
        </w:rPr>
        <w:t>of these tariff filings.</w:t>
      </w:r>
      <w:r w:rsidRPr="00F30773">
        <w:rPr>
          <w:rStyle w:val="FootnoteReference"/>
          <w:szCs w:val="24"/>
        </w:rPr>
        <w:footnoteReference w:id="4"/>
      </w:r>
      <w:r w:rsidRPr="00F30773">
        <w:rPr>
          <w:szCs w:val="24"/>
        </w:rPr>
        <w:t xml:space="preserve">  </w:t>
      </w:r>
      <w:r w:rsidR="006D75B2" w:rsidRPr="00F30773">
        <w:rPr>
          <w:szCs w:val="24"/>
        </w:rPr>
        <w:t>Commission Staff’s</w:t>
      </w:r>
      <w:r w:rsidRPr="00F30773">
        <w:rPr>
          <w:szCs w:val="24"/>
        </w:rPr>
        <w:t xml:space="preserve"> re</w:t>
      </w:r>
      <w:r w:rsidR="00180CFB" w:rsidRPr="00F30773">
        <w:rPr>
          <w:szCs w:val="24"/>
        </w:rPr>
        <w:t>view of this</w:t>
      </w:r>
      <w:r w:rsidRPr="00F30773">
        <w:rPr>
          <w:szCs w:val="24"/>
        </w:rPr>
        <w:t xml:space="preserve"> tariff filing</w:t>
      </w:r>
      <w:r w:rsidR="00180CFB" w:rsidRPr="00F30773">
        <w:rPr>
          <w:szCs w:val="24"/>
        </w:rPr>
        <w:t xml:space="preserve"> is</w:t>
      </w:r>
      <w:r w:rsidRPr="00F30773">
        <w:rPr>
          <w:szCs w:val="24"/>
        </w:rPr>
        <w:t xml:space="preserve"> without prejudice to the impact that the federal appeal or rela</w:t>
      </w:r>
      <w:r w:rsidR="00180CFB" w:rsidRPr="00F30773">
        <w:rPr>
          <w:szCs w:val="24"/>
        </w:rPr>
        <w:t>ted developments may have on this</w:t>
      </w:r>
      <w:r w:rsidRPr="00F30773">
        <w:rPr>
          <w:szCs w:val="24"/>
        </w:rPr>
        <w:t xml:space="preserve"> filing, </w:t>
      </w:r>
      <w:r w:rsidR="00180CFB" w:rsidRPr="00F30773">
        <w:rPr>
          <w:szCs w:val="24"/>
        </w:rPr>
        <w:t>and the effective rates in this</w:t>
      </w:r>
      <w:r w:rsidRPr="00F30773">
        <w:rPr>
          <w:szCs w:val="24"/>
        </w:rPr>
        <w:t xml:space="preserve"> tariff filing </w:t>
      </w:r>
      <w:r w:rsidR="001662BA" w:rsidRPr="00F30773">
        <w:rPr>
          <w:szCs w:val="24"/>
        </w:rPr>
        <w:t xml:space="preserve">may </w:t>
      </w:r>
      <w:r w:rsidRPr="00F30773">
        <w:rPr>
          <w:szCs w:val="24"/>
        </w:rPr>
        <w:t>be subject to true-up, including refunds in accordance with Section 1312 of the Public Utility Code (66 Pa. C.S. § 1312).  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EA3376" w:rsidRPr="00F30773" w:rsidRDefault="00EA3376" w:rsidP="00614FDE">
      <w:pPr>
        <w:ind w:firstLine="720"/>
        <w:rPr>
          <w:szCs w:val="24"/>
        </w:rPr>
      </w:pPr>
    </w:p>
    <w:p w:rsidR="00EA3376" w:rsidRDefault="00EA3376" w:rsidP="00614FDE">
      <w:pPr>
        <w:ind w:firstLine="720"/>
        <w:rPr>
          <w:szCs w:val="24"/>
        </w:rPr>
      </w:pPr>
      <w:r w:rsidRPr="00F30773">
        <w:rPr>
          <w:szCs w:val="24"/>
        </w:rPr>
        <w:t>In addition, the Commission remind</w:t>
      </w:r>
      <w:r w:rsidR="00D1770C" w:rsidRPr="00F30773">
        <w:rPr>
          <w:szCs w:val="24"/>
        </w:rPr>
        <w:t>s</w:t>
      </w:r>
      <w:r w:rsidRPr="00F30773">
        <w:rPr>
          <w:szCs w:val="24"/>
        </w:rPr>
        <w:t xml:space="preserve"> all </w:t>
      </w:r>
      <w:r w:rsidR="00D1770C" w:rsidRPr="00F30773">
        <w:rPr>
          <w:szCs w:val="24"/>
        </w:rPr>
        <w:t xml:space="preserve">LECs </w:t>
      </w:r>
      <w:r w:rsidRPr="00F30773">
        <w:rPr>
          <w:szCs w:val="24"/>
        </w:rPr>
        <w:t xml:space="preserve">that their migration information should be checked for accuracy.  You can find this information at </w:t>
      </w:r>
      <w:hyperlink r:id="rId10" w:history="1">
        <w:r w:rsidRPr="00F30773">
          <w:rPr>
            <w:rStyle w:val="Hyperlink"/>
            <w:color w:val="auto"/>
            <w:szCs w:val="24"/>
          </w:rPr>
          <w:t>http://www.puc.state.pa.us/utility_industry/telecommunications/local_service_migration.aspx</w:t>
        </w:r>
      </w:hyperlink>
      <w:r w:rsidRPr="00F30773">
        <w:rPr>
          <w:szCs w:val="24"/>
        </w:rPr>
        <w:t>.  If this contact is no longer current or needs updated contact Cyndi Page of the Commission’s Communications Office at (717) 787-</w:t>
      </w:r>
      <w:r w:rsidRPr="00742CD4">
        <w:rPr>
          <w:szCs w:val="24"/>
        </w:rPr>
        <w:t xml:space="preserve">5722 or </w:t>
      </w:r>
      <w:hyperlink r:id="rId11" w:history="1">
        <w:r w:rsidR="00742CD4" w:rsidRPr="00742CD4">
          <w:rPr>
            <w:rStyle w:val="Hyperlink"/>
            <w:color w:val="auto"/>
            <w:szCs w:val="24"/>
          </w:rPr>
          <w:t>cypage@pa.gov</w:t>
        </w:r>
      </w:hyperlink>
      <w:r w:rsidRPr="00742CD4">
        <w:rPr>
          <w:szCs w:val="24"/>
        </w:rPr>
        <w:t>.</w:t>
      </w:r>
    </w:p>
    <w:p w:rsidR="00742CD4" w:rsidRDefault="00742CD4" w:rsidP="00614FDE">
      <w:pPr>
        <w:ind w:firstLine="720"/>
        <w:rPr>
          <w:szCs w:val="24"/>
        </w:rPr>
      </w:pPr>
    </w:p>
    <w:p w:rsidR="00742CD4" w:rsidRPr="00F30773" w:rsidRDefault="00742CD4" w:rsidP="00614FDE">
      <w:pPr>
        <w:ind w:firstLine="720"/>
        <w:rPr>
          <w:szCs w:val="24"/>
        </w:rPr>
      </w:pPr>
      <w:r w:rsidRPr="00742CD4">
        <w:rPr>
          <w:szCs w:val="24"/>
        </w:rPr>
        <w:tab/>
        <w:t>Further, please be advised that Commission Staff makes no determination whether the Company’s switched access rates are in compliance with Act 183, P.L. 1398 (66 Pa. C.S. § 3017(c)).</w:t>
      </w:r>
    </w:p>
    <w:p w:rsidR="00332B99" w:rsidRPr="00F30773" w:rsidRDefault="00332B99" w:rsidP="009575BA">
      <w:pPr>
        <w:autoSpaceDE w:val="0"/>
        <w:autoSpaceDN w:val="0"/>
        <w:adjustRightInd w:val="0"/>
        <w:ind w:firstLine="720"/>
        <w:rPr>
          <w:rFonts w:cs="Courier New"/>
          <w:szCs w:val="24"/>
        </w:rPr>
      </w:pPr>
    </w:p>
    <w:p w:rsidR="009575BA" w:rsidRPr="00E9717D" w:rsidRDefault="009575BA" w:rsidP="009575BA">
      <w:pPr>
        <w:pStyle w:val="BodyText"/>
        <w:ind w:firstLine="720"/>
        <w:rPr>
          <w:color w:val="FF00FF"/>
          <w:szCs w:val="24"/>
        </w:rPr>
      </w:pPr>
      <w:r w:rsidRPr="00F30773">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1E2460" w:rsidRPr="00F30773">
        <w:rPr>
          <w:szCs w:val="24"/>
        </w:rPr>
        <w:t>Michael Rice</w:t>
      </w:r>
      <w:r w:rsidRPr="00F30773">
        <w:rPr>
          <w:szCs w:val="24"/>
        </w:rPr>
        <w:t xml:space="preserve">, Telco </w:t>
      </w:r>
      <w:r w:rsidR="007914D2" w:rsidRPr="00F30773">
        <w:rPr>
          <w:szCs w:val="24"/>
        </w:rPr>
        <w:t>Section</w:t>
      </w:r>
      <w:r w:rsidRPr="00F30773">
        <w:rPr>
          <w:szCs w:val="24"/>
        </w:rPr>
        <w:t xml:space="preserve">, </w:t>
      </w:r>
      <w:proofErr w:type="gramStart"/>
      <w:r w:rsidRPr="00F30773">
        <w:rPr>
          <w:szCs w:val="24"/>
        </w:rPr>
        <w:t>Bureau</w:t>
      </w:r>
      <w:proofErr w:type="gramEnd"/>
      <w:r w:rsidRPr="00F30773">
        <w:rPr>
          <w:szCs w:val="24"/>
        </w:rPr>
        <w:t xml:space="preserve"> of </w:t>
      </w:r>
      <w:r w:rsidR="00AE4FCE" w:rsidRPr="00F30773">
        <w:rPr>
          <w:szCs w:val="24"/>
        </w:rPr>
        <w:t>Technical</w:t>
      </w:r>
      <w:r w:rsidRPr="00F30773">
        <w:rPr>
          <w:szCs w:val="24"/>
        </w:rPr>
        <w:t xml:space="preserve"> Utility Services at (717)</w:t>
      </w:r>
      <w:r w:rsidR="00614FDE" w:rsidRPr="00F30773">
        <w:rPr>
          <w:szCs w:val="24"/>
        </w:rPr>
        <w:t xml:space="preserve"> </w:t>
      </w:r>
      <w:r w:rsidR="001E2460" w:rsidRPr="00F30773">
        <w:rPr>
          <w:szCs w:val="24"/>
        </w:rPr>
        <w:t>783-5941</w:t>
      </w:r>
      <w:r w:rsidRPr="00F30773">
        <w:rPr>
          <w:szCs w:val="24"/>
        </w:rPr>
        <w:t xml:space="preserve"> or </w:t>
      </w:r>
      <w:r w:rsidR="001E2460" w:rsidRPr="00F30773">
        <w:rPr>
          <w:szCs w:val="24"/>
          <w:u w:val="single"/>
        </w:rPr>
        <w:t>michaerice</w:t>
      </w:r>
      <w:r w:rsidRPr="00F30773">
        <w:rPr>
          <w:szCs w:val="24"/>
          <w:u w:val="single"/>
        </w:rPr>
        <w:t>@</w:t>
      </w:r>
      <w:r w:rsidR="004A6903" w:rsidRPr="00F30773">
        <w:rPr>
          <w:szCs w:val="24"/>
          <w:u w:val="single"/>
        </w:rPr>
        <w:t>pa.gov</w:t>
      </w:r>
      <w:r w:rsidRPr="00227576">
        <w:rPr>
          <w:color w:val="000000" w:themeColor="text1"/>
          <w:szCs w:val="24"/>
        </w:rPr>
        <w:t>.</w:t>
      </w:r>
      <w:r w:rsidRPr="00E9717D">
        <w:rPr>
          <w:color w:val="FF00FF"/>
          <w:szCs w:val="24"/>
        </w:rPr>
        <w:t xml:space="preserve"> </w:t>
      </w:r>
    </w:p>
    <w:p w:rsidR="009575BA" w:rsidRPr="00E9717D" w:rsidRDefault="009575BA" w:rsidP="009575BA">
      <w:pPr>
        <w:rPr>
          <w:szCs w:val="24"/>
        </w:rPr>
      </w:pPr>
    </w:p>
    <w:p w:rsidR="009575BA" w:rsidRPr="00E9717D" w:rsidRDefault="001A115E" w:rsidP="009575BA">
      <w:pPr>
        <w:rPr>
          <w:szCs w:val="24"/>
        </w:rPr>
      </w:pPr>
      <w:r>
        <w:rPr>
          <w:noProof/>
        </w:rPr>
        <w:drawing>
          <wp:anchor distT="0" distB="0" distL="114300" distR="114300" simplePos="0" relativeHeight="251658240" behindDoc="1" locked="0" layoutInCell="1" allowOverlap="1" wp14:anchorId="53FB1940" wp14:editId="63048AE2">
            <wp:simplePos x="0" y="0"/>
            <wp:positionH relativeFrom="column">
              <wp:posOffset>2425700</wp:posOffset>
            </wp:positionH>
            <wp:positionV relativeFrom="paragraph">
              <wp:posOffset>52705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rsidR="009575BA" w:rsidRDefault="009575BA" w:rsidP="009575BA">
      <w:pPr>
        <w:rPr>
          <w:szCs w:val="24"/>
        </w:rPr>
      </w:pPr>
    </w:p>
    <w:p w:rsidR="009575BA" w:rsidRPr="00E9717D" w:rsidRDefault="009575BA" w:rsidP="009575BA">
      <w:pPr>
        <w:rPr>
          <w:szCs w:val="24"/>
        </w:rPr>
      </w:pPr>
      <w:bookmarkStart w:id="1" w:name="_GoBack"/>
      <w:bookmarkEnd w:id="1"/>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9575BA">
      <w:pPr>
        <w:pStyle w:val="Heading2"/>
        <w:tabs>
          <w:tab w:val="left" w:pos="4320"/>
        </w:tabs>
        <w:ind w:left="0" w:firstLine="0"/>
        <w:rPr>
          <w:szCs w:val="24"/>
        </w:rPr>
      </w:pPr>
      <w:r w:rsidRPr="00E9717D">
        <w:rPr>
          <w:szCs w:val="24"/>
        </w:rPr>
        <w:tab/>
        <w:t>Secretary</w:t>
      </w:r>
    </w:p>
    <w:p w:rsidR="009575BA" w:rsidRDefault="009575BA" w:rsidP="009575BA">
      <w:pPr>
        <w:rPr>
          <w:szCs w:val="24"/>
        </w:rPr>
      </w:pPr>
    </w:p>
    <w:p w:rsidR="00332B99" w:rsidRPr="00982D60" w:rsidRDefault="00332B99" w:rsidP="009575BA">
      <w:pPr>
        <w:rPr>
          <w:color w:val="000000" w:themeColor="text1"/>
          <w:szCs w:val="24"/>
        </w:rPr>
      </w:pPr>
    </w:p>
    <w:p w:rsidR="00A24641" w:rsidRPr="00982D60" w:rsidRDefault="009575BA" w:rsidP="00614FDE">
      <w:pPr>
        <w:rPr>
          <w:color w:val="000000" w:themeColor="text1"/>
          <w:szCs w:val="24"/>
        </w:rPr>
      </w:pPr>
      <w:r w:rsidRPr="00982D60">
        <w:rPr>
          <w:color w:val="000000" w:themeColor="text1"/>
          <w:szCs w:val="24"/>
        </w:rPr>
        <w:t>cc:</w:t>
      </w:r>
      <w:r w:rsidRPr="00982D60">
        <w:rPr>
          <w:color w:val="000000" w:themeColor="text1"/>
          <w:szCs w:val="24"/>
        </w:rPr>
        <w:tab/>
      </w:r>
      <w:r w:rsidR="008970CE" w:rsidRPr="00982D60">
        <w:rPr>
          <w:color w:val="000000" w:themeColor="text1"/>
          <w:szCs w:val="24"/>
        </w:rPr>
        <w:t>Melissa Derr, TUS</w:t>
      </w:r>
    </w:p>
    <w:p w:rsidR="00982D60" w:rsidRPr="00982D60" w:rsidRDefault="00982D60">
      <w:pPr>
        <w:rPr>
          <w:color w:val="000000" w:themeColor="text1"/>
          <w:szCs w:val="24"/>
        </w:rPr>
      </w:pPr>
    </w:p>
    <w:sectPr w:rsidR="00982D60" w:rsidRPr="00982D60"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390" w:rsidRDefault="00672390">
      <w:r>
        <w:separator/>
      </w:r>
    </w:p>
  </w:endnote>
  <w:endnote w:type="continuationSeparator" w:id="0">
    <w:p w:rsidR="00672390" w:rsidRDefault="0067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1A115E">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390" w:rsidRDefault="00672390">
      <w:r>
        <w:separator/>
      </w:r>
    </w:p>
  </w:footnote>
  <w:footnote w:type="continuationSeparator" w:id="0">
    <w:p w:rsidR="00672390" w:rsidRDefault="00672390">
      <w:r>
        <w:continuationSeparator/>
      </w:r>
    </w:p>
  </w:footnote>
  <w:footnote w:id="1">
    <w:p w:rsidR="002B4044" w:rsidRPr="00614FDE" w:rsidRDefault="002B4044" w:rsidP="006E22D3">
      <w:pPr>
        <w:spacing w:after="120"/>
        <w:rPr>
          <w:sz w:val="26"/>
          <w:szCs w:val="26"/>
        </w:rPr>
      </w:pPr>
      <w:r>
        <w:rPr>
          <w:rStyle w:val="FootnoteReference"/>
        </w:rPr>
        <w:footnoteRef/>
      </w:r>
      <w:r>
        <w:t xml:space="preserve"> </w:t>
      </w:r>
      <w:proofErr w:type="gramStart"/>
      <w:r w:rsidR="00614FDE" w:rsidRPr="00614FDE">
        <w:rPr>
          <w:i/>
          <w:sz w:val="20"/>
        </w:rPr>
        <w:t xml:space="preserve">Implementation of the Federal Communications Commission’s Order of November 18, 2011 As Amended </w:t>
      </w:r>
      <w:r w:rsidR="00D36951">
        <w:rPr>
          <w:i/>
          <w:sz w:val="20"/>
        </w:rPr>
        <w:t>o</w:t>
      </w:r>
      <w:r w:rsidR="00614FDE" w:rsidRPr="00614FDE">
        <w:rPr>
          <w:i/>
          <w:sz w:val="20"/>
        </w:rPr>
        <w:t xml:space="preserve">r Revised </w:t>
      </w:r>
      <w:r w:rsidR="00D36951">
        <w:rPr>
          <w:i/>
          <w:sz w:val="20"/>
        </w:rPr>
        <w:t>a</w:t>
      </w:r>
      <w:r w:rsidR="00614FDE" w:rsidRPr="00614FDE">
        <w:rPr>
          <w:i/>
          <w:sz w:val="20"/>
        </w:rPr>
        <w:t xml:space="preserve">nd Coordination </w:t>
      </w:r>
      <w:r w:rsidR="00D36951">
        <w:rPr>
          <w:i/>
          <w:sz w:val="20"/>
        </w:rPr>
        <w:t>w</w:t>
      </w:r>
      <w:r w:rsidR="00614FDE" w:rsidRPr="00614FDE">
        <w:rPr>
          <w:i/>
          <w:sz w:val="20"/>
        </w:rPr>
        <w:t>ith Certain Intrastate Matters</w:t>
      </w:r>
      <w:r w:rsidR="00614FDE" w:rsidRPr="00614FDE">
        <w:rPr>
          <w:sz w:val="20"/>
        </w:rPr>
        <w:t>, Docket No.</w:t>
      </w:r>
      <w:proofErr w:type="gramEnd"/>
      <w:r w:rsidR="00614FDE" w:rsidRPr="00614FDE">
        <w:rPr>
          <w:sz w:val="20"/>
        </w:rPr>
        <w:t xml:space="preserve"> M-2012-2291</w:t>
      </w:r>
      <w:r w:rsidR="00614FDE">
        <w:rPr>
          <w:sz w:val="20"/>
        </w:rPr>
        <w:t xml:space="preserve">824, Order Entered </w:t>
      </w:r>
      <w:r w:rsidR="00D36951">
        <w:rPr>
          <w:sz w:val="20"/>
        </w:rPr>
        <w:t>April 18, 2013 (April 18 Order)</w:t>
      </w:r>
      <w:r w:rsidR="00614FDE">
        <w:rPr>
          <w:sz w:val="20"/>
        </w:rPr>
        <w:t>.</w:t>
      </w:r>
    </w:p>
  </w:footnote>
  <w:footnote w:id="2">
    <w:p w:rsidR="002354DC" w:rsidRPr="006A2EC2" w:rsidRDefault="002354DC" w:rsidP="006A2EC2">
      <w:pPr>
        <w:spacing w:after="120"/>
        <w:rPr>
          <w:sz w:val="20"/>
        </w:rPr>
      </w:pPr>
      <w:r w:rsidRPr="0034581A">
        <w:rPr>
          <w:rStyle w:val="FootnoteReference"/>
          <w:sz w:val="20"/>
        </w:rPr>
        <w:footnoteRef/>
      </w:r>
      <w:r w:rsidRPr="0034581A">
        <w:rPr>
          <w:sz w:val="20"/>
        </w:rPr>
        <w:t xml:space="preserve"> </w:t>
      </w:r>
      <w:r w:rsidRPr="0034581A">
        <w:rPr>
          <w:i/>
          <w:sz w:val="20"/>
        </w:rPr>
        <w:t xml:space="preserve">See </w:t>
      </w:r>
      <w:r w:rsidRPr="0034581A">
        <w:rPr>
          <w:sz w:val="20"/>
        </w:rPr>
        <w:t xml:space="preserve">FCC Order adopted October 27, 2011, and Released November 18, 2011, and further revised and clarified by Order February 3, 2012: </w:t>
      </w:r>
      <w:r w:rsidRPr="0034581A">
        <w:rPr>
          <w:i/>
          <w:sz w:val="20"/>
        </w:rPr>
        <w:t>In the Matter of Connect America Fund</w:t>
      </w:r>
      <w:r w:rsidRPr="0034581A">
        <w:rPr>
          <w:sz w:val="20"/>
        </w:rPr>
        <w:t xml:space="preserve">, WC Docket No. 10-90; </w:t>
      </w:r>
      <w:r w:rsidRPr="0034581A">
        <w:rPr>
          <w:i/>
          <w:sz w:val="20"/>
        </w:rPr>
        <w:t>A National Broadband Plan for Our Future</w:t>
      </w:r>
      <w:r w:rsidRPr="0034581A">
        <w:rPr>
          <w:sz w:val="20"/>
        </w:rPr>
        <w:t xml:space="preserve">, GN Docket No. 09-51; </w:t>
      </w:r>
      <w:r w:rsidRPr="0034581A">
        <w:rPr>
          <w:i/>
          <w:sz w:val="20"/>
        </w:rPr>
        <w:t>Establishing Just and Reasonable Rates for Local Exchange Carriers</w:t>
      </w:r>
      <w:r w:rsidRPr="0034581A">
        <w:rPr>
          <w:sz w:val="20"/>
        </w:rPr>
        <w:t xml:space="preserve">, WC Docket No. 07-135;  </w:t>
      </w:r>
      <w:r w:rsidRPr="0034581A">
        <w:rPr>
          <w:i/>
          <w:sz w:val="20"/>
        </w:rPr>
        <w:t>High-Cost Universal Service Support</w:t>
      </w:r>
      <w:r w:rsidRPr="0034581A">
        <w:rPr>
          <w:sz w:val="20"/>
        </w:rPr>
        <w:t xml:space="preserve">, WC Docket No. 05-337; </w:t>
      </w:r>
      <w:r w:rsidRPr="0034581A">
        <w:rPr>
          <w:i/>
          <w:sz w:val="20"/>
        </w:rPr>
        <w:t>Developing an Unified Intercarrier Compensation Regime</w:t>
      </w:r>
      <w:r w:rsidRPr="0034581A">
        <w:rPr>
          <w:sz w:val="20"/>
        </w:rPr>
        <w:t xml:space="preserve">, CC Docket No. 01-92; </w:t>
      </w:r>
      <w:r w:rsidRPr="0034581A">
        <w:rPr>
          <w:i/>
          <w:sz w:val="20"/>
        </w:rPr>
        <w:t xml:space="preserve">Federal-State Joint Board on Universal Service, </w:t>
      </w:r>
      <w:r w:rsidRPr="0034581A">
        <w:rPr>
          <w:sz w:val="20"/>
        </w:rPr>
        <w:t xml:space="preserve">CC Docket No. 96-45; </w:t>
      </w:r>
      <w:r w:rsidRPr="0034581A">
        <w:rPr>
          <w:i/>
          <w:sz w:val="20"/>
        </w:rPr>
        <w:t>Lifeline and Link-Up</w:t>
      </w:r>
      <w:r w:rsidRPr="0034581A">
        <w:rPr>
          <w:sz w:val="20"/>
        </w:rPr>
        <w:t>, WC Docket No. 03</w:t>
      </w:r>
      <w:r w:rsidRPr="0034581A">
        <w:rPr>
          <w:sz w:val="20"/>
        </w:rPr>
        <w:noBreakHyphen/>
        <w:t xml:space="preserve">109; </w:t>
      </w:r>
      <w:r w:rsidRPr="0034581A">
        <w:rPr>
          <w:i/>
          <w:sz w:val="20"/>
        </w:rPr>
        <w:t>Universal Service Reform - Mobility Fund</w:t>
      </w:r>
      <w:r w:rsidRPr="0034581A">
        <w:rPr>
          <w:sz w:val="20"/>
        </w:rPr>
        <w:t>, WT Docket No. 10-208</w:t>
      </w:r>
      <w:r w:rsidR="00D36951" w:rsidRPr="00D36951">
        <w:rPr>
          <w:sz w:val="20"/>
        </w:rPr>
        <w:t xml:space="preserve">.  </w:t>
      </w:r>
      <w:r w:rsidR="00D36951" w:rsidRPr="00434D2A">
        <w:rPr>
          <w:sz w:val="20"/>
        </w:rPr>
        <w:t>The FCC has issued additional reconsideration and clarification Orders in the same proceeding and the issuance of further such FCC rulings is anticipated</w:t>
      </w:r>
      <w:r w:rsidRPr="0034581A">
        <w:rPr>
          <w:sz w:val="20"/>
        </w:rPr>
        <w:t xml:space="preserve"> (FCC Order).</w:t>
      </w:r>
    </w:p>
  </w:footnote>
  <w:footnote w:id="3">
    <w:p w:rsidR="00B87AA5" w:rsidRPr="00F03730" w:rsidRDefault="00B87AA5" w:rsidP="0012110E">
      <w:pPr>
        <w:pStyle w:val="FootnoteText"/>
        <w:spacing w:after="120"/>
        <w:rPr>
          <w:sz w:val="20"/>
        </w:rPr>
      </w:pPr>
      <w:r w:rsidRPr="00F03730">
        <w:rPr>
          <w:rStyle w:val="FootnoteReference"/>
          <w:sz w:val="20"/>
        </w:rPr>
        <w:footnoteRef/>
      </w:r>
      <w:r w:rsidRPr="00F03730">
        <w:rPr>
          <w:sz w:val="20"/>
        </w:rPr>
        <w:t xml:space="preserve"> </w:t>
      </w:r>
      <w:proofErr w:type="gramStart"/>
      <w:r w:rsidR="00D36951">
        <w:rPr>
          <w:sz w:val="20"/>
        </w:rPr>
        <w:t>April 18</w:t>
      </w:r>
      <w:r>
        <w:rPr>
          <w:sz w:val="20"/>
        </w:rPr>
        <w:t xml:space="preserve"> Order at </w:t>
      </w:r>
      <w:r w:rsidR="00D36951">
        <w:rPr>
          <w:sz w:val="20"/>
        </w:rPr>
        <w:t>8</w:t>
      </w:r>
      <w:r>
        <w:rPr>
          <w:sz w:val="20"/>
        </w:rPr>
        <w:t>.</w:t>
      </w:r>
      <w:proofErr w:type="gramEnd"/>
    </w:p>
  </w:footnote>
  <w:footnote w:id="4">
    <w:p w:rsidR="00614FDE" w:rsidRDefault="00614FDE" w:rsidP="00A14838">
      <w:r w:rsidRPr="00332B99">
        <w:rPr>
          <w:rStyle w:val="FootnoteReference"/>
          <w:sz w:val="20"/>
        </w:rPr>
        <w:footnoteRef/>
      </w:r>
      <w:r w:rsidRPr="00332B99">
        <w:rPr>
          <w:sz w:val="20"/>
        </w:rPr>
        <w:t xml:space="preserve"> This appeal is currently pending before the U.S. Court of Appeals for the 10</w:t>
      </w:r>
      <w:r w:rsidRPr="00332B99">
        <w:rPr>
          <w:sz w:val="20"/>
          <w:vertAlign w:val="superscript"/>
        </w:rPr>
        <w:t>th</w:t>
      </w:r>
      <w:r w:rsidRPr="00332B99">
        <w:rPr>
          <w:sz w:val="20"/>
        </w:rPr>
        <w:t xml:space="preserve"> Circuit.</w:t>
      </w:r>
      <w:r w:rsidR="00332B99" w:rsidRPr="00332B99">
        <w:rPr>
          <w:sz w:val="20"/>
        </w:rPr>
        <w:t xml:space="preserve">  </w:t>
      </w:r>
      <w:r w:rsidR="00332B99" w:rsidRPr="00332B99">
        <w:rPr>
          <w:i/>
          <w:sz w:val="20"/>
        </w:rPr>
        <w:t>Commonwealth of Pennsylvania, Pennsylvania Public Utility Commission</w:t>
      </w:r>
      <w:r w:rsidR="00332B99" w:rsidRPr="00332B99">
        <w:rPr>
          <w:sz w:val="20"/>
        </w:rPr>
        <w:t xml:space="preserve"> v. </w:t>
      </w:r>
      <w:r w:rsidR="00332B99" w:rsidRPr="00332B99">
        <w:rPr>
          <w:i/>
          <w:sz w:val="20"/>
        </w:rPr>
        <w:t>Federal Communications Commission and the United States of America</w:t>
      </w:r>
      <w:r w:rsidR="00332B99" w:rsidRPr="00332B99">
        <w:rPr>
          <w:sz w:val="20"/>
        </w:rPr>
        <w:t xml:space="preserve">, Docket Nos. 11-9900 and 11-9585 </w:t>
      </w:r>
      <w:r w:rsidRPr="00332B99">
        <w:rPr>
          <w:color w:val="000000" w:themeColor="text1"/>
          <w:sz w:val="20"/>
        </w:rPr>
        <w:t>(10</w:t>
      </w:r>
      <w:r w:rsidRPr="00332B99">
        <w:rPr>
          <w:color w:val="000000" w:themeColor="text1"/>
          <w:sz w:val="20"/>
          <w:vertAlign w:val="superscript"/>
        </w:rPr>
        <w:t>th</w:t>
      </w:r>
      <w:r w:rsidRPr="00332B99">
        <w:rPr>
          <w:color w:val="000000" w:themeColor="text1"/>
          <w:sz w:val="20"/>
        </w:rPr>
        <w:t xml:space="preserve"> Cir. filed December 5, 2011).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9530C"/>
    <w:rsid w:val="000A2451"/>
    <w:rsid w:val="000C1530"/>
    <w:rsid w:val="000D01DF"/>
    <w:rsid w:val="000D03CA"/>
    <w:rsid w:val="000D0FD9"/>
    <w:rsid w:val="000E07BF"/>
    <w:rsid w:val="000E3B2C"/>
    <w:rsid w:val="000E6A31"/>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15E"/>
    <w:rsid w:val="001A1A45"/>
    <w:rsid w:val="001A2153"/>
    <w:rsid w:val="001B4A58"/>
    <w:rsid w:val="001D1712"/>
    <w:rsid w:val="001D5749"/>
    <w:rsid w:val="001E2460"/>
    <w:rsid w:val="001F4A76"/>
    <w:rsid w:val="00212299"/>
    <w:rsid w:val="00227576"/>
    <w:rsid w:val="002311CC"/>
    <w:rsid w:val="00231244"/>
    <w:rsid w:val="002354DC"/>
    <w:rsid w:val="00244511"/>
    <w:rsid w:val="00256182"/>
    <w:rsid w:val="0026506D"/>
    <w:rsid w:val="00266BF8"/>
    <w:rsid w:val="00272D3C"/>
    <w:rsid w:val="00294B4B"/>
    <w:rsid w:val="002B1776"/>
    <w:rsid w:val="002B4044"/>
    <w:rsid w:val="002D043D"/>
    <w:rsid w:val="002E5260"/>
    <w:rsid w:val="002E699B"/>
    <w:rsid w:val="002F1221"/>
    <w:rsid w:val="002F2CF3"/>
    <w:rsid w:val="00302A0E"/>
    <w:rsid w:val="00302CBB"/>
    <w:rsid w:val="00303F21"/>
    <w:rsid w:val="003107D6"/>
    <w:rsid w:val="003212C6"/>
    <w:rsid w:val="00323D97"/>
    <w:rsid w:val="003278D9"/>
    <w:rsid w:val="00331BA5"/>
    <w:rsid w:val="00332B99"/>
    <w:rsid w:val="0033489B"/>
    <w:rsid w:val="003437D2"/>
    <w:rsid w:val="0034777A"/>
    <w:rsid w:val="00352AFA"/>
    <w:rsid w:val="00353843"/>
    <w:rsid w:val="003B1A94"/>
    <w:rsid w:val="003B68F2"/>
    <w:rsid w:val="003C0834"/>
    <w:rsid w:val="003C1936"/>
    <w:rsid w:val="003C2ACF"/>
    <w:rsid w:val="003D021C"/>
    <w:rsid w:val="003E6E97"/>
    <w:rsid w:val="003F44B6"/>
    <w:rsid w:val="003F7CE2"/>
    <w:rsid w:val="00401C75"/>
    <w:rsid w:val="004159C6"/>
    <w:rsid w:val="0041733D"/>
    <w:rsid w:val="00420E46"/>
    <w:rsid w:val="00434D2A"/>
    <w:rsid w:val="004376E3"/>
    <w:rsid w:val="00466AD7"/>
    <w:rsid w:val="00470AE3"/>
    <w:rsid w:val="00471C2A"/>
    <w:rsid w:val="004728E1"/>
    <w:rsid w:val="00486A7A"/>
    <w:rsid w:val="004A6903"/>
    <w:rsid w:val="004B3F1D"/>
    <w:rsid w:val="004B6F33"/>
    <w:rsid w:val="004C4A7F"/>
    <w:rsid w:val="004D2C06"/>
    <w:rsid w:val="004E0233"/>
    <w:rsid w:val="00500628"/>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2390"/>
    <w:rsid w:val="00674304"/>
    <w:rsid w:val="0067692B"/>
    <w:rsid w:val="006901A9"/>
    <w:rsid w:val="00697855"/>
    <w:rsid w:val="006A0190"/>
    <w:rsid w:val="006A19DE"/>
    <w:rsid w:val="006A2EC2"/>
    <w:rsid w:val="006B1842"/>
    <w:rsid w:val="006D75B2"/>
    <w:rsid w:val="006E1263"/>
    <w:rsid w:val="006E22D3"/>
    <w:rsid w:val="006F7BD8"/>
    <w:rsid w:val="00701979"/>
    <w:rsid w:val="0070664E"/>
    <w:rsid w:val="007166E9"/>
    <w:rsid w:val="00727178"/>
    <w:rsid w:val="00727E82"/>
    <w:rsid w:val="00732A26"/>
    <w:rsid w:val="007331FA"/>
    <w:rsid w:val="00734009"/>
    <w:rsid w:val="00736988"/>
    <w:rsid w:val="007415A2"/>
    <w:rsid w:val="00742CD4"/>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F16BF"/>
    <w:rsid w:val="007F36B4"/>
    <w:rsid w:val="007F7700"/>
    <w:rsid w:val="007F78A1"/>
    <w:rsid w:val="008159FD"/>
    <w:rsid w:val="00833958"/>
    <w:rsid w:val="00834BEC"/>
    <w:rsid w:val="00841BD1"/>
    <w:rsid w:val="00855190"/>
    <w:rsid w:val="00856AB4"/>
    <w:rsid w:val="0086186A"/>
    <w:rsid w:val="00862F80"/>
    <w:rsid w:val="008704FE"/>
    <w:rsid w:val="00882E3F"/>
    <w:rsid w:val="008834E0"/>
    <w:rsid w:val="00885F07"/>
    <w:rsid w:val="008970CE"/>
    <w:rsid w:val="00897392"/>
    <w:rsid w:val="008A6E17"/>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2D60"/>
    <w:rsid w:val="009847E8"/>
    <w:rsid w:val="009877CD"/>
    <w:rsid w:val="009925D5"/>
    <w:rsid w:val="00993F00"/>
    <w:rsid w:val="009A0779"/>
    <w:rsid w:val="009A4FED"/>
    <w:rsid w:val="009C2EDE"/>
    <w:rsid w:val="009C7E2D"/>
    <w:rsid w:val="009D4442"/>
    <w:rsid w:val="009F49F6"/>
    <w:rsid w:val="009F77FB"/>
    <w:rsid w:val="00A0093B"/>
    <w:rsid w:val="00A10484"/>
    <w:rsid w:val="00A12DE2"/>
    <w:rsid w:val="00A14838"/>
    <w:rsid w:val="00A171DB"/>
    <w:rsid w:val="00A24641"/>
    <w:rsid w:val="00A31208"/>
    <w:rsid w:val="00A34F44"/>
    <w:rsid w:val="00A35DD0"/>
    <w:rsid w:val="00A46305"/>
    <w:rsid w:val="00A47D19"/>
    <w:rsid w:val="00A97571"/>
    <w:rsid w:val="00AA4F00"/>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5752"/>
    <w:rsid w:val="00B977B2"/>
    <w:rsid w:val="00BA064B"/>
    <w:rsid w:val="00BA0E50"/>
    <w:rsid w:val="00BA5F66"/>
    <w:rsid w:val="00BB0EC8"/>
    <w:rsid w:val="00BC76A3"/>
    <w:rsid w:val="00BD13EF"/>
    <w:rsid w:val="00BD24A2"/>
    <w:rsid w:val="00BD6B09"/>
    <w:rsid w:val="00BE46FD"/>
    <w:rsid w:val="00BE51E5"/>
    <w:rsid w:val="00BE7C84"/>
    <w:rsid w:val="00BF0CE9"/>
    <w:rsid w:val="00C22074"/>
    <w:rsid w:val="00C25A0A"/>
    <w:rsid w:val="00C33E42"/>
    <w:rsid w:val="00C3562A"/>
    <w:rsid w:val="00C655C3"/>
    <w:rsid w:val="00C70A0F"/>
    <w:rsid w:val="00C7770C"/>
    <w:rsid w:val="00C92AAA"/>
    <w:rsid w:val="00C97AC7"/>
    <w:rsid w:val="00CA70F9"/>
    <w:rsid w:val="00CB3A5E"/>
    <w:rsid w:val="00CF103F"/>
    <w:rsid w:val="00CF2445"/>
    <w:rsid w:val="00CF57C9"/>
    <w:rsid w:val="00CF7CEF"/>
    <w:rsid w:val="00D02C14"/>
    <w:rsid w:val="00D15212"/>
    <w:rsid w:val="00D15C97"/>
    <w:rsid w:val="00D1770C"/>
    <w:rsid w:val="00D22D7A"/>
    <w:rsid w:val="00D23E68"/>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06C2C"/>
    <w:rsid w:val="00E11251"/>
    <w:rsid w:val="00E145D6"/>
    <w:rsid w:val="00E200A1"/>
    <w:rsid w:val="00E22A88"/>
    <w:rsid w:val="00E22E01"/>
    <w:rsid w:val="00E2671D"/>
    <w:rsid w:val="00E31FD0"/>
    <w:rsid w:val="00E36AE3"/>
    <w:rsid w:val="00E36D68"/>
    <w:rsid w:val="00E37DE5"/>
    <w:rsid w:val="00E4351A"/>
    <w:rsid w:val="00E50F8B"/>
    <w:rsid w:val="00E5456F"/>
    <w:rsid w:val="00E579D8"/>
    <w:rsid w:val="00E637E5"/>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0773"/>
    <w:rsid w:val="00F3436F"/>
    <w:rsid w:val="00F408CF"/>
    <w:rsid w:val="00F44001"/>
    <w:rsid w:val="00F50CBC"/>
    <w:rsid w:val="00F5665E"/>
    <w:rsid w:val="00F61260"/>
    <w:rsid w:val="00F721B6"/>
    <w:rsid w:val="00F7367E"/>
    <w:rsid w:val="00F743A5"/>
    <w:rsid w:val="00F851EF"/>
    <w:rsid w:val="00F867DC"/>
    <w:rsid w:val="00F92AF9"/>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page@pa.gov" TargetMode="External"/><Relationship Id="rId5" Type="http://schemas.openxmlformats.org/officeDocument/2006/relationships/webSettings" Target="webSettings.xml"/><Relationship Id="rId10" Type="http://schemas.openxmlformats.org/officeDocument/2006/relationships/hyperlink" Target="http://www.puc.state.pa.us/utility_industry/telecommunications/local_service_migration.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56999-7A05-4AD6-802E-14821A00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3909</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Hinds, Margaret</cp:lastModifiedBy>
  <cp:revision>8</cp:revision>
  <cp:lastPrinted>2013-07-09T11:28:00Z</cp:lastPrinted>
  <dcterms:created xsi:type="dcterms:W3CDTF">2013-06-19T17:25:00Z</dcterms:created>
  <dcterms:modified xsi:type="dcterms:W3CDTF">2013-07-09T11:28:00Z</dcterms:modified>
</cp:coreProperties>
</file>