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D248B9" w:rsidRPr="00D248B9" w:rsidRDefault="00D248B9" w:rsidP="00D248B9">
      <w:pPr>
        <w:rPr>
          <w:sz w:val="24"/>
          <w:szCs w:val="24"/>
        </w:rPr>
      </w:pPr>
      <w:r w:rsidRPr="00D248B9">
        <w:rPr>
          <w:sz w:val="24"/>
          <w:szCs w:val="24"/>
        </w:rPr>
        <w:t>James Wise</w:t>
      </w:r>
      <w:r w:rsidRPr="00D248B9">
        <w:rPr>
          <w:sz w:val="24"/>
          <w:szCs w:val="24"/>
        </w:rPr>
        <w:tab/>
      </w:r>
      <w:r w:rsidRPr="00D248B9">
        <w:rPr>
          <w:sz w:val="24"/>
          <w:szCs w:val="24"/>
        </w:rPr>
        <w:tab/>
      </w:r>
      <w:r w:rsidRPr="00D248B9">
        <w:rPr>
          <w:sz w:val="24"/>
          <w:szCs w:val="24"/>
        </w:rPr>
        <w:tab/>
      </w:r>
      <w:r w:rsidRPr="00D248B9">
        <w:rPr>
          <w:sz w:val="24"/>
          <w:szCs w:val="24"/>
        </w:rPr>
        <w:tab/>
      </w:r>
      <w:r w:rsidRPr="00D248B9">
        <w:rPr>
          <w:sz w:val="24"/>
          <w:szCs w:val="24"/>
        </w:rPr>
        <w:tab/>
      </w:r>
      <w:r w:rsidRPr="00D248B9">
        <w:rPr>
          <w:sz w:val="24"/>
          <w:szCs w:val="24"/>
        </w:rPr>
        <w:tab/>
        <w:t>:</w:t>
      </w:r>
    </w:p>
    <w:p w:rsidR="00D248B9" w:rsidRPr="00D248B9" w:rsidRDefault="00D248B9" w:rsidP="00D248B9">
      <w:pPr>
        <w:rPr>
          <w:sz w:val="24"/>
          <w:szCs w:val="24"/>
        </w:rPr>
      </w:pPr>
      <w:r w:rsidRPr="00D248B9">
        <w:rPr>
          <w:sz w:val="24"/>
          <w:szCs w:val="24"/>
        </w:rPr>
        <w:tab/>
      </w:r>
      <w:r w:rsidRPr="00D248B9">
        <w:rPr>
          <w:sz w:val="24"/>
          <w:szCs w:val="24"/>
        </w:rPr>
        <w:tab/>
      </w:r>
      <w:r w:rsidRPr="00D248B9">
        <w:rPr>
          <w:sz w:val="24"/>
          <w:szCs w:val="24"/>
        </w:rPr>
        <w:tab/>
      </w:r>
      <w:r w:rsidRPr="00D248B9">
        <w:rPr>
          <w:sz w:val="24"/>
          <w:szCs w:val="24"/>
        </w:rPr>
        <w:tab/>
      </w:r>
      <w:r w:rsidRPr="00D248B9">
        <w:rPr>
          <w:sz w:val="24"/>
          <w:szCs w:val="24"/>
        </w:rPr>
        <w:tab/>
      </w:r>
      <w:r w:rsidRPr="00D248B9">
        <w:rPr>
          <w:sz w:val="24"/>
          <w:szCs w:val="24"/>
        </w:rPr>
        <w:tab/>
      </w:r>
      <w:r w:rsidRPr="00D248B9">
        <w:rPr>
          <w:sz w:val="24"/>
          <w:szCs w:val="24"/>
        </w:rPr>
        <w:tab/>
        <w:t>:</w:t>
      </w:r>
    </w:p>
    <w:p w:rsidR="00D248B9" w:rsidRPr="00D248B9" w:rsidRDefault="00D248B9" w:rsidP="00D248B9">
      <w:pPr>
        <w:ind w:firstLine="720"/>
        <w:rPr>
          <w:sz w:val="24"/>
          <w:szCs w:val="24"/>
        </w:rPr>
      </w:pPr>
      <w:r w:rsidRPr="00D248B9">
        <w:rPr>
          <w:sz w:val="24"/>
          <w:szCs w:val="24"/>
        </w:rPr>
        <w:t>v.</w:t>
      </w:r>
      <w:r w:rsidRPr="00D248B9">
        <w:rPr>
          <w:sz w:val="24"/>
          <w:szCs w:val="24"/>
        </w:rPr>
        <w:tab/>
      </w:r>
      <w:r w:rsidRPr="00D248B9">
        <w:rPr>
          <w:sz w:val="24"/>
          <w:szCs w:val="24"/>
        </w:rPr>
        <w:tab/>
      </w:r>
      <w:r w:rsidRPr="00D248B9">
        <w:rPr>
          <w:sz w:val="24"/>
          <w:szCs w:val="24"/>
        </w:rPr>
        <w:tab/>
      </w:r>
      <w:r w:rsidRPr="00D248B9">
        <w:rPr>
          <w:sz w:val="24"/>
          <w:szCs w:val="24"/>
        </w:rPr>
        <w:tab/>
      </w:r>
      <w:r w:rsidRPr="00D248B9">
        <w:rPr>
          <w:sz w:val="24"/>
          <w:szCs w:val="24"/>
        </w:rPr>
        <w:tab/>
      </w:r>
      <w:r w:rsidRPr="00D248B9">
        <w:rPr>
          <w:sz w:val="24"/>
          <w:szCs w:val="24"/>
        </w:rPr>
        <w:tab/>
        <w:t>:</w:t>
      </w:r>
      <w:r w:rsidRPr="00D248B9">
        <w:rPr>
          <w:sz w:val="24"/>
          <w:szCs w:val="24"/>
        </w:rPr>
        <w:tab/>
      </w:r>
      <w:r w:rsidRPr="00D248B9">
        <w:rPr>
          <w:sz w:val="24"/>
          <w:szCs w:val="24"/>
        </w:rPr>
        <w:tab/>
        <w:t>F-2013-2343824</w:t>
      </w:r>
    </w:p>
    <w:p w:rsidR="00D248B9" w:rsidRPr="00D248B9" w:rsidRDefault="00D248B9" w:rsidP="00D248B9">
      <w:pPr>
        <w:rPr>
          <w:sz w:val="24"/>
          <w:szCs w:val="24"/>
        </w:rPr>
      </w:pPr>
      <w:r w:rsidRPr="00D248B9">
        <w:rPr>
          <w:sz w:val="24"/>
          <w:szCs w:val="24"/>
        </w:rPr>
        <w:tab/>
      </w:r>
      <w:r w:rsidRPr="00D248B9">
        <w:rPr>
          <w:sz w:val="24"/>
          <w:szCs w:val="24"/>
        </w:rPr>
        <w:tab/>
      </w:r>
      <w:r w:rsidRPr="00D248B9">
        <w:rPr>
          <w:sz w:val="24"/>
          <w:szCs w:val="24"/>
        </w:rPr>
        <w:tab/>
      </w:r>
      <w:r w:rsidRPr="00D248B9">
        <w:rPr>
          <w:sz w:val="24"/>
          <w:szCs w:val="24"/>
        </w:rPr>
        <w:tab/>
      </w:r>
      <w:r w:rsidRPr="00D248B9">
        <w:rPr>
          <w:sz w:val="24"/>
          <w:szCs w:val="24"/>
        </w:rPr>
        <w:tab/>
      </w:r>
      <w:r w:rsidRPr="00D248B9">
        <w:rPr>
          <w:sz w:val="24"/>
          <w:szCs w:val="24"/>
        </w:rPr>
        <w:tab/>
      </w:r>
      <w:r w:rsidRPr="00D248B9">
        <w:rPr>
          <w:sz w:val="24"/>
          <w:szCs w:val="24"/>
        </w:rPr>
        <w:tab/>
        <w:t>:</w:t>
      </w:r>
    </w:p>
    <w:p w:rsidR="00D248B9" w:rsidRPr="00D248B9" w:rsidRDefault="00D248B9" w:rsidP="00D248B9">
      <w:pPr>
        <w:rPr>
          <w:sz w:val="24"/>
          <w:szCs w:val="24"/>
        </w:rPr>
      </w:pPr>
      <w:r w:rsidRPr="00D248B9">
        <w:rPr>
          <w:sz w:val="24"/>
          <w:szCs w:val="24"/>
        </w:rPr>
        <w:t>PPL Electric Utilities Corporation</w:t>
      </w:r>
      <w:r w:rsidRPr="00D248B9">
        <w:rPr>
          <w:sz w:val="24"/>
          <w:szCs w:val="24"/>
        </w:rPr>
        <w:tab/>
      </w:r>
      <w:r w:rsidRPr="00D248B9">
        <w:rPr>
          <w:sz w:val="24"/>
          <w:szCs w:val="24"/>
        </w:rPr>
        <w:tab/>
      </w:r>
      <w:r w:rsidRPr="00D248B9">
        <w:rPr>
          <w:sz w:val="24"/>
          <w:szCs w:val="24"/>
        </w:rPr>
        <w:tab/>
        <w:t>:</w:t>
      </w:r>
    </w:p>
    <w:p w:rsidR="00D248B9" w:rsidRPr="00D248B9" w:rsidRDefault="00D248B9" w:rsidP="00D248B9">
      <w:pPr>
        <w:rPr>
          <w:sz w:val="24"/>
          <w:szCs w:val="24"/>
        </w:rPr>
      </w:pPr>
      <w:r w:rsidRPr="00D248B9">
        <w:rPr>
          <w:sz w:val="24"/>
          <w:szCs w:val="24"/>
        </w:rPr>
        <w:tab/>
      </w:r>
      <w:r w:rsidRPr="00D248B9">
        <w:rPr>
          <w:sz w:val="24"/>
          <w:szCs w:val="24"/>
        </w:rPr>
        <w:tab/>
      </w:r>
    </w:p>
    <w:p w:rsidR="00D248B9" w:rsidRPr="00D248B9" w:rsidRDefault="00D248B9" w:rsidP="00D248B9">
      <w:pPr>
        <w:rPr>
          <w:sz w:val="24"/>
          <w:szCs w:val="24"/>
        </w:rPr>
      </w:pPr>
    </w:p>
    <w:p w:rsidR="00384894" w:rsidRDefault="00384894" w:rsidP="00D248B9">
      <w:pPr>
        <w:jc w:val="center"/>
        <w:rPr>
          <w:b/>
          <w:sz w:val="24"/>
          <w:szCs w:val="24"/>
          <w:u w:val="single"/>
        </w:rPr>
      </w:pPr>
    </w:p>
    <w:p w:rsidR="00D248B9" w:rsidRPr="00D248B9" w:rsidRDefault="00D248B9" w:rsidP="00D248B9">
      <w:pPr>
        <w:jc w:val="center"/>
        <w:rPr>
          <w:b/>
          <w:sz w:val="24"/>
          <w:szCs w:val="24"/>
          <w:u w:val="single"/>
        </w:rPr>
      </w:pPr>
      <w:r w:rsidRPr="00D248B9">
        <w:rPr>
          <w:b/>
          <w:sz w:val="24"/>
          <w:szCs w:val="24"/>
          <w:u w:val="single"/>
        </w:rPr>
        <w:t>INITIAL DECISION</w:t>
      </w:r>
    </w:p>
    <w:p w:rsidR="00D248B9" w:rsidRPr="00D248B9" w:rsidRDefault="00D248B9" w:rsidP="00D248B9">
      <w:pPr>
        <w:jc w:val="center"/>
        <w:rPr>
          <w:sz w:val="24"/>
          <w:szCs w:val="24"/>
        </w:rPr>
      </w:pPr>
    </w:p>
    <w:p w:rsidR="00D248B9" w:rsidRPr="00D248B9" w:rsidRDefault="00D248B9" w:rsidP="00D248B9">
      <w:pPr>
        <w:jc w:val="center"/>
        <w:rPr>
          <w:sz w:val="24"/>
          <w:szCs w:val="24"/>
        </w:rPr>
      </w:pPr>
    </w:p>
    <w:p w:rsidR="00D248B9" w:rsidRPr="00D248B9" w:rsidRDefault="00D248B9" w:rsidP="00D248B9">
      <w:pPr>
        <w:jc w:val="center"/>
        <w:rPr>
          <w:sz w:val="24"/>
          <w:szCs w:val="24"/>
        </w:rPr>
      </w:pPr>
      <w:r w:rsidRPr="00D248B9">
        <w:rPr>
          <w:sz w:val="24"/>
          <w:szCs w:val="24"/>
        </w:rPr>
        <w:t xml:space="preserve">Before </w:t>
      </w:r>
    </w:p>
    <w:p w:rsidR="00D248B9" w:rsidRPr="00D248B9" w:rsidRDefault="00D248B9" w:rsidP="00D248B9">
      <w:pPr>
        <w:jc w:val="center"/>
        <w:rPr>
          <w:sz w:val="24"/>
          <w:szCs w:val="24"/>
        </w:rPr>
      </w:pPr>
      <w:r w:rsidRPr="00D248B9">
        <w:rPr>
          <w:sz w:val="24"/>
          <w:szCs w:val="24"/>
        </w:rPr>
        <w:t>Mary D. Long</w:t>
      </w:r>
    </w:p>
    <w:p w:rsidR="00D248B9" w:rsidRDefault="00D248B9" w:rsidP="00D248B9">
      <w:pPr>
        <w:jc w:val="center"/>
        <w:rPr>
          <w:sz w:val="24"/>
          <w:szCs w:val="24"/>
        </w:rPr>
      </w:pPr>
      <w:r w:rsidRPr="00D248B9">
        <w:rPr>
          <w:sz w:val="24"/>
          <w:szCs w:val="24"/>
        </w:rPr>
        <w:t>Administrative Law Judge</w:t>
      </w:r>
    </w:p>
    <w:p w:rsidR="00D248B9" w:rsidRPr="00D248B9" w:rsidRDefault="00D248B9" w:rsidP="00D248B9">
      <w:pPr>
        <w:jc w:val="center"/>
        <w:rPr>
          <w:sz w:val="24"/>
          <w:szCs w:val="24"/>
        </w:rPr>
      </w:pPr>
    </w:p>
    <w:p w:rsidR="00D248B9" w:rsidRPr="00D248B9" w:rsidRDefault="00D248B9" w:rsidP="00D248B9">
      <w:pPr>
        <w:rPr>
          <w:sz w:val="24"/>
          <w:szCs w:val="24"/>
        </w:rPr>
      </w:pPr>
    </w:p>
    <w:p w:rsidR="00D248B9" w:rsidRDefault="00D248B9" w:rsidP="00D248B9">
      <w:pPr>
        <w:spacing w:line="360" w:lineRule="auto"/>
        <w:rPr>
          <w:sz w:val="24"/>
          <w:szCs w:val="24"/>
        </w:rPr>
      </w:pPr>
      <w:r w:rsidRPr="00D248B9">
        <w:rPr>
          <w:sz w:val="24"/>
          <w:szCs w:val="24"/>
        </w:rPr>
        <w:tab/>
      </w:r>
      <w:r w:rsidRPr="00D248B9">
        <w:rPr>
          <w:sz w:val="24"/>
          <w:szCs w:val="24"/>
        </w:rPr>
        <w:tab/>
        <w:t>This decision grants in part a formal complaint and finds that the complainant is no</w:t>
      </w:r>
      <w:r w:rsidR="00F14B8E">
        <w:rPr>
          <w:sz w:val="24"/>
          <w:szCs w:val="24"/>
        </w:rPr>
        <w:t>t</w:t>
      </w:r>
      <w:r w:rsidRPr="00D248B9">
        <w:rPr>
          <w:sz w:val="24"/>
          <w:szCs w:val="24"/>
        </w:rPr>
        <w:t xml:space="preserve"> responsible for a portion of an account balance which was incurred while he was incarcerated and not living in the premises he shared with his girlfriend.  However, the complainant did not establish that he did not reside on the premises for the remainder of the time period and is responsible for those charges. </w:t>
      </w:r>
    </w:p>
    <w:p w:rsidR="00D248B9" w:rsidRPr="00D248B9" w:rsidRDefault="00D248B9" w:rsidP="00D248B9">
      <w:pPr>
        <w:spacing w:line="360" w:lineRule="auto"/>
        <w:rPr>
          <w:sz w:val="24"/>
          <w:szCs w:val="24"/>
        </w:rPr>
      </w:pPr>
    </w:p>
    <w:p w:rsidR="00D248B9" w:rsidRDefault="00D248B9" w:rsidP="00D248B9">
      <w:pPr>
        <w:spacing w:line="360" w:lineRule="auto"/>
        <w:jc w:val="center"/>
        <w:rPr>
          <w:sz w:val="24"/>
          <w:szCs w:val="24"/>
          <w:u w:val="single"/>
        </w:rPr>
      </w:pPr>
      <w:r w:rsidRPr="00D248B9">
        <w:rPr>
          <w:sz w:val="24"/>
          <w:szCs w:val="24"/>
          <w:u w:val="single"/>
        </w:rPr>
        <w:t>HISTORY OF PROCEEDINGS</w:t>
      </w:r>
    </w:p>
    <w:p w:rsidR="00D248B9" w:rsidRPr="00D248B9" w:rsidRDefault="00D248B9" w:rsidP="00D248B9">
      <w:pPr>
        <w:spacing w:line="360" w:lineRule="auto"/>
        <w:jc w:val="center"/>
        <w:rPr>
          <w:sz w:val="24"/>
          <w:szCs w:val="24"/>
          <w:u w:val="single"/>
        </w:rPr>
      </w:pPr>
    </w:p>
    <w:p w:rsidR="00D248B9" w:rsidRDefault="00D248B9" w:rsidP="00D248B9">
      <w:pPr>
        <w:spacing w:line="360" w:lineRule="auto"/>
        <w:rPr>
          <w:sz w:val="24"/>
          <w:szCs w:val="24"/>
        </w:rPr>
      </w:pPr>
      <w:r w:rsidRPr="00D248B9">
        <w:rPr>
          <w:sz w:val="24"/>
          <w:szCs w:val="24"/>
        </w:rPr>
        <w:tab/>
      </w:r>
      <w:r w:rsidRPr="00D248B9">
        <w:rPr>
          <w:sz w:val="24"/>
          <w:szCs w:val="24"/>
        </w:rPr>
        <w:tab/>
        <w:t>James Wise (Complainant) filed a formal complaint against PPL Electric Utilities Corporation (PPL) on January 16, 2013, alleging that PPL was improperly holding him responsible for an account balance accrued by his former girlfriend.  PPL filed an answer o</w:t>
      </w:r>
      <w:r w:rsidR="00661A90">
        <w:rPr>
          <w:sz w:val="24"/>
          <w:szCs w:val="24"/>
        </w:rPr>
        <w:t>n</w:t>
      </w:r>
      <w:r w:rsidRPr="00D248B9">
        <w:rPr>
          <w:sz w:val="24"/>
          <w:szCs w:val="24"/>
        </w:rPr>
        <w:t xml:space="preserve"> February 7, 2013, denying that it had improperly charged the Complainant for his girlfriend’s account balance.</w:t>
      </w:r>
    </w:p>
    <w:p w:rsidR="00D248B9" w:rsidRPr="00D248B9" w:rsidRDefault="00D248B9" w:rsidP="00D248B9">
      <w:pPr>
        <w:spacing w:line="360" w:lineRule="auto"/>
        <w:rPr>
          <w:sz w:val="24"/>
          <w:szCs w:val="24"/>
        </w:rPr>
      </w:pPr>
    </w:p>
    <w:p w:rsidR="00D248B9" w:rsidRDefault="00D248B9" w:rsidP="008F0110">
      <w:pPr>
        <w:spacing w:line="360" w:lineRule="auto"/>
        <w:rPr>
          <w:sz w:val="24"/>
          <w:szCs w:val="24"/>
        </w:rPr>
      </w:pPr>
      <w:r w:rsidRPr="00D248B9">
        <w:rPr>
          <w:sz w:val="24"/>
          <w:szCs w:val="24"/>
        </w:rPr>
        <w:tab/>
      </w:r>
      <w:r w:rsidRPr="00D248B9">
        <w:rPr>
          <w:sz w:val="24"/>
          <w:szCs w:val="24"/>
        </w:rPr>
        <w:tab/>
        <w:t xml:space="preserve">A hearing was held by telephone, as scheduled, on April 11, 2013.  The Complainant appeared </w:t>
      </w:r>
      <w:r w:rsidRPr="00D248B9">
        <w:rPr>
          <w:i/>
          <w:sz w:val="24"/>
          <w:szCs w:val="24"/>
        </w:rPr>
        <w:t>pro se</w:t>
      </w:r>
      <w:r w:rsidRPr="00D248B9">
        <w:rPr>
          <w:sz w:val="24"/>
          <w:szCs w:val="24"/>
        </w:rPr>
        <w:t xml:space="preserve"> and testified on his own behalf.  PPL appeared and was represented by Kimberly G. Krupka, Esquire.  She presented the testimony of one witness, Ms. Mae Dorris, </w:t>
      </w:r>
      <w:r w:rsidRPr="00D248B9">
        <w:rPr>
          <w:sz w:val="24"/>
          <w:szCs w:val="24"/>
        </w:rPr>
        <w:lastRenderedPageBreak/>
        <w:t>and proffered five exhibits which were admitted into evidence.  The hearing generated a transcript of 68 pages.  By order dated May 6, 2013, the record was closed.</w:t>
      </w:r>
    </w:p>
    <w:p w:rsidR="006A34D0" w:rsidRPr="00D248B9" w:rsidRDefault="006A34D0" w:rsidP="008F0110">
      <w:pPr>
        <w:spacing w:line="360" w:lineRule="auto"/>
        <w:rPr>
          <w:sz w:val="24"/>
          <w:szCs w:val="24"/>
        </w:rPr>
      </w:pPr>
    </w:p>
    <w:p w:rsidR="00D248B9" w:rsidRPr="00D248B9" w:rsidRDefault="00D248B9" w:rsidP="008F0110">
      <w:pPr>
        <w:spacing w:line="360" w:lineRule="auto"/>
        <w:rPr>
          <w:sz w:val="24"/>
          <w:szCs w:val="24"/>
        </w:rPr>
      </w:pPr>
      <w:r w:rsidRPr="00D248B9">
        <w:rPr>
          <w:sz w:val="24"/>
          <w:szCs w:val="24"/>
        </w:rPr>
        <w:tab/>
      </w:r>
      <w:r w:rsidRPr="00D248B9">
        <w:rPr>
          <w:sz w:val="24"/>
          <w:szCs w:val="24"/>
        </w:rPr>
        <w:tab/>
        <w:t>After full consideration of the record, I make the following:</w:t>
      </w:r>
    </w:p>
    <w:p w:rsidR="00743545" w:rsidRPr="00743545" w:rsidRDefault="00743545" w:rsidP="008F0110">
      <w:pPr>
        <w:spacing w:line="360" w:lineRule="auto"/>
        <w:rPr>
          <w:sz w:val="24"/>
          <w:szCs w:val="24"/>
        </w:rPr>
      </w:pPr>
    </w:p>
    <w:p w:rsidR="00743545" w:rsidRPr="00743545" w:rsidRDefault="00743545" w:rsidP="008F0110">
      <w:pPr>
        <w:spacing w:line="360" w:lineRule="auto"/>
        <w:jc w:val="center"/>
        <w:rPr>
          <w:sz w:val="24"/>
          <w:szCs w:val="24"/>
          <w:u w:val="single"/>
        </w:rPr>
      </w:pPr>
      <w:r w:rsidRPr="00743545">
        <w:rPr>
          <w:sz w:val="24"/>
          <w:szCs w:val="24"/>
          <w:u w:val="single"/>
        </w:rPr>
        <w:t>FINDINGS OF FACT</w:t>
      </w:r>
    </w:p>
    <w:p w:rsidR="00743545" w:rsidRPr="00743545" w:rsidRDefault="00743545" w:rsidP="008F0110">
      <w:pPr>
        <w:spacing w:line="360" w:lineRule="auto"/>
        <w:jc w:val="center"/>
        <w:rPr>
          <w:sz w:val="24"/>
          <w:szCs w:val="24"/>
          <w:u w:val="single"/>
        </w:rPr>
      </w:pPr>
    </w:p>
    <w:p w:rsidR="00743545" w:rsidRPr="006A34D0" w:rsidRDefault="00743545" w:rsidP="008F0110">
      <w:pPr>
        <w:pStyle w:val="ListParagraph"/>
        <w:numPr>
          <w:ilvl w:val="0"/>
          <w:numId w:val="4"/>
        </w:numPr>
        <w:spacing w:line="360" w:lineRule="auto"/>
        <w:ind w:left="0" w:firstLine="1440"/>
        <w:contextualSpacing w:val="0"/>
        <w:rPr>
          <w:sz w:val="24"/>
          <w:szCs w:val="24"/>
        </w:rPr>
      </w:pPr>
      <w:r w:rsidRPr="00743545">
        <w:rPr>
          <w:sz w:val="24"/>
          <w:szCs w:val="24"/>
        </w:rPr>
        <w:t>The Complainant</w:t>
      </w:r>
      <w:r w:rsidR="006A34D0" w:rsidRPr="006A34D0">
        <w:rPr>
          <w:sz w:val="24"/>
          <w:szCs w:val="24"/>
        </w:rPr>
        <w:t xml:space="preserve"> currently resides at 609 Spruce Street, Lykens, Pennsylvania. </w:t>
      </w:r>
      <w:r w:rsidR="006A34D0">
        <w:rPr>
          <w:sz w:val="24"/>
          <w:szCs w:val="24"/>
        </w:rPr>
        <w:t xml:space="preserve"> </w:t>
      </w:r>
      <w:r w:rsidR="006A34D0" w:rsidRPr="006A34D0">
        <w:rPr>
          <w:sz w:val="24"/>
          <w:szCs w:val="24"/>
        </w:rPr>
        <w:t xml:space="preserve">He moved there in November 2012. </w:t>
      </w:r>
      <w:r w:rsidR="00F14B8E">
        <w:rPr>
          <w:sz w:val="24"/>
          <w:szCs w:val="24"/>
        </w:rPr>
        <w:t xml:space="preserve"> </w:t>
      </w:r>
      <w:r w:rsidR="006A34D0" w:rsidRPr="006A34D0">
        <w:rPr>
          <w:sz w:val="24"/>
          <w:szCs w:val="24"/>
        </w:rPr>
        <w:t>(N.T. 11</w:t>
      </w:r>
      <w:r w:rsidRPr="006A34D0">
        <w:rPr>
          <w:sz w:val="24"/>
          <w:szCs w:val="24"/>
        </w:rPr>
        <w:t>)</w:t>
      </w:r>
    </w:p>
    <w:p w:rsidR="00743545" w:rsidRPr="00743545" w:rsidRDefault="00743545" w:rsidP="008F0110">
      <w:pPr>
        <w:pStyle w:val="ListParagraph"/>
        <w:spacing w:line="360" w:lineRule="auto"/>
        <w:ind w:left="1440"/>
        <w:rPr>
          <w:sz w:val="24"/>
          <w:szCs w:val="24"/>
        </w:rPr>
      </w:pPr>
    </w:p>
    <w:p w:rsidR="00743545" w:rsidRPr="006A34D0" w:rsidRDefault="006A34D0" w:rsidP="008F0110">
      <w:pPr>
        <w:pStyle w:val="ListParagraph"/>
        <w:numPr>
          <w:ilvl w:val="0"/>
          <w:numId w:val="4"/>
        </w:numPr>
        <w:spacing w:line="360" w:lineRule="auto"/>
        <w:ind w:left="0" w:firstLine="1440"/>
        <w:contextualSpacing w:val="0"/>
        <w:rPr>
          <w:sz w:val="24"/>
          <w:szCs w:val="24"/>
        </w:rPr>
      </w:pPr>
      <w:r>
        <w:rPr>
          <w:sz w:val="24"/>
          <w:szCs w:val="24"/>
        </w:rPr>
        <w:t xml:space="preserve">The </w:t>
      </w:r>
      <w:r w:rsidRPr="006A34D0">
        <w:rPr>
          <w:sz w:val="24"/>
          <w:szCs w:val="24"/>
        </w:rPr>
        <w:t xml:space="preserve">Complainant receives residential electricity service from PPL Electric Utilities Corporation at that address. </w:t>
      </w:r>
      <w:r w:rsidR="00F14B8E">
        <w:rPr>
          <w:sz w:val="24"/>
          <w:szCs w:val="24"/>
        </w:rPr>
        <w:t xml:space="preserve"> </w:t>
      </w:r>
      <w:r w:rsidRPr="006A34D0">
        <w:rPr>
          <w:sz w:val="24"/>
          <w:szCs w:val="24"/>
        </w:rPr>
        <w:t>(N.T. 11</w:t>
      </w:r>
      <w:r w:rsidR="00743545" w:rsidRPr="006A34D0">
        <w:rPr>
          <w:sz w:val="24"/>
          <w:szCs w:val="24"/>
        </w:rPr>
        <w:t>)</w:t>
      </w:r>
    </w:p>
    <w:p w:rsidR="00743545" w:rsidRPr="00743545" w:rsidRDefault="00743545" w:rsidP="008F0110">
      <w:pPr>
        <w:pStyle w:val="ListParagraph"/>
        <w:spacing w:line="360" w:lineRule="auto"/>
        <w:ind w:left="1440"/>
        <w:rPr>
          <w:sz w:val="24"/>
          <w:szCs w:val="24"/>
        </w:rPr>
      </w:pPr>
    </w:p>
    <w:p w:rsidR="00743545" w:rsidRPr="006A34D0" w:rsidRDefault="006A34D0" w:rsidP="008F0110">
      <w:pPr>
        <w:pStyle w:val="ListParagraph"/>
        <w:numPr>
          <w:ilvl w:val="0"/>
          <w:numId w:val="4"/>
        </w:numPr>
        <w:spacing w:line="360" w:lineRule="auto"/>
        <w:ind w:left="0" w:firstLine="1440"/>
        <w:contextualSpacing w:val="0"/>
        <w:rPr>
          <w:sz w:val="24"/>
          <w:szCs w:val="24"/>
        </w:rPr>
      </w:pPr>
      <w:r>
        <w:rPr>
          <w:sz w:val="24"/>
          <w:szCs w:val="24"/>
        </w:rPr>
        <w:t xml:space="preserve">On </w:t>
      </w:r>
      <w:r w:rsidRPr="006A34D0">
        <w:rPr>
          <w:sz w:val="24"/>
          <w:szCs w:val="24"/>
        </w:rPr>
        <w:t xml:space="preserve">May 17, 2007, the Complainant’s former girlfriend, Tammy Whyno, established an account with PPL at 30 East Grand Avenue, Tower City, Pennsylvania (Tower City residence). </w:t>
      </w:r>
      <w:r w:rsidR="00F14B8E">
        <w:rPr>
          <w:sz w:val="24"/>
          <w:szCs w:val="24"/>
        </w:rPr>
        <w:t xml:space="preserve"> </w:t>
      </w:r>
      <w:r w:rsidRPr="006A34D0">
        <w:rPr>
          <w:sz w:val="24"/>
          <w:szCs w:val="24"/>
        </w:rPr>
        <w:t>(N.T. 47; PPL Ex. 5)</w:t>
      </w:r>
    </w:p>
    <w:p w:rsidR="00743545" w:rsidRPr="00743545" w:rsidRDefault="00743545" w:rsidP="008F0110">
      <w:pPr>
        <w:pStyle w:val="ListParagraph"/>
        <w:spacing w:line="360" w:lineRule="auto"/>
        <w:ind w:left="1440"/>
        <w:rPr>
          <w:sz w:val="24"/>
          <w:szCs w:val="24"/>
        </w:rPr>
      </w:pPr>
    </w:p>
    <w:p w:rsidR="00743545" w:rsidRPr="006A34D0" w:rsidRDefault="006A34D0" w:rsidP="008F0110">
      <w:pPr>
        <w:pStyle w:val="ListParagraph"/>
        <w:numPr>
          <w:ilvl w:val="0"/>
          <w:numId w:val="4"/>
        </w:numPr>
        <w:spacing w:line="360" w:lineRule="auto"/>
        <w:ind w:left="0" w:firstLine="1440"/>
        <w:contextualSpacing w:val="0"/>
        <w:rPr>
          <w:sz w:val="24"/>
          <w:szCs w:val="24"/>
        </w:rPr>
      </w:pPr>
      <w:r w:rsidRPr="006A34D0">
        <w:rPr>
          <w:sz w:val="24"/>
          <w:szCs w:val="24"/>
        </w:rPr>
        <w:t>The Complainant admits to living at that address except for the period of time when he was incarcerated.  He opened a joint checking account with Tammy Whyno and deposited money in it for her to pay the bills while he was incarcerated.  (N.T. 31</w:t>
      </w:r>
      <w:r w:rsidR="00743545" w:rsidRPr="006A34D0">
        <w:rPr>
          <w:sz w:val="24"/>
          <w:szCs w:val="24"/>
        </w:rPr>
        <w:t>)</w:t>
      </w:r>
    </w:p>
    <w:p w:rsidR="00743545" w:rsidRPr="00743545" w:rsidRDefault="00743545" w:rsidP="008F0110">
      <w:pPr>
        <w:pStyle w:val="ListParagraph"/>
        <w:spacing w:line="360" w:lineRule="auto"/>
        <w:ind w:left="1440"/>
        <w:rPr>
          <w:sz w:val="24"/>
          <w:szCs w:val="24"/>
        </w:rPr>
      </w:pPr>
    </w:p>
    <w:p w:rsidR="00743545" w:rsidRPr="006A34D0" w:rsidRDefault="006A34D0" w:rsidP="008F0110">
      <w:pPr>
        <w:pStyle w:val="ListParagraph"/>
        <w:numPr>
          <w:ilvl w:val="0"/>
          <w:numId w:val="4"/>
        </w:numPr>
        <w:spacing w:line="360" w:lineRule="auto"/>
        <w:ind w:left="0" w:firstLine="1440"/>
        <w:contextualSpacing w:val="0"/>
        <w:rPr>
          <w:sz w:val="24"/>
          <w:szCs w:val="24"/>
        </w:rPr>
      </w:pPr>
      <w:r>
        <w:rPr>
          <w:sz w:val="24"/>
          <w:szCs w:val="24"/>
        </w:rPr>
        <w:t xml:space="preserve">The </w:t>
      </w:r>
      <w:r w:rsidRPr="006A34D0">
        <w:rPr>
          <w:sz w:val="24"/>
          <w:szCs w:val="24"/>
        </w:rPr>
        <w:t>Complainant was incarcerated and not living at the Tower City address from November 2007 until November 2008.  (N.T. 31-32</w:t>
      </w:r>
      <w:r w:rsidR="00743545" w:rsidRPr="006A34D0">
        <w:rPr>
          <w:sz w:val="24"/>
          <w:szCs w:val="24"/>
        </w:rPr>
        <w:t>)</w:t>
      </w:r>
    </w:p>
    <w:p w:rsidR="00743545" w:rsidRPr="00743545" w:rsidRDefault="00743545" w:rsidP="008F0110">
      <w:pPr>
        <w:pStyle w:val="ListParagraph"/>
        <w:spacing w:line="360" w:lineRule="auto"/>
        <w:ind w:left="1440"/>
        <w:rPr>
          <w:sz w:val="24"/>
          <w:szCs w:val="24"/>
        </w:rPr>
      </w:pPr>
    </w:p>
    <w:p w:rsidR="00743545" w:rsidRPr="008F0110" w:rsidRDefault="00743545" w:rsidP="008F0110">
      <w:pPr>
        <w:pStyle w:val="ListParagraph"/>
        <w:numPr>
          <w:ilvl w:val="0"/>
          <w:numId w:val="4"/>
        </w:numPr>
        <w:spacing w:line="360" w:lineRule="auto"/>
        <w:ind w:left="0" w:firstLine="1440"/>
        <w:contextualSpacing w:val="0"/>
        <w:rPr>
          <w:sz w:val="24"/>
          <w:szCs w:val="24"/>
        </w:rPr>
      </w:pPr>
      <w:r w:rsidRPr="008F0110">
        <w:rPr>
          <w:sz w:val="24"/>
          <w:szCs w:val="24"/>
        </w:rPr>
        <w:t>T</w:t>
      </w:r>
      <w:r w:rsidR="008F0110" w:rsidRPr="008F0110">
        <w:rPr>
          <w:sz w:val="24"/>
          <w:szCs w:val="24"/>
        </w:rPr>
        <w:t>ammy</w:t>
      </w:r>
      <w:r w:rsidRPr="008F0110">
        <w:rPr>
          <w:sz w:val="24"/>
          <w:szCs w:val="24"/>
        </w:rPr>
        <w:t xml:space="preserve"> </w:t>
      </w:r>
      <w:r w:rsidR="008F0110" w:rsidRPr="008F0110">
        <w:rPr>
          <w:sz w:val="24"/>
          <w:szCs w:val="24"/>
        </w:rPr>
        <w:t>Whyno left the Tower City address sometime in early 2009.  (N.T. 13-14</w:t>
      </w:r>
      <w:r w:rsidRPr="008F0110">
        <w:rPr>
          <w:sz w:val="24"/>
          <w:szCs w:val="24"/>
        </w:rPr>
        <w:t>)</w:t>
      </w:r>
    </w:p>
    <w:p w:rsidR="00743545" w:rsidRPr="00743545" w:rsidRDefault="00743545" w:rsidP="008F0110">
      <w:pPr>
        <w:pStyle w:val="ListParagraph"/>
        <w:spacing w:line="360" w:lineRule="auto"/>
        <w:ind w:left="1440"/>
        <w:rPr>
          <w:sz w:val="24"/>
          <w:szCs w:val="24"/>
        </w:rPr>
      </w:pPr>
    </w:p>
    <w:p w:rsidR="00743545" w:rsidRPr="008F0110" w:rsidRDefault="008F0110" w:rsidP="008F0110">
      <w:pPr>
        <w:pStyle w:val="ListParagraph"/>
        <w:numPr>
          <w:ilvl w:val="0"/>
          <w:numId w:val="4"/>
        </w:numPr>
        <w:spacing w:line="360" w:lineRule="auto"/>
        <w:ind w:left="0" w:firstLine="1440"/>
        <w:contextualSpacing w:val="0"/>
        <w:rPr>
          <w:sz w:val="24"/>
          <w:szCs w:val="24"/>
        </w:rPr>
      </w:pPr>
      <w:r w:rsidRPr="008F0110">
        <w:rPr>
          <w:sz w:val="24"/>
          <w:szCs w:val="24"/>
        </w:rPr>
        <w:t>On</w:t>
      </w:r>
      <w:r w:rsidR="00743545" w:rsidRPr="008F0110">
        <w:rPr>
          <w:sz w:val="24"/>
          <w:szCs w:val="24"/>
        </w:rPr>
        <w:t xml:space="preserve"> </w:t>
      </w:r>
      <w:r w:rsidRPr="008F0110">
        <w:rPr>
          <w:sz w:val="24"/>
          <w:szCs w:val="24"/>
        </w:rPr>
        <w:t xml:space="preserve">October 7, 2010, the Complainant called PPL to have the account transferred into his name. </w:t>
      </w:r>
      <w:r w:rsidR="00F14B8E">
        <w:rPr>
          <w:sz w:val="24"/>
          <w:szCs w:val="24"/>
        </w:rPr>
        <w:t xml:space="preserve"> </w:t>
      </w:r>
      <w:r w:rsidRPr="008F0110">
        <w:rPr>
          <w:sz w:val="24"/>
          <w:szCs w:val="24"/>
        </w:rPr>
        <w:t>(N.T. 37; PPL Ex. 3-B</w:t>
      </w:r>
      <w:r w:rsidR="00743545" w:rsidRPr="008F0110">
        <w:rPr>
          <w:sz w:val="24"/>
          <w:szCs w:val="24"/>
        </w:rPr>
        <w:t>)</w:t>
      </w:r>
    </w:p>
    <w:p w:rsidR="00743545" w:rsidRPr="00743545" w:rsidRDefault="00743545" w:rsidP="008F0110">
      <w:pPr>
        <w:pStyle w:val="ListParagraph"/>
        <w:spacing w:line="360" w:lineRule="auto"/>
        <w:ind w:left="1440"/>
        <w:rPr>
          <w:sz w:val="24"/>
          <w:szCs w:val="24"/>
        </w:rPr>
      </w:pPr>
    </w:p>
    <w:p w:rsidR="00743545" w:rsidRPr="008F0110" w:rsidRDefault="008F0110" w:rsidP="008F0110">
      <w:pPr>
        <w:pStyle w:val="ListParagraph"/>
        <w:numPr>
          <w:ilvl w:val="0"/>
          <w:numId w:val="4"/>
        </w:numPr>
        <w:spacing w:line="360" w:lineRule="auto"/>
        <w:ind w:left="0" w:firstLine="1440"/>
        <w:contextualSpacing w:val="0"/>
        <w:rPr>
          <w:sz w:val="24"/>
          <w:szCs w:val="24"/>
        </w:rPr>
      </w:pPr>
      <w:r w:rsidRPr="008F0110">
        <w:rPr>
          <w:sz w:val="24"/>
          <w:szCs w:val="24"/>
        </w:rPr>
        <w:lastRenderedPageBreak/>
        <w:t>PPL transferred the account balance in the amount of $7,159.01 into the Complainant’s name.  (N.T. 37; PPL Ex. 1-A</w:t>
      </w:r>
      <w:r>
        <w:rPr>
          <w:sz w:val="24"/>
          <w:szCs w:val="24"/>
        </w:rPr>
        <w:t>)</w:t>
      </w:r>
    </w:p>
    <w:p w:rsidR="00743545" w:rsidRPr="00743545" w:rsidRDefault="00743545" w:rsidP="008F0110">
      <w:pPr>
        <w:pStyle w:val="ListParagraph"/>
        <w:spacing w:line="360" w:lineRule="auto"/>
        <w:ind w:left="1440"/>
        <w:rPr>
          <w:sz w:val="24"/>
          <w:szCs w:val="24"/>
        </w:rPr>
      </w:pPr>
    </w:p>
    <w:p w:rsidR="00743545" w:rsidRPr="008F0110" w:rsidRDefault="008F0110" w:rsidP="008F0110">
      <w:pPr>
        <w:pStyle w:val="ListParagraph"/>
        <w:numPr>
          <w:ilvl w:val="0"/>
          <w:numId w:val="4"/>
        </w:numPr>
        <w:spacing w:line="360" w:lineRule="auto"/>
        <w:ind w:left="0" w:firstLine="1440"/>
        <w:contextualSpacing w:val="0"/>
        <w:rPr>
          <w:sz w:val="24"/>
          <w:szCs w:val="24"/>
        </w:rPr>
      </w:pPr>
      <w:r w:rsidRPr="008F0110">
        <w:rPr>
          <w:sz w:val="24"/>
          <w:szCs w:val="24"/>
        </w:rPr>
        <w:t>T</w:t>
      </w:r>
      <w:r w:rsidR="00743545" w:rsidRPr="008F0110">
        <w:rPr>
          <w:sz w:val="24"/>
          <w:szCs w:val="24"/>
        </w:rPr>
        <w:t xml:space="preserve">he Complainant </w:t>
      </w:r>
      <w:r w:rsidRPr="008F0110">
        <w:rPr>
          <w:sz w:val="24"/>
          <w:szCs w:val="24"/>
        </w:rPr>
        <w:t xml:space="preserve">disputes that he agreed to accept responsibility for this balance. </w:t>
      </w:r>
      <w:r w:rsidR="00661A90">
        <w:rPr>
          <w:sz w:val="24"/>
          <w:szCs w:val="24"/>
        </w:rPr>
        <w:t xml:space="preserve"> </w:t>
      </w:r>
      <w:r w:rsidRPr="008F0110">
        <w:rPr>
          <w:sz w:val="24"/>
          <w:szCs w:val="24"/>
        </w:rPr>
        <w:t>When he received his first bill in December</w:t>
      </w:r>
      <w:r w:rsidR="00661A90">
        <w:rPr>
          <w:sz w:val="24"/>
          <w:szCs w:val="24"/>
        </w:rPr>
        <w:t xml:space="preserve"> 2010</w:t>
      </w:r>
      <w:r w:rsidRPr="008F0110">
        <w:rPr>
          <w:sz w:val="24"/>
          <w:szCs w:val="24"/>
        </w:rPr>
        <w:t>, he noticed that the balance had been transferred and he contacted PPL and denied that he agreed to accept responsibility for the past-due balance.  (N.T. 14, 42; PPL Ex. 3-A</w:t>
      </w:r>
      <w:r w:rsidR="00743545" w:rsidRPr="008F0110">
        <w:rPr>
          <w:sz w:val="24"/>
          <w:szCs w:val="24"/>
        </w:rPr>
        <w:t>)</w:t>
      </w:r>
    </w:p>
    <w:p w:rsidR="00743545" w:rsidRPr="00743545" w:rsidRDefault="00743545" w:rsidP="008F0110">
      <w:pPr>
        <w:pStyle w:val="ListParagraph"/>
        <w:spacing w:line="360" w:lineRule="auto"/>
        <w:ind w:left="1440"/>
        <w:rPr>
          <w:sz w:val="24"/>
          <w:szCs w:val="24"/>
        </w:rPr>
      </w:pPr>
    </w:p>
    <w:p w:rsidR="00743545" w:rsidRPr="008F0110" w:rsidRDefault="008F0110" w:rsidP="008F0110">
      <w:pPr>
        <w:pStyle w:val="ListParagraph"/>
        <w:numPr>
          <w:ilvl w:val="0"/>
          <w:numId w:val="4"/>
        </w:numPr>
        <w:spacing w:line="360" w:lineRule="auto"/>
        <w:ind w:left="0" w:firstLine="1440"/>
        <w:contextualSpacing w:val="0"/>
        <w:rPr>
          <w:sz w:val="24"/>
          <w:szCs w:val="24"/>
        </w:rPr>
      </w:pPr>
      <w:r w:rsidRPr="008F0110">
        <w:rPr>
          <w:sz w:val="24"/>
          <w:szCs w:val="24"/>
        </w:rPr>
        <w:t>No payments were made on the account at the Tower City address.  The last activity on the account occurred on April 19, 2011, when PPL referred the past due balance of $9,406.69 to collections.  (N.T. 38-39; 42</w:t>
      </w:r>
      <w:r w:rsidR="00743545" w:rsidRPr="008F0110">
        <w:rPr>
          <w:sz w:val="24"/>
          <w:szCs w:val="24"/>
        </w:rPr>
        <w:t>)</w:t>
      </w:r>
    </w:p>
    <w:p w:rsidR="0087102E" w:rsidRPr="0087102E" w:rsidRDefault="0087102E" w:rsidP="008F0110">
      <w:pPr>
        <w:pStyle w:val="ListParagraph"/>
        <w:spacing w:line="360" w:lineRule="auto"/>
        <w:rPr>
          <w:sz w:val="24"/>
          <w:szCs w:val="24"/>
        </w:rPr>
      </w:pPr>
    </w:p>
    <w:p w:rsidR="00743545" w:rsidRDefault="00743545" w:rsidP="008F0110">
      <w:pPr>
        <w:pStyle w:val="ListParagraph"/>
        <w:numPr>
          <w:ilvl w:val="0"/>
          <w:numId w:val="4"/>
        </w:numPr>
        <w:spacing w:line="360" w:lineRule="auto"/>
        <w:ind w:left="0" w:firstLine="1440"/>
        <w:contextualSpacing w:val="0"/>
        <w:rPr>
          <w:sz w:val="24"/>
          <w:szCs w:val="24"/>
        </w:rPr>
      </w:pPr>
      <w:r w:rsidRPr="008F0110">
        <w:rPr>
          <w:sz w:val="24"/>
          <w:szCs w:val="24"/>
        </w:rPr>
        <w:t xml:space="preserve">The </w:t>
      </w:r>
      <w:r w:rsidR="008F0110" w:rsidRPr="008F0110">
        <w:rPr>
          <w:sz w:val="24"/>
          <w:szCs w:val="24"/>
        </w:rPr>
        <w:t xml:space="preserve">Complainant moved out of the Tower City address </w:t>
      </w:r>
      <w:r w:rsidR="00F14B8E">
        <w:rPr>
          <w:sz w:val="24"/>
          <w:szCs w:val="24"/>
        </w:rPr>
        <w:t xml:space="preserve">in </w:t>
      </w:r>
      <w:r w:rsidR="008F0110" w:rsidRPr="008F0110">
        <w:rPr>
          <w:sz w:val="24"/>
          <w:szCs w:val="24"/>
        </w:rPr>
        <w:t>January or February 2011, but did not contact PPL with his forwarding address.  (N.T. 17-18, 46</w:t>
      </w:r>
      <w:r w:rsidRPr="008F0110">
        <w:rPr>
          <w:sz w:val="24"/>
          <w:szCs w:val="24"/>
        </w:rPr>
        <w:t>)</w:t>
      </w:r>
    </w:p>
    <w:p w:rsidR="008F0110" w:rsidRPr="008F0110" w:rsidRDefault="008F0110" w:rsidP="008F0110">
      <w:pPr>
        <w:pStyle w:val="ListParagraph"/>
        <w:rPr>
          <w:sz w:val="24"/>
          <w:szCs w:val="24"/>
        </w:rPr>
      </w:pPr>
    </w:p>
    <w:p w:rsidR="008F0110" w:rsidRDefault="008F0110" w:rsidP="008F0110">
      <w:pPr>
        <w:pStyle w:val="ListParagraph"/>
        <w:numPr>
          <w:ilvl w:val="0"/>
          <w:numId w:val="4"/>
        </w:numPr>
        <w:spacing w:line="360" w:lineRule="auto"/>
        <w:ind w:left="0" w:firstLine="1440"/>
        <w:contextualSpacing w:val="0"/>
        <w:rPr>
          <w:sz w:val="24"/>
          <w:szCs w:val="24"/>
        </w:rPr>
      </w:pPr>
      <w:r w:rsidRPr="008F0110">
        <w:rPr>
          <w:sz w:val="24"/>
          <w:szCs w:val="24"/>
        </w:rPr>
        <w:t xml:space="preserve">On November 14, 2012, the Complainant opened an account with PPL for his current residence in Lykens, Pennsylvania (Lykens residence). </w:t>
      </w:r>
      <w:r w:rsidR="00F14B8E">
        <w:rPr>
          <w:sz w:val="24"/>
          <w:szCs w:val="24"/>
        </w:rPr>
        <w:t xml:space="preserve"> </w:t>
      </w:r>
      <w:r w:rsidRPr="008F0110">
        <w:rPr>
          <w:sz w:val="24"/>
          <w:szCs w:val="24"/>
        </w:rPr>
        <w:t>The balance due on the Tower City residence account was transferred to his new account.  (N.T. 46; PPL Ex. 1-B)</w:t>
      </w:r>
    </w:p>
    <w:p w:rsidR="008F0110" w:rsidRPr="008F0110" w:rsidRDefault="008F0110" w:rsidP="008F0110">
      <w:pPr>
        <w:pStyle w:val="ListParagraph"/>
        <w:rPr>
          <w:sz w:val="24"/>
          <w:szCs w:val="24"/>
        </w:rPr>
      </w:pPr>
    </w:p>
    <w:p w:rsidR="008F0110" w:rsidRDefault="008F0110" w:rsidP="008F0110">
      <w:pPr>
        <w:pStyle w:val="ListParagraph"/>
        <w:numPr>
          <w:ilvl w:val="0"/>
          <w:numId w:val="4"/>
        </w:numPr>
        <w:spacing w:line="360" w:lineRule="auto"/>
        <w:ind w:left="0" w:firstLine="1440"/>
        <w:contextualSpacing w:val="0"/>
        <w:rPr>
          <w:sz w:val="24"/>
          <w:szCs w:val="24"/>
        </w:rPr>
      </w:pPr>
      <w:r w:rsidRPr="008F0110">
        <w:rPr>
          <w:sz w:val="24"/>
          <w:szCs w:val="24"/>
        </w:rPr>
        <w:t>Other than $145 paid for half of a security deposit, no payments have been made on the Complainant’s account since he opened it.  (N.T. 48)</w:t>
      </w:r>
    </w:p>
    <w:p w:rsidR="008F0110" w:rsidRPr="008F0110" w:rsidRDefault="008F0110" w:rsidP="008F0110">
      <w:pPr>
        <w:pStyle w:val="ListParagraph"/>
        <w:rPr>
          <w:sz w:val="24"/>
          <w:szCs w:val="24"/>
        </w:rPr>
      </w:pPr>
    </w:p>
    <w:p w:rsidR="008F0110" w:rsidRDefault="008F0110" w:rsidP="00C917D1">
      <w:pPr>
        <w:pStyle w:val="ListParagraph"/>
        <w:numPr>
          <w:ilvl w:val="0"/>
          <w:numId w:val="4"/>
        </w:numPr>
        <w:spacing w:line="360" w:lineRule="auto"/>
        <w:ind w:left="0" w:firstLine="1440"/>
        <w:contextualSpacing w:val="0"/>
        <w:rPr>
          <w:sz w:val="24"/>
          <w:szCs w:val="24"/>
        </w:rPr>
      </w:pPr>
      <w:r w:rsidRPr="008F0110">
        <w:rPr>
          <w:sz w:val="24"/>
          <w:szCs w:val="24"/>
        </w:rPr>
        <w:t>The Complainant is currently unemployed.  He receives emergency unemployment benefits in the amount of $900 per month.  (N.T. 19, 21</w:t>
      </w:r>
      <w:r>
        <w:rPr>
          <w:sz w:val="24"/>
          <w:szCs w:val="24"/>
        </w:rPr>
        <w:t>)</w:t>
      </w:r>
    </w:p>
    <w:p w:rsidR="008F0110" w:rsidRPr="008F0110" w:rsidRDefault="008F0110" w:rsidP="00C917D1">
      <w:pPr>
        <w:pStyle w:val="ListParagraph"/>
        <w:spacing w:line="360" w:lineRule="auto"/>
        <w:rPr>
          <w:sz w:val="24"/>
          <w:szCs w:val="24"/>
        </w:rPr>
      </w:pPr>
    </w:p>
    <w:p w:rsidR="00C917D1" w:rsidRPr="00C917D1" w:rsidRDefault="00C917D1" w:rsidP="00C917D1">
      <w:pPr>
        <w:pStyle w:val="ListParagraph"/>
        <w:numPr>
          <w:ilvl w:val="0"/>
          <w:numId w:val="4"/>
        </w:numPr>
        <w:tabs>
          <w:tab w:val="left" w:pos="1440"/>
        </w:tabs>
        <w:spacing w:line="360" w:lineRule="auto"/>
        <w:ind w:left="0" w:firstLine="1440"/>
        <w:contextualSpacing w:val="0"/>
        <w:rPr>
          <w:sz w:val="24"/>
          <w:szCs w:val="24"/>
        </w:rPr>
      </w:pPr>
      <w:r>
        <w:rPr>
          <w:sz w:val="24"/>
          <w:szCs w:val="24"/>
        </w:rPr>
        <w:t xml:space="preserve">He </w:t>
      </w:r>
      <w:r w:rsidRPr="00C917D1">
        <w:rPr>
          <w:sz w:val="24"/>
          <w:szCs w:val="24"/>
        </w:rPr>
        <w:t>has sole custody of his two sons who are 10 and 11 years old.</w:t>
      </w:r>
      <w:r w:rsidR="00F14B8E">
        <w:rPr>
          <w:sz w:val="24"/>
          <w:szCs w:val="24"/>
        </w:rPr>
        <w:t xml:space="preserve"> </w:t>
      </w:r>
      <w:r w:rsidRPr="00C917D1">
        <w:rPr>
          <w:sz w:val="24"/>
          <w:szCs w:val="24"/>
        </w:rPr>
        <w:t xml:space="preserve"> (N.T. 22)</w:t>
      </w:r>
    </w:p>
    <w:p w:rsidR="00C917D1" w:rsidRDefault="00C917D1" w:rsidP="00C917D1">
      <w:pPr>
        <w:pStyle w:val="ListParagraph"/>
        <w:spacing w:line="360" w:lineRule="auto"/>
        <w:ind w:left="1440"/>
        <w:contextualSpacing w:val="0"/>
        <w:rPr>
          <w:sz w:val="24"/>
          <w:szCs w:val="24"/>
        </w:rPr>
      </w:pPr>
    </w:p>
    <w:p w:rsidR="008F0110" w:rsidRPr="00C917D1" w:rsidRDefault="00C917D1" w:rsidP="00C917D1">
      <w:pPr>
        <w:pStyle w:val="ListParagraph"/>
        <w:numPr>
          <w:ilvl w:val="0"/>
          <w:numId w:val="4"/>
        </w:numPr>
        <w:spacing w:line="360" w:lineRule="auto"/>
        <w:ind w:left="0" w:firstLine="1440"/>
        <w:contextualSpacing w:val="0"/>
        <w:rPr>
          <w:sz w:val="24"/>
          <w:szCs w:val="24"/>
        </w:rPr>
      </w:pPr>
      <w:r w:rsidRPr="00C917D1">
        <w:rPr>
          <w:sz w:val="24"/>
          <w:szCs w:val="24"/>
        </w:rPr>
        <w:t xml:space="preserve">PPL has provided the Complainant with an application for its </w:t>
      </w:r>
      <w:proofErr w:type="spellStart"/>
      <w:r w:rsidRPr="00C917D1">
        <w:rPr>
          <w:sz w:val="24"/>
          <w:szCs w:val="24"/>
        </w:rPr>
        <w:t>OnTra</w:t>
      </w:r>
      <w:r w:rsidR="003603BA">
        <w:rPr>
          <w:sz w:val="24"/>
          <w:szCs w:val="24"/>
        </w:rPr>
        <w:t>c</w:t>
      </w:r>
      <w:r w:rsidRPr="00C917D1">
        <w:rPr>
          <w:sz w:val="24"/>
          <w:szCs w:val="24"/>
        </w:rPr>
        <w:t>k</w:t>
      </w:r>
      <w:proofErr w:type="spellEnd"/>
      <w:r w:rsidRPr="00C917D1">
        <w:rPr>
          <w:sz w:val="24"/>
          <w:szCs w:val="24"/>
        </w:rPr>
        <w:t xml:space="preserve"> customer assistance program, other energy assistance programs and a fraud packet. </w:t>
      </w:r>
      <w:r w:rsidR="00F14B8E">
        <w:rPr>
          <w:sz w:val="24"/>
          <w:szCs w:val="24"/>
        </w:rPr>
        <w:t xml:space="preserve"> </w:t>
      </w:r>
      <w:r w:rsidRPr="00C917D1">
        <w:rPr>
          <w:sz w:val="24"/>
          <w:szCs w:val="24"/>
        </w:rPr>
        <w:t>PPL has also attempted to negotiate payment arrangements with the Complainant.  (N.T. 50-52</w:t>
      </w:r>
      <w:r>
        <w:rPr>
          <w:sz w:val="24"/>
          <w:szCs w:val="24"/>
        </w:rPr>
        <w:t>)</w:t>
      </w:r>
    </w:p>
    <w:p w:rsidR="0087102E" w:rsidRPr="008F0110" w:rsidRDefault="0087102E">
      <w:pPr>
        <w:rPr>
          <w:sz w:val="24"/>
          <w:szCs w:val="24"/>
          <w:u w:val="single"/>
        </w:rPr>
      </w:pPr>
    </w:p>
    <w:p w:rsidR="00743545" w:rsidRPr="00743545" w:rsidRDefault="00743545" w:rsidP="009D6886">
      <w:pPr>
        <w:spacing w:line="360" w:lineRule="auto"/>
        <w:jc w:val="center"/>
        <w:rPr>
          <w:sz w:val="24"/>
          <w:szCs w:val="24"/>
          <w:u w:val="single"/>
        </w:rPr>
      </w:pPr>
      <w:r w:rsidRPr="00743545">
        <w:rPr>
          <w:sz w:val="24"/>
          <w:szCs w:val="24"/>
          <w:u w:val="single"/>
        </w:rPr>
        <w:lastRenderedPageBreak/>
        <w:t>DISCUSSION</w:t>
      </w:r>
    </w:p>
    <w:p w:rsidR="00743545" w:rsidRPr="00743545" w:rsidRDefault="00743545" w:rsidP="009D6886">
      <w:pPr>
        <w:spacing w:line="360" w:lineRule="auto"/>
        <w:rPr>
          <w:sz w:val="24"/>
          <w:szCs w:val="24"/>
        </w:rPr>
      </w:pPr>
    </w:p>
    <w:p w:rsidR="00743545" w:rsidRPr="00743545" w:rsidRDefault="00743545" w:rsidP="009D6886">
      <w:pPr>
        <w:spacing w:line="360" w:lineRule="auto"/>
        <w:ind w:firstLine="1440"/>
        <w:rPr>
          <w:sz w:val="24"/>
          <w:szCs w:val="24"/>
        </w:rPr>
      </w:pPr>
      <w:r w:rsidRPr="00743545">
        <w:rPr>
          <w:sz w:val="24"/>
          <w:szCs w:val="24"/>
        </w:rPr>
        <w:t>Section 701 of the Public Utility Code (Code), provides that any person may complain, in writing, about any act or thing done or omitted to be done by a public utility in violation, or claimed violation, of any law which the Commission has the jurisdiction to administer, or of any regulation or order of the Commission.</w:t>
      </w:r>
      <w:r w:rsidRPr="00743545">
        <w:rPr>
          <w:rStyle w:val="FootnoteReference"/>
          <w:sz w:val="24"/>
          <w:szCs w:val="24"/>
        </w:rPr>
        <w:footnoteReference w:id="1"/>
      </w:r>
      <w:r w:rsidRPr="00743545">
        <w:rPr>
          <w:sz w:val="24"/>
          <w:szCs w:val="24"/>
        </w:rPr>
        <w:t xml:space="preserve">  A person seeking affirmative relief from the Commission has the burden of proof.</w:t>
      </w:r>
      <w:r w:rsidRPr="00743545">
        <w:rPr>
          <w:rStyle w:val="FootnoteReference"/>
          <w:sz w:val="24"/>
          <w:szCs w:val="24"/>
        </w:rPr>
        <w:footnoteReference w:id="2"/>
      </w:r>
    </w:p>
    <w:p w:rsidR="00743545" w:rsidRPr="00743545" w:rsidRDefault="00743545" w:rsidP="0087102E">
      <w:pPr>
        <w:spacing w:line="360" w:lineRule="auto"/>
        <w:ind w:firstLine="1440"/>
        <w:rPr>
          <w:sz w:val="24"/>
          <w:szCs w:val="24"/>
        </w:rPr>
      </w:pPr>
    </w:p>
    <w:p w:rsidR="00743545" w:rsidRPr="00C917D1" w:rsidRDefault="00743545" w:rsidP="0087102E">
      <w:pPr>
        <w:spacing w:line="360" w:lineRule="auto"/>
        <w:ind w:firstLine="1440"/>
        <w:rPr>
          <w:sz w:val="24"/>
          <w:szCs w:val="24"/>
        </w:rPr>
      </w:pPr>
      <w:r w:rsidRPr="00743545">
        <w:rPr>
          <w:sz w:val="24"/>
          <w:szCs w:val="24"/>
        </w:rPr>
        <w:t xml:space="preserve">In this matter, the Complainant is the party seeking affirmative relief from the Commission; therefore, he has the burden of proof.  This means that he has the duty to establish a fact by a preponderance of the evidence, and must show that </w:t>
      </w:r>
      <w:r w:rsidR="000C7750">
        <w:rPr>
          <w:sz w:val="24"/>
          <w:szCs w:val="24"/>
        </w:rPr>
        <w:t>PPL</w:t>
      </w:r>
      <w:r w:rsidRPr="00743545">
        <w:rPr>
          <w:sz w:val="24"/>
          <w:szCs w:val="24"/>
        </w:rPr>
        <w:t xml:space="preserve"> has violated the Public Utility Code or Commission regulations.</w:t>
      </w:r>
      <w:r w:rsidRPr="00743545">
        <w:rPr>
          <w:rStyle w:val="FootnoteReference"/>
          <w:sz w:val="24"/>
          <w:szCs w:val="24"/>
        </w:rPr>
        <w:footnoteReference w:id="3"/>
      </w:r>
      <w:r w:rsidRPr="00743545">
        <w:rPr>
          <w:sz w:val="24"/>
          <w:szCs w:val="24"/>
        </w:rPr>
        <w:t xml:space="preserve">  After reviewing the evidence, I conclude that </w:t>
      </w:r>
      <w:r w:rsidR="00C917D1">
        <w:rPr>
          <w:sz w:val="24"/>
          <w:szCs w:val="24"/>
        </w:rPr>
        <w:t>PPL</w:t>
      </w:r>
      <w:r w:rsidRPr="00743545">
        <w:rPr>
          <w:sz w:val="24"/>
          <w:szCs w:val="24"/>
        </w:rPr>
        <w:t xml:space="preserve"> </w:t>
      </w:r>
      <w:r w:rsidR="00C917D1" w:rsidRPr="00C917D1">
        <w:rPr>
          <w:sz w:val="24"/>
          <w:szCs w:val="24"/>
        </w:rPr>
        <w:t>improperly transferred the portion of the outstanding balance from the Tower City residence that was more than four years old and which accrued while the Complainant was incarcerated, but otherwise did not violate the Public Utility Code or Commission regulations.  The Complainant will be granted a payment arrangement</w:t>
      </w:r>
      <w:r w:rsidRPr="00C917D1">
        <w:rPr>
          <w:sz w:val="24"/>
          <w:szCs w:val="24"/>
        </w:rPr>
        <w:t>.</w:t>
      </w:r>
    </w:p>
    <w:p w:rsidR="00743545" w:rsidRPr="00743545" w:rsidRDefault="00743545" w:rsidP="0087102E">
      <w:pPr>
        <w:spacing w:line="360" w:lineRule="auto"/>
        <w:rPr>
          <w:sz w:val="24"/>
          <w:szCs w:val="24"/>
        </w:rPr>
      </w:pPr>
    </w:p>
    <w:p w:rsidR="008016DD" w:rsidRDefault="008016DD" w:rsidP="008016DD">
      <w:pPr>
        <w:spacing w:line="360" w:lineRule="auto"/>
        <w:ind w:firstLine="1440"/>
        <w:rPr>
          <w:sz w:val="24"/>
          <w:szCs w:val="24"/>
        </w:rPr>
      </w:pPr>
      <w:r w:rsidRPr="008016DD">
        <w:rPr>
          <w:sz w:val="24"/>
          <w:szCs w:val="24"/>
        </w:rPr>
        <w:t xml:space="preserve">The Complainant contends that he should not be responsible for the account balance that was accrued while the electricity service was in Tammy Whyno’s name, particularly during the period of time that he was incarcerated. </w:t>
      </w:r>
    </w:p>
    <w:p w:rsidR="008016DD" w:rsidRPr="008016DD" w:rsidRDefault="008016DD" w:rsidP="008016DD">
      <w:pPr>
        <w:spacing w:line="360" w:lineRule="auto"/>
        <w:rPr>
          <w:sz w:val="24"/>
          <w:szCs w:val="24"/>
        </w:rPr>
      </w:pPr>
      <w:r w:rsidRPr="008016DD">
        <w:rPr>
          <w:sz w:val="24"/>
          <w:szCs w:val="24"/>
        </w:rPr>
        <w:t xml:space="preserve"> </w:t>
      </w:r>
    </w:p>
    <w:p w:rsidR="008016DD" w:rsidRPr="008016DD" w:rsidRDefault="008016DD" w:rsidP="008016DD">
      <w:pPr>
        <w:spacing w:line="360" w:lineRule="auto"/>
        <w:rPr>
          <w:sz w:val="24"/>
          <w:szCs w:val="24"/>
        </w:rPr>
      </w:pPr>
      <w:r w:rsidRPr="008016DD">
        <w:rPr>
          <w:sz w:val="24"/>
          <w:szCs w:val="24"/>
        </w:rPr>
        <w:tab/>
      </w:r>
      <w:r w:rsidRPr="008016DD">
        <w:rPr>
          <w:sz w:val="24"/>
          <w:szCs w:val="24"/>
        </w:rPr>
        <w:tab/>
        <w:t>Specifically at issue in this case is the amount of the outstanding balance from the Tower City residence that was transferred to the Complainant when he opened his PPL account for the Lykens residence on November 14, 2012.  The Commission’s regulations provide that a public utility may transfer certain balances from a previous account, even if the account was in the name of another person:</w:t>
      </w:r>
    </w:p>
    <w:p w:rsidR="008016DD" w:rsidRDefault="008016DD" w:rsidP="008016DD">
      <w:pPr>
        <w:pStyle w:val="NormalWeb"/>
        <w:spacing w:before="0" w:beforeAutospacing="0" w:after="0" w:afterAutospacing="0"/>
        <w:ind w:left="1440" w:right="1440"/>
      </w:pPr>
      <w:bookmarkStart w:id="0" w:name="56.35."/>
      <w:r w:rsidRPr="008016DD">
        <w:lastRenderedPageBreak/>
        <w:t>A public utility may require the payment of an outstanding balance or portion of an outstanding balance if the applicant resided at the property for which service is requested during the time the outstanding balance accrued and for the time the applicant resided there, not exceeding 4 years from the date of the service request. The 4-year limit does not apply if the balance includes amounts that the utility was not aware of because of fraud or theft on the part of the applicant.</w:t>
      </w:r>
      <w:r w:rsidRPr="008016DD">
        <w:rPr>
          <w:rStyle w:val="FootnoteReference"/>
        </w:rPr>
        <w:footnoteReference w:id="4"/>
      </w:r>
      <w:r w:rsidRPr="008016DD">
        <w:t xml:space="preserve"> </w:t>
      </w:r>
    </w:p>
    <w:p w:rsidR="008016DD" w:rsidRDefault="008016DD" w:rsidP="008016DD">
      <w:pPr>
        <w:pStyle w:val="NormalWeb"/>
        <w:spacing w:before="0" w:beforeAutospacing="0" w:after="0" w:afterAutospacing="0"/>
        <w:ind w:left="1440" w:right="1440"/>
      </w:pPr>
    </w:p>
    <w:p w:rsidR="008016DD" w:rsidRPr="008016DD" w:rsidRDefault="008016DD" w:rsidP="008016DD">
      <w:pPr>
        <w:pStyle w:val="NormalWeb"/>
        <w:spacing w:before="0" w:beforeAutospacing="0" w:after="0" w:afterAutospacing="0"/>
        <w:ind w:left="1440" w:right="1440"/>
      </w:pPr>
    </w:p>
    <w:bookmarkEnd w:id="0"/>
    <w:p w:rsidR="008016DD" w:rsidRPr="008016DD" w:rsidRDefault="008016DD" w:rsidP="008016DD">
      <w:pPr>
        <w:spacing w:line="360" w:lineRule="auto"/>
        <w:rPr>
          <w:sz w:val="24"/>
          <w:szCs w:val="24"/>
        </w:rPr>
      </w:pPr>
      <w:r w:rsidRPr="008016DD">
        <w:rPr>
          <w:sz w:val="24"/>
          <w:szCs w:val="24"/>
        </w:rPr>
        <w:t>Therefore, although the PPL account for the Tower City residence was in the name of Ms.</w:t>
      </w:r>
      <w:r w:rsidR="002322E1">
        <w:rPr>
          <w:sz w:val="24"/>
          <w:szCs w:val="24"/>
        </w:rPr>
        <w:t> </w:t>
      </w:r>
      <w:r w:rsidRPr="008016DD">
        <w:rPr>
          <w:sz w:val="24"/>
          <w:szCs w:val="24"/>
        </w:rPr>
        <w:t xml:space="preserve">Whyno, the Complainant admits to living on the premises with Ms. Whyno and their sons.  Having received the benefit of utility service, he is responsible for the charges which were accrued while he lived there, whether he agreed to accept responsibility for them or not.  To the extent that he provided money to Ms. Whyno to pay the utility bill and she failed to do so, that is a private matter between the Complainant and Ms. Whyno. </w:t>
      </w:r>
    </w:p>
    <w:p w:rsidR="0087102E" w:rsidRPr="008016DD" w:rsidRDefault="0087102E" w:rsidP="008016DD">
      <w:pPr>
        <w:spacing w:line="360" w:lineRule="auto"/>
        <w:ind w:left="720" w:right="1440" w:firstLine="1440"/>
        <w:rPr>
          <w:sz w:val="24"/>
          <w:szCs w:val="24"/>
        </w:rPr>
      </w:pPr>
    </w:p>
    <w:p w:rsidR="00D70F56" w:rsidRDefault="00D70F56" w:rsidP="00D70F56">
      <w:pPr>
        <w:spacing w:line="360" w:lineRule="auto"/>
        <w:ind w:firstLine="1440"/>
        <w:rPr>
          <w:sz w:val="24"/>
          <w:szCs w:val="24"/>
        </w:rPr>
      </w:pPr>
      <w:r w:rsidRPr="00D70F56">
        <w:rPr>
          <w:sz w:val="24"/>
          <w:szCs w:val="24"/>
        </w:rPr>
        <w:t>The record also establishes that from November 2007 through November 2008, the Complainant was not residing at the Tower City residence, but was incarcerated.  Therefore, at the time he contacted PPL in October 2010 to transfer the account into his name, he was not responsible for the amount of the balance that had accrued during the time that he was incarcerated.</w:t>
      </w:r>
      <w:r w:rsidRPr="00D70F56">
        <w:rPr>
          <w:rStyle w:val="FootnoteReference"/>
          <w:sz w:val="24"/>
          <w:szCs w:val="24"/>
        </w:rPr>
        <w:footnoteReference w:id="5"/>
      </w:r>
    </w:p>
    <w:p w:rsidR="00D70F56" w:rsidRPr="00D70F56" w:rsidRDefault="00D70F56" w:rsidP="00D70F56">
      <w:pPr>
        <w:spacing w:line="360" w:lineRule="auto"/>
        <w:ind w:firstLine="1440"/>
        <w:rPr>
          <w:sz w:val="24"/>
          <w:szCs w:val="24"/>
        </w:rPr>
      </w:pPr>
    </w:p>
    <w:p w:rsidR="00D70F56" w:rsidRDefault="00661A90" w:rsidP="00D70F56">
      <w:pPr>
        <w:spacing w:line="360" w:lineRule="auto"/>
        <w:ind w:firstLine="1440"/>
        <w:rPr>
          <w:sz w:val="24"/>
          <w:szCs w:val="24"/>
        </w:rPr>
      </w:pPr>
      <w:r>
        <w:rPr>
          <w:sz w:val="24"/>
          <w:szCs w:val="24"/>
        </w:rPr>
        <w:t>However, Section 56.35(b</w:t>
      </w:r>
      <w:proofErr w:type="gramStart"/>
      <w:r>
        <w:rPr>
          <w:sz w:val="24"/>
          <w:szCs w:val="24"/>
        </w:rPr>
        <w:t>)(</w:t>
      </w:r>
      <w:proofErr w:type="gramEnd"/>
      <w:r>
        <w:rPr>
          <w:sz w:val="24"/>
          <w:szCs w:val="24"/>
        </w:rPr>
        <w:t>1)</w:t>
      </w:r>
      <w:r w:rsidR="00D70F56" w:rsidRPr="00D70F56">
        <w:rPr>
          <w:sz w:val="24"/>
          <w:szCs w:val="24"/>
        </w:rPr>
        <w:t xml:space="preserve"> also provides that a public utility may not require payment of an outstanding balance that is more than four years old.  Therefore, when the Complainant opened his account for the Lykens residence on November 14, 2012, PPL could not transfer any outstanding balance, which he was otherwise responsible for, which accrued before November 14, 2008.  The Complainant was released from prison sometime around Thanksgiving 2008.  Therefore, only the outstanding balance from November 27, 2008</w:t>
      </w:r>
      <w:r w:rsidR="00D70F56" w:rsidRPr="00D70F56">
        <w:rPr>
          <w:rStyle w:val="FootnoteReference"/>
          <w:sz w:val="24"/>
          <w:szCs w:val="24"/>
        </w:rPr>
        <w:footnoteReference w:id="6"/>
      </w:r>
      <w:r w:rsidR="00D70F56" w:rsidRPr="00D70F56">
        <w:rPr>
          <w:sz w:val="24"/>
          <w:szCs w:val="24"/>
        </w:rPr>
        <w:t xml:space="preserve"> could be transferred to </w:t>
      </w:r>
      <w:r w:rsidR="00D70F56" w:rsidRPr="00D70F56">
        <w:rPr>
          <w:sz w:val="24"/>
          <w:szCs w:val="24"/>
        </w:rPr>
        <w:lastRenderedPageBreak/>
        <w:t>the Complainant’s new account.  PPL must pursue the remaining outstanding balance as a creditor as otherwise permitted by law.</w:t>
      </w:r>
      <w:r w:rsidR="00D70F56" w:rsidRPr="00D70F56">
        <w:rPr>
          <w:rStyle w:val="FootnoteReference"/>
          <w:sz w:val="24"/>
          <w:szCs w:val="24"/>
        </w:rPr>
        <w:footnoteReference w:id="7"/>
      </w:r>
    </w:p>
    <w:p w:rsidR="00D70F56" w:rsidRPr="00D70F56" w:rsidRDefault="00D70F56" w:rsidP="00D70F56">
      <w:pPr>
        <w:spacing w:line="360" w:lineRule="auto"/>
        <w:ind w:firstLine="1440"/>
        <w:rPr>
          <w:sz w:val="24"/>
          <w:szCs w:val="24"/>
        </w:rPr>
      </w:pPr>
    </w:p>
    <w:p w:rsidR="00D70F56" w:rsidRPr="00D70F56" w:rsidRDefault="00D70F56" w:rsidP="00D70F56">
      <w:pPr>
        <w:spacing w:line="360" w:lineRule="auto"/>
        <w:ind w:firstLine="1440"/>
        <w:rPr>
          <w:sz w:val="24"/>
          <w:szCs w:val="24"/>
        </w:rPr>
      </w:pPr>
      <w:r w:rsidRPr="00D70F56">
        <w:rPr>
          <w:sz w:val="24"/>
          <w:szCs w:val="24"/>
        </w:rPr>
        <w:t>It is axiomatic that a utility customer must pay for the utility service that he consumes.</w:t>
      </w:r>
      <w:r w:rsidRPr="00D70F56">
        <w:rPr>
          <w:rStyle w:val="FootnoteReference"/>
          <w:sz w:val="24"/>
          <w:szCs w:val="24"/>
        </w:rPr>
        <w:footnoteReference w:id="8"/>
      </w:r>
      <w:r w:rsidRPr="00D70F56">
        <w:rPr>
          <w:sz w:val="24"/>
          <w:szCs w:val="24"/>
        </w:rPr>
        <w:t xml:space="preserve">  Chapter 14 of the Public Utility Code provides that in certain circumstances a customer may be permitted to amortize the amount due on a utility account:</w:t>
      </w:r>
    </w:p>
    <w:p w:rsidR="00D70F56" w:rsidRPr="00D70F56" w:rsidRDefault="00D70F56" w:rsidP="00D70F56">
      <w:pPr>
        <w:spacing w:line="360" w:lineRule="auto"/>
        <w:ind w:left="1440" w:right="1440"/>
        <w:rPr>
          <w:sz w:val="24"/>
          <w:szCs w:val="24"/>
        </w:rPr>
      </w:pPr>
    </w:p>
    <w:p w:rsidR="00D70F56" w:rsidRPr="00D70F56" w:rsidRDefault="00D70F56" w:rsidP="00D70F56">
      <w:pPr>
        <w:ind w:left="1440" w:right="1440"/>
        <w:rPr>
          <w:sz w:val="24"/>
          <w:szCs w:val="24"/>
        </w:rPr>
      </w:pPr>
      <w:r w:rsidRPr="00D70F56">
        <w:rPr>
          <w:sz w:val="24"/>
          <w:szCs w:val="24"/>
        </w:rPr>
        <w:t>The Commission is authorized to investigate complaints regarding payment disputes between a public utility, applicants and customers.  The Commission is authorized to establish payment agreements between a public utility, customers and applicants within the time limits established by this chapter.</w:t>
      </w:r>
      <w:r w:rsidRPr="00D70F56">
        <w:rPr>
          <w:rStyle w:val="FootnoteReference"/>
          <w:sz w:val="24"/>
          <w:szCs w:val="24"/>
        </w:rPr>
        <w:footnoteReference w:id="9"/>
      </w:r>
    </w:p>
    <w:p w:rsidR="00D70F56" w:rsidRPr="00D70F56" w:rsidRDefault="00D70F56" w:rsidP="00D70F56">
      <w:pPr>
        <w:rPr>
          <w:sz w:val="24"/>
          <w:szCs w:val="24"/>
        </w:rPr>
      </w:pPr>
    </w:p>
    <w:p w:rsidR="00D70F56" w:rsidRPr="00D70F56" w:rsidRDefault="00D70F56" w:rsidP="00384894">
      <w:pPr>
        <w:spacing w:line="360" w:lineRule="auto"/>
        <w:rPr>
          <w:sz w:val="24"/>
          <w:szCs w:val="24"/>
        </w:rPr>
      </w:pPr>
      <w:r w:rsidRPr="00D70F56">
        <w:rPr>
          <w:sz w:val="24"/>
          <w:szCs w:val="24"/>
        </w:rPr>
        <w:t>The award of a payment arrangement is not mandatory.</w:t>
      </w:r>
      <w:r w:rsidRPr="00D70F56">
        <w:rPr>
          <w:rStyle w:val="FootnoteReference"/>
          <w:sz w:val="24"/>
          <w:szCs w:val="24"/>
        </w:rPr>
        <w:footnoteReference w:id="10"/>
      </w:r>
      <w:r w:rsidRPr="00D70F56">
        <w:rPr>
          <w:sz w:val="24"/>
          <w:szCs w:val="24"/>
        </w:rPr>
        <w:t xml:space="preserve">  </w:t>
      </w:r>
    </w:p>
    <w:p w:rsidR="0087102E" w:rsidRPr="00514F99" w:rsidRDefault="0087102E" w:rsidP="00384894">
      <w:pPr>
        <w:spacing w:line="360" w:lineRule="auto"/>
        <w:rPr>
          <w:sz w:val="24"/>
          <w:szCs w:val="24"/>
        </w:rPr>
      </w:pPr>
    </w:p>
    <w:p w:rsidR="00514F99" w:rsidRDefault="00514F99" w:rsidP="00384894">
      <w:pPr>
        <w:spacing w:line="360" w:lineRule="auto"/>
        <w:rPr>
          <w:sz w:val="24"/>
          <w:szCs w:val="24"/>
        </w:rPr>
      </w:pPr>
      <w:r w:rsidRPr="00514F99">
        <w:rPr>
          <w:sz w:val="24"/>
          <w:szCs w:val="24"/>
        </w:rPr>
        <w:tab/>
      </w:r>
      <w:r>
        <w:rPr>
          <w:sz w:val="24"/>
          <w:szCs w:val="24"/>
        </w:rPr>
        <w:tab/>
      </w:r>
      <w:r w:rsidRPr="00514F99">
        <w:rPr>
          <w:sz w:val="24"/>
          <w:szCs w:val="24"/>
        </w:rPr>
        <w:t>Although the Complainant does not have an outstanding payment history, it is nevertheless appropriate to grant him a payment agreement.  However, the Complainant is cautioned that the Commission is only authorized to direct a utility to provide one payment arrangement.  In the event he fails to comply with the terms of the agreement, the Commission will not order a second agreement absent a significant change in circumstances.</w:t>
      </w:r>
      <w:r w:rsidRPr="00514F99">
        <w:rPr>
          <w:rStyle w:val="FootnoteReference"/>
          <w:sz w:val="24"/>
          <w:szCs w:val="24"/>
        </w:rPr>
        <w:footnoteReference w:id="11"/>
      </w:r>
      <w:r w:rsidRPr="00514F99">
        <w:rPr>
          <w:sz w:val="24"/>
          <w:szCs w:val="24"/>
        </w:rPr>
        <w:t xml:space="preserve">  </w:t>
      </w:r>
    </w:p>
    <w:p w:rsidR="00514F99" w:rsidRPr="00514F99" w:rsidRDefault="00514F99" w:rsidP="00514F99">
      <w:pPr>
        <w:spacing w:line="360" w:lineRule="auto"/>
        <w:rPr>
          <w:sz w:val="24"/>
          <w:szCs w:val="24"/>
        </w:rPr>
      </w:pPr>
    </w:p>
    <w:p w:rsidR="00514F99" w:rsidRDefault="00514F99" w:rsidP="00514F99">
      <w:pPr>
        <w:spacing w:line="360" w:lineRule="auto"/>
        <w:rPr>
          <w:sz w:val="24"/>
          <w:szCs w:val="24"/>
        </w:rPr>
      </w:pPr>
      <w:r w:rsidRPr="00514F99">
        <w:rPr>
          <w:sz w:val="24"/>
          <w:szCs w:val="24"/>
        </w:rPr>
        <w:tab/>
      </w:r>
      <w:r>
        <w:rPr>
          <w:sz w:val="24"/>
          <w:szCs w:val="24"/>
        </w:rPr>
        <w:tab/>
      </w:r>
      <w:r w:rsidRPr="00514F99">
        <w:rPr>
          <w:sz w:val="24"/>
          <w:szCs w:val="24"/>
        </w:rPr>
        <w:t xml:space="preserve">The Complainant testified that his only income is in the form of unemployment payments.  He receives $900 per month.  He resides with his two minor children.  No other </w:t>
      </w:r>
      <w:r w:rsidRPr="00514F99">
        <w:rPr>
          <w:sz w:val="24"/>
          <w:szCs w:val="24"/>
        </w:rPr>
        <w:lastRenderedPageBreak/>
        <w:t>adults live in his household.  Accordingly, the Commission is permitted to grant the longest repayment term of five years to the Complainant.</w:t>
      </w:r>
      <w:r w:rsidRPr="00514F99">
        <w:rPr>
          <w:rStyle w:val="FootnoteReference"/>
          <w:sz w:val="24"/>
          <w:szCs w:val="24"/>
        </w:rPr>
        <w:footnoteReference w:id="12"/>
      </w:r>
    </w:p>
    <w:p w:rsidR="00514F99" w:rsidRPr="00514F99" w:rsidRDefault="00514F99" w:rsidP="00514F99">
      <w:pPr>
        <w:spacing w:line="360" w:lineRule="auto"/>
        <w:rPr>
          <w:sz w:val="24"/>
          <w:szCs w:val="24"/>
        </w:rPr>
      </w:pPr>
    </w:p>
    <w:p w:rsidR="00514F99" w:rsidRDefault="00514F99" w:rsidP="00514F99">
      <w:pPr>
        <w:spacing w:line="360" w:lineRule="auto"/>
        <w:jc w:val="center"/>
        <w:rPr>
          <w:sz w:val="24"/>
          <w:szCs w:val="24"/>
          <w:u w:val="single"/>
        </w:rPr>
      </w:pPr>
      <w:r w:rsidRPr="00514F99">
        <w:rPr>
          <w:sz w:val="24"/>
          <w:szCs w:val="24"/>
          <w:u w:val="single"/>
        </w:rPr>
        <w:t>CONCLUSIONS OF LAW</w:t>
      </w:r>
    </w:p>
    <w:p w:rsidR="00514F99" w:rsidRPr="00514F99" w:rsidRDefault="00514F99" w:rsidP="00514F99">
      <w:pPr>
        <w:spacing w:line="360" w:lineRule="auto"/>
        <w:jc w:val="center"/>
        <w:rPr>
          <w:sz w:val="24"/>
          <w:szCs w:val="24"/>
          <w:u w:val="single"/>
        </w:rPr>
      </w:pPr>
    </w:p>
    <w:p w:rsidR="00514F99" w:rsidRDefault="00514F99" w:rsidP="00514F99">
      <w:pPr>
        <w:spacing w:line="360" w:lineRule="auto"/>
        <w:ind w:firstLine="720"/>
        <w:rPr>
          <w:sz w:val="24"/>
          <w:szCs w:val="24"/>
        </w:rPr>
      </w:pPr>
      <w:r w:rsidRPr="00514F99">
        <w:rPr>
          <w:sz w:val="24"/>
          <w:szCs w:val="24"/>
        </w:rPr>
        <w:tab/>
        <w:t>1.</w:t>
      </w:r>
      <w:r w:rsidRPr="00514F99">
        <w:rPr>
          <w:sz w:val="24"/>
          <w:szCs w:val="24"/>
        </w:rPr>
        <w:tab/>
        <w:t>The Commission has jurisdiction over the parties and subject matter of this dispute.  66 Pa. C.S. § 701.</w:t>
      </w:r>
    </w:p>
    <w:p w:rsidR="00514F99" w:rsidRPr="00514F99" w:rsidRDefault="00514F99" w:rsidP="00514F99">
      <w:pPr>
        <w:spacing w:line="360" w:lineRule="auto"/>
        <w:ind w:firstLine="720"/>
        <w:rPr>
          <w:sz w:val="24"/>
          <w:szCs w:val="24"/>
        </w:rPr>
      </w:pPr>
    </w:p>
    <w:p w:rsidR="00514F99" w:rsidRDefault="00514F99" w:rsidP="00514F99">
      <w:pPr>
        <w:spacing w:line="360" w:lineRule="auto"/>
        <w:ind w:firstLine="720"/>
        <w:rPr>
          <w:sz w:val="24"/>
          <w:szCs w:val="24"/>
        </w:rPr>
      </w:pPr>
      <w:r w:rsidRPr="00514F99">
        <w:rPr>
          <w:sz w:val="24"/>
          <w:szCs w:val="24"/>
        </w:rPr>
        <w:tab/>
        <w:t>2.</w:t>
      </w:r>
      <w:r w:rsidRPr="00514F99">
        <w:rPr>
          <w:sz w:val="24"/>
          <w:szCs w:val="24"/>
        </w:rPr>
        <w:tab/>
        <w:t>A public utility may require the payment of an outstanding balance if the applicant resided at the property for which service is requested during the time the outstanding balance accrued.  52 Pa. Code § 56.35(b)(1).</w:t>
      </w:r>
    </w:p>
    <w:p w:rsidR="00514F99" w:rsidRPr="00514F99" w:rsidRDefault="00514F99" w:rsidP="00514F99">
      <w:pPr>
        <w:spacing w:line="360" w:lineRule="auto"/>
        <w:ind w:firstLine="720"/>
        <w:rPr>
          <w:sz w:val="24"/>
          <w:szCs w:val="24"/>
        </w:rPr>
      </w:pPr>
    </w:p>
    <w:p w:rsidR="00514F99" w:rsidRDefault="00514F99" w:rsidP="00514F99">
      <w:pPr>
        <w:spacing w:line="360" w:lineRule="auto"/>
        <w:ind w:firstLine="720"/>
        <w:rPr>
          <w:sz w:val="24"/>
          <w:szCs w:val="24"/>
        </w:rPr>
      </w:pPr>
      <w:r w:rsidRPr="00514F99">
        <w:rPr>
          <w:sz w:val="24"/>
          <w:szCs w:val="24"/>
        </w:rPr>
        <w:tab/>
        <w:t>3.</w:t>
      </w:r>
      <w:r w:rsidRPr="00514F99">
        <w:rPr>
          <w:sz w:val="24"/>
          <w:szCs w:val="24"/>
        </w:rPr>
        <w:tab/>
        <w:t xml:space="preserve">A public utility may not require </w:t>
      </w:r>
      <w:r w:rsidR="00A82AF1">
        <w:rPr>
          <w:sz w:val="24"/>
          <w:szCs w:val="24"/>
        </w:rPr>
        <w:t>an applicant to pay</w:t>
      </w:r>
      <w:bookmarkStart w:id="1" w:name="_GoBack"/>
      <w:bookmarkEnd w:id="1"/>
      <w:r w:rsidRPr="00514F99">
        <w:rPr>
          <w:sz w:val="24"/>
          <w:szCs w:val="24"/>
        </w:rPr>
        <w:t xml:space="preserve"> an outstanding balance that accrued more than four years from the date of the service request.  52 Pa. Code §</w:t>
      </w:r>
      <w:r w:rsidR="00AC1F95">
        <w:rPr>
          <w:sz w:val="24"/>
          <w:szCs w:val="24"/>
        </w:rPr>
        <w:t> </w:t>
      </w:r>
      <w:r w:rsidRPr="00514F99">
        <w:rPr>
          <w:sz w:val="24"/>
          <w:szCs w:val="24"/>
        </w:rPr>
        <w:t>56.35(b)(1).</w:t>
      </w:r>
    </w:p>
    <w:p w:rsidR="00514F99" w:rsidRPr="00514F99" w:rsidRDefault="00514F99" w:rsidP="00514F99">
      <w:pPr>
        <w:spacing w:line="360" w:lineRule="auto"/>
        <w:ind w:firstLine="720"/>
        <w:rPr>
          <w:sz w:val="24"/>
          <w:szCs w:val="24"/>
        </w:rPr>
      </w:pPr>
    </w:p>
    <w:p w:rsidR="00514F99" w:rsidRPr="00514F99" w:rsidRDefault="00514F99" w:rsidP="00514F99">
      <w:pPr>
        <w:spacing w:line="360" w:lineRule="auto"/>
        <w:ind w:firstLine="720"/>
        <w:rPr>
          <w:sz w:val="24"/>
          <w:szCs w:val="24"/>
        </w:rPr>
      </w:pPr>
      <w:r w:rsidRPr="00514F99">
        <w:rPr>
          <w:sz w:val="24"/>
          <w:szCs w:val="24"/>
        </w:rPr>
        <w:tab/>
        <w:t>4.</w:t>
      </w:r>
      <w:r w:rsidRPr="00514F99">
        <w:rPr>
          <w:sz w:val="24"/>
          <w:szCs w:val="24"/>
        </w:rPr>
        <w:tab/>
        <w:t xml:space="preserve">It is appropriate to award a payment agreement for the </w:t>
      </w:r>
      <w:r w:rsidR="00AC1F95">
        <w:rPr>
          <w:sz w:val="24"/>
          <w:szCs w:val="24"/>
        </w:rPr>
        <w:t>C</w:t>
      </w:r>
      <w:r w:rsidRPr="00514F99">
        <w:rPr>
          <w:sz w:val="24"/>
          <w:szCs w:val="24"/>
        </w:rPr>
        <w:t>omplainant’s outstanding balance.  66 Pa. C.S. § 1405.</w:t>
      </w:r>
    </w:p>
    <w:p w:rsidR="0087102E" w:rsidRPr="00514F99" w:rsidRDefault="0087102E" w:rsidP="00514F99">
      <w:pPr>
        <w:spacing w:line="360" w:lineRule="auto"/>
        <w:ind w:firstLine="1440"/>
        <w:rPr>
          <w:sz w:val="24"/>
          <w:szCs w:val="24"/>
        </w:rPr>
      </w:pPr>
    </w:p>
    <w:p w:rsidR="0087102E" w:rsidRPr="0087102E" w:rsidRDefault="0087102E" w:rsidP="00514F99">
      <w:pPr>
        <w:pStyle w:val="ListParagraph"/>
        <w:spacing w:line="360" w:lineRule="auto"/>
        <w:rPr>
          <w:sz w:val="24"/>
          <w:szCs w:val="24"/>
        </w:rPr>
      </w:pPr>
    </w:p>
    <w:p w:rsidR="0087102E" w:rsidRPr="0087102E" w:rsidRDefault="0087102E" w:rsidP="00514F99">
      <w:pPr>
        <w:pStyle w:val="ListParagraph"/>
        <w:spacing w:line="360" w:lineRule="auto"/>
        <w:ind w:left="0"/>
        <w:contextualSpacing w:val="0"/>
        <w:jc w:val="center"/>
        <w:rPr>
          <w:sz w:val="24"/>
          <w:szCs w:val="24"/>
          <w:u w:val="single"/>
        </w:rPr>
      </w:pPr>
      <w:r w:rsidRPr="0087102E">
        <w:rPr>
          <w:sz w:val="24"/>
          <w:szCs w:val="24"/>
          <w:u w:val="single"/>
        </w:rPr>
        <w:t>ORDER</w:t>
      </w:r>
    </w:p>
    <w:p w:rsidR="00743545" w:rsidRPr="00743545" w:rsidRDefault="00743545" w:rsidP="00514F99">
      <w:pPr>
        <w:spacing w:line="360" w:lineRule="auto"/>
        <w:rPr>
          <w:sz w:val="24"/>
          <w:szCs w:val="24"/>
        </w:rPr>
      </w:pPr>
    </w:p>
    <w:p w:rsidR="0087102E" w:rsidRDefault="0087102E" w:rsidP="00514F99">
      <w:pPr>
        <w:spacing w:line="360" w:lineRule="auto"/>
        <w:ind w:firstLine="1440"/>
        <w:rPr>
          <w:sz w:val="24"/>
          <w:szCs w:val="24"/>
        </w:rPr>
      </w:pPr>
    </w:p>
    <w:p w:rsidR="00743545" w:rsidRDefault="00743545" w:rsidP="00514F99">
      <w:pPr>
        <w:spacing w:line="360" w:lineRule="auto"/>
        <w:ind w:firstLine="1440"/>
        <w:rPr>
          <w:sz w:val="24"/>
          <w:szCs w:val="24"/>
        </w:rPr>
      </w:pPr>
      <w:r w:rsidRPr="00743545">
        <w:rPr>
          <w:sz w:val="24"/>
          <w:szCs w:val="24"/>
        </w:rPr>
        <w:t>THEREFORE,</w:t>
      </w:r>
    </w:p>
    <w:p w:rsidR="0087102E" w:rsidRPr="00743545" w:rsidRDefault="0087102E" w:rsidP="00514F99">
      <w:pPr>
        <w:spacing w:line="360" w:lineRule="auto"/>
        <w:ind w:firstLine="1440"/>
        <w:rPr>
          <w:sz w:val="24"/>
          <w:szCs w:val="24"/>
        </w:rPr>
      </w:pPr>
    </w:p>
    <w:p w:rsidR="00743545" w:rsidRDefault="00743545" w:rsidP="00514F99">
      <w:pPr>
        <w:spacing w:line="360" w:lineRule="auto"/>
        <w:ind w:firstLine="1440"/>
        <w:rPr>
          <w:sz w:val="24"/>
          <w:szCs w:val="24"/>
        </w:rPr>
      </w:pPr>
      <w:r w:rsidRPr="00743545">
        <w:rPr>
          <w:sz w:val="24"/>
          <w:szCs w:val="24"/>
        </w:rPr>
        <w:t>IT IS ORDERED:</w:t>
      </w:r>
    </w:p>
    <w:p w:rsidR="0087102E" w:rsidRPr="00743545" w:rsidRDefault="0087102E" w:rsidP="00514F99">
      <w:pPr>
        <w:spacing w:line="360" w:lineRule="auto"/>
        <w:ind w:firstLine="1440"/>
        <w:rPr>
          <w:sz w:val="24"/>
          <w:szCs w:val="24"/>
        </w:rPr>
      </w:pPr>
    </w:p>
    <w:p w:rsidR="00743545" w:rsidRPr="00514F99" w:rsidRDefault="00743545" w:rsidP="00514F99">
      <w:pPr>
        <w:pStyle w:val="ListParagraph"/>
        <w:numPr>
          <w:ilvl w:val="0"/>
          <w:numId w:val="6"/>
        </w:numPr>
        <w:spacing w:line="360" w:lineRule="auto"/>
        <w:ind w:left="0" w:firstLine="1440"/>
        <w:rPr>
          <w:sz w:val="24"/>
          <w:szCs w:val="24"/>
        </w:rPr>
      </w:pPr>
      <w:r w:rsidRPr="0087102E">
        <w:rPr>
          <w:sz w:val="24"/>
          <w:szCs w:val="24"/>
        </w:rPr>
        <w:t xml:space="preserve">That the complaint </w:t>
      </w:r>
      <w:r w:rsidRPr="00514F99">
        <w:rPr>
          <w:sz w:val="24"/>
          <w:szCs w:val="24"/>
        </w:rPr>
        <w:t xml:space="preserve">of </w:t>
      </w:r>
      <w:r w:rsidR="00514F99" w:rsidRPr="00514F99">
        <w:rPr>
          <w:sz w:val="24"/>
          <w:szCs w:val="24"/>
        </w:rPr>
        <w:t>James Wise at PUC Docket No. F-2013-2343824 is sustained as to outstanding balances accrued for residential electricity service prior to November 27, 2008</w:t>
      </w:r>
      <w:r w:rsidRPr="00514F99">
        <w:rPr>
          <w:sz w:val="24"/>
          <w:szCs w:val="24"/>
        </w:rPr>
        <w:t>.</w:t>
      </w:r>
    </w:p>
    <w:p w:rsidR="0087102E" w:rsidRPr="0087102E" w:rsidRDefault="0087102E" w:rsidP="00514F99">
      <w:pPr>
        <w:spacing w:line="360" w:lineRule="auto"/>
        <w:ind w:left="1440"/>
        <w:rPr>
          <w:sz w:val="24"/>
          <w:szCs w:val="24"/>
        </w:rPr>
      </w:pPr>
    </w:p>
    <w:p w:rsidR="00514F99" w:rsidRPr="00AC1F95" w:rsidRDefault="00743545" w:rsidP="00AC1F95">
      <w:pPr>
        <w:pStyle w:val="ListParagraph"/>
        <w:numPr>
          <w:ilvl w:val="0"/>
          <w:numId w:val="6"/>
        </w:numPr>
        <w:spacing w:line="360" w:lineRule="auto"/>
        <w:ind w:left="0" w:firstLine="1440"/>
        <w:rPr>
          <w:sz w:val="24"/>
          <w:szCs w:val="24"/>
        </w:rPr>
      </w:pPr>
      <w:r w:rsidRPr="00AC1F95">
        <w:rPr>
          <w:sz w:val="24"/>
          <w:szCs w:val="24"/>
        </w:rPr>
        <w:t xml:space="preserve">That </w:t>
      </w:r>
      <w:r w:rsidR="00514F99" w:rsidRPr="00AC1F95">
        <w:rPr>
          <w:sz w:val="24"/>
          <w:szCs w:val="24"/>
        </w:rPr>
        <w:t>within 30 days of entry of a final order by the Commission, PPL Electric Utilities Corporation shall recalculate the outstanding balance of James Wise, removing any outstanding charges which were accrued before November 27, 2008, and provide him with a billing statement which reflects his new outstanding balance.</w:t>
      </w:r>
    </w:p>
    <w:p w:rsidR="00AC1F95" w:rsidRPr="00AC1F95" w:rsidRDefault="00AC1F95" w:rsidP="00AC1F95">
      <w:pPr>
        <w:pStyle w:val="ListParagraph"/>
        <w:rPr>
          <w:sz w:val="24"/>
          <w:szCs w:val="24"/>
        </w:rPr>
      </w:pPr>
    </w:p>
    <w:p w:rsidR="00514F99" w:rsidRPr="00514F99" w:rsidRDefault="00514F99" w:rsidP="00514F99">
      <w:pPr>
        <w:pStyle w:val="ListParagraph"/>
        <w:numPr>
          <w:ilvl w:val="0"/>
          <w:numId w:val="6"/>
        </w:numPr>
        <w:spacing w:line="360" w:lineRule="auto"/>
        <w:ind w:left="0" w:firstLine="1440"/>
        <w:rPr>
          <w:sz w:val="24"/>
          <w:szCs w:val="24"/>
        </w:rPr>
      </w:pPr>
      <w:r w:rsidRPr="00514F99">
        <w:rPr>
          <w:sz w:val="24"/>
          <w:szCs w:val="24"/>
        </w:rPr>
        <w:t>That the complaint has been sustained to the extent that James Wise shall make monthly payments consisting of his current bill plus 1/60</w:t>
      </w:r>
      <w:r w:rsidRPr="00514F99">
        <w:rPr>
          <w:sz w:val="24"/>
          <w:szCs w:val="24"/>
          <w:vertAlign w:val="superscript"/>
        </w:rPr>
        <w:t>th</w:t>
      </w:r>
      <w:r w:rsidRPr="00514F99">
        <w:rPr>
          <w:sz w:val="24"/>
          <w:szCs w:val="24"/>
        </w:rPr>
        <w:t xml:space="preserve"> of the past due balance accrued on his account, beginning with the first billing date following entry of a final Commission Order in this case.</w:t>
      </w:r>
    </w:p>
    <w:p w:rsidR="00514F99" w:rsidRPr="00514F99" w:rsidRDefault="00514F99" w:rsidP="00514F99">
      <w:pPr>
        <w:pStyle w:val="ListParagraph"/>
        <w:spacing w:line="360" w:lineRule="auto"/>
        <w:ind w:left="2880"/>
        <w:rPr>
          <w:sz w:val="24"/>
          <w:szCs w:val="24"/>
        </w:rPr>
      </w:pPr>
    </w:p>
    <w:p w:rsidR="00514F99" w:rsidRPr="00514F99" w:rsidRDefault="00514F99" w:rsidP="00514F99">
      <w:pPr>
        <w:pStyle w:val="ListParagraph"/>
        <w:numPr>
          <w:ilvl w:val="0"/>
          <w:numId w:val="6"/>
        </w:numPr>
        <w:spacing w:line="360" w:lineRule="auto"/>
        <w:ind w:left="0" w:firstLine="1440"/>
        <w:rPr>
          <w:sz w:val="24"/>
          <w:szCs w:val="24"/>
        </w:rPr>
      </w:pPr>
      <w:r w:rsidRPr="00514F99">
        <w:rPr>
          <w:sz w:val="24"/>
          <w:szCs w:val="24"/>
        </w:rPr>
        <w:t>That as long as James Wise keeps the payment schedule stated in this order, PPL Electric Utilities Corporation shall not suspend or terminate his utility service except for valid safety or emergency reasons or assess late payments or finance charges against his account.</w:t>
      </w:r>
    </w:p>
    <w:p w:rsidR="00514F99" w:rsidRPr="00514F99" w:rsidRDefault="00514F99" w:rsidP="00514F99">
      <w:pPr>
        <w:pStyle w:val="ListParagraph"/>
        <w:tabs>
          <w:tab w:val="left" w:pos="0"/>
        </w:tabs>
        <w:spacing w:line="360" w:lineRule="auto"/>
        <w:ind w:left="2880"/>
        <w:rPr>
          <w:sz w:val="24"/>
          <w:szCs w:val="24"/>
        </w:rPr>
      </w:pPr>
    </w:p>
    <w:p w:rsidR="00514F99" w:rsidRPr="00514F99" w:rsidRDefault="00514F99" w:rsidP="00514F99">
      <w:pPr>
        <w:pStyle w:val="ListParagraph"/>
        <w:numPr>
          <w:ilvl w:val="0"/>
          <w:numId w:val="6"/>
        </w:numPr>
        <w:spacing w:line="360" w:lineRule="auto"/>
        <w:ind w:left="0" w:firstLine="1440"/>
        <w:rPr>
          <w:sz w:val="24"/>
          <w:szCs w:val="24"/>
        </w:rPr>
      </w:pPr>
      <w:r w:rsidRPr="00514F99">
        <w:rPr>
          <w:sz w:val="24"/>
          <w:szCs w:val="24"/>
        </w:rPr>
        <w:t>That, if James Wise does not keep the payment schedule stated in this order, PPL Electric Utilities Corporation is authorized to suspend or terminate his utility service in accordance with the Commission’s statutes and regulations.</w:t>
      </w:r>
    </w:p>
    <w:p w:rsidR="00514F99" w:rsidRPr="00514F99" w:rsidRDefault="00514F99" w:rsidP="00514F99">
      <w:pPr>
        <w:pStyle w:val="ListParagraph"/>
        <w:tabs>
          <w:tab w:val="left" w:pos="0"/>
        </w:tabs>
        <w:spacing w:line="360" w:lineRule="auto"/>
        <w:ind w:left="2880"/>
        <w:rPr>
          <w:sz w:val="24"/>
          <w:szCs w:val="24"/>
        </w:rPr>
      </w:pPr>
    </w:p>
    <w:p w:rsidR="00743545" w:rsidRPr="00514F99" w:rsidRDefault="00514F99" w:rsidP="00514F99">
      <w:pPr>
        <w:spacing w:line="360" w:lineRule="auto"/>
        <w:ind w:firstLine="1440"/>
        <w:rPr>
          <w:sz w:val="24"/>
          <w:szCs w:val="24"/>
        </w:rPr>
      </w:pPr>
      <w:r w:rsidRPr="00514F99">
        <w:rPr>
          <w:sz w:val="24"/>
          <w:szCs w:val="24"/>
        </w:rPr>
        <w:t>6.</w:t>
      </w:r>
      <w:r w:rsidRPr="00514F99">
        <w:rPr>
          <w:sz w:val="24"/>
          <w:szCs w:val="24"/>
        </w:rPr>
        <w:tab/>
        <w:t>That the complaint of James Wise is dismissed in all other respects.</w:t>
      </w:r>
    </w:p>
    <w:p w:rsidR="00743545" w:rsidRDefault="00743545" w:rsidP="00743545">
      <w:r>
        <w:tab/>
      </w:r>
    </w:p>
    <w:p w:rsidR="0087102E" w:rsidRDefault="0087102E" w:rsidP="0087102E">
      <w:pPr>
        <w:tabs>
          <w:tab w:val="left" w:pos="0"/>
        </w:tabs>
        <w:jc w:val="both"/>
        <w:rPr>
          <w:sz w:val="24"/>
          <w:szCs w:val="24"/>
        </w:rPr>
      </w:pPr>
    </w:p>
    <w:p w:rsidR="00514F99" w:rsidRDefault="00514F99" w:rsidP="0087102E">
      <w:pPr>
        <w:tabs>
          <w:tab w:val="left" w:pos="0"/>
        </w:tabs>
        <w:jc w:val="both"/>
        <w:rPr>
          <w:sz w:val="24"/>
          <w:szCs w:val="24"/>
        </w:rPr>
      </w:pPr>
    </w:p>
    <w:p w:rsidR="0087102E" w:rsidRPr="009E6175" w:rsidRDefault="0087102E" w:rsidP="0087102E">
      <w:pPr>
        <w:tabs>
          <w:tab w:val="left" w:pos="0"/>
        </w:tabs>
        <w:jc w:val="both"/>
        <w:rPr>
          <w:sz w:val="24"/>
          <w:szCs w:val="24"/>
          <w:u w:val="single"/>
        </w:rPr>
      </w:pPr>
      <w:r w:rsidRPr="009E6175">
        <w:rPr>
          <w:sz w:val="24"/>
          <w:szCs w:val="24"/>
        </w:rPr>
        <w:t xml:space="preserve">Date:  </w:t>
      </w:r>
      <w:r>
        <w:rPr>
          <w:sz w:val="24"/>
          <w:szCs w:val="24"/>
          <w:u w:val="single"/>
        </w:rPr>
        <w:t>June 2</w:t>
      </w:r>
      <w:r w:rsidR="00514F99">
        <w:rPr>
          <w:sz w:val="24"/>
          <w:szCs w:val="24"/>
          <w:u w:val="single"/>
        </w:rPr>
        <w:t>8</w:t>
      </w:r>
      <w:r>
        <w:rPr>
          <w:sz w:val="24"/>
          <w:szCs w:val="24"/>
          <w:u w:val="single"/>
        </w:rPr>
        <w:t>,</w:t>
      </w:r>
      <w:r w:rsidRPr="009E6175">
        <w:rPr>
          <w:sz w:val="24"/>
          <w:szCs w:val="24"/>
          <w:u w:val="single"/>
        </w:rPr>
        <w:t xml:space="preserve"> 2013</w:t>
      </w:r>
      <w:r w:rsidRPr="009E6175">
        <w:rPr>
          <w:sz w:val="24"/>
          <w:szCs w:val="24"/>
        </w:rPr>
        <w:tab/>
      </w:r>
      <w:r w:rsidRPr="009E6175">
        <w:rPr>
          <w:sz w:val="24"/>
          <w:szCs w:val="24"/>
        </w:rPr>
        <w:tab/>
      </w:r>
      <w:r>
        <w:rPr>
          <w:sz w:val="24"/>
          <w:szCs w:val="24"/>
        </w:rPr>
        <w:tab/>
      </w:r>
      <w:r w:rsidRPr="009E6175">
        <w:rPr>
          <w:sz w:val="24"/>
          <w:szCs w:val="24"/>
        </w:rPr>
        <w:tab/>
      </w:r>
      <w:r>
        <w:rPr>
          <w:sz w:val="24"/>
          <w:szCs w:val="24"/>
        </w:rPr>
        <w:tab/>
      </w:r>
      <w:r w:rsidRPr="009E6175">
        <w:rPr>
          <w:sz w:val="24"/>
          <w:szCs w:val="24"/>
          <w:u w:val="single"/>
        </w:rPr>
        <w:tab/>
      </w:r>
      <w:r w:rsidRPr="009E6175">
        <w:rPr>
          <w:sz w:val="24"/>
          <w:szCs w:val="24"/>
          <w:u w:val="single"/>
        </w:rPr>
        <w:tab/>
        <w:t>/s/</w:t>
      </w:r>
      <w:r w:rsidRPr="009E6175">
        <w:rPr>
          <w:sz w:val="24"/>
          <w:szCs w:val="24"/>
          <w:u w:val="single"/>
        </w:rPr>
        <w:tab/>
      </w:r>
      <w:r w:rsidRPr="009E6175">
        <w:rPr>
          <w:sz w:val="24"/>
          <w:szCs w:val="24"/>
          <w:u w:val="single"/>
        </w:rPr>
        <w:tab/>
      </w:r>
      <w:r w:rsidRPr="009E6175">
        <w:rPr>
          <w:sz w:val="24"/>
          <w:szCs w:val="24"/>
          <w:u w:val="single"/>
        </w:rPr>
        <w:tab/>
      </w:r>
    </w:p>
    <w:p w:rsidR="0087102E" w:rsidRPr="009E6175" w:rsidRDefault="0087102E" w:rsidP="0087102E">
      <w:pPr>
        <w:tabs>
          <w:tab w:val="left" w:pos="0"/>
        </w:tabs>
        <w:jc w:val="both"/>
        <w:rPr>
          <w:sz w:val="24"/>
          <w:szCs w:val="24"/>
        </w:rPr>
      </w:pPr>
      <w:r w:rsidRPr="009E6175">
        <w:rPr>
          <w:sz w:val="24"/>
          <w:szCs w:val="24"/>
        </w:rPr>
        <w:tab/>
      </w:r>
      <w:r w:rsidRPr="009E6175">
        <w:rPr>
          <w:sz w:val="24"/>
          <w:szCs w:val="24"/>
        </w:rPr>
        <w:tab/>
      </w:r>
      <w:r w:rsidRPr="009E6175">
        <w:rPr>
          <w:sz w:val="24"/>
          <w:szCs w:val="24"/>
        </w:rPr>
        <w:tab/>
      </w:r>
      <w:r w:rsidRPr="009E6175">
        <w:rPr>
          <w:sz w:val="24"/>
          <w:szCs w:val="24"/>
        </w:rPr>
        <w:tab/>
      </w:r>
      <w:r w:rsidRPr="009E6175">
        <w:rPr>
          <w:sz w:val="24"/>
          <w:szCs w:val="24"/>
        </w:rPr>
        <w:tab/>
      </w:r>
      <w:r w:rsidRPr="009E6175">
        <w:rPr>
          <w:sz w:val="24"/>
          <w:szCs w:val="24"/>
        </w:rPr>
        <w:tab/>
      </w:r>
      <w:r w:rsidRPr="009E6175">
        <w:rPr>
          <w:sz w:val="24"/>
          <w:szCs w:val="24"/>
        </w:rPr>
        <w:tab/>
        <w:t>Mary D. Long</w:t>
      </w:r>
    </w:p>
    <w:p w:rsidR="0087102E" w:rsidRDefault="0087102E" w:rsidP="0087102E">
      <w:pPr>
        <w:tabs>
          <w:tab w:val="left" w:pos="0"/>
        </w:tabs>
        <w:jc w:val="both"/>
        <w:rPr>
          <w:sz w:val="24"/>
          <w:szCs w:val="24"/>
        </w:rPr>
      </w:pPr>
      <w:r w:rsidRPr="009E6175">
        <w:rPr>
          <w:sz w:val="24"/>
          <w:szCs w:val="24"/>
        </w:rPr>
        <w:tab/>
      </w:r>
      <w:r w:rsidRPr="009E6175">
        <w:rPr>
          <w:sz w:val="24"/>
          <w:szCs w:val="24"/>
        </w:rPr>
        <w:tab/>
      </w:r>
      <w:r w:rsidRPr="009E6175">
        <w:rPr>
          <w:sz w:val="24"/>
          <w:szCs w:val="24"/>
        </w:rPr>
        <w:tab/>
      </w:r>
      <w:r w:rsidRPr="009E6175">
        <w:rPr>
          <w:sz w:val="24"/>
          <w:szCs w:val="24"/>
        </w:rPr>
        <w:tab/>
      </w:r>
      <w:r w:rsidRPr="009E6175">
        <w:rPr>
          <w:sz w:val="24"/>
          <w:szCs w:val="24"/>
        </w:rPr>
        <w:tab/>
      </w:r>
      <w:r w:rsidRPr="009E6175">
        <w:rPr>
          <w:sz w:val="24"/>
          <w:szCs w:val="24"/>
        </w:rPr>
        <w:tab/>
      </w:r>
      <w:r w:rsidRPr="009E6175">
        <w:rPr>
          <w:sz w:val="24"/>
          <w:szCs w:val="24"/>
        </w:rPr>
        <w:tab/>
        <w:t>Administrative Law Judge</w:t>
      </w:r>
    </w:p>
    <w:p w:rsidR="003E24DA" w:rsidRPr="00631A6B" w:rsidRDefault="003E24DA" w:rsidP="0087102E">
      <w:pPr>
        <w:tabs>
          <w:tab w:val="left" w:pos="0"/>
        </w:tabs>
        <w:spacing w:line="360" w:lineRule="auto"/>
        <w:jc w:val="both"/>
        <w:rPr>
          <w:rFonts w:ascii="Microsoft Sans Serif" w:hAnsi="Microsoft Sans Serif" w:cs="Microsoft Sans Serif"/>
          <w:b/>
          <w:sz w:val="24"/>
          <w:szCs w:val="24"/>
        </w:rPr>
      </w:pPr>
    </w:p>
    <w:sectPr w:rsidR="003E24DA" w:rsidRPr="00631A6B" w:rsidSect="00671FD6">
      <w:footerReference w:type="even" r:id="rId9"/>
      <w:footerReference w:type="default" r:id="rId10"/>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6AC" w:rsidRDefault="00A416AC">
      <w:r>
        <w:separator/>
      </w:r>
    </w:p>
  </w:endnote>
  <w:endnote w:type="continuationSeparator" w:id="0">
    <w:p w:rsidR="00A416AC" w:rsidRDefault="00A41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9A091E">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388974"/>
      <w:docPartObj>
        <w:docPartGallery w:val="Page Numbers (Bottom of Page)"/>
        <w:docPartUnique/>
      </w:docPartObj>
    </w:sdtPr>
    <w:sdtEndPr/>
    <w:sdtContent>
      <w:p w:rsidR="00671FD6" w:rsidRDefault="00504601">
        <w:pPr>
          <w:pStyle w:val="Footer"/>
          <w:jc w:val="center"/>
        </w:pPr>
        <w:r>
          <w:fldChar w:fldCharType="begin"/>
        </w:r>
        <w:r>
          <w:instrText xml:space="preserve"> PAGE   \* MERGEFORMAT </w:instrText>
        </w:r>
        <w:r>
          <w:fldChar w:fldCharType="separate"/>
        </w:r>
        <w:r w:rsidR="00A82AF1">
          <w:rPr>
            <w:noProof/>
          </w:rPr>
          <w:t>7</w:t>
        </w:r>
        <w:r>
          <w:rPr>
            <w:noProof/>
          </w:rPr>
          <w:fldChar w:fldCharType="end"/>
        </w:r>
      </w:p>
    </w:sdtContent>
  </w:sdt>
  <w:p w:rsidR="00A13B55" w:rsidRDefault="00A13B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FD6" w:rsidRDefault="00671FD6">
    <w:pPr>
      <w:pStyle w:val="Footer"/>
      <w:jc w:val="center"/>
    </w:pPr>
  </w:p>
  <w:p w:rsidR="00671FD6" w:rsidRDefault="00671F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6AC" w:rsidRDefault="00A416AC">
      <w:r>
        <w:separator/>
      </w:r>
    </w:p>
  </w:footnote>
  <w:footnote w:type="continuationSeparator" w:id="0">
    <w:p w:rsidR="00A416AC" w:rsidRDefault="00A416AC">
      <w:r>
        <w:continuationSeparator/>
      </w:r>
    </w:p>
  </w:footnote>
  <w:footnote w:id="1">
    <w:p w:rsidR="00743545" w:rsidRDefault="00743545" w:rsidP="00743545">
      <w:pPr>
        <w:pStyle w:val="FootnoteText"/>
      </w:pPr>
      <w:r w:rsidRPr="00C81B96">
        <w:rPr>
          <w:rStyle w:val="FootnoteReference"/>
        </w:rPr>
        <w:footnoteRef/>
      </w:r>
      <w:r w:rsidRPr="00C81B96">
        <w:t xml:space="preserve"> </w:t>
      </w:r>
      <w:r>
        <w:tab/>
      </w:r>
      <w:r w:rsidRPr="00C81B96">
        <w:t>66 Pa. C.S. §</w:t>
      </w:r>
      <w:r>
        <w:t xml:space="preserve"> </w:t>
      </w:r>
      <w:r w:rsidRPr="00C81B96">
        <w:t>701.</w:t>
      </w:r>
    </w:p>
    <w:p w:rsidR="00743545" w:rsidRPr="00C81B96" w:rsidRDefault="00743545" w:rsidP="00743545">
      <w:pPr>
        <w:pStyle w:val="FootnoteText"/>
      </w:pPr>
    </w:p>
  </w:footnote>
  <w:footnote w:id="2">
    <w:p w:rsidR="00743545" w:rsidRDefault="00743545" w:rsidP="00743545">
      <w:pPr>
        <w:pStyle w:val="FootnoteText"/>
      </w:pPr>
      <w:r w:rsidRPr="00C81B96">
        <w:rPr>
          <w:rStyle w:val="FootnoteReference"/>
        </w:rPr>
        <w:footnoteRef/>
      </w:r>
      <w:r w:rsidRPr="00C81B96">
        <w:t xml:space="preserve"> </w:t>
      </w:r>
      <w:r>
        <w:tab/>
      </w:r>
      <w:r w:rsidRPr="00C81B96">
        <w:t>66 Pa. C.S. §</w:t>
      </w:r>
      <w:r>
        <w:t xml:space="preserve"> </w:t>
      </w:r>
      <w:r w:rsidRPr="00C81B96">
        <w:t>332(a).</w:t>
      </w:r>
    </w:p>
    <w:p w:rsidR="00743545" w:rsidRPr="00C81B96" w:rsidRDefault="00743545" w:rsidP="00743545">
      <w:pPr>
        <w:pStyle w:val="FootnoteText"/>
      </w:pPr>
    </w:p>
  </w:footnote>
  <w:footnote w:id="3">
    <w:p w:rsidR="00743545" w:rsidRDefault="00743545" w:rsidP="00743545">
      <w:pPr>
        <w:pStyle w:val="FootnoteText"/>
      </w:pPr>
      <w:r w:rsidRPr="00C81B96">
        <w:rPr>
          <w:rStyle w:val="FootnoteReference"/>
        </w:rPr>
        <w:footnoteRef/>
      </w:r>
      <w:r w:rsidRPr="00C81B96">
        <w:t xml:space="preserve"> </w:t>
      </w:r>
      <w:r>
        <w:tab/>
      </w:r>
      <w:r w:rsidRPr="000637F9">
        <w:rPr>
          <w:i/>
        </w:rPr>
        <w:t>Se-Ling Hosiery, Inc. v. Margulies</w:t>
      </w:r>
      <w:r w:rsidRPr="00C81B96">
        <w:t xml:space="preserve">, 364 Pa. 45, 70 A.2d 854 (1950); </w:t>
      </w:r>
      <w:r w:rsidRPr="000637F9">
        <w:rPr>
          <w:i/>
        </w:rPr>
        <w:t>Feinstein v. Philadelphia Suburban Water Company</w:t>
      </w:r>
      <w:r w:rsidRPr="000213A4">
        <w:t>,</w:t>
      </w:r>
      <w:r w:rsidRPr="00C81B96">
        <w:t xml:space="preserve"> 50 PA PUC 300 (1976).</w:t>
      </w:r>
    </w:p>
    <w:p w:rsidR="00743545" w:rsidRPr="00C81B96" w:rsidRDefault="00743545" w:rsidP="00743545">
      <w:pPr>
        <w:pStyle w:val="FootnoteText"/>
      </w:pPr>
    </w:p>
  </w:footnote>
  <w:footnote w:id="4">
    <w:p w:rsidR="008016DD" w:rsidRDefault="008016DD" w:rsidP="008016DD">
      <w:pPr>
        <w:pStyle w:val="FootnoteText"/>
      </w:pPr>
      <w:r>
        <w:rPr>
          <w:rStyle w:val="FootnoteReference"/>
        </w:rPr>
        <w:footnoteRef/>
      </w:r>
      <w:r>
        <w:t xml:space="preserve">  </w:t>
      </w:r>
      <w:r>
        <w:tab/>
        <w:t>52 Pa. Code § 56.35(b)(1).</w:t>
      </w:r>
    </w:p>
    <w:p w:rsidR="00D70F56" w:rsidRDefault="00D70F56" w:rsidP="008016DD">
      <w:pPr>
        <w:pStyle w:val="FootnoteText"/>
      </w:pPr>
    </w:p>
  </w:footnote>
  <w:footnote w:id="5">
    <w:p w:rsidR="00D70F56" w:rsidRDefault="00D70F56" w:rsidP="00D70F56">
      <w:pPr>
        <w:pStyle w:val="FootnoteText"/>
      </w:pPr>
      <w:r>
        <w:rPr>
          <w:rStyle w:val="FootnoteReference"/>
        </w:rPr>
        <w:footnoteRef/>
      </w:r>
      <w:r>
        <w:t xml:space="preserve">  </w:t>
      </w:r>
      <w:r>
        <w:tab/>
        <w:t>PPL’s account records which were introduced into evidence, do not indicate the balance carried fo</w:t>
      </w:r>
      <w:r w:rsidR="00A95E29">
        <w:t xml:space="preserve">rward for that period of time. </w:t>
      </w:r>
      <w:r>
        <w:t xml:space="preserve"> N.T. 57; PPL Ex. 5.</w:t>
      </w:r>
    </w:p>
    <w:p w:rsidR="00D70F56" w:rsidRDefault="00D70F56" w:rsidP="00D70F56">
      <w:pPr>
        <w:pStyle w:val="FootnoteText"/>
      </w:pPr>
    </w:p>
  </w:footnote>
  <w:footnote w:id="6">
    <w:p w:rsidR="00D70F56" w:rsidRDefault="00D70F56" w:rsidP="00D70F56">
      <w:pPr>
        <w:pStyle w:val="FootnoteText"/>
      </w:pPr>
      <w:r>
        <w:rPr>
          <w:rStyle w:val="FootnoteReference"/>
        </w:rPr>
        <w:footnoteRef/>
      </w:r>
      <w:r>
        <w:t xml:space="preserve">  </w:t>
      </w:r>
      <w:r>
        <w:tab/>
        <w:t>Thanksgiving occurred on November 27, 2008.</w:t>
      </w:r>
    </w:p>
  </w:footnote>
  <w:footnote w:id="7">
    <w:p w:rsidR="00D70F56" w:rsidRDefault="00D70F56" w:rsidP="00D70F56">
      <w:pPr>
        <w:pStyle w:val="FootnoteText"/>
      </w:pPr>
      <w:r>
        <w:rPr>
          <w:rStyle w:val="FootnoteReference"/>
        </w:rPr>
        <w:footnoteRef/>
      </w:r>
      <w:r>
        <w:t xml:space="preserve">  </w:t>
      </w:r>
      <w:r>
        <w:tab/>
        <w:t>52 Pa. Code § 56.35(c).</w:t>
      </w:r>
    </w:p>
    <w:p w:rsidR="00514F99" w:rsidRDefault="00514F99" w:rsidP="00D70F56">
      <w:pPr>
        <w:pStyle w:val="FootnoteText"/>
      </w:pPr>
    </w:p>
  </w:footnote>
  <w:footnote w:id="8">
    <w:p w:rsidR="00D70F56" w:rsidRDefault="00D70F56" w:rsidP="00D70F56">
      <w:pPr>
        <w:pStyle w:val="FootnoteText"/>
      </w:pPr>
      <w:r>
        <w:rPr>
          <w:rStyle w:val="FootnoteReference"/>
        </w:rPr>
        <w:footnoteRef/>
      </w:r>
      <w:r>
        <w:t xml:space="preserve"> </w:t>
      </w:r>
      <w:r>
        <w:tab/>
      </w:r>
      <w:r w:rsidRPr="003C009E">
        <w:rPr>
          <w:i/>
        </w:rPr>
        <w:t>E.g., Scaccia v. West Penn Power Co.</w:t>
      </w:r>
      <w:r w:rsidRPr="003C009E">
        <w:t>, 55 PUC 637 (1982)</w:t>
      </w:r>
      <w:r>
        <w:t xml:space="preserve"> </w:t>
      </w:r>
      <w:r w:rsidRPr="003C009E">
        <w:t>(holding that a public utility is entitled to payment for services provided to customers).</w:t>
      </w:r>
    </w:p>
    <w:p w:rsidR="00D70F56" w:rsidRDefault="00D70F56" w:rsidP="00D70F56">
      <w:pPr>
        <w:pStyle w:val="FootnoteText"/>
      </w:pPr>
    </w:p>
  </w:footnote>
  <w:footnote w:id="9">
    <w:p w:rsidR="00D70F56" w:rsidRDefault="00D70F56" w:rsidP="00D70F56">
      <w:pPr>
        <w:pStyle w:val="FootnoteText"/>
      </w:pPr>
      <w:r w:rsidRPr="00FA2394">
        <w:rPr>
          <w:rStyle w:val="FootnoteReference"/>
        </w:rPr>
        <w:footnoteRef/>
      </w:r>
      <w:r w:rsidRPr="00FA2394">
        <w:t xml:space="preserve"> </w:t>
      </w:r>
      <w:r w:rsidRPr="00FA2394">
        <w:tab/>
        <w:t>66 Pa. C.S. §</w:t>
      </w:r>
      <w:r>
        <w:t xml:space="preserve"> 1405</w:t>
      </w:r>
      <w:r w:rsidRPr="00FA2394">
        <w:t>.</w:t>
      </w:r>
    </w:p>
    <w:p w:rsidR="00D70F56" w:rsidRPr="00FA2394" w:rsidRDefault="00D70F56" w:rsidP="00D70F56">
      <w:pPr>
        <w:pStyle w:val="FootnoteText"/>
      </w:pPr>
    </w:p>
  </w:footnote>
  <w:footnote w:id="10">
    <w:p w:rsidR="00D70F56" w:rsidRPr="000F49D1" w:rsidRDefault="00D70F56" w:rsidP="00D70F56">
      <w:pPr>
        <w:pStyle w:val="FootnoteText"/>
      </w:pPr>
      <w:r>
        <w:rPr>
          <w:rStyle w:val="FootnoteReference"/>
        </w:rPr>
        <w:footnoteRef/>
      </w:r>
      <w:r>
        <w:t xml:space="preserve">  </w:t>
      </w:r>
      <w:r>
        <w:tab/>
      </w:r>
      <w:r>
        <w:rPr>
          <w:i/>
        </w:rPr>
        <w:t>Buchanan v. Pike County Light and Power Company</w:t>
      </w:r>
      <w:r>
        <w:t xml:space="preserve">, PUC Docket No. F-2009-2137873 (Final Order entered December 12, 2011); </w:t>
      </w:r>
      <w:r>
        <w:rPr>
          <w:i/>
        </w:rPr>
        <w:t>Creekmur v. PECO Energy Co.,</w:t>
      </w:r>
      <w:r>
        <w:t xml:space="preserve"> PUC Docket No. C-2008-2079322 (Final Order entered February 4, 2010); </w:t>
      </w:r>
      <w:r>
        <w:rPr>
          <w:i/>
        </w:rPr>
        <w:t>Crawford v. National Fuel Gas Distribution Corp</w:t>
      </w:r>
      <w:r>
        <w:t>., PUC Docket No. C-20066348 (Final Order entered December 6, 2007).</w:t>
      </w:r>
    </w:p>
    <w:p w:rsidR="00D70F56" w:rsidRPr="00800102" w:rsidRDefault="00D70F56" w:rsidP="00D70F56">
      <w:pPr>
        <w:pStyle w:val="FootnoteText"/>
      </w:pPr>
    </w:p>
  </w:footnote>
  <w:footnote w:id="11">
    <w:p w:rsidR="00514F99" w:rsidRDefault="00514F99" w:rsidP="00514F99">
      <w:pPr>
        <w:pStyle w:val="FootnoteText"/>
      </w:pPr>
      <w:r w:rsidRPr="00FA2394">
        <w:rPr>
          <w:rStyle w:val="FootnoteReference"/>
        </w:rPr>
        <w:footnoteRef/>
      </w:r>
      <w:r w:rsidRPr="00FA2394">
        <w:t xml:space="preserve"> </w:t>
      </w:r>
      <w:r w:rsidRPr="00FA2394">
        <w:tab/>
        <w:t>66 Pa. C.S. §</w:t>
      </w:r>
      <w:r>
        <w:t xml:space="preserve"> </w:t>
      </w:r>
      <w:r w:rsidRPr="00FA2394">
        <w:t>1405(d).</w:t>
      </w:r>
    </w:p>
    <w:p w:rsidR="00514F99" w:rsidRPr="00FA2394" w:rsidRDefault="00514F99" w:rsidP="00514F99">
      <w:pPr>
        <w:pStyle w:val="FootnoteText"/>
      </w:pPr>
    </w:p>
  </w:footnote>
  <w:footnote w:id="12">
    <w:p w:rsidR="00514F99" w:rsidRDefault="00514F99" w:rsidP="00514F99">
      <w:pPr>
        <w:pStyle w:val="FootnoteText"/>
      </w:pPr>
      <w:r>
        <w:rPr>
          <w:rStyle w:val="FootnoteReference"/>
        </w:rPr>
        <w:footnoteRef/>
      </w:r>
      <w:r>
        <w:t xml:space="preserve">  </w:t>
      </w:r>
      <w:r>
        <w:tab/>
        <w:t>66 Pa. C.S. § 1405(b)(1).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13278"/>
    <w:multiLevelType w:val="hybridMultilevel"/>
    <w:tmpl w:val="AA9001AC"/>
    <w:lvl w:ilvl="0" w:tplc="A15A7F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477026"/>
    <w:multiLevelType w:val="hybridMultilevel"/>
    <w:tmpl w:val="E6B07D5A"/>
    <w:lvl w:ilvl="0" w:tplc="2A78A330">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3616D9C"/>
    <w:multiLevelType w:val="singleLevel"/>
    <w:tmpl w:val="0409000F"/>
    <w:lvl w:ilvl="0">
      <w:start w:val="1"/>
      <w:numFmt w:val="decimal"/>
      <w:lvlText w:val="%1."/>
      <w:lvlJc w:val="left"/>
      <w:pPr>
        <w:tabs>
          <w:tab w:val="num" w:pos="360"/>
        </w:tabs>
        <w:ind w:left="360" w:hanging="360"/>
      </w:pPr>
    </w:lvl>
  </w:abstractNum>
  <w:abstractNum w:abstractNumId="3">
    <w:nsid w:val="2593207A"/>
    <w:multiLevelType w:val="hybridMultilevel"/>
    <w:tmpl w:val="7CAC5B06"/>
    <w:lvl w:ilvl="0" w:tplc="496E78CE">
      <w:start w:val="1"/>
      <w:numFmt w:val="decimal"/>
      <w:lvlText w:val="%1."/>
      <w:lvlJc w:val="left"/>
      <w:pPr>
        <w:ind w:left="720" w:hanging="360"/>
      </w:pPr>
      <w:rPr>
        <w:rFonts w:ascii="Times New Roman" w:eastAsia="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5">
    <w:nsid w:val="54285CB4"/>
    <w:multiLevelType w:val="hybridMultilevel"/>
    <w:tmpl w:val="9D88F384"/>
    <w:lvl w:ilvl="0" w:tplc="8AC2A7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4"/>
  </w:num>
  <w:num w:numId="3">
    <w:abstractNumId w:val="4"/>
    <w:lvlOverride w:ilvl="0">
      <w:startOverride w:val="1"/>
    </w:lvlOverride>
  </w:num>
  <w:num w:numId="4">
    <w:abstractNumId w:val="0"/>
  </w:num>
  <w:num w:numId="5">
    <w:abstractNumId w:val="0"/>
    <w:lvlOverride w:ilvl="0">
      <w:startOverride w:val="1"/>
    </w:lvlOverride>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턐Χ͠찔㈇"/>
  </w:docVars>
  <w:rsids>
    <w:rsidRoot w:val="00332CA0"/>
    <w:rsid w:val="00003D16"/>
    <w:rsid w:val="0001497D"/>
    <w:rsid w:val="00076AB6"/>
    <w:rsid w:val="0008404B"/>
    <w:rsid w:val="000A46E8"/>
    <w:rsid w:val="000C7750"/>
    <w:rsid w:val="000F718A"/>
    <w:rsid w:val="00143187"/>
    <w:rsid w:val="00143935"/>
    <w:rsid w:val="001601CE"/>
    <w:rsid w:val="0017554E"/>
    <w:rsid w:val="001932F7"/>
    <w:rsid w:val="001A00E0"/>
    <w:rsid w:val="001A470F"/>
    <w:rsid w:val="001D7D3E"/>
    <w:rsid w:val="001E59B9"/>
    <w:rsid w:val="001F4423"/>
    <w:rsid w:val="001F59DC"/>
    <w:rsid w:val="00227AFE"/>
    <w:rsid w:val="002322E1"/>
    <w:rsid w:val="002414B5"/>
    <w:rsid w:val="00247900"/>
    <w:rsid w:val="00256B89"/>
    <w:rsid w:val="0026268C"/>
    <w:rsid w:val="00273ABB"/>
    <w:rsid w:val="00275A24"/>
    <w:rsid w:val="00295472"/>
    <w:rsid w:val="00295C39"/>
    <w:rsid w:val="002C634C"/>
    <w:rsid w:val="002D5E29"/>
    <w:rsid w:val="003232B1"/>
    <w:rsid w:val="00332CA0"/>
    <w:rsid w:val="003603BA"/>
    <w:rsid w:val="003612E1"/>
    <w:rsid w:val="00376B71"/>
    <w:rsid w:val="00384894"/>
    <w:rsid w:val="00385D0E"/>
    <w:rsid w:val="003C150F"/>
    <w:rsid w:val="003C5118"/>
    <w:rsid w:val="003D6CD2"/>
    <w:rsid w:val="003E24DA"/>
    <w:rsid w:val="003F2D02"/>
    <w:rsid w:val="004024E6"/>
    <w:rsid w:val="00412B85"/>
    <w:rsid w:val="0044702F"/>
    <w:rsid w:val="0047386A"/>
    <w:rsid w:val="00490D29"/>
    <w:rsid w:val="0049263C"/>
    <w:rsid w:val="004C2A03"/>
    <w:rsid w:val="004D22DE"/>
    <w:rsid w:val="004E15BC"/>
    <w:rsid w:val="004E477C"/>
    <w:rsid w:val="00504601"/>
    <w:rsid w:val="00511799"/>
    <w:rsid w:val="0051419B"/>
    <w:rsid w:val="00514F99"/>
    <w:rsid w:val="00552EA9"/>
    <w:rsid w:val="00560DC5"/>
    <w:rsid w:val="005A305B"/>
    <w:rsid w:val="005B23DD"/>
    <w:rsid w:val="005B599C"/>
    <w:rsid w:val="005D41E2"/>
    <w:rsid w:val="005F60D5"/>
    <w:rsid w:val="00616436"/>
    <w:rsid w:val="006226F3"/>
    <w:rsid w:val="00627A84"/>
    <w:rsid w:val="00627E74"/>
    <w:rsid w:val="00631A6B"/>
    <w:rsid w:val="00644991"/>
    <w:rsid w:val="00652CA9"/>
    <w:rsid w:val="006610FB"/>
    <w:rsid w:val="00661A90"/>
    <w:rsid w:val="006675F1"/>
    <w:rsid w:val="00671FD6"/>
    <w:rsid w:val="0067466A"/>
    <w:rsid w:val="006754D0"/>
    <w:rsid w:val="00687145"/>
    <w:rsid w:val="006A34D0"/>
    <w:rsid w:val="006B4306"/>
    <w:rsid w:val="006E2126"/>
    <w:rsid w:val="00706B87"/>
    <w:rsid w:val="00740950"/>
    <w:rsid w:val="00743545"/>
    <w:rsid w:val="007539C9"/>
    <w:rsid w:val="007932DC"/>
    <w:rsid w:val="007C0A7A"/>
    <w:rsid w:val="007D3F4A"/>
    <w:rsid w:val="007E2C68"/>
    <w:rsid w:val="008016DD"/>
    <w:rsid w:val="00803B70"/>
    <w:rsid w:val="0080557F"/>
    <w:rsid w:val="0081430B"/>
    <w:rsid w:val="0082264A"/>
    <w:rsid w:val="00834241"/>
    <w:rsid w:val="00844F99"/>
    <w:rsid w:val="00845FB1"/>
    <w:rsid w:val="00862A4A"/>
    <w:rsid w:val="0087102E"/>
    <w:rsid w:val="00890D5D"/>
    <w:rsid w:val="008C3295"/>
    <w:rsid w:val="008D4576"/>
    <w:rsid w:val="008D47D2"/>
    <w:rsid w:val="008D6D8C"/>
    <w:rsid w:val="008F0110"/>
    <w:rsid w:val="00950F37"/>
    <w:rsid w:val="0098034A"/>
    <w:rsid w:val="009A091E"/>
    <w:rsid w:val="009A7B6A"/>
    <w:rsid w:val="009B2DA0"/>
    <w:rsid w:val="009D1A7F"/>
    <w:rsid w:val="009D6886"/>
    <w:rsid w:val="00A07880"/>
    <w:rsid w:val="00A13B55"/>
    <w:rsid w:val="00A35024"/>
    <w:rsid w:val="00A37016"/>
    <w:rsid w:val="00A416AC"/>
    <w:rsid w:val="00A602D7"/>
    <w:rsid w:val="00A70419"/>
    <w:rsid w:val="00A73D2F"/>
    <w:rsid w:val="00A82AF1"/>
    <w:rsid w:val="00A95E29"/>
    <w:rsid w:val="00A97C85"/>
    <w:rsid w:val="00AB460E"/>
    <w:rsid w:val="00AC1F95"/>
    <w:rsid w:val="00AC540C"/>
    <w:rsid w:val="00AD0EFA"/>
    <w:rsid w:val="00AE74A6"/>
    <w:rsid w:val="00AF6897"/>
    <w:rsid w:val="00B05F72"/>
    <w:rsid w:val="00B27AAA"/>
    <w:rsid w:val="00B5127B"/>
    <w:rsid w:val="00B51BB3"/>
    <w:rsid w:val="00B56A3E"/>
    <w:rsid w:val="00B64556"/>
    <w:rsid w:val="00B66296"/>
    <w:rsid w:val="00B73CF9"/>
    <w:rsid w:val="00B76576"/>
    <w:rsid w:val="00B9409F"/>
    <w:rsid w:val="00B969A6"/>
    <w:rsid w:val="00BB01D0"/>
    <w:rsid w:val="00BC5CFF"/>
    <w:rsid w:val="00BD0DF4"/>
    <w:rsid w:val="00BD12B4"/>
    <w:rsid w:val="00BD42BA"/>
    <w:rsid w:val="00BF4B6C"/>
    <w:rsid w:val="00C01328"/>
    <w:rsid w:val="00C07EAD"/>
    <w:rsid w:val="00C1344F"/>
    <w:rsid w:val="00C262F7"/>
    <w:rsid w:val="00C35505"/>
    <w:rsid w:val="00C43D5E"/>
    <w:rsid w:val="00C57E07"/>
    <w:rsid w:val="00C606BF"/>
    <w:rsid w:val="00C666FF"/>
    <w:rsid w:val="00C828D6"/>
    <w:rsid w:val="00C837A6"/>
    <w:rsid w:val="00C84E88"/>
    <w:rsid w:val="00C86EBF"/>
    <w:rsid w:val="00C9110D"/>
    <w:rsid w:val="00C917D1"/>
    <w:rsid w:val="00CA17C0"/>
    <w:rsid w:val="00CB077E"/>
    <w:rsid w:val="00CD44B0"/>
    <w:rsid w:val="00D21FF1"/>
    <w:rsid w:val="00D248B9"/>
    <w:rsid w:val="00D418BF"/>
    <w:rsid w:val="00D64EDE"/>
    <w:rsid w:val="00D64EFD"/>
    <w:rsid w:val="00D709D1"/>
    <w:rsid w:val="00D70F56"/>
    <w:rsid w:val="00D93E5C"/>
    <w:rsid w:val="00DA0FE3"/>
    <w:rsid w:val="00DB3E22"/>
    <w:rsid w:val="00DC3080"/>
    <w:rsid w:val="00DE7C21"/>
    <w:rsid w:val="00E42AC8"/>
    <w:rsid w:val="00E622C4"/>
    <w:rsid w:val="00E653F8"/>
    <w:rsid w:val="00E9168E"/>
    <w:rsid w:val="00E93582"/>
    <w:rsid w:val="00EF1478"/>
    <w:rsid w:val="00EF3C29"/>
    <w:rsid w:val="00F03ADD"/>
    <w:rsid w:val="00F10391"/>
    <w:rsid w:val="00F10D22"/>
    <w:rsid w:val="00F14B8E"/>
    <w:rsid w:val="00F366DD"/>
    <w:rsid w:val="00F4404F"/>
    <w:rsid w:val="00F45549"/>
    <w:rsid w:val="00F46B96"/>
    <w:rsid w:val="00F66E07"/>
    <w:rsid w:val="00F70414"/>
    <w:rsid w:val="00F969F4"/>
    <w:rsid w:val="00FA52E1"/>
    <w:rsid w:val="00FA7354"/>
    <w:rsid w:val="00FC03B1"/>
    <w:rsid w:val="00FC0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envelope return" w:uiPriority="99"/>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671FD6"/>
    <w:pPr>
      <w:tabs>
        <w:tab w:val="center" w:pos="4680"/>
        <w:tab w:val="right" w:pos="9360"/>
      </w:tabs>
    </w:pPr>
  </w:style>
  <w:style w:type="character" w:customStyle="1" w:styleId="HeaderChar">
    <w:name w:val="Header Char"/>
    <w:basedOn w:val="DefaultParagraphFont"/>
    <w:link w:val="Header"/>
    <w:rsid w:val="00671FD6"/>
  </w:style>
  <w:style w:type="character" w:customStyle="1" w:styleId="FooterChar">
    <w:name w:val="Footer Char"/>
    <w:basedOn w:val="DefaultParagraphFont"/>
    <w:link w:val="Footer"/>
    <w:uiPriority w:val="99"/>
    <w:rsid w:val="00671FD6"/>
  </w:style>
  <w:style w:type="character" w:customStyle="1" w:styleId="FootnoteTextChar">
    <w:name w:val="Footnote Text Char"/>
    <w:aliases w:val="Car Char"/>
    <w:basedOn w:val="DefaultParagraphFont"/>
    <w:link w:val="FootnoteText"/>
    <w:locked/>
    <w:rsid w:val="00295C39"/>
  </w:style>
  <w:style w:type="paragraph" w:styleId="FootnoteText">
    <w:name w:val="footnote text"/>
    <w:aliases w:val="Car"/>
    <w:basedOn w:val="Normal"/>
    <w:link w:val="FootnoteTextChar"/>
    <w:autoRedefine/>
    <w:unhideWhenUsed/>
    <w:qFormat/>
    <w:rsid w:val="00295C39"/>
    <w:pPr>
      <w:ind w:firstLine="720"/>
    </w:pPr>
  </w:style>
  <w:style w:type="character" w:customStyle="1" w:styleId="FootnoteTextChar1">
    <w:name w:val="Footnote Text Char1"/>
    <w:basedOn w:val="DefaultParagraphFont"/>
    <w:rsid w:val="00EF3C29"/>
  </w:style>
  <w:style w:type="paragraph" w:styleId="Quote">
    <w:name w:val="Quote"/>
    <w:basedOn w:val="Normal"/>
    <w:next w:val="Normal"/>
    <w:link w:val="QuoteChar"/>
    <w:uiPriority w:val="29"/>
    <w:qFormat/>
    <w:rsid w:val="00EF3C29"/>
    <w:pPr>
      <w:spacing w:after="120"/>
    </w:pPr>
    <w:rPr>
      <w:iCs/>
      <w:color w:val="000000" w:themeColor="text1"/>
      <w:sz w:val="24"/>
    </w:rPr>
  </w:style>
  <w:style w:type="character" w:customStyle="1" w:styleId="QuoteChar">
    <w:name w:val="Quote Char"/>
    <w:basedOn w:val="DefaultParagraphFont"/>
    <w:link w:val="Quote"/>
    <w:uiPriority w:val="29"/>
    <w:rsid w:val="00EF3C29"/>
    <w:rPr>
      <w:iCs/>
      <w:color w:val="000000" w:themeColor="text1"/>
      <w:sz w:val="24"/>
    </w:rPr>
  </w:style>
  <w:style w:type="paragraph" w:customStyle="1" w:styleId="IndentedQuote">
    <w:name w:val="Indented Quote"/>
    <w:basedOn w:val="Normal"/>
    <w:qFormat/>
    <w:rsid w:val="00EF3C29"/>
    <w:pPr>
      <w:ind w:left="720" w:right="720"/>
    </w:pPr>
    <w:rPr>
      <w:sz w:val="24"/>
      <w:szCs w:val="24"/>
    </w:rPr>
  </w:style>
  <w:style w:type="character" w:styleId="FootnoteReference">
    <w:name w:val="footnote reference"/>
    <w:basedOn w:val="DefaultParagraphFont"/>
    <w:uiPriority w:val="99"/>
    <w:unhideWhenUsed/>
    <w:rsid w:val="00EF3C29"/>
    <w:rPr>
      <w:rFonts w:ascii="Times New Roman" w:hAnsi="Times New Roman" w:cs="Times New Roman" w:hint="default"/>
      <w:vertAlign w:val="superscript"/>
    </w:rPr>
  </w:style>
  <w:style w:type="paragraph" w:styleId="BalloonText">
    <w:name w:val="Balloon Text"/>
    <w:basedOn w:val="Normal"/>
    <w:link w:val="BalloonTextChar"/>
    <w:rsid w:val="00A97C85"/>
    <w:rPr>
      <w:rFonts w:ascii="Tahoma" w:hAnsi="Tahoma" w:cs="Tahoma"/>
      <w:sz w:val="16"/>
      <w:szCs w:val="16"/>
    </w:rPr>
  </w:style>
  <w:style w:type="character" w:customStyle="1" w:styleId="BalloonTextChar">
    <w:name w:val="Balloon Text Char"/>
    <w:basedOn w:val="DefaultParagraphFont"/>
    <w:link w:val="BalloonText"/>
    <w:rsid w:val="00A97C85"/>
    <w:rPr>
      <w:rFonts w:ascii="Tahoma" w:hAnsi="Tahoma" w:cs="Tahoma"/>
      <w:sz w:val="16"/>
      <w:szCs w:val="16"/>
    </w:rPr>
  </w:style>
  <w:style w:type="paragraph" w:styleId="EnvelopeReturn">
    <w:name w:val="envelope return"/>
    <w:basedOn w:val="Normal"/>
    <w:uiPriority w:val="99"/>
    <w:unhideWhenUsed/>
    <w:rsid w:val="00C917D1"/>
    <w:pPr>
      <w:ind w:firstLine="1440"/>
    </w:pPr>
    <w:rPr>
      <w:rFonts w:asciiTheme="majorHAnsi" w:eastAsiaTheme="majorEastAsia" w:hAnsiTheme="majorHAnsi" w:cstheme="majorBidi"/>
    </w:rPr>
  </w:style>
  <w:style w:type="paragraph" w:styleId="NormalWeb">
    <w:name w:val="Normal (Web)"/>
    <w:basedOn w:val="Normal"/>
    <w:uiPriority w:val="99"/>
    <w:unhideWhenUsed/>
    <w:rsid w:val="008016DD"/>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envelope return" w:uiPriority="99"/>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671FD6"/>
    <w:pPr>
      <w:tabs>
        <w:tab w:val="center" w:pos="4680"/>
        <w:tab w:val="right" w:pos="9360"/>
      </w:tabs>
    </w:pPr>
  </w:style>
  <w:style w:type="character" w:customStyle="1" w:styleId="HeaderChar">
    <w:name w:val="Header Char"/>
    <w:basedOn w:val="DefaultParagraphFont"/>
    <w:link w:val="Header"/>
    <w:rsid w:val="00671FD6"/>
  </w:style>
  <w:style w:type="character" w:customStyle="1" w:styleId="FooterChar">
    <w:name w:val="Footer Char"/>
    <w:basedOn w:val="DefaultParagraphFont"/>
    <w:link w:val="Footer"/>
    <w:uiPriority w:val="99"/>
    <w:rsid w:val="00671FD6"/>
  </w:style>
  <w:style w:type="character" w:customStyle="1" w:styleId="FootnoteTextChar">
    <w:name w:val="Footnote Text Char"/>
    <w:aliases w:val="Car Char"/>
    <w:basedOn w:val="DefaultParagraphFont"/>
    <w:link w:val="FootnoteText"/>
    <w:locked/>
    <w:rsid w:val="00295C39"/>
  </w:style>
  <w:style w:type="paragraph" w:styleId="FootnoteText">
    <w:name w:val="footnote text"/>
    <w:aliases w:val="Car"/>
    <w:basedOn w:val="Normal"/>
    <w:link w:val="FootnoteTextChar"/>
    <w:autoRedefine/>
    <w:unhideWhenUsed/>
    <w:qFormat/>
    <w:rsid w:val="00295C39"/>
    <w:pPr>
      <w:ind w:firstLine="720"/>
    </w:pPr>
  </w:style>
  <w:style w:type="character" w:customStyle="1" w:styleId="FootnoteTextChar1">
    <w:name w:val="Footnote Text Char1"/>
    <w:basedOn w:val="DefaultParagraphFont"/>
    <w:rsid w:val="00EF3C29"/>
  </w:style>
  <w:style w:type="paragraph" w:styleId="Quote">
    <w:name w:val="Quote"/>
    <w:basedOn w:val="Normal"/>
    <w:next w:val="Normal"/>
    <w:link w:val="QuoteChar"/>
    <w:uiPriority w:val="29"/>
    <w:qFormat/>
    <w:rsid w:val="00EF3C29"/>
    <w:pPr>
      <w:spacing w:after="120"/>
    </w:pPr>
    <w:rPr>
      <w:iCs/>
      <w:color w:val="000000" w:themeColor="text1"/>
      <w:sz w:val="24"/>
    </w:rPr>
  </w:style>
  <w:style w:type="character" w:customStyle="1" w:styleId="QuoteChar">
    <w:name w:val="Quote Char"/>
    <w:basedOn w:val="DefaultParagraphFont"/>
    <w:link w:val="Quote"/>
    <w:uiPriority w:val="29"/>
    <w:rsid w:val="00EF3C29"/>
    <w:rPr>
      <w:iCs/>
      <w:color w:val="000000" w:themeColor="text1"/>
      <w:sz w:val="24"/>
    </w:rPr>
  </w:style>
  <w:style w:type="paragraph" w:customStyle="1" w:styleId="IndentedQuote">
    <w:name w:val="Indented Quote"/>
    <w:basedOn w:val="Normal"/>
    <w:qFormat/>
    <w:rsid w:val="00EF3C29"/>
    <w:pPr>
      <w:ind w:left="720" w:right="720"/>
    </w:pPr>
    <w:rPr>
      <w:sz w:val="24"/>
      <w:szCs w:val="24"/>
    </w:rPr>
  </w:style>
  <w:style w:type="character" w:styleId="FootnoteReference">
    <w:name w:val="footnote reference"/>
    <w:basedOn w:val="DefaultParagraphFont"/>
    <w:uiPriority w:val="99"/>
    <w:unhideWhenUsed/>
    <w:rsid w:val="00EF3C29"/>
    <w:rPr>
      <w:rFonts w:ascii="Times New Roman" w:hAnsi="Times New Roman" w:cs="Times New Roman" w:hint="default"/>
      <w:vertAlign w:val="superscript"/>
    </w:rPr>
  </w:style>
  <w:style w:type="paragraph" w:styleId="BalloonText">
    <w:name w:val="Balloon Text"/>
    <w:basedOn w:val="Normal"/>
    <w:link w:val="BalloonTextChar"/>
    <w:rsid w:val="00A97C85"/>
    <w:rPr>
      <w:rFonts w:ascii="Tahoma" w:hAnsi="Tahoma" w:cs="Tahoma"/>
      <w:sz w:val="16"/>
      <w:szCs w:val="16"/>
    </w:rPr>
  </w:style>
  <w:style w:type="character" w:customStyle="1" w:styleId="BalloonTextChar">
    <w:name w:val="Balloon Text Char"/>
    <w:basedOn w:val="DefaultParagraphFont"/>
    <w:link w:val="BalloonText"/>
    <w:rsid w:val="00A97C85"/>
    <w:rPr>
      <w:rFonts w:ascii="Tahoma" w:hAnsi="Tahoma" w:cs="Tahoma"/>
      <w:sz w:val="16"/>
      <w:szCs w:val="16"/>
    </w:rPr>
  </w:style>
  <w:style w:type="paragraph" w:styleId="EnvelopeReturn">
    <w:name w:val="envelope return"/>
    <w:basedOn w:val="Normal"/>
    <w:uiPriority w:val="99"/>
    <w:unhideWhenUsed/>
    <w:rsid w:val="00C917D1"/>
    <w:pPr>
      <w:ind w:firstLine="1440"/>
    </w:pPr>
    <w:rPr>
      <w:rFonts w:asciiTheme="majorHAnsi" w:eastAsiaTheme="majorEastAsia" w:hAnsiTheme="majorHAnsi" w:cstheme="majorBidi"/>
    </w:rPr>
  </w:style>
  <w:style w:type="paragraph" w:styleId="NormalWeb">
    <w:name w:val="Normal (Web)"/>
    <w:basedOn w:val="Normal"/>
    <w:uiPriority w:val="99"/>
    <w:unhideWhenUsed/>
    <w:rsid w:val="008016D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9304">
      <w:bodyDiv w:val="1"/>
      <w:marLeft w:val="0"/>
      <w:marRight w:val="0"/>
      <w:marTop w:val="0"/>
      <w:marBottom w:val="0"/>
      <w:divBdr>
        <w:top w:val="none" w:sz="0" w:space="0" w:color="auto"/>
        <w:left w:val="none" w:sz="0" w:space="0" w:color="auto"/>
        <w:bottom w:val="none" w:sz="0" w:space="0" w:color="auto"/>
        <w:right w:val="none" w:sz="0" w:space="0" w:color="auto"/>
      </w:divBdr>
    </w:div>
    <w:div w:id="369767370">
      <w:bodyDiv w:val="1"/>
      <w:marLeft w:val="0"/>
      <w:marRight w:val="0"/>
      <w:marTop w:val="0"/>
      <w:marBottom w:val="0"/>
      <w:divBdr>
        <w:top w:val="none" w:sz="0" w:space="0" w:color="auto"/>
        <w:left w:val="none" w:sz="0" w:space="0" w:color="auto"/>
        <w:bottom w:val="none" w:sz="0" w:space="0" w:color="auto"/>
        <w:right w:val="none" w:sz="0" w:space="0" w:color="auto"/>
      </w:divBdr>
    </w:div>
    <w:div w:id="382410734">
      <w:bodyDiv w:val="1"/>
      <w:marLeft w:val="0"/>
      <w:marRight w:val="0"/>
      <w:marTop w:val="0"/>
      <w:marBottom w:val="0"/>
      <w:divBdr>
        <w:top w:val="none" w:sz="0" w:space="0" w:color="auto"/>
        <w:left w:val="none" w:sz="0" w:space="0" w:color="auto"/>
        <w:bottom w:val="none" w:sz="0" w:space="0" w:color="auto"/>
        <w:right w:val="none" w:sz="0" w:space="0" w:color="auto"/>
      </w:divBdr>
    </w:div>
    <w:div w:id="612901917">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8E073-B81B-4C24-928E-F6C977CEA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1711</Words>
  <Characters>9753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11442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Park, Pokim</cp:lastModifiedBy>
  <cp:revision>23</cp:revision>
  <cp:lastPrinted>2013-07-01T15:16:00Z</cp:lastPrinted>
  <dcterms:created xsi:type="dcterms:W3CDTF">2013-06-28T15:44:00Z</dcterms:created>
  <dcterms:modified xsi:type="dcterms:W3CDTF">2013-07-10T17:24:00Z</dcterms:modified>
</cp:coreProperties>
</file>