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78" w:rsidRPr="00E80038" w:rsidRDefault="00790178" w:rsidP="00790178">
      <w:pPr>
        <w:jc w:val="center"/>
        <w:outlineLvl w:val="0"/>
        <w:rPr>
          <w:b/>
          <w:sz w:val="24"/>
          <w:szCs w:val="24"/>
        </w:rPr>
      </w:pPr>
      <w:r w:rsidRPr="00E80038">
        <w:rPr>
          <w:b/>
          <w:sz w:val="24"/>
          <w:szCs w:val="24"/>
        </w:rPr>
        <w:t>BEFORE THE</w:t>
      </w:r>
    </w:p>
    <w:p w:rsidR="00790178" w:rsidRPr="00E80038" w:rsidRDefault="00790178" w:rsidP="00790178">
      <w:pPr>
        <w:jc w:val="center"/>
        <w:outlineLvl w:val="0"/>
        <w:rPr>
          <w:b/>
          <w:sz w:val="24"/>
          <w:szCs w:val="24"/>
        </w:rPr>
      </w:pPr>
      <w:r w:rsidRPr="00E80038">
        <w:rPr>
          <w:b/>
          <w:sz w:val="24"/>
          <w:szCs w:val="24"/>
        </w:rPr>
        <w:t>PENNSYLVANIA PUBLIC UTILITY COMMISSION</w:t>
      </w:r>
    </w:p>
    <w:p w:rsidR="00790178" w:rsidRPr="00E80038" w:rsidRDefault="00790178" w:rsidP="00790178">
      <w:pPr>
        <w:jc w:val="center"/>
        <w:rPr>
          <w:sz w:val="24"/>
          <w:szCs w:val="24"/>
        </w:rPr>
      </w:pPr>
    </w:p>
    <w:p w:rsidR="00790178" w:rsidRPr="00E80038" w:rsidRDefault="00790178" w:rsidP="00790178">
      <w:pPr>
        <w:jc w:val="center"/>
        <w:rPr>
          <w:sz w:val="24"/>
          <w:szCs w:val="24"/>
        </w:rPr>
      </w:pPr>
    </w:p>
    <w:p w:rsidR="00790178" w:rsidRPr="00E80038" w:rsidRDefault="00790178" w:rsidP="00790178">
      <w:pPr>
        <w:tabs>
          <w:tab w:val="left" w:pos="-720"/>
        </w:tabs>
        <w:suppressAutoHyphens/>
        <w:rPr>
          <w:spacing w:val="-3"/>
          <w:sz w:val="24"/>
          <w:szCs w:val="24"/>
        </w:rPr>
      </w:pPr>
      <w:r w:rsidRPr="00E80038">
        <w:rPr>
          <w:b/>
          <w:bCs/>
          <w:spacing w:val="-3"/>
          <w:sz w:val="24"/>
          <w:szCs w:val="24"/>
        </w:rPr>
        <w:tab/>
      </w:r>
      <w:r w:rsidRPr="00E80038">
        <w:rPr>
          <w:b/>
          <w:bCs/>
          <w:spacing w:val="-3"/>
          <w:sz w:val="24"/>
          <w:szCs w:val="24"/>
        </w:rPr>
        <w:tab/>
      </w:r>
      <w:r w:rsidRPr="00E80038">
        <w:rPr>
          <w:b/>
          <w:bCs/>
          <w:spacing w:val="-3"/>
          <w:sz w:val="24"/>
          <w:szCs w:val="24"/>
        </w:rPr>
        <w:tab/>
      </w:r>
    </w:p>
    <w:p w:rsidR="00790178" w:rsidRPr="00E80038" w:rsidRDefault="00790178" w:rsidP="00790178">
      <w:pPr>
        <w:tabs>
          <w:tab w:val="left" w:pos="-720"/>
        </w:tabs>
        <w:suppressAutoHyphens/>
        <w:rPr>
          <w:spacing w:val="-3"/>
          <w:sz w:val="24"/>
          <w:szCs w:val="20"/>
        </w:rPr>
      </w:pPr>
      <w:r w:rsidRPr="00E80038">
        <w:rPr>
          <w:rFonts w:ascii="Times New (W1)" w:hAnsi="Times New (W1)"/>
          <w:spacing w:val="-3"/>
          <w:sz w:val="24"/>
          <w:szCs w:val="20"/>
        </w:rPr>
        <w:t xml:space="preserve">Michael </w:t>
      </w:r>
      <w:proofErr w:type="spellStart"/>
      <w:r w:rsidRPr="00E80038">
        <w:rPr>
          <w:rFonts w:ascii="Times New (W1)" w:hAnsi="Times New (W1)"/>
          <w:spacing w:val="-3"/>
          <w:sz w:val="24"/>
          <w:szCs w:val="20"/>
        </w:rPr>
        <w:t>Bobitka</w:t>
      </w:r>
      <w:proofErr w:type="spellEnd"/>
      <w:r w:rsidRPr="00E80038">
        <w:rPr>
          <w:rFonts w:ascii="Times New (W1)" w:hAnsi="Times New (W1)"/>
          <w:caps/>
          <w:spacing w:val="-3"/>
          <w:sz w:val="24"/>
          <w:szCs w:val="20"/>
        </w:rPr>
        <w:tab/>
      </w:r>
      <w:r w:rsidRPr="00E80038">
        <w:rPr>
          <w:rFonts w:ascii="Times New (W1)" w:hAnsi="Times New (W1)"/>
          <w:caps/>
          <w:spacing w:val="-3"/>
          <w:sz w:val="24"/>
          <w:szCs w:val="20"/>
        </w:rPr>
        <w:tab/>
      </w:r>
      <w:r w:rsidRPr="00E80038">
        <w:rPr>
          <w:rFonts w:ascii="Times New (W1)" w:hAnsi="Times New (W1)"/>
          <w:caps/>
          <w:spacing w:val="-3"/>
          <w:sz w:val="24"/>
          <w:szCs w:val="20"/>
        </w:rPr>
        <w:tab/>
      </w:r>
      <w:r w:rsidRPr="00E80038">
        <w:rPr>
          <w:spacing w:val="-3"/>
          <w:sz w:val="24"/>
          <w:szCs w:val="20"/>
        </w:rPr>
        <w:tab/>
      </w:r>
      <w:r w:rsidRPr="00E80038">
        <w:rPr>
          <w:spacing w:val="-3"/>
          <w:sz w:val="24"/>
          <w:szCs w:val="20"/>
        </w:rPr>
        <w:tab/>
        <w:t>:</w:t>
      </w:r>
      <w:r w:rsidRPr="00E80038">
        <w:rPr>
          <w:spacing w:val="-3"/>
          <w:sz w:val="24"/>
          <w:szCs w:val="20"/>
        </w:rPr>
        <w:tab/>
      </w:r>
    </w:p>
    <w:p w:rsidR="00790178" w:rsidRPr="00E80038" w:rsidRDefault="00790178" w:rsidP="00790178">
      <w:pPr>
        <w:tabs>
          <w:tab w:val="left" w:pos="-720"/>
        </w:tabs>
        <w:suppressAutoHyphens/>
        <w:rPr>
          <w:spacing w:val="-3"/>
          <w:sz w:val="24"/>
          <w:szCs w:val="20"/>
        </w:rPr>
      </w:pPr>
      <w:r w:rsidRPr="00E80038">
        <w:rPr>
          <w:spacing w:val="-3"/>
          <w:sz w:val="24"/>
          <w:szCs w:val="20"/>
        </w:rPr>
        <w:tab/>
      </w:r>
      <w:r w:rsidRPr="00E80038">
        <w:rPr>
          <w:spacing w:val="-3"/>
          <w:sz w:val="24"/>
          <w:szCs w:val="20"/>
        </w:rPr>
        <w:tab/>
      </w:r>
      <w:r w:rsidRPr="00E80038">
        <w:rPr>
          <w:spacing w:val="-3"/>
          <w:sz w:val="24"/>
          <w:szCs w:val="20"/>
        </w:rPr>
        <w:tab/>
      </w:r>
      <w:r w:rsidRPr="00E80038">
        <w:rPr>
          <w:spacing w:val="-3"/>
          <w:sz w:val="24"/>
          <w:szCs w:val="20"/>
        </w:rPr>
        <w:tab/>
      </w:r>
      <w:r w:rsidRPr="00E80038">
        <w:rPr>
          <w:spacing w:val="-3"/>
          <w:sz w:val="24"/>
          <w:szCs w:val="20"/>
        </w:rPr>
        <w:tab/>
      </w:r>
      <w:r w:rsidRPr="00E80038">
        <w:rPr>
          <w:spacing w:val="-3"/>
          <w:sz w:val="24"/>
          <w:szCs w:val="20"/>
        </w:rPr>
        <w:tab/>
      </w:r>
      <w:r w:rsidRPr="00E80038">
        <w:rPr>
          <w:spacing w:val="-3"/>
          <w:sz w:val="24"/>
          <w:szCs w:val="20"/>
        </w:rPr>
        <w:tab/>
        <w:t xml:space="preserve">: </w:t>
      </w:r>
      <w:r w:rsidRPr="00E80038">
        <w:rPr>
          <w:spacing w:val="-3"/>
          <w:sz w:val="24"/>
          <w:szCs w:val="20"/>
        </w:rPr>
        <w:tab/>
      </w:r>
    </w:p>
    <w:p w:rsidR="00790178" w:rsidRPr="00E80038" w:rsidRDefault="00790178" w:rsidP="00790178">
      <w:pPr>
        <w:tabs>
          <w:tab w:val="left" w:pos="-720"/>
        </w:tabs>
        <w:suppressAutoHyphens/>
        <w:rPr>
          <w:spacing w:val="-3"/>
          <w:sz w:val="24"/>
          <w:szCs w:val="20"/>
        </w:rPr>
      </w:pPr>
      <w:r w:rsidRPr="00E80038">
        <w:rPr>
          <w:spacing w:val="-3"/>
          <w:sz w:val="24"/>
          <w:szCs w:val="20"/>
        </w:rPr>
        <w:tab/>
        <w:t>v.</w:t>
      </w:r>
      <w:r w:rsidRPr="00E80038">
        <w:rPr>
          <w:spacing w:val="-3"/>
          <w:sz w:val="24"/>
          <w:szCs w:val="20"/>
        </w:rPr>
        <w:tab/>
      </w:r>
      <w:r w:rsidRPr="00E80038">
        <w:rPr>
          <w:spacing w:val="-3"/>
          <w:sz w:val="24"/>
          <w:szCs w:val="20"/>
        </w:rPr>
        <w:tab/>
      </w:r>
      <w:r w:rsidRPr="00E80038">
        <w:rPr>
          <w:spacing w:val="-3"/>
          <w:sz w:val="24"/>
          <w:szCs w:val="20"/>
        </w:rPr>
        <w:tab/>
      </w:r>
      <w:r w:rsidRPr="00E80038">
        <w:rPr>
          <w:spacing w:val="-3"/>
          <w:sz w:val="24"/>
          <w:szCs w:val="20"/>
        </w:rPr>
        <w:tab/>
      </w:r>
      <w:r w:rsidRPr="00E80038">
        <w:rPr>
          <w:spacing w:val="-3"/>
          <w:sz w:val="24"/>
          <w:szCs w:val="20"/>
        </w:rPr>
        <w:tab/>
      </w:r>
      <w:r w:rsidRPr="00E80038">
        <w:rPr>
          <w:spacing w:val="-3"/>
          <w:sz w:val="24"/>
          <w:szCs w:val="20"/>
        </w:rPr>
        <w:tab/>
        <w:t>:</w:t>
      </w:r>
      <w:r w:rsidRPr="00E80038">
        <w:rPr>
          <w:spacing w:val="-3"/>
          <w:sz w:val="24"/>
          <w:szCs w:val="20"/>
        </w:rPr>
        <w:tab/>
      </w:r>
      <w:r w:rsidRPr="00E80038">
        <w:rPr>
          <w:spacing w:val="-3"/>
          <w:sz w:val="24"/>
          <w:szCs w:val="20"/>
        </w:rPr>
        <w:tab/>
        <w:t>C-2013-2352756</w:t>
      </w:r>
      <w:bookmarkStart w:id="0" w:name="_GoBack"/>
      <w:bookmarkEnd w:id="0"/>
    </w:p>
    <w:p w:rsidR="00790178" w:rsidRPr="00E80038" w:rsidRDefault="00790178" w:rsidP="00790178">
      <w:pPr>
        <w:tabs>
          <w:tab w:val="left" w:pos="-720"/>
        </w:tabs>
        <w:suppressAutoHyphens/>
        <w:rPr>
          <w:spacing w:val="-3"/>
          <w:sz w:val="24"/>
          <w:szCs w:val="20"/>
        </w:rPr>
      </w:pPr>
      <w:r w:rsidRPr="00E80038">
        <w:rPr>
          <w:spacing w:val="-3"/>
          <w:sz w:val="24"/>
          <w:szCs w:val="20"/>
        </w:rPr>
        <w:tab/>
      </w:r>
      <w:r w:rsidRPr="00E80038">
        <w:rPr>
          <w:spacing w:val="-3"/>
          <w:sz w:val="24"/>
          <w:szCs w:val="20"/>
        </w:rPr>
        <w:tab/>
      </w:r>
      <w:r w:rsidRPr="00E80038">
        <w:rPr>
          <w:spacing w:val="-3"/>
          <w:sz w:val="24"/>
          <w:szCs w:val="20"/>
        </w:rPr>
        <w:tab/>
      </w:r>
      <w:r w:rsidRPr="00E80038">
        <w:rPr>
          <w:spacing w:val="-3"/>
          <w:sz w:val="24"/>
          <w:szCs w:val="20"/>
        </w:rPr>
        <w:tab/>
      </w:r>
      <w:r w:rsidRPr="00E80038">
        <w:rPr>
          <w:spacing w:val="-3"/>
          <w:sz w:val="24"/>
          <w:szCs w:val="20"/>
        </w:rPr>
        <w:tab/>
      </w:r>
      <w:r w:rsidRPr="00E80038">
        <w:rPr>
          <w:spacing w:val="-3"/>
          <w:sz w:val="24"/>
          <w:szCs w:val="20"/>
        </w:rPr>
        <w:tab/>
      </w:r>
      <w:r w:rsidRPr="00E80038">
        <w:rPr>
          <w:spacing w:val="-3"/>
          <w:sz w:val="24"/>
          <w:szCs w:val="20"/>
        </w:rPr>
        <w:tab/>
        <w:t>:</w:t>
      </w:r>
    </w:p>
    <w:p w:rsidR="00790178" w:rsidRPr="00E80038" w:rsidRDefault="00790178" w:rsidP="00790178">
      <w:pPr>
        <w:tabs>
          <w:tab w:val="left" w:pos="-720"/>
        </w:tabs>
        <w:suppressAutoHyphens/>
        <w:rPr>
          <w:spacing w:val="-3"/>
          <w:sz w:val="24"/>
          <w:szCs w:val="24"/>
        </w:rPr>
      </w:pPr>
      <w:r w:rsidRPr="00E80038">
        <w:rPr>
          <w:spacing w:val="-3"/>
          <w:sz w:val="24"/>
          <w:szCs w:val="20"/>
        </w:rPr>
        <w:t>PPL Electric Utilities Corporation</w:t>
      </w:r>
      <w:r w:rsidRPr="00E80038">
        <w:rPr>
          <w:spacing w:val="-3"/>
          <w:sz w:val="24"/>
          <w:szCs w:val="20"/>
        </w:rPr>
        <w:tab/>
      </w:r>
      <w:r w:rsidRPr="00E80038">
        <w:rPr>
          <w:spacing w:val="-3"/>
          <w:sz w:val="24"/>
          <w:szCs w:val="20"/>
        </w:rPr>
        <w:tab/>
      </w:r>
      <w:r w:rsidRPr="00E80038">
        <w:rPr>
          <w:spacing w:val="-3"/>
          <w:sz w:val="24"/>
          <w:szCs w:val="20"/>
        </w:rPr>
        <w:tab/>
        <w:t>:</w:t>
      </w:r>
      <w:r w:rsidRPr="00E80038">
        <w:rPr>
          <w:spacing w:val="-3"/>
          <w:sz w:val="24"/>
          <w:szCs w:val="24"/>
        </w:rPr>
        <w:tab/>
      </w:r>
      <w:r w:rsidRPr="00E80038">
        <w:rPr>
          <w:spacing w:val="-3"/>
          <w:sz w:val="24"/>
          <w:szCs w:val="24"/>
        </w:rPr>
        <w:tab/>
      </w:r>
      <w:r w:rsidRPr="00E80038">
        <w:rPr>
          <w:spacing w:val="-3"/>
          <w:sz w:val="24"/>
          <w:szCs w:val="24"/>
        </w:rPr>
        <w:tab/>
      </w:r>
      <w:r w:rsidRPr="00E80038">
        <w:rPr>
          <w:spacing w:val="-3"/>
          <w:sz w:val="24"/>
          <w:szCs w:val="24"/>
        </w:rPr>
        <w:tab/>
      </w:r>
      <w:r w:rsidRPr="00E80038">
        <w:rPr>
          <w:spacing w:val="-3"/>
          <w:sz w:val="24"/>
          <w:szCs w:val="24"/>
        </w:rPr>
        <w:tab/>
      </w:r>
      <w:r w:rsidRPr="00E80038">
        <w:rPr>
          <w:spacing w:val="-3"/>
          <w:sz w:val="24"/>
          <w:szCs w:val="24"/>
        </w:rPr>
        <w:tab/>
      </w:r>
      <w:r w:rsidRPr="00E80038">
        <w:rPr>
          <w:spacing w:val="-3"/>
          <w:sz w:val="24"/>
          <w:szCs w:val="24"/>
        </w:rPr>
        <w:tab/>
      </w:r>
      <w:r w:rsidRPr="00E80038">
        <w:rPr>
          <w:spacing w:val="-3"/>
          <w:sz w:val="24"/>
          <w:szCs w:val="24"/>
        </w:rPr>
        <w:tab/>
      </w:r>
      <w:r w:rsidRPr="00E80038">
        <w:rPr>
          <w:spacing w:val="-3"/>
          <w:sz w:val="24"/>
          <w:szCs w:val="24"/>
        </w:rPr>
        <w:tab/>
      </w:r>
      <w:r w:rsidRPr="00E80038">
        <w:rPr>
          <w:spacing w:val="-3"/>
          <w:sz w:val="24"/>
          <w:szCs w:val="24"/>
        </w:rPr>
        <w:tab/>
      </w:r>
      <w:r w:rsidRPr="00E80038">
        <w:rPr>
          <w:spacing w:val="-3"/>
          <w:sz w:val="24"/>
          <w:szCs w:val="24"/>
        </w:rPr>
        <w:tab/>
      </w:r>
      <w:r w:rsidRPr="00E80038">
        <w:rPr>
          <w:spacing w:val="-3"/>
          <w:sz w:val="24"/>
          <w:szCs w:val="24"/>
        </w:rPr>
        <w:tab/>
      </w:r>
      <w:r w:rsidRPr="00E80038">
        <w:rPr>
          <w:spacing w:val="-3"/>
          <w:sz w:val="24"/>
          <w:szCs w:val="24"/>
        </w:rPr>
        <w:tab/>
      </w:r>
    </w:p>
    <w:p w:rsidR="00790178" w:rsidRPr="00E80038" w:rsidRDefault="00790178" w:rsidP="00790178">
      <w:pPr>
        <w:tabs>
          <w:tab w:val="left" w:pos="-720"/>
        </w:tabs>
        <w:suppressAutoHyphens/>
        <w:rPr>
          <w:spacing w:val="-3"/>
          <w:sz w:val="24"/>
          <w:szCs w:val="24"/>
        </w:rPr>
      </w:pPr>
    </w:p>
    <w:p w:rsidR="00790178" w:rsidRPr="00E80038" w:rsidRDefault="00790178" w:rsidP="00790178">
      <w:pPr>
        <w:tabs>
          <w:tab w:val="left" w:pos="-720"/>
        </w:tabs>
        <w:suppressAutoHyphens/>
        <w:rPr>
          <w:spacing w:val="-3"/>
          <w:sz w:val="24"/>
          <w:szCs w:val="24"/>
        </w:rPr>
      </w:pPr>
    </w:p>
    <w:p w:rsidR="00790178" w:rsidRPr="00E80038" w:rsidRDefault="00790178" w:rsidP="00790178">
      <w:pPr>
        <w:jc w:val="center"/>
        <w:outlineLvl w:val="0"/>
        <w:rPr>
          <w:caps/>
          <w:sz w:val="24"/>
          <w:szCs w:val="24"/>
        </w:rPr>
      </w:pPr>
      <w:r w:rsidRPr="00E80038">
        <w:rPr>
          <w:b/>
          <w:caps/>
          <w:sz w:val="24"/>
          <w:szCs w:val="24"/>
          <w:u w:val="single"/>
        </w:rPr>
        <w:t>INITIAL Decision</w:t>
      </w:r>
    </w:p>
    <w:p w:rsidR="00790178" w:rsidRPr="00E80038" w:rsidRDefault="00790178" w:rsidP="00790178">
      <w:pPr>
        <w:jc w:val="center"/>
        <w:rPr>
          <w:b/>
          <w:sz w:val="24"/>
          <w:szCs w:val="24"/>
        </w:rPr>
      </w:pPr>
    </w:p>
    <w:p w:rsidR="00790178" w:rsidRPr="00E80038" w:rsidRDefault="00790178" w:rsidP="00790178">
      <w:pPr>
        <w:jc w:val="center"/>
        <w:rPr>
          <w:sz w:val="24"/>
          <w:szCs w:val="24"/>
        </w:rPr>
      </w:pPr>
    </w:p>
    <w:p w:rsidR="00790178" w:rsidRPr="00E80038" w:rsidRDefault="00790178" w:rsidP="00790178">
      <w:pPr>
        <w:jc w:val="center"/>
        <w:outlineLvl w:val="0"/>
        <w:rPr>
          <w:sz w:val="24"/>
          <w:szCs w:val="24"/>
        </w:rPr>
      </w:pPr>
      <w:r w:rsidRPr="00E80038">
        <w:rPr>
          <w:sz w:val="24"/>
          <w:szCs w:val="24"/>
        </w:rPr>
        <w:t>Before</w:t>
      </w:r>
    </w:p>
    <w:p w:rsidR="00790178" w:rsidRPr="00E80038" w:rsidRDefault="00790178" w:rsidP="00790178">
      <w:pPr>
        <w:jc w:val="center"/>
        <w:rPr>
          <w:sz w:val="24"/>
          <w:szCs w:val="24"/>
        </w:rPr>
      </w:pPr>
      <w:r w:rsidRPr="00E80038">
        <w:rPr>
          <w:sz w:val="24"/>
          <w:szCs w:val="24"/>
        </w:rPr>
        <w:t>Ember S. Jandebeur</w:t>
      </w:r>
    </w:p>
    <w:p w:rsidR="00790178" w:rsidRPr="00E80038" w:rsidRDefault="00790178" w:rsidP="00790178">
      <w:pPr>
        <w:jc w:val="center"/>
        <w:rPr>
          <w:sz w:val="24"/>
          <w:szCs w:val="24"/>
        </w:rPr>
      </w:pPr>
      <w:r w:rsidRPr="00E80038">
        <w:rPr>
          <w:sz w:val="24"/>
          <w:szCs w:val="24"/>
        </w:rPr>
        <w:t xml:space="preserve">Administrative Law Judge </w:t>
      </w:r>
    </w:p>
    <w:p w:rsidR="00790178" w:rsidRPr="00E80038" w:rsidRDefault="00790178" w:rsidP="00790178">
      <w:pPr>
        <w:jc w:val="center"/>
        <w:rPr>
          <w:b/>
          <w:sz w:val="24"/>
          <w:szCs w:val="24"/>
        </w:rPr>
      </w:pPr>
    </w:p>
    <w:p w:rsidR="00790178" w:rsidRPr="00E80038" w:rsidRDefault="00790178" w:rsidP="00790178">
      <w:pPr>
        <w:jc w:val="center"/>
        <w:rPr>
          <w:b/>
          <w:sz w:val="24"/>
          <w:szCs w:val="24"/>
        </w:rPr>
      </w:pPr>
    </w:p>
    <w:p w:rsidR="00790178" w:rsidRPr="00E80038" w:rsidRDefault="00790178" w:rsidP="00790178">
      <w:pPr>
        <w:spacing w:line="360" w:lineRule="auto"/>
        <w:jc w:val="center"/>
        <w:rPr>
          <w:sz w:val="24"/>
          <w:szCs w:val="24"/>
          <w:u w:val="single"/>
        </w:rPr>
      </w:pPr>
      <w:r w:rsidRPr="00E80038">
        <w:rPr>
          <w:sz w:val="24"/>
          <w:szCs w:val="24"/>
          <w:u w:val="single"/>
        </w:rPr>
        <w:t>HISTORY OF THE PROCEEDINGS</w:t>
      </w:r>
    </w:p>
    <w:p w:rsidR="00790178" w:rsidRPr="00E80038" w:rsidRDefault="00790178" w:rsidP="00790178">
      <w:pPr>
        <w:tabs>
          <w:tab w:val="left" w:pos="-1440"/>
          <w:tab w:val="left" w:pos="-720"/>
        </w:tabs>
        <w:suppressAutoHyphens/>
        <w:spacing w:line="360" w:lineRule="auto"/>
        <w:ind w:firstLine="1440"/>
        <w:rPr>
          <w:sz w:val="24"/>
          <w:szCs w:val="24"/>
        </w:rPr>
      </w:pPr>
    </w:p>
    <w:p w:rsidR="00790178" w:rsidRPr="00E80038" w:rsidRDefault="00790178" w:rsidP="00790178">
      <w:pPr>
        <w:tabs>
          <w:tab w:val="left" w:pos="-1440"/>
          <w:tab w:val="left" w:pos="-720"/>
        </w:tabs>
        <w:suppressAutoHyphens/>
        <w:spacing w:line="360" w:lineRule="auto"/>
        <w:ind w:firstLine="1440"/>
        <w:rPr>
          <w:sz w:val="24"/>
          <w:szCs w:val="24"/>
        </w:rPr>
      </w:pPr>
      <w:r w:rsidRPr="00E80038">
        <w:rPr>
          <w:sz w:val="24"/>
          <w:szCs w:val="24"/>
        </w:rPr>
        <w:t xml:space="preserve">On February 27, 2013, Michael </w:t>
      </w:r>
      <w:proofErr w:type="spellStart"/>
      <w:r w:rsidRPr="00E80038">
        <w:rPr>
          <w:sz w:val="24"/>
          <w:szCs w:val="24"/>
        </w:rPr>
        <w:t>Bobitka</w:t>
      </w:r>
      <w:proofErr w:type="spellEnd"/>
      <w:r w:rsidRPr="00E80038">
        <w:rPr>
          <w:sz w:val="24"/>
          <w:szCs w:val="24"/>
        </w:rPr>
        <w:t xml:space="preserve"> (Complainant) filed a Formal Complaint with the Pennsylvania Public Utility Commission against PPL Electric Utilities Corporation (Respondent or PPL) alleging that he was incorrectly being charged a commercial rate and that he should be charged at the residential rate.  This case is an untimely appeal from a prior informal Bureau of Consumer Services (BCS) decision at Case No. 3050666.  On April 3, 2013, the Respondent filed an </w:t>
      </w:r>
      <w:r w:rsidRPr="00E80038">
        <w:rPr>
          <w:spacing w:val="-3"/>
          <w:sz w:val="24"/>
          <w:szCs w:val="24"/>
        </w:rPr>
        <w:t>Answer denying that the Complainant is incorrectly charged.</w:t>
      </w:r>
    </w:p>
    <w:p w:rsidR="00790178" w:rsidRPr="00E80038" w:rsidRDefault="00790178" w:rsidP="00790178">
      <w:pPr>
        <w:tabs>
          <w:tab w:val="left" w:pos="2160"/>
        </w:tabs>
        <w:spacing w:line="360" w:lineRule="auto"/>
        <w:ind w:firstLine="1440"/>
        <w:rPr>
          <w:sz w:val="24"/>
          <w:szCs w:val="24"/>
        </w:rPr>
      </w:pPr>
    </w:p>
    <w:p w:rsidR="00790178" w:rsidRPr="00E80038" w:rsidRDefault="00790178" w:rsidP="00790178">
      <w:pPr>
        <w:tabs>
          <w:tab w:val="left" w:pos="2160"/>
        </w:tabs>
        <w:spacing w:line="360" w:lineRule="auto"/>
        <w:ind w:firstLine="1440"/>
        <w:rPr>
          <w:sz w:val="24"/>
          <w:szCs w:val="24"/>
        </w:rPr>
      </w:pPr>
      <w:r w:rsidRPr="00E80038">
        <w:rPr>
          <w:sz w:val="24"/>
          <w:szCs w:val="24"/>
        </w:rPr>
        <w:t xml:space="preserve">By Hearing Notice dated April 5, 2013, the parties were notified that a Telephonic Hearing in this case was scheduled for the morning of May 15, 2013.  A Prehearing Order was issued on April 9, 2013,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0178" w:rsidRPr="00E80038" w:rsidRDefault="00790178" w:rsidP="00790178">
      <w:pPr>
        <w:spacing w:line="360" w:lineRule="auto"/>
        <w:ind w:firstLine="1440"/>
        <w:rPr>
          <w:sz w:val="24"/>
          <w:szCs w:val="24"/>
        </w:rPr>
      </w:pPr>
    </w:p>
    <w:p w:rsidR="00790178" w:rsidRPr="00E80038" w:rsidRDefault="00790178" w:rsidP="00790178">
      <w:pPr>
        <w:spacing w:line="360" w:lineRule="auto"/>
        <w:ind w:firstLine="1440"/>
        <w:rPr>
          <w:sz w:val="24"/>
          <w:szCs w:val="24"/>
        </w:rPr>
      </w:pPr>
      <w:r w:rsidRPr="00E80038">
        <w:rPr>
          <w:sz w:val="24"/>
          <w:szCs w:val="24"/>
        </w:rPr>
        <w:t xml:space="preserve">The hearing convened as scheduled.  The Complainant appeared </w:t>
      </w:r>
      <w:r w:rsidRPr="00E80038">
        <w:rPr>
          <w:i/>
          <w:sz w:val="24"/>
          <w:szCs w:val="24"/>
        </w:rPr>
        <w:t xml:space="preserve">pro </w:t>
      </w:r>
      <w:proofErr w:type="gramStart"/>
      <w:r w:rsidRPr="00E80038">
        <w:rPr>
          <w:i/>
          <w:sz w:val="24"/>
          <w:szCs w:val="24"/>
        </w:rPr>
        <w:t>se</w:t>
      </w:r>
      <w:r w:rsidRPr="00E80038">
        <w:rPr>
          <w:sz w:val="24"/>
          <w:szCs w:val="24"/>
        </w:rPr>
        <w:t>,</w:t>
      </w:r>
      <w:proofErr w:type="gramEnd"/>
      <w:r w:rsidRPr="00E80038">
        <w:rPr>
          <w:sz w:val="24"/>
          <w:szCs w:val="24"/>
        </w:rPr>
        <w:t xml:space="preserve"> the Respondent was represented by counsel.  The Complainant proffered his Formal Complaint as an </w:t>
      </w:r>
      <w:r w:rsidRPr="00E80038">
        <w:rPr>
          <w:sz w:val="24"/>
          <w:szCs w:val="24"/>
        </w:rPr>
        <w:lastRenderedPageBreak/>
        <w:t>exhibit; it was admitted into the record.  The Respondent proffered two exhibits; both were entered into the record.  The record closed on June 14, 2013.</w:t>
      </w:r>
    </w:p>
    <w:p w:rsidR="00790178" w:rsidRPr="00E80038" w:rsidRDefault="00790178" w:rsidP="00790178">
      <w:pPr>
        <w:spacing w:line="360" w:lineRule="auto"/>
        <w:ind w:firstLine="1440"/>
        <w:rPr>
          <w:sz w:val="24"/>
          <w:szCs w:val="24"/>
        </w:rPr>
      </w:pPr>
    </w:p>
    <w:p w:rsidR="00790178" w:rsidRPr="00E80038" w:rsidRDefault="00790178" w:rsidP="00790178">
      <w:pPr>
        <w:spacing w:line="360" w:lineRule="auto"/>
        <w:jc w:val="center"/>
        <w:rPr>
          <w:sz w:val="24"/>
          <w:szCs w:val="24"/>
          <w:u w:val="single"/>
        </w:rPr>
      </w:pPr>
      <w:r w:rsidRPr="00E80038">
        <w:rPr>
          <w:sz w:val="24"/>
          <w:szCs w:val="24"/>
          <w:u w:val="single"/>
        </w:rPr>
        <w:t>FINDINGS OF FACT</w:t>
      </w:r>
    </w:p>
    <w:p w:rsidR="00790178" w:rsidRPr="00E80038" w:rsidRDefault="00790178" w:rsidP="00790178">
      <w:pPr>
        <w:spacing w:line="360" w:lineRule="auto"/>
        <w:jc w:val="center"/>
        <w:rPr>
          <w:sz w:val="24"/>
          <w:szCs w:val="24"/>
          <w:u w:val="single"/>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The Complainant is a current customer of the Respondent’s and receives electric service at 504 Wooddale Road, Marshalls Creek, Pennsylvania 18335.</w:t>
      </w:r>
    </w:p>
    <w:p w:rsidR="00790178" w:rsidRPr="00E80038" w:rsidRDefault="00790178" w:rsidP="00790178">
      <w:pPr>
        <w:spacing w:line="360" w:lineRule="auto"/>
        <w:ind w:left="1440"/>
        <w:rPr>
          <w:sz w:val="24"/>
          <w:szCs w:val="24"/>
        </w:rPr>
      </w:pPr>
      <w:r w:rsidRPr="00E80038">
        <w:rPr>
          <w:sz w:val="24"/>
          <w:szCs w:val="24"/>
        </w:rPr>
        <w:t xml:space="preserve"> </w:t>
      </w: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The Respondent is a jurisdictional utility providing electric service in Pennsylvania.</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The Complainant originally had a house and the garage, and the service was at the residential rate.  Tr. at 27.</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The house collapsed and was not habitable.  Tr. at 7.</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The Complainant has made over his garage into a living space.  Tr. at 7.</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The garage does not have a functioning bathroom or kitchen.  They are not connected.  Tr. at 9.</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There is no running water to the garage where the Complainant lives.  Tr. at 16.</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There is a well on the property but there are no lines connecting it to the garage.  Tr. at 16.</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There are no flushable toilets in the garage.  Tr. at 17.</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Marilyn Nunez, a customer service representative, testified on behalf of the Respondent.  Tr. at 18.</w:t>
      </w: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lastRenderedPageBreak/>
        <w:t>On March 21, 2012, the Respondent spoke with the Complainant about the garage and the rate that the Complainant was paying.  Tr. at 23.</w:t>
      </w:r>
    </w:p>
    <w:p w:rsidR="00790178" w:rsidRPr="00E80038" w:rsidRDefault="00790178" w:rsidP="00790178">
      <w:pPr>
        <w:spacing w:line="360" w:lineRule="auto"/>
        <w:ind w:left="1440"/>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On March 23, 2012, the Respondent tried to set up an appointment with the Complainant to conduct a rate check to confirm the garage was a dwelling.  Tr. at 24-25.</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On November 25, 2012 and November 26, 2012, the Respondent and the Complainant discussed the garage and access to conduct a rate check.  Tr. at 25-26.</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On December 6, 2012, Kevin George, a PPL employee, went to the Complainant’s property and explained that without water and sewer service he does not qualify for the residential rate.  Tr. at 26-27.</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The Complainant’s electric service rate is called GS-1, for general service.  The Complainant has been on the GS-1 rate since December 19, 2011.  Tr. at 21.</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The residential service rate is available to residential dwellings.  Tr. at 22.</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A dwelling is defined as a living space consisting of at least permanent provisions for shelter, dining, sleeping and cooking, with provisions for permanent electric, water and sanitation services.  Tr. at 22.</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The Respondent is willing to put the Complainant on the residential rate when the garage meets the definition of a dwelling.  Tr. at 28.</w:t>
      </w:r>
    </w:p>
    <w:p w:rsidR="00790178" w:rsidRPr="00E80038" w:rsidRDefault="00790178" w:rsidP="00790178">
      <w:pPr>
        <w:pStyle w:val="ListParagraph"/>
        <w:spacing w:line="360" w:lineRule="auto"/>
        <w:rPr>
          <w:sz w:val="24"/>
          <w:szCs w:val="24"/>
        </w:rPr>
      </w:pPr>
    </w:p>
    <w:p w:rsidR="00790178" w:rsidRPr="00E80038" w:rsidRDefault="00790178" w:rsidP="00790178">
      <w:pPr>
        <w:numPr>
          <w:ilvl w:val="0"/>
          <w:numId w:val="23"/>
        </w:numPr>
        <w:tabs>
          <w:tab w:val="left" w:pos="2160"/>
        </w:tabs>
        <w:spacing w:line="360" w:lineRule="auto"/>
        <w:ind w:left="0" w:firstLine="1440"/>
        <w:rPr>
          <w:sz w:val="24"/>
          <w:szCs w:val="24"/>
        </w:rPr>
      </w:pPr>
      <w:r w:rsidRPr="00E80038">
        <w:rPr>
          <w:sz w:val="24"/>
          <w:szCs w:val="24"/>
        </w:rPr>
        <w:t xml:space="preserve">The Complainant believes that by him being a resident in the garage “trumps” the Respondent’s tariff.  Tr. at 31. </w:t>
      </w:r>
    </w:p>
    <w:p w:rsidR="00790178" w:rsidRPr="00E80038" w:rsidRDefault="00790178" w:rsidP="00790178">
      <w:pPr>
        <w:pStyle w:val="ListParagraph"/>
        <w:spacing w:line="360" w:lineRule="auto"/>
        <w:rPr>
          <w:sz w:val="24"/>
          <w:szCs w:val="24"/>
        </w:rPr>
      </w:pPr>
    </w:p>
    <w:p w:rsidR="00790178" w:rsidRPr="00E80038" w:rsidRDefault="00790178" w:rsidP="00790178">
      <w:pPr>
        <w:spacing w:line="360" w:lineRule="auto"/>
        <w:jc w:val="center"/>
        <w:rPr>
          <w:sz w:val="24"/>
          <w:szCs w:val="24"/>
          <w:u w:val="single"/>
        </w:rPr>
      </w:pPr>
    </w:p>
    <w:p w:rsidR="00790178" w:rsidRPr="00E80038" w:rsidRDefault="00790178" w:rsidP="00790178">
      <w:pPr>
        <w:spacing w:line="360" w:lineRule="auto"/>
        <w:jc w:val="center"/>
        <w:rPr>
          <w:sz w:val="24"/>
          <w:szCs w:val="24"/>
          <w:u w:val="single"/>
        </w:rPr>
      </w:pPr>
    </w:p>
    <w:p w:rsidR="00790178" w:rsidRPr="00E80038" w:rsidRDefault="00790178" w:rsidP="00790178">
      <w:pPr>
        <w:spacing w:line="360" w:lineRule="auto"/>
        <w:jc w:val="center"/>
        <w:rPr>
          <w:sz w:val="24"/>
          <w:szCs w:val="24"/>
          <w:u w:val="single"/>
        </w:rPr>
      </w:pPr>
    </w:p>
    <w:p w:rsidR="00790178" w:rsidRPr="00E80038" w:rsidRDefault="00790178" w:rsidP="00790178">
      <w:pPr>
        <w:spacing w:line="360" w:lineRule="auto"/>
        <w:jc w:val="center"/>
        <w:rPr>
          <w:sz w:val="24"/>
          <w:szCs w:val="24"/>
          <w:u w:val="single"/>
        </w:rPr>
      </w:pPr>
      <w:r w:rsidRPr="00E80038">
        <w:rPr>
          <w:sz w:val="24"/>
          <w:szCs w:val="24"/>
          <w:u w:val="single"/>
        </w:rPr>
        <w:lastRenderedPageBreak/>
        <w:t>DISCUSSION</w:t>
      </w:r>
    </w:p>
    <w:p w:rsidR="00790178" w:rsidRPr="00E80038" w:rsidRDefault="00790178" w:rsidP="00790178">
      <w:pPr>
        <w:spacing w:line="360" w:lineRule="auto"/>
        <w:jc w:val="center"/>
        <w:rPr>
          <w:sz w:val="24"/>
          <w:szCs w:val="24"/>
          <w:u w:val="single"/>
        </w:rPr>
      </w:pPr>
    </w:p>
    <w:p w:rsidR="00790178" w:rsidRPr="00E80038" w:rsidRDefault="00790178" w:rsidP="00790178">
      <w:pPr>
        <w:spacing w:line="360" w:lineRule="auto"/>
        <w:rPr>
          <w:sz w:val="24"/>
          <w:szCs w:val="24"/>
        </w:rPr>
      </w:pPr>
      <w:r w:rsidRPr="00E80038">
        <w:rPr>
          <w:sz w:val="24"/>
          <w:szCs w:val="24"/>
          <w:u w:val="single"/>
        </w:rPr>
        <w:t>Burden of Proof</w:t>
      </w:r>
      <w:r w:rsidRPr="00E80038">
        <w:rPr>
          <w:sz w:val="24"/>
          <w:szCs w:val="24"/>
        </w:rPr>
        <w:t>:</w:t>
      </w:r>
    </w:p>
    <w:p w:rsidR="00790178" w:rsidRPr="00E80038" w:rsidRDefault="00790178" w:rsidP="00790178">
      <w:pPr>
        <w:spacing w:line="360" w:lineRule="auto"/>
        <w:rPr>
          <w:sz w:val="24"/>
          <w:szCs w:val="24"/>
        </w:rPr>
      </w:pPr>
    </w:p>
    <w:p w:rsidR="00790178" w:rsidRPr="00E80038" w:rsidRDefault="00790178" w:rsidP="00790178">
      <w:pPr>
        <w:spacing w:line="360" w:lineRule="auto"/>
        <w:ind w:firstLine="1440"/>
        <w:rPr>
          <w:sz w:val="24"/>
          <w:szCs w:val="24"/>
        </w:rPr>
      </w:pPr>
      <w:r w:rsidRPr="00E80038">
        <w:rPr>
          <w:sz w:val="24"/>
          <w:szCs w:val="24"/>
        </w:rPr>
        <w:t xml:space="preserve">Section 332(a) of the Public Utility Code, </w:t>
      </w:r>
      <w:hyperlink r:id="rId9" w:history="1">
        <w:r w:rsidRPr="00E80038">
          <w:rPr>
            <w:rStyle w:val="Hyperlink"/>
            <w:color w:val="auto"/>
            <w:sz w:val="24"/>
            <w:szCs w:val="24"/>
          </w:rPr>
          <w:t>66 Pa. C.S. § 332(a)</w:t>
        </w:r>
      </w:hyperlink>
      <w:r w:rsidRPr="00E80038">
        <w:rPr>
          <w:sz w:val="24"/>
          <w:szCs w:val="24"/>
        </w:rPr>
        <w:t>, provides that the party seeking relief from the Commission has the burden of proof.  Complainant seeks relief from the Commission, and, therefore, has the burden of proof in this proceeding.</w:t>
      </w:r>
    </w:p>
    <w:p w:rsidR="00790178" w:rsidRPr="00E80038" w:rsidRDefault="00790178" w:rsidP="00790178">
      <w:pPr>
        <w:spacing w:line="360" w:lineRule="auto"/>
        <w:ind w:firstLine="1440"/>
        <w:rPr>
          <w:sz w:val="24"/>
          <w:szCs w:val="24"/>
        </w:rPr>
      </w:pPr>
    </w:p>
    <w:p w:rsidR="00790178" w:rsidRPr="00E80038" w:rsidRDefault="00790178" w:rsidP="00790178">
      <w:pPr>
        <w:spacing w:line="360" w:lineRule="auto"/>
        <w:ind w:firstLine="1440"/>
        <w:rPr>
          <w:sz w:val="24"/>
          <w:szCs w:val="24"/>
        </w:rPr>
      </w:pPr>
      <w:r w:rsidRPr="00E80038">
        <w:rPr>
          <w:sz w:val="24"/>
          <w:szCs w:val="24"/>
        </w:rPr>
        <w:t xml:space="preserve">“Burden of proof” means a duty to establish a fact by a preponderance of the evidence, or evidence more convincing, by even the smallest degree, than the evidence presented by the other party.  </w:t>
      </w:r>
      <w:hyperlink r:id="rId10" w:history="1">
        <w:proofErr w:type="gramStart"/>
        <w:r w:rsidRPr="00E80038">
          <w:rPr>
            <w:rStyle w:val="Hyperlink"/>
            <w:i/>
            <w:color w:val="auto"/>
            <w:sz w:val="24"/>
            <w:szCs w:val="24"/>
          </w:rPr>
          <w:t>Se-Ling Hosiery v. Margulies</w:t>
        </w:r>
        <w:r w:rsidRPr="00E80038">
          <w:rPr>
            <w:rStyle w:val="Hyperlink"/>
            <w:color w:val="auto"/>
            <w:sz w:val="24"/>
            <w:szCs w:val="24"/>
          </w:rPr>
          <w:t>, 364 Pa. 54, 70 A.2d 854 (1950).</w:t>
        </w:r>
        <w:proofErr w:type="gramEnd"/>
      </w:hyperlink>
    </w:p>
    <w:p w:rsidR="00790178" w:rsidRPr="00E80038" w:rsidRDefault="00790178" w:rsidP="00790178">
      <w:pPr>
        <w:spacing w:line="360" w:lineRule="auto"/>
        <w:rPr>
          <w:sz w:val="24"/>
          <w:szCs w:val="24"/>
        </w:rPr>
      </w:pPr>
    </w:p>
    <w:p w:rsidR="00790178" w:rsidRPr="00E80038" w:rsidRDefault="00790178" w:rsidP="00790178">
      <w:pPr>
        <w:spacing w:line="360" w:lineRule="auto"/>
        <w:rPr>
          <w:sz w:val="24"/>
          <w:szCs w:val="24"/>
        </w:rPr>
      </w:pPr>
      <w:r w:rsidRPr="00E80038">
        <w:rPr>
          <w:sz w:val="24"/>
          <w:szCs w:val="24"/>
        </w:rPr>
        <w:tab/>
      </w:r>
      <w:r w:rsidRPr="00E80038">
        <w:rPr>
          <w:sz w:val="24"/>
          <w:szCs w:val="24"/>
        </w:rPr>
        <w:tab/>
        <w:t xml:space="preserve">If a complainant establishes a </w:t>
      </w:r>
      <w:r w:rsidRPr="00E80038">
        <w:rPr>
          <w:i/>
          <w:sz w:val="24"/>
          <w:szCs w:val="24"/>
        </w:rPr>
        <w:t>prima facie</w:t>
      </w:r>
      <w:r w:rsidRPr="00E80038">
        <w:rPr>
          <w:sz w:val="24"/>
          <w:szCs w:val="24"/>
        </w:rPr>
        <w:t xml:space="preserve"> case, the burden of going forward with the evidence shifts to the utility.  If a utility does not rebut that evidence, a complainant will prevail.  If the utility rebuts complainant’s evidence, the burden of going forward with the evidence shifts back to a complainant, who must rebut the utility's evidence by a preponderance of the evidence.  The burden of going forward with the evidence may shift from one party to another, but the burden of proof never shifts; it always remains on a complainant.  </w:t>
      </w:r>
      <w:hyperlink r:id="rId11" w:history="1">
        <w:proofErr w:type="spellStart"/>
        <w:r w:rsidRPr="00E80038">
          <w:rPr>
            <w:rStyle w:val="Hyperlink"/>
            <w:i/>
            <w:color w:val="auto"/>
            <w:sz w:val="24"/>
            <w:szCs w:val="24"/>
          </w:rPr>
          <w:t>Replogle</w:t>
        </w:r>
        <w:proofErr w:type="spellEnd"/>
        <w:r w:rsidRPr="00E80038">
          <w:rPr>
            <w:rStyle w:val="Hyperlink"/>
            <w:i/>
            <w:color w:val="auto"/>
            <w:sz w:val="24"/>
            <w:szCs w:val="24"/>
          </w:rPr>
          <w:t xml:space="preserve"> v. Pennsylvania Electric Company,</w:t>
        </w:r>
        <w:r w:rsidRPr="00E80038">
          <w:rPr>
            <w:rStyle w:val="Hyperlink"/>
            <w:color w:val="auto"/>
            <w:sz w:val="24"/>
            <w:szCs w:val="24"/>
          </w:rPr>
          <w:t xml:space="preserve"> 54 Pa. PUC 528 (1980),</w:t>
        </w:r>
      </w:hyperlink>
      <w:r w:rsidRPr="00E80038">
        <w:rPr>
          <w:sz w:val="24"/>
          <w:szCs w:val="24"/>
        </w:rPr>
        <w:t xml:space="preserve"> and </w:t>
      </w:r>
      <w:hyperlink r:id="rId12" w:history="1">
        <w:r w:rsidRPr="00E80038">
          <w:rPr>
            <w:rStyle w:val="Hyperlink"/>
            <w:i/>
            <w:color w:val="auto"/>
            <w:sz w:val="24"/>
            <w:szCs w:val="24"/>
          </w:rPr>
          <w:t>Waldron v. Philadelphia Electric Company</w:t>
        </w:r>
        <w:r w:rsidRPr="00E80038">
          <w:rPr>
            <w:rStyle w:val="Hyperlink"/>
            <w:color w:val="auto"/>
            <w:sz w:val="24"/>
            <w:szCs w:val="24"/>
          </w:rPr>
          <w:t>, 54 Pa. PUC 98 (1980).</w:t>
        </w:r>
      </w:hyperlink>
    </w:p>
    <w:p w:rsidR="00790178" w:rsidRPr="00E80038" w:rsidRDefault="00790178" w:rsidP="00790178">
      <w:pPr>
        <w:spacing w:line="360" w:lineRule="auto"/>
        <w:rPr>
          <w:sz w:val="24"/>
          <w:szCs w:val="24"/>
        </w:rPr>
      </w:pPr>
    </w:p>
    <w:p w:rsidR="00790178" w:rsidRPr="00E80038" w:rsidRDefault="00790178" w:rsidP="00790178">
      <w:pPr>
        <w:spacing w:line="360" w:lineRule="auto"/>
        <w:rPr>
          <w:sz w:val="24"/>
          <w:szCs w:val="24"/>
        </w:rPr>
      </w:pPr>
      <w:r w:rsidRPr="00E80038">
        <w:rPr>
          <w:sz w:val="24"/>
          <w:szCs w:val="24"/>
        </w:rPr>
        <w:tab/>
      </w:r>
      <w:r w:rsidRPr="00E80038">
        <w:rPr>
          <w:sz w:val="24"/>
          <w:szCs w:val="24"/>
        </w:rPr>
        <w:tab/>
        <w:t xml:space="preserve">If Respondent submits evidence of “co-equal” weight to refute Complainant’s evidence, Complainant has not satisfied the burden of proof unless it presents additional evidence opposing Respondent’s evidence.  </w:t>
      </w:r>
      <w:hyperlink r:id="rId13" w:history="1">
        <w:r w:rsidRPr="00E80038">
          <w:rPr>
            <w:rStyle w:val="Hyperlink"/>
            <w:i/>
            <w:color w:val="auto"/>
            <w:sz w:val="24"/>
            <w:szCs w:val="24"/>
          </w:rPr>
          <w:t>Morrissey v. PA Dept. of Highways,</w:t>
        </w:r>
        <w:r w:rsidRPr="00E80038">
          <w:rPr>
            <w:rStyle w:val="Hyperlink"/>
            <w:color w:val="auto"/>
            <w:sz w:val="24"/>
            <w:szCs w:val="24"/>
          </w:rPr>
          <w:t xml:space="preserve"> 424 Pa. 87, 225 A.2d 895 (1967),</w:t>
        </w:r>
      </w:hyperlink>
      <w:bookmarkStart w:id="1" w:name="7387-14"/>
      <w:bookmarkEnd w:id="1"/>
      <w:r w:rsidRPr="00E80038">
        <w:rPr>
          <w:sz w:val="24"/>
          <w:szCs w:val="24"/>
        </w:rPr>
        <w:t xml:space="preserve"> and </w:t>
      </w:r>
      <w:hyperlink r:id="rId14" w:history="1">
        <w:r w:rsidRPr="00E80038">
          <w:rPr>
            <w:rStyle w:val="Hyperlink"/>
            <w:i/>
            <w:color w:val="auto"/>
            <w:sz w:val="24"/>
            <w:szCs w:val="24"/>
          </w:rPr>
          <w:t>Burleson v. Pa. P.U.C</w:t>
        </w:r>
        <w:r w:rsidRPr="00E80038">
          <w:rPr>
            <w:rStyle w:val="Hyperlink"/>
            <w:color w:val="auto"/>
            <w:sz w:val="24"/>
            <w:szCs w:val="24"/>
          </w:rPr>
          <w:t>., 66 Pa. Commonwealth Ct. 282, 443 A.2d 1373 (1982),</w:t>
        </w:r>
      </w:hyperlink>
      <w:r w:rsidRPr="00E80038">
        <w:rPr>
          <w:sz w:val="24"/>
          <w:szCs w:val="24"/>
        </w:rPr>
        <w:t xml:space="preserve"> </w:t>
      </w:r>
      <w:proofErr w:type="spellStart"/>
      <w:r w:rsidRPr="00E80038">
        <w:rPr>
          <w:sz w:val="24"/>
          <w:szCs w:val="24"/>
          <w:u w:val="single"/>
        </w:rPr>
        <w:t>aff’d</w:t>
      </w:r>
      <w:proofErr w:type="spellEnd"/>
      <w:r w:rsidRPr="00E80038">
        <w:rPr>
          <w:sz w:val="24"/>
          <w:szCs w:val="24"/>
        </w:rPr>
        <w:t xml:space="preserve">. </w:t>
      </w:r>
      <w:hyperlink r:id="rId15" w:history="1">
        <w:proofErr w:type="gramStart"/>
        <w:r w:rsidRPr="00E80038">
          <w:rPr>
            <w:rStyle w:val="Hyperlink"/>
            <w:color w:val="auto"/>
            <w:sz w:val="24"/>
            <w:szCs w:val="24"/>
          </w:rPr>
          <w:t>501 Pa. 443, 461 A.2d 1234.</w:t>
        </w:r>
        <w:proofErr w:type="gramEnd"/>
      </w:hyperlink>
    </w:p>
    <w:p w:rsidR="00790178" w:rsidRPr="00E80038" w:rsidRDefault="00790178" w:rsidP="00790178">
      <w:pPr>
        <w:spacing w:line="360" w:lineRule="auto"/>
        <w:rPr>
          <w:sz w:val="24"/>
          <w:szCs w:val="24"/>
        </w:rPr>
      </w:pPr>
    </w:p>
    <w:p w:rsidR="00790178" w:rsidRPr="00E80038" w:rsidRDefault="00790178" w:rsidP="00790178">
      <w:pPr>
        <w:spacing w:line="360" w:lineRule="auto"/>
        <w:rPr>
          <w:rStyle w:val="Hyperlink"/>
          <w:color w:val="auto"/>
        </w:rPr>
      </w:pPr>
      <w:r w:rsidRPr="00E80038">
        <w:rPr>
          <w:sz w:val="24"/>
          <w:szCs w:val="24"/>
        </w:rPr>
        <w:tab/>
      </w:r>
      <w:r w:rsidRPr="00E80038">
        <w:rPr>
          <w:sz w:val="24"/>
          <w:szCs w:val="24"/>
        </w:rPr>
        <w:tab/>
        <w:t xml:space="preserve">The decision of the Commission must be supported by substantial evidence.  </w:t>
      </w:r>
      <w:proofErr w:type="gramStart"/>
      <w:r w:rsidRPr="00E80038">
        <w:rPr>
          <w:sz w:val="24"/>
          <w:szCs w:val="24"/>
        </w:rPr>
        <w:t xml:space="preserve">See, e.g., Section 704 of the Administrative Agency Law, </w:t>
      </w:r>
      <w:hyperlink r:id="rId16" w:history="1">
        <w:r w:rsidRPr="00E80038">
          <w:rPr>
            <w:rStyle w:val="Hyperlink"/>
            <w:color w:val="auto"/>
            <w:sz w:val="24"/>
            <w:szCs w:val="24"/>
          </w:rPr>
          <w:t>2 Pa. C.S. § 704</w:t>
        </w:r>
      </w:hyperlink>
      <w:r w:rsidRPr="00E80038">
        <w:rPr>
          <w:sz w:val="24"/>
          <w:szCs w:val="24"/>
        </w:rPr>
        <w:t>.</w:t>
      </w:r>
      <w:proofErr w:type="gramEnd"/>
      <w:r w:rsidRPr="00E80038">
        <w:rPr>
          <w:sz w:val="24"/>
          <w:szCs w:val="24"/>
        </w:rPr>
        <w:t xml:space="preserve">  “Substantial evidence” is such relevant evidence that a reasonable mind might accept as adequate to support a conclusion. More is required than a mere trace of evidence or a suspicion of the existence of a fact sought to </w:t>
      </w:r>
      <w:r w:rsidRPr="00E80038">
        <w:rPr>
          <w:sz w:val="24"/>
          <w:szCs w:val="24"/>
        </w:rPr>
        <w:lastRenderedPageBreak/>
        <w:t xml:space="preserve">be established.  </w:t>
      </w:r>
      <w:hyperlink r:id="rId17" w:history="1">
        <w:r w:rsidRPr="00E80038">
          <w:rPr>
            <w:rStyle w:val="Hyperlink"/>
            <w:i/>
            <w:color w:val="auto"/>
            <w:sz w:val="24"/>
            <w:szCs w:val="24"/>
          </w:rPr>
          <w:t>Norfolk &amp; Western Ry. Co. v. Pa. P.U.C</w:t>
        </w:r>
        <w:r w:rsidRPr="00E80038">
          <w:rPr>
            <w:rStyle w:val="Hyperlink"/>
            <w:color w:val="auto"/>
            <w:sz w:val="24"/>
            <w:szCs w:val="24"/>
          </w:rPr>
          <w:t>., 489 Pa. 109, 413 A.2d 1037 (1980);</w:t>
        </w:r>
      </w:hyperlink>
      <w:r w:rsidRPr="00E80038">
        <w:rPr>
          <w:sz w:val="24"/>
          <w:szCs w:val="24"/>
        </w:rPr>
        <w:t xml:space="preserve"> </w:t>
      </w:r>
      <w:hyperlink r:id="rId18" w:history="1">
        <w:r w:rsidRPr="00E80038">
          <w:rPr>
            <w:rStyle w:val="Hyperlink"/>
            <w:i/>
            <w:color w:val="auto"/>
            <w:sz w:val="24"/>
            <w:szCs w:val="24"/>
          </w:rPr>
          <w:t>Erie Resistor Corp. v. Unemployment Comp. Bd. of Review</w:t>
        </w:r>
        <w:r w:rsidRPr="00E80038">
          <w:rPr>
            <w:rStyle w:val="Hyperlink"/>
            <w:color w:val="auto"/>
            <w:sz w:val="24"/>
            <w:szCs w:val="24"/>
          </w:rPr>
          <w:t>, 194 Pa. Superior Ct. 278, 166 A.2d 96 (1961);</w:t>
        </w:r>
      </w:hyperlink>
      <w:r w:rsidRPr="00E80038">
        <w:rPr>
          <w:sz w:val="24"/>
          <w:szCs w:val="24"/>
        </w:rPr>
        <w:t xml:space="preserve"> and </w:t>
      </w:r>
      <w:hyperlink r:id="rId19" w:history="1">
        <w:r w:rsidRPr="00E80038">
          <w:rPr>
            <w:rStyle w:val="Hyperlink"/>
            <w:i/>
            <w:color w:val="auto"/>
            <w:sz w:val="24"/>
            <w:szCs w:val="24"/>
          </w:rPr>
          <w:t>Murphy v. Comm., Dept. of Public Welfare, White Haven Center,</w:t>
        </w:r>
        <w:r w:rsidRPr="00E80038">
          <w:rPr>
            <w:rStyle w:val="Hyperlink"/>
            <w:color w:val="auto"/>
            <w:sz w:val="24"/>
            <w:szCs w:val="24"/>
          </w:rPr>
          <w:t xml:space="preserve"> 85 Pa. Commonwealth Ct. 23, 480 A.2d 382 (1984).</w:t>
        </w:r>
      </w:hyperlink>
    </w:p>
    <w:p w:rsidR="00790178" w:rsidRPr="00E80038" w:rsidRDefault="00790178" w:rsidP="00790178">
      <w:pPr>
        <w:spacing w:line="360" w:lineRule="auto"/>
      </w:pPr>
    </w:p>
    <w:p w:rsidR="00790178" w:rsidRPr="00E80038" w:rsidRDefault="00790178" w:rsidP="00790178">
      <w:pPr>
        <w:spacing w:line="360" w:lineRule="auto"/>
        <w:rPr>
          <w:sz w:val="24"/>
          <w:szCs w:val="24"/>
        </w:rPr>
      </w:pPr>
      <w:r w:rsidRPr="00E80038">
        <w:rPr>
          <w:sz w:val="24"/>
          <w:szCs w:val="24"/>
        </w:rPr>
        <w:tab/>
      </w:r>
      <w:r w:rsidRPr="00E80038">
        <w:rPr>
          <w:sz w:val="24"/>
          <w:szCs w:val="24"/>
        </w:rPr>
        <w:tab/>
        <w:t xml:space="preserve">The offense must be a violation of the Public Utility Code, the Commission’s regulations, or an outstanding order of the Commission.  </w:t>
      </w:r>
      <w:proofErr w:type="gramStart"/>
      <w:r w:rsidRPr="00E80038">
        <w:rPr>
          <w:sz w:val="24"/>
          <w:szCs w:val="24"/>
        </w:rPr>
        <w:t>66 Pa. C.S. § 701.</w:t>
      </w:r>
      <w:proofErr w:type="gramEnd"/>
      <w:r w:rsidRPr="00E80038">
        <w:rPr>
          <w:sz w:val="24"/>
          <w:szCs w:val="24"/>
        </w:rPr>
        <w:t xml:space="preserve">  </w:t>
      </w:r>
    </w:p>
    <w:p w:rsidR="00790178" w:rsidRPr="00E80038" w:rsidRDefault="00790178" w:rsidP="00790178">
      <w:pPr>
        <w:spacing w:line="360" w:lineRule="auto"/>
        <w:ind w:firstLine="1440"/>
        <w:rPr>
          <w:sz w:val="24"/>
          <w:szCs w:val="24"/>
        </w:rPr>
      </w:pPr>
    </w:p>
    <w:p w:rsidR="00790178" w:rsidRPr="00E80038" w:rsidRDefault="00790178" w:rsidP="00790178">
      <w:pPr>
        <w:spacing w:line="360" w:lineRule="auto"/>
        <w:rPr>
          <w:sz w:val="24"/>
          <w:szCs w:val="24"/>
        </w:rPr>
      </w:pPr>
      <w:r w:rsidRPr="00E80038">
        <w:rPr>
          <w:sz w:val="24"/>
          <w:szCs w:val="24"/>
          <w:u w:val="single"/>
        </w:rPr>
        <w:t>Residential Rate</w:t>
      </w:r>
      <w:r w:rsidRPr="00E80038">
        <w:rPr>
          <w:sz w:val="24"/>
          <w:szCs w:val="24"/>
        </w:rPr>
        <w:t>:</w:t>
      </w:r>
    </w:p>
    <w:p w:rsidR="00790178" w:rsidRPr="00E80038" w:rsidRDefault="00790178" w:rsidP="00790178">
      <w:pPr>
        <w:spacing w:line="360" w:lineRule="auto"/>
        <w:rPr>
          <w:sz w:val="24"/>
          <w:szCs w:val="24"/>
        </w:rPr>
      </w:pPr>
    </w:p>
    <w:p w:rsidR="00790178" w:rsidRPr="00E80038" w:rsidRDefault="00790178" w:rsidP="00790178">
      <w:pPr>
        <w:tabs>
          <w:tab w:val="left" w:pos="2160"/>
        </w:tabs>
        <w:spacing w:line="360" w:lineRule="auto"/>
        <w:ind w:firstLine="1440"/>
        <w:rPr>
          <w:sz w:val="24"/>
          <w:szCs w:val="24"/>
        </w:rPr>
      </w:pPr>
      <w:r w:rsidRPr="00E80038">
        <w:rPr>
          <w:sz w:val="24"/>
          <w:szCs w:val="24"/>
        </w:rPr>
        <w:t>The Complainant owns a one acre piece of property in East Stroudsburg.</w:t>
      </w:r>
      <w:r w:rsidRPr="00E80038">
        <w:rPr>
          <w:rStyle w:val="FootnoteReference"/>
          <w:sz w:val="24"/>
          <w:szCs w:val="24"/>
        </w:rPr>
        <w:footnoteReference w:id="1"/>
      </w:r>
      <w:r w:rsidRPr="00E80038">
        <w:rPr>
          <w:sz w:val="24"/>
          <w:szCs w:val="24"/>
        </w:rPr>
        <w:t xml:space="preserve">  At one time there was a home and a garage on the property.  The home collapsed and the Complainant moved into the garage and is in the process of making the garage livable.  Currently, there is no water or sewage into the garage.</w:t>
      </w:r>
    </w:p>
    <w:p w:rsidR="00790178" w:rsidRPr="00E80038" w:rsidRDefault="00790178" w:rsidP="00790178">
      <w:pPr>
        <w:tabs>
          <w:tab w:val="left" w:pos="2160"/>
        </w:tabs>
        <w:spacing w:line="360" w:lineRule="auto"/>
        <w:ind w:firstLine="1440"/>
        <w:rPr>
          <w:sz w:val="24"/>
          <w:szCs w:val="24"/>
        </w:rPr>
      </w:pPr>
    </w:p>
    <w:p w:rsidR="00790178" w:rsidRPr="00E80038" w:rsidRDefault="00790178" w:rsidP="00790178">
      <w:pPr>
        <w:tabs>
          <w:tab w:val="left" w:pos="2160"/>
        </w:tabs>
        <w:spacing w:line="360" w:lineRule="auto"/>
        <w:ind w:firstLine="1440"/>
        <w:rPr>
          <w:sz w:val="24"/>
          <w:szCs w:val="24"/>
        </w:rPr>
      </w:pPr>
      <w:r w:rsidRPr="00E80038">
        <w:rPr>
          <w:sz w:val="24"/>
          <w:szCs w:val="24"/>
        </w:rPr>
        <w:t>The Complainant asserts that because he lives there and uses the garage as his residence, he is entitled to be charged at the residential rate.</w:t>
      </w:r>
    </w:p>
    <w:p w:rsidR="00790178" w:rsidRPr="00E80038" w:rsidRDefault="00790178" w:rsidP="00790178">
      <w:pPr>
        <w:tabs>
          <w:tab w:val="left" w:pos="2160"/>
        </w:tabs>
        <w:spacing w:line="360" w:lineRule="auto"/>
        <w:ind w:firstLine="1440"/>
        <w:rPr>
          <w:sz w:val="24"/>
          <w:szCs w:val="24"/>
        </w:rPr>
      </w:pPr>
    </w:p>
    <w:p w:rsidR="00790178" w:rsidRPr="00E80038" w:rsidRDefault="00790178" w:rsidP="00790178">
      <w:pPr>
        <w:tabs>
          <w:tab w:val="left" w:pos="2160"/>
        </w:tabs>
        <w:spacing w:line="360" w:lineRule="auto"/>
        <w:ind w:firstLine="1440"/>
        <w:rPr>
          <w:sz w:val="24"/>
          <w:szCs w:val="24"/>
        </w:rPr>
      </w:pPr>
      <w:r w:rsidRPr="00E80038">
        <w:rPr>
          <w:sz w:val="24"/>
          <w:szCs w:val="24"/>
        </w:rPr>
        <w:t xml:space="preserve">The Respondent asserts that their tariff defines a dwelling as “a living space consisting of at least permanent provisions for shelter, dining, sleeping and cooking, with provisions for electric water and sanitation service.”  </w:t>
      </w:r>
      <w:proofErr w:type="gramStart"/>
      <w:r w:rsidRPr="00E80038">
        <w:rPr>
          <w:sz w:val="24"/>
          <w:szCs w:val="24"/>
        </w:rPr>
        <w:t>Tr. at 22, Tariff Supplement No. 125 at page 20B.</w:t>
      </w:r>
      <w:proofErr w:type="gramEnd"/>
      <w:r w:rsidRPr="00E80038">
        <w:rPr>
          <w:rStyle w:val="FootnoteReference"/>
          <w:sz w:val="24"/>
          <w:szCs w:val="24"/>
        </w:rPr>
        <w:footnoteReference w:id="2"/>
      </w:r>
      <w:r w:rsidRPr="00E80038">
        <w:rPr>
          <w:sz w:val="24"/>
          <w:szCs w:val="24"/>
        </w:rPr>
        <w:t xml:space="preserve">  Respondent further asserts that because there is no water and sewer service at the garage that the Complainant must be charged at the general service, or GS-1 rate.</w:t>
      </w:r>
    </w:p>
    <w:p w:rsidR="00790178" w:rsidRPr="00E80038" w:rsidRDefault="00790178" w:rsidP="00790178">
      <w:pPr>
        <w:tabs>
          <w:tab w:val="left" w:pos="2160"/>
        </w:tabs>
        <w:spacing w:line="360" w:lineRule="auto"/>
        <w:ind w:firstLine="1440"/>
        <w:rPr>
          <w:sz w:val="24"/>
          <w:szCs w:val="24"/>
        </w:rPr>
      </w:pPr>
    </w:p>
    <w:p w:rsidR="00790178" w:rsidRPr="00E80038" w:rsidRDefault="00790178" w:rsidP="00790178">
      <w:pPr>
        <w:tabs>
          <w:tab w:val="left" w:pos="-1440"/>
          <w:tab w:val="left" w:pos="-720"/>
        </w:tabs>
        <w:suppressAutoHyphens/>
        <w:spacing w:line="360" w:lineRule="auto"/>
        <w:ind w:firstLine="1440"/>
        <w:rPr>
          <w:sz w:val="24"/>
          <w:szCs w:val="24"/>
        </w:rPr>
      </w:pPr>
      <w:r w:rsidRPr="00E80038">
        <w:rPr>
          <w:sz w:val="24"/>
          <w:szCs w:val="24"/>
        </w:rPr>
        <w:t xml:space="preserve">The provisions of a Commission approved tariff have the force of law and are binding on both the utility and its customer.  </w:t>
      </w:r>
      <w:proofErr w:type="spellStart"/>
      <w:proofErr w:type="gramStart"/>
      <w:r w:rsidRPr="00E80038">
        <w:rPr>
          <w:i/>
          <w:sz w:val="24"/>
          <w:szCs w:val="24"/>
        </w:rPr>
        <w:t>Stiteler</w:t>
      </w:r>
      <w:proofErr w:type="spellEnd"/>
      <w:r w:rsidRPr="00E80038">
        <w:rPr>
          <w:i/>
          <w:sz w:val="24"/>
          <w:szCs w:val="24"/>
        </w:rPr>
        <w:t xml:space="preserve"> v. Bell Telephone Co. of Pennsylvania,</w:t>
      </w:r>
      <w:r w:rsidRPr="00E80038">
        <w:rPr>
          <w:sz w:val="24"/>
          <w:szCs w:val="24"/>
        </w:rPr>
        <w:t xml:space="preserve"> 379 A.2d 339 (Pa. </w:t>
      </w:r>
      <w:proofErr w:type="spellStart"/>
      <w:r w:rsidRPr="00E80038">
        <w:rPr>
          <w:sz w:val="24"/>
          <w:szCs w:val="24"/>
        </w:rPr>
        <w:t>Commw</w:t>
      </w:r>
      <w:proofErr w:type="spellEnd"/>
      <w:r w:rsidRPr="00E80038">
        <w:rPr>
          <w:sz w:val="24"/>
          <w:szCs w:val="24"/>
        </w:rPr>
        <w:t xml:space="preserve">. 1977), </w:t>
      </w:r>
      <w:r w:rsidRPr="00E80038">
        <w:rPr>
          <w:i/>
          <w:sz w:val="24"/>
          <w:szCs w:val="24"/>
        </w:rPr>
        <w:t xml:space="preserve">Brockway Glass Co. v. PA Public Utility </w:t>
      </w:r>
      <w:proofErr w:type="spellStart"/>
      <w:r w:rsidRPr="00E80038">
        <w:rPr>
          <w:i/>
          <w:sz w:val="24"/>
          <w:szCs w:val="24"/>
        </w:rPr>
        <w:t>Comm’n</w:t>
      </w:r>
      <w:proofErr w:type="spellEnd"/>
      <w:r w:rsidRPr="00E80038">
        <w:rPr>
          <w:sz w:val="24"/>
          <w:szCs w:val="24"/>
        </w:rPr>
        <w:t xml:space="preserve">, 437 A.2d 1067 (Pa. </w:t>
      </w:r>
      <w:proofErr w:type="spellStart"/>
      <w:r w:rsidRPr="00E80038">
        <w:rPr>
          <w:sz w:val="24"/>
          <w:szCs w:val="24"/>
        </w:rPr>
        <w:t>Commw</w:t>
      </w:r>
      <w:proofErr w:type="spellEnd"/>
      <w:r w:rsidRPr="00E80038">
        <w:rPr>
          <w:sz w:val="24"/>
          <w:szCs w:val="24"/>
        </w:rPr>
        <w:t>. 1981).</w:t>
      </w:r>
      <w:proofErr w:type="gramEnd"/>
      <w:r w:rsidRPr="00E80038">
        <w:rPr>
          <w:sz w:val="24"/>
          <w:szCs w:val="24"/>
        </w:rPr>
        <w:t xml:space="preserve">  Tariff provisions approved by the Commission are </w:t>
      </w:r>
      <w:r w:rsidRPr="00E80038">
        <w:rPr>
          <w:i/>
          <w:sz w:val="24"/>
          <w:szCs w:val="24"/>
        </w:rPr>
        <w:t>prima facie</w:t>
      </w:r>
      <w:r w:rsidRPr="00E80038">
        <w:rPr>
          <w:sz w:val="24"/>
          <w:szCs w:val="24"/>
          <w:u w:val="words"/>
        </w:rPr>
        <w:t xml:space="preserve"> </w:t>
      </w:r>
      <w:r w:rsidRPr="00E80038">
        <w:rPr>
          <w:sz w:val="24"/>
          <w:szCs w:val="24"/>
        </w:rPr>
        <w:lastRenderedPageBreak/>
        <w:t xml:space="preserve">reasonable.  </w:t>
      </w:r>
      <w:r w:rsidRPr="00E80038">
        <w:rPr>
          <w:i/>
          <w:sz w:val="24"/>
          <w:szCs w:val="24"/>
        </w:rPr>
        <w:t xml:space="preserve">Lynch v. PA Public Utility </w:t>
      </w:r>
      <w:proofErr w:type="spellStart"/>
      <w:r w:rsidRPr="00E80038">
        <w:rPr>
          <w:i/>
          <w:sz w:val="24"/>
          <w:szCs w:val="24"/>
        </w:rPr>
        <w:t>Comm’n</w:t>
      </w:r>
      <w:proofErr w:type="spellEnd"/>
      <w:r w:rsidRPr="00E80038">
        <w:rPr>
          <w:sz w:val="24"/>
          <w:szCs w:val="24"/>
        </w:rPr>
        <w:t xml:space="preserve">, 594 A.2d 816 (Pa. </w:t>
      </w:r>
      <w:proofErr w:type="spellStart"/>
      <w:r w:rsidRPr="00E80038">
        <w:rPr>
          <w:sz w:val="24"/>
          <w:szCs w:val="24"/>
        </w:rPr>
        <w:t>Commw</w:t>
      </w:r>
      <w:proofErr w:type="spellEnd"/>
      <w:r w:rsidRPr="00E80038">
        <w:rPr>
          <w:sz w:val="24"/>
          <w:szCs w:val="24"/>
        </w:rPr>
        <w:t xml:space="preserve">. 1991), </w:t>
      </w:r>
      <w:proofErr w:type="spellStart"/>
      <w:r w:rsidRPr="00E80038">
        <w:rPr>
          <w:i/>
          <w:sz w:val="24"/>
          <w:szCs w:val="24"/>
        </w:rPr>
        <w:t>alloc</w:t>
      </w:r>
      <w:proofErr w:type="spellEnd"/>
      <w:r w:rsidRPr="00E80038">
        <w:rPr>
          <w:i/>
          <w:sz w:val="24"/>
          <w:szCs w:val="24"/>
        </w:rPr>
        <w:t xml:space="preserve">. </w:t>
      </w:r>
      <w:proofErr w:type="gramStart"/>
      <w:r w:rsidRPr="00E80038">
        <w:rPr>
          <w:i/>
          <w:sz w:val="24"/>
          <w:szCs w:val="24"/>
        </w:rPr>
        <w:t>den</w:t>
      </w:r>
      <w:proofErr w:type="gramEnd"/>
      <w:r w:rsidRPr="00E80038">
        <w:rPr>
          <w:sz w:val="24"/>
          <w:szCs w:val="24"/>
        </w:rPr>
        <w:t xml:space="preserve">. </w:t>
      </w:r>
      <w:proofErr w:type="gramStart"/>
      <w:r w:rsidRPr="00E80038">
        <w:rPr>
          <w:sz w:val="24"/>
          <w:szCs w:val="24"/>
        </w:rPr>
        <w:t>605 A.2d 335 (Pa. 1992).</w:t>
      </w:r>
      <w:proofErr w:type="gramEnd"/>
      <w:r w:rsidRPr="00E80038">
        <w:rPr>
          <w:sz w:val="24"/>
          <w:szCs w:val="24"/>
        </w:rPr>
        <w:t xml:space="preserve">  </w:t>
      </w:r>
    </w:p>
    <w:p w:rsidR="00790178" w:rsidRPr="00E80038" w:rsidRDefault="00790178" w:rsidP="00790178">
      <w:pPr>
        <w:tabs>
          <w:tab w:val="left" w:pos="2160"/>
        </w:tabs>
        <w:spacing w:line="360" w:lineRule="auto"/>
        <w:ind w:firstLine="1440"/>
        <w:rPr>
          <w:sz w:val="24"/>
          <w:szCs w:val="24"/>
        </w:rPr>
      </w:pPr>
    </w:p>
    <w:p w:rsidR="00790178" w:rsidRPr="00E80038" w:rsidRDefault="00790178" w:rsidP="00790178">
      <w:pPr>
        <w:tabs>
          <w:tab w:val="left" w:pos="2160"/>
        </w:tabs>
        <w:spacing w:line="360" w:lineRule="auto"/>
        <w:ind w:firstLine="1440"/>
        <w:rPr>
          <w:sz w:val="24"/>
          <w:szCs w:val="24"/>
        </w:rPr>
      </w:pPr>
      <w:r w:rsidRPr="00E80038">
        <w:rPr>
          <w:sz w:val="24"/>
          <w:szCs w:val="24"/>
        </w:rPr>
        <w:t xml:space="preserve">The Public Utility Code (the Code) requires that “every rate made, demanded or received by any public utility . . . shall be just and reasonable and in conformity with regulations and orders of the Commission.”  </w:t>
      </w:r>
      <w:proofErr w:type="gramStart"/>
      <w:r w:rsidRPr="00E80038">
        <w:rPr>
          <w:sz w:val="24"/>
          <w:szCs w:val="24"/>
        </w:rPr>
        <w:t>66 Pa. C.S. § 1301.</w:t>
      </w:r>
      <w:proofErr w:type="gramEnd"/>
      <w:r w:rsidRPr="00E80038">
        <w:rPr>
          <w:sz w:val="24"/>
          <w:szCs w:val="24"/>
        </w:rPr>
        <w:t xml:space="preserve">  </w:t>
      </w:r>
      <w:r w:rsidRPr="00E80038">
        <w:rPr>
          <w:sz w:val="24"/>
          <w:szCs w:val="24"/>
          <w:u w:val="single"/>
        </w:rPr>
        <w:t>The Code further mandates that no utility shall demand or receive a rate that is greater or less than that specified in its tariffs.</w:t>
      </w:r>
      <w:r w:rsidRPr="00E80038">
        <w:rPr>
          <w:sz w:val="24"/>
          <w:szCs w:val="24"/>
        </w:rPr>
        <w:t xml:space="preserve">  (Emphasis added.)  </w:t>
      </w:r>
      <w:proofErr w:type="gramStart"/>
      <w:r w:rsidRPr="00E80038">
        <w:rPr>
          <w:sz w:val="24"/>
          <w:szCs w:val="24"/>
        </w:rPr>
        <w:t>66 Pa. C.S. § 1303.</w:t>
      </w:r>
      <w:proofErr w:type="gramEnd"/>
      <w:r w:rsidRPr="00E80038">
        <w:rPr>
          <w:sz w:val="24"/>
          <w:szCs w:val="24"/>
        </w:rPr>
        <w:t xml:space="preserve">  </w:t>
      </w:r>
      <w:r w:rsidRPr="00E80038">
        <w:rPr>
          <w:sz w:val="24"/>
          <w:szCs w:val="24"/>
          <w:u w:val="single"/>
        </w:rPr>
        <w:t>A utility cannot unreasonably discriminate for or against a particular customer by establishing a special rate for them.</w:t>
      </w:r>
      <w:r w:rsidRPr="00E80038">
        <w:rPr>
          <w:sz w:val="24"/>
          <w:szCs w:val="24"/>
        </w:rPr>
        <w:t xml:space="preserve">  (Emphasis added.)  </w:t>
      </w:r>
      <w:proofErr w:type="gramStart"/>
      <w:r w:rsidRPr="00E80038">
        <w:rPr>
          <w:sz w:val="24"/>
          <w:szCs w:val="24"/>
        </w:rPr>
        <w:t>66 Pa. C.S. § 1304.</w:t>
      </w:r>
      <w:proofErr w:type="gramEnd"/>
      <w:r w:rsidRPr="00E80038">
        <w:rPr>
          <w:sz w:val="24"/>
          <w:szCs w:val="24"/>
        </w:rPr>
        <w:t xml:space="preserve"> </w:t>
      </w:r>
    </w:p>
    <w:p w:rsidR="00790178" w:rsidRPr="00E80038" w:rsidRDefault="00790178" w:rsidP="00790178">
      <w:pPr>
        <w:tabs>
          <w:tab w:val="left" w:pos="2160"/>
        </w:tabs>
        <w:spacing w:line="360" w:lineRule="auto"/>
        <w:ind w:firstLine="1440"/>
        <w:rPr>
          <w:sz w:val="24"/>
          <w:szCs w:val="24"/>
        </w:rPr>
      </w:pPr>
    </w:p>
    <w:p w:rsidR="00790178" w:rsidRPr="00E80038" w:rsidRDefault="00790178" w:rsidP="00790178">
      <w:pPr>
        <w:tabs>
          <w:tab w:val="left" w:pos="2160"/>
        </w:tabs>
        <w:spacing w:line="360" w:lineRule="auto"/>
        <w:ind w:firstLine="1440"/>
        <w:rPr>
          <w:sz w:val="24"/>
          <w:szCs w:val="24"/>
        </w:rPr>
      </w:pPr>
      <w:r w:rsidRPr="00E80038">
        <w:rPr>
          <w:sz w:val="24"/>
          <w:szCs w:val="24"/>
        </w:rPr>
        <w:t>In summation, Respondent can only charge the rates specified in its tariff on file with the Commission.  The Complainant at this time does not meet the definition of a dwelling as required by the tariff provisions for the residential rate.  The Respondent commented that they are sympathetic to Complainant’s plight, but that at this time they cannot charge him under the residential rate, and they are correct.  They cannot discriminate by making exceptions.  The Complainant will be entitled to the residential rate when the garage meets the definition of a dwelling.</w:t>
      </w:r>
    </w:p>
    <w:p w:rsidR="00790178" w:rsidRPr="00E80038" w:rsidRDefault="00790178" w:rsidP="00790178">
      <w:pPr>
        <w:tabs>
          <w:tab w:val="left" w:pos="2160"/>
        </w:tabs>
        <w:spacing w:line="360" w:lineRule="auto"/>
        <w:ind w:firstLine="1440"/>
        <w:rPr>
          <w:sz w:val="24"/>
          <w:szCs w:val="24"/>
        </w:rPr>
      </w:pPr>
    </w:p>
    <w:p w:rsidR="00790178" w:rsidRPr="00E80038" w:rsidRDefault="00790178" w:rsidP="00790178">
      <w:pPr>
        <w:spacing w:line="360" w:lineRule="auto"/>
        <w:jc w:val="center"/>
        <w:rPr>
          <w:sz w:val="24"/>
          <w:szCs w:val="24"/>
          <w:u w:val="single"/>
        </w:rPr>
      </w:pPr>
      <w:r w:rsidRPr="00E80038">
        <w:rPr>
          <w:sz w:val="24"/>
          <w:szCs w:val="24"/>
          <w:u w:val="single"/>
        </w:rPr>
        <w:t>CONCLUSIONS OF LAW</w:t>
      </w:r>
    </w:p>
    <w:p w:rsidR="00790178" w:rsidRPr="00E80038" w:rsidRDefault="00790178" w:rsidP="00790178">
      <w:pPr>
        <w:spacing w:line="360" w:lineRule="auto"/>
        <w:jc w:val="center"/>
        <w:rPr>
          <w:sz w:val="24"/>
          <w:szCs w:val="24"/>
          <w:u w:val="single"/>
        </w:rPr>
      </w:pPr>
    </w:p>
    <w:p w:rsidR="00790178" w:rsidRPr="00E80038" w:rsidRDefault="00790178" w:rsidP="00790178">
      <w:pPr>
        <w:pStyle w:val="ListParagraph"/>
        <w:numPr>
          <w:ilvl w:val="0"/>
          <w:numId w:val="24"/>
        </w:numPr>
        <w:tabs>
          <w:tab w:val="left" w:pos="2160"/>
        </w:tabs>
        <w:spacing w:line="360" w:lineRule="auto"/>
        <w:ind w:left="0" w:firstLine="1440"/>
        <w:rPr>
          <w:sz w:val="24"/>
          <w:szCs w:val="24"/>
        </w:rPr>
      </w:pPr>
      <w:r w:rsidRPr="00E80038">
        <w:rPr>
          <w:sz w:val="24"/>
          <w:szCs w:val="24"/>
        </w:rPr>
        <w:t>The Commission has jurisdiction over the subject matter and parties to this Complaint.  66 Pa. C.S. § 701.</w:t>
      </w:r>
    </w:p>
    <w:p w:rsidR="00790178" w:rsidRPr="00E80038" w:rsidRDefault="00790178" w:rsidP="00790178">
      <w:pPr>
        <w:tabs>
          <w:tab w:val="left" w:pos="2160"/>
        </w:tabs>
        <w:spacing w:line="360" w:lineRule="auto"/>
        <w:ind w:firstLine="1440"/>
        <w:rPr>
          <w:sz w:val="24"/>
          <w:szCs w:val="24"/>
        </w:rPr>
      </w:pPr>
    </w:p>
    <w:p w:rsidR="00790178" w:rsidRPr="00E80038" w:rsidRDefault="00790178" w:rsidP="00790178">
      <w:pPr>
        <w:pStyle w:val="ListParagraph"/>
        <w:numPr>
          <w:ilvl w:val="0"/>
          <w:numId w:val="24"/>
        </w:numPr>
        <w:tabs>
          <w:tab w:val="left" w:pos="2160"/>
        </w:tabs>
        <w:spacing w:line="360" w:lineRule="auto"/>
        <w:ind w:left="0" w:firstLine="1440"/>
        <w:rPr>
          <w:sz w:val="24"/>
          <w:szCs w:val="24"/>
        </w:rPr>
      </w:pPr>
      <w:r w:rsidRPr="00E80038">
        <w:rPr>
          <w:sz w:val="24"/>
          <w:szCs w:val="24"/>
        </w:rPr>
        <w:t>As the party seeking affirmative relief from the Commission, Complainant bears the burden of proof.  66 Pa. C.S. § 332(a).</w:t>
      </w:r>
    </w:p>
    <w:p w:rsidR="00790178" w:rsidRPr="00E80038" w:rsidRDefault="00790178" w:rsidP="00790178">
      <w:pPr>
        <w:tabs>
          <w:tab w:val="left" w:pos="2160"/>
        </w:tabs>
        <w:spacing w:line="360" w:lineRule="auto"/>
        <w:ind w:firstLine="1440"/>
        <w:rPr>
          <w:sz w:val="24"/>
          <w:szCs w:val="24"/>
        </w:rPr>
      </w:pPr>
    </w:p>
    <w:p w:rsidR="00790178" w:rsidRPr="00E80038" w:rsidRDefault="00790178" w:rsidP="00790178">
      <w:pPr>
        <w:pStyle w:val="ListParagraph"/>
        <w:numPr>
          <w:ilvl w:val="0"/>
          <w:numId w:val="24"/>
        </w:numPr>
        <w:tabs>
          <w:tab w:val="left" w:pos="2160"/>
        </w:tabs>
        <w:spacing w:line="360" w:lineRule="auto"/>
        <w:ind w:left="0" w:firstLine="1440"/>
        <w:rPr>
          <w:spacing w:val="-3"/>
          <w:sz w:val="24"/>
          <w:szCs w:val="24"/>
        </w:rPr>
      </w:pPr>
      <w:r w:rsidRPr="00E80038">
        <w:rPr>
          <w:spacing w:val="-3"/>
          <w:sz w:val="24"/>
          <w:szCs w:val="24"/>
        </w:rPr>
        <w:t xml:space="preserve">As a matter of general principle, a complainant must show that the named utility is responsible or accountable for the problem described in the Complaint in order to prevail.  </w:t>
      </w:r>
      <w:r w:rsidRPr="00E80038">
        <w:rPr>
          <w:i/>
          <w:spacing w:val="-3"/>
          <w:sz w:val="24"/>
          <w:szCs w:val="24"/>
        </w:rPr>
        <w:t>Patterson v. Bell Telephone Company of Pennsylvania</w:t>
      </w:r>
      <w:r w:rsidRPr="00E80038">
        <w:rPr>
          <w:spacing w:val="-3"/>
          <w:sz w:val="24"/>
          <w:szCs w:val="24"/>
        </w:rPr>
        <w:t xml:space="preserve">, 72 Pa. Pub. Util. </w:t>
      </w:r>
      <w:proofErr w:type="spellStart"/>
      <w:r w:rsidRPr="00E80038">
        <w:rPr>
          <w:spacing w:val="-3"/>
          <w:sz w:val="24"/>
          <w:szCs w:val="24"/>
        </w:rPr>
        <w:t>Comm’n</w:t>
      </w:r>
      <w:proofErr w:type="spellEnd"/>
      <w:r w:rsidRPr="00E80038">
        <w:rPr>
          <w:spacing w:val="-3"/>
          <w:sz w:val="24"/>
          <w:szCs w:val="24"/>
        </w:rPr>
        <w:t xml:space="preserve"> 196 (1990); </w:t>
      </w:r>
      <w:r w:rsidRPr="00E80038">
        <w:rPr>
          <w:i/>
          <w:spacing w:val="-3"/>
          <w:sz w:val="24"/>
          <w:szCs w:val="24"/>
        </w:rPr>
        <w:t>Feinstein v. Philadelphia Suburban Water Company</w:t>
      </w:r>
      <w:r w:rsidRPr="00E80038">
        <w:rPr>
          <w:spacing w:val="-3"/>
          <w:sz w:val="24"/>
          <w:szCs w:val="24"/>
        </w:rPr>
        <w:t xml:space="preserve">, 50 Pa. Pub. Util. </w:t>
      </w:r>
      <w:proofErr w:type="spellStart"/>
      <w:r w:rsidRPr="00E80038">
        <w:rPr>
          <w:spacing w:val="-3"/>
          <w:sz w:val="24"/>
          <w:szCs w:val="24"/>
        </w:rPr>
        <w:t>Comm’n</w:t>
      </w:r>
      <w:proofErr w:type="spellEnd"/>
      <w:r w:rsidRPr="00E80038">
        <w:rPr>
          <w:spacing w:val="-3"/>
          <w:sz w:val="24"/>
          <w:szCs w:val="24"/>
        </w:rPr>
        <w:t xml:space="preserve"> 300 (1976).  This </w:t>
      </w:r>
      <w:r w:rsidRPr="00E80038">
        <w:rPr>
          <w:spacing w:val="-3"/>
          <w:sz w:val="24"/>
          <w:szCs w:val="24"/>
        </w:rPr>
        <w:lastRenderedPageBreak/>
        <w:t xml:space="preserve">must be shown by a preponderance of the evidence.  </w:t>
      </w:r>
      <w:r w:rsidRPr="00E80038">
        <w:rPr>
          <w:i/>
          <w:spacing w:val="-3"/>
          <w:sz w:val="24"/>
          <w:szCs w:val="24"/>
        </w:rPr>
        <w:t xml:space="preserve">Samuel J. </w:t>
      </w:r>
      <w:proofErr w:type="spellStart"/>
      <w:r w:rsidRPr="00E80038">
        <w:rPr>
          <w:i/>
          <w:spacing w:val="-3"/>
          <w:sz w:val="24"/>
          <w:szCs w:val="24"/>
        </w:rPr>
        <w:t>Lansberry</w:t>
      </w:r>
      <w:proofErr w:type="spellEnd"/>
      <w:r w:rsidRPr="00E80038">
        <w:rPr>
          <w:i/>
          <w:spacing w:val="-3"/>
          <w:sz w:val="24"/>
          <w:szCs w:val="24"/>
        </w:rPr>
        <w:t xml:space="preserve">, Inc. v. Pa. Pub. Util. </w:t>
      </w:r>
      <w:proofErr w:type="spellStart"/>
      <w:r w:rsidRPr="00E80038">
        <w:rPr>
          <w:i/>
          <w:spacing w:val="-3"/>
          <w:sz w:val="24"/>
          <w:szCs w:val="24"/>
        </w:rPr>
        <w:t>Comm’n</w:t>
      </w:r>
      <w:proofErr w:type="spellEnd"/>
      <w:r w:rsidRPr="00E80038">
        <w:rPr>
          <w:spacing w:val="-3"/>
          <w:sz w:val="24"/>
          <w:szCs w:val="24"/>
        </w:rPr>
        <w:t xml:space="preserve">, 578 A.2d 600 (1990), </w:t>
      </w:r>
      <w:proofErr w:type="spellStart"/>
      <w:r w:rsidRPr="00E80038">
        <w:rPr>
          <w:i/>
          <w:spacing w:val="-3"/>
          <w:sz w:val="24"/>
          <w:szCs w:val="24"/>
        </w:rPr>
        <w:t>alloc</w:t>
      </w:r>
      <w:proofErr w:type="spellEnd"/>
      <w:r w:rsidRPr="00E80038">
        <w:rPr>
          <w:i/>
          <w:spacing w:val="-3"/>
          <w:sz w:val="24"/>
          <w:szCs w:val="24"/>
        </w:rPr>
        <w:t>. den.</w:t>
      </w:r>
      <w:r w:rsidRPr="00E80038">
        <w:rPr>
          <w:spacing w:val="-3"/>
          <w:sz w:val="24"/>
          <w:szCs w:val="24"/>
        </w:rPr>
        <w:t>, 602 A.2d 863 (1992).</w:t>
      </w:r>
    </w:p>
    <w:p w:rsidR="00790178" w:rsidRPr="00E80038" w:rsidRDefault="00790178" w:rsidP="00790178">
      <w:pPr>
        <w:pStyle w:val="ListParagraph"/>
        <w:spacing w:line="360" w:lineRule="auto"/>
        <w:rPr>
          <w:spacing w:val="-3"/>
          <w:sz w:val="24"/>
          <w:szCs w:val="24"/>
        </w:rPr>
      </w:pPr>
    </w:p>
    <w:p w:rsidR="00790178" w:rsidRPr="00E80038" w:rsidRDefault="00790178" w:rsidP="00790178">
      <w:pPr>
        <w:pStyle w:val="ListParagraph"/>
        <w:numPr>
          <w:ilvl w:val="0"/>
          <w:numId w:val="24"/>
        </w:numPr>
        <w:tabs>
          <w:tab w:val="left" w:pos="2160"/>
        </w:tabs>
        <w:spacing w:line="360" w:lineRule="auto"/>
        <w:ind w:left="0" w:firstLine="1440"/>
        <w:rPr>
          <w:spacing w:val="-3"/>
          <w:sz w:val="24"/>
          <w:szCs w:val="24"/>
        </w:rPr>
      </w:pPr>
      <w:r w:rsidRPr="00E80038">
        <w:rPr>
          <w:sz w:val="24"/>
          <w:szCs w:val="24"/>
        </w:rPr>
        <w:t>The Respondent’s tariff defines a dwelling as “a living space consisting of at least permanent provisions for shelter, dining, sleeping and cooking, with provisions for electric water and sanitation service.”  Tariff Supplement No. 125 at page 20B.</w:t>
      </w:r>
    </w:p>
    <w:p w:rsidR="00790178" w:rsidRPr="00E80038" w:rsidRDefault="00790178" w:rsidP="00790178">
      <w:pPr>
        <w:pStyle w:val="ListParagraph"/>
        <w:spacing w:line="360" w:lineRule="auto"/>
        <w:rPr>
          <w:spacing w:val="-3"/>
          <w:sz w:val="24"/>
          <w:szCs w:val="24"/>
        </w:rPr>
      </w:pPr>
    </w:p>
    <w:p w:rsidR="00790178" w:rsidRPr="00E80038" w:rsidRDefault="00790178" w:rsidP="00790178">
      <w:pPr>
        <w:pStyle w:val="ListParagraph"/>
        <w:numPr>
          <w:ilvl w:val="0"/>
          <w:numId w:val="24"/>
        </w:numPr>
        <w:tabs>
          <w:tab w:val="left" w:pos="-1440"/>
          <w:tab w:val="left" w:pos="-720"/>
          <w:tab w:val="left" w:pos="2160"/>
        </w:tabs>
        <w:suppressAutoHyphens/>
        <w:spacing w:line="360" w:lineRule="auto"/>
        <w:ind w:left="0" w:firstLine="1440"/>
        <w:rPr>
          <w:sz w:val="24"/>
          <w:szCs w:val="24"/>
        </w:rPr>
      </w:pPr>
      <w:r w:rsidRPr="00E80038">
        <w:rPr>
          <w:sz w:val="24"/>
          <w:szCs w:val="24"/>
        </w:rPr>
        <w:t xml:space="preserve">The provisions of a Commission approved tariff have the force of law and are binding on both the utility and its customer.  </w:t>
      </w:r>
      <w:proofErr w:type="spellStart"/>
      <w:r w:rsidRPr="00E80038">
        <w:rPr>
          <w:i/>
          <w:sz w:val="24"/>
          <w:szCs w:val="24"/>
        </w:rPr>
        <w:t>Stiteler</w:t>
      </w:r>
      <w:proofErr w:type="spellEnd"/>
      <w:r w:rsidRPr="00E80038">
        <w:rPr>
          <w:i/>
          <w:sz w:val="24"/>
          <w:szCs w:val="24"/>
        </w:rPr>
        <w:t xml:space="preserve"> v. Bell Telephone Co. of Pennsylvania,</w:t>
      </w:r>
      <w:r w:rsidRPr="00E80038">
        <w:rPr>
          <w:sz w:val="24"/>
          <w:szCs w:val="24"/>
        </w:rPr>
        <w:t xml:space="preserve"> 379 A.2d 339 (Pa. </w:t>
      </w:r>
      <w:proofErr w:type="spellStart"/>
      <w:r w:rsidRPr="00E80038">
        <w:rPr>
          <w:sz w:val="24"/>
          <w:szCs w:val="24"/>
        </w:rPr>
        <w:t>Commw</w:t>
      </w:r>
      <w:proofErr w:type="spellEnd"/>
      <w:r w:rsidRPr="00E80038">
        <w:rPr>
          <w:sz w:val="24"/>
          <w:szCs w:val="24"/>
        </w:rPr>
        <w:t xml:space="preserve">. 1977), </w:t>
      </w:r>
      <w:r w:rsidRPr="00E80038">
        <w:rPr>
          <w:i/>
          <w:sz w:val="24"/>
          <w:szCs w:val="24"/>
        </w:rPr>
        <w:t xml:space="preserve">Brockway Glass Co. v. PA Public Utility </w:t>
      </w:r>
      <w:proofErr w:type="spellStart"/>
      <w:r w:rsidRPr="00E80038">
        <w:rPr>
          <w:i/>
          <w:sz w:val="24"/>
          <w:szCs w:val="24"/>
        </w:rPr>
        <w:t>Comm’n</w:t>
      </w:r>
      <w:proofErr w:type="spellEnd"/>
      <w:r w:rsidRPr="00E80038">
        <w:rPr>
          <w:sz w:val="24"/>
          <w:szCs w:val="24"/>
        </w:rPr>
        <w:t xml:space="preserve">, 437 A.2d 1067 (Pa. </w:t>
      </w:r>
      <w:proofErr w:type="spellStart"/>
      <w:r w:rsidRPr="00E80038">
        <w:rPr>
          <w:sz w:val="24"/>
          <w:szCs w:val="24"/>
        </w:rPr>
        <w:t>Commw</w:t>
      </w:r>
      <w:proofErr w:type="spellEnd"/>
      <w:r w:rsidRPr="00E80038">
        <w:rPr>
          <w:sz w:val="24"/>
          <w:szCs w:val="24"/>
        </w:rPr>
        <w:t xml:space="preserve">. 1981).  </w:t>
      </w:r>
    </w:p>
    <w:p w:rsidR="00790178" w:rsidRPr="00E80038" w:rsidRDefault="00790178" w:rsidP="00790178">
      <w:pPr>
        <w:pStyle w:val="ListParagraph"/>
        <w:tabs>
          <w:tab w:val="left" w:pos="2160"/>
        </w:tabs>
        <w:spacing w:line="360" w:lineRule="auto"/>
        <w:ind w:left="0" w:firstLine="1440"/>
        <w:rPr>
          <w:sz w:val="24"/>
          <w:szCs w:val="24"/>
        </w:rPr>
      </w:pPr>
    </w:p>
    <w:p w:rsidR="00790178" w:rsidRPr="00E80038" w:rsidRDefault="00790178" w:rsidP="00790178">
      <w:pPr>
        <w:pStyle w:val="ListParagraph"/>
        <w:numPr>
          <w:ilvl w:val="0"/>
          <w:numId w:val="24"/>
        </w:numPr>
        <w:tabs>
          <w:tab w:val="left" w:pos="-1440"/>
          <w:tab w:val="left" w:pos="-720"/>
          <w:tab w:val="left" w:pos="2160"/>
        </w:tabs>
        <w:suppressAutoHyphens/>
        <w:spacing w:line="360" w:lineRule="auto"/>
        <w:ind w:left="0" w:firstLine="1440"/>
        <w:rPr>
          <w:sz w:val="24"/>
          <w:szCs w:val="24"/>
        </w:rPr>
      </w:pPr>
      <w:r w:rsidRPr="00E80038">
        <w:rPr>
          <w:sz w:val="24"/>
          <w:szCs w:val="24"/>
        </w:rPr>
        <w:t xml:space="preserve">Tariff provisions approved by the Commission are </w:t>
      </w:r>
      <w:r w:rsidRPr="00E80038">
        <w:rPr>
          <w:i/>
          <w:sz w:val="24"/>
          <w:szCs w:val="24"/>
        </w:rPr>
        <w:t>prima facie</w:t>
      </w:r>
      <w:r w:rsidRPr="00E80038">
        <w:rPr>
          <w:sz w:val="24"/>
          <w:szCs w:val="24"/>
          <w:u w:val="words"/>
        </w:rPr>
        <w:t xml:space="preserve"> </w:t>
      </w:r>
      <w:r w:rsidRPr="00E80038">
        <w:rPr>
          <w:sz w:val="24"/>
          <w:szCs w:val="24"/>
        </w:rPr>
        <w:t xml:space="preserve">reasonable.  </w:t>
      </w:r>
      <w:r w:rsidRPr="00E80038">
        <w:rPr>
          <w:i/>
          <w:sz w:val="24"/>
          <w:szCs w:val="24"/>
        </w:rPr>
        <w:t xml:space="preserve">Lynch v. PA Public Utility </w:t>
      </w:r>
      <w:proofErr w:type="spellStart"/>
      <w:r w:rsidRPr="00E80038">
        <w:rPr>
          <w:i/>
          <w:sz w:val="24"/>
          <w:szCs w:val="24"/>
        </w:rPr>
        <w:t>Comm’n</w:t>
      </w:r>
      <w:proofErr w:type="spellEnd"/>
      <w:r w:rsidRPr="00E80038">
        <w:rPr>
          <w:sz w:val="24"/>
          <w:szCs w:val="24"/>
        </w:rPr>
        <w:t xml:space="preserve">, 594 A.2d 816 (Pa. </w:t>
      </w:r>
      <w:proofErr w:type="spellStart"/>
      <w:r w:rsidRPr="00E80038">
        <w:rPr>
          <w:sz w:val="24"/>
          <w:szCs w:val="24"/>
        </w:rPr>
        <w:t>Commw</w:t>
      </w:r>
      <w:proofErr w:type="spellEnd"/>
      <w:r w:rsidRPr="00E80038">
        <w:rPr>
          <w:sz w:val="24"/>
          <w:szCs w:val="24"/>
        </w:rPr>
        <w:t xml:space="preserve">. 1991), </w:t>
      </w:r>
      <w:proofErr w:type="spellStart"/>
      <w:r w:rsidRPr="00E80038">
        <w:rPr>
          <w:i/>
          <w:sz w:val="24"/>
          <w:szCs w:val="24"/>
        </w:rPr>
        <w:t>alloc</w:t>
      </w:r>
      <w:proofErr w:type="spellEnd"/>
      <w:r w:rsidRPr="00E80038">
        <w:rPr>
          <w:i/>
          <w:sz w:val="24"/>
          <w:szCs w:val="24"/>
        </w:rPr>
        <w:t xml:space="preserve">. </w:t>
      </w:r>
      <w:proofErr w:type="gramStart"/>
      <w:r w:rsidRPr="00E80038">
        <w:rPr>
          <w:i/>
          <w:sz w:val="24"/>
          <w:szCs w:val="24"/>
        </w:rPr>
        <w:t>den</w:t>
      </w:r>
      <w:proofErr w:type="gramEnd"/>
      <w:r w:rsidRPr="00E80038">
        <w:rPr>
          <w:sz w:val="24"/>
          <w:szCs w:val="24"/>
        </w:rPr>
        <w:t xml:space="preserve">. 605 A.2d 335 (Pa. 1992). </w:t>
      </w:r>
    </w:p>
    <w:p w:rsidR="00790178" w:rsidRPr="00E80038" w:rsidRDefault="00790178" w:rsidP="00790178">
      <w:pPr>
        <w:pStyle w:val="ListParagraph"/>
        <w:spacing w:line="360" w:lineRule="auto"/>
        <w:rPr>
          <w:sz w:val="24"/>
          <w:szCs w:val="24"/>
        </w:rPr>
      </w:pPr>
    </w:p>
    <w:p w:rsidR="00790178" w:rsidRPr="00E80038" w:rsidRDefault="00790178" w:rsidP="00790178">
      <w:pPr>
        <w:pStyle w:val="ListParagraph"/>
        <w:numPr>
          <w:ilvl w:val="0"/>
          <w:numId w:val="24"/>
        </w:numPr>
        <w:tabs>
          <w:tab w:val="left" w:pos="2160"/>
        </w:tabs>
        <w:spacing w:line="360" w:lineRule="auto"/>
        <w:ind w:left="0" w:firstLine="1440"/>
        <w:rPr>
          <w:spacing w:val="-3"/>
          <w:sz w:val="24"/>
          <w:szCs w:val="24"/>
        </w:rPr>
      </w:pPr>
      <w:r w:rsidRPr="00E80038">
        <w:rPr>
          <w:spacing w:val="-3"/>
          <w:sz w:val="24"/>
          <w:szCs w:val="24"/>
        </w:rPr>
        <w:t>The Complainant’s garage does not meet the Respondent’s tariff definition of a dwelling.</w:t>
      </w:r>
    </w:p>
    <w:p w:rsidR="00790178" w:rsidRPr="00E80038" w:rsidRDefault="00790178" w:rsidP="00790178">
      <w:pPr>
        <w:pStyle w:val="ListParagraph"/>
        <w:spacing w:line="360" w:lineRule="auto"/>
        <w:rPr>
          <w:spacing w:val="-3"/>
          <w:sz w:val="24"/>
          <w:szCs w:val="24"/>
        </w:rPr>
      </w:pPr>
    </w:p>
    <w:p w:rsidR="00790178" w:rsidRPr="00E80038" w:rsidRDefault="00790178" w:rsidP="00790178">
      <w:pPr>
        <w:pStyle w:val="ListParagraph"/>
        <w:numPr>
          <w:ilvl w:val="0"/>
          <w:numId w:val="24"/>
        </w:numPr>
        <w:tabs>
          <w:tab w:val="left" w:pos="2160"/>
        </w:tabs>
        <w:spacing w:line="360" w:lineRule="auto"/>
        <w:ind w:left="0" w:firstLine="1440"/>
        <w:rPr>
          <w:spacing w:val="-3"/>
          <w:sz w:val="24"/>
          <w:szCs w:val="24"/>
        </w:rPr>
      </w:pPr>
      <w:r w:rsidRPr="00E80038">
        <w:rPr>
          <w:spacing w:val="-3"/>
          <w:sz w:val="24"/>
          <w:szCs w:val="24"/>
        </w:rPr>
        <w:t>The Complainant failed to prove that he is entitled to the residential rate.</w:t>
      </w:r>
    </w:p>
    <w:p w:rsidR="00790178" w:rsidRPr="00E80038" w:rsidRDefault="00790178" w:rsidP="00790178">
      <w:pPr>
        <w:pStyle w:val="ListParagraph"/>
        <w:tabs>
          <w:tab w:val="left" w:pos="2160"/>
        </w:tabs>
        <w:spacing w:line="360" w:lineRule="auto"/>
        <w:ind w:left="1440"/>
        <w:rPr>
          <w:spacing w:val="-3"/>
          <w:sz w:val="24"/>
          <w:szCs w:val="24"/>
        </w:rPr>
      </w:pPr>
    </w:p>
    <w:p w:rsidR="00790178" w:rsidRPr="00E80038" w:rsidRDefault="00790178" w:rsidP="00790178">
      <w:pPr>
        <w:pStyle w:val="ListParagraph"/>
        <w:numPr>
          <w:ilvl w:val="0"/>
          <w:numId w:val="24"/>
        </w:numPr>
        <w:tabs>
          <w:tab w:val="left" w:pos="2160"/>
        </w:tabs>
        <w:spacing w:line="360" w:lineRule="auto"/>
        <w:ind w:left="0" w:firstLine="1440"/>
        <w:rPr>
          <w:spacing w:val="-3"/>
          <w:sz w:val="24"/>
          <w:szCs w:val="24"/>
        </w:rPr>
      </w:pPr>
      <w:r w:rsidRPr="00E80038">
        <w:rPr>
          <w:spacing w:val="-3"/>
          <w:sz w:val="24"/>
          <w:szCs w:val="24"/>
        </w:rPr>
        <w:t>The Respondent is correctly charging the Complainant at the GS-1 rate until his garage meets the definition of a dwelling.</w:t>
      </w:r>
    </w:p>
    <w:p w:rsidR="00790178" w:rsidRPr="00E80038" w:rsidRDefault="00790178" w:rsidP="00790178">
      <w:pPr>
        <w:tabs>
          <w:tab w:val="left" w:pos="2160"/>
        </w:tabs>
        <w:spacing w:line="360" w:lineRule="auto"/>
        <w:ind w:firstLine="1440"/>
        <w:jc w:val="center"/>
        <w:rPr>
          <w:sz w:val="24"/>
          <w:szCs w:val="24"/>
          <w:u w:val="single"/>
        </w:rPr>
      </w:pPr>
    </w:p>
    <w:p w:rsidR="00790178" w:rsidRPr="00E80038" w:rsidRDefault="00790178" w:rsidP="00790178">
      <w:pPr>
        <w:spacing w:line="360" w:lineRule="auto"/>
        <w:jc w:val="center"/>
        <w:rPr>
          <w:sz w:val="24"/>
          <w:szCs w:val="24"/>
          <w:u w:val="single"/>
        </w:rPr>
      </w:pPr>
    </w:p>
    <w:p w:rsidR="00790178" w:rsidRPr="00E80038" w:rsidRDefault="00790178" w:rsidP="00790178">
      <w:pPr>
        <w:spacing w:line="360" w:lineRule="auto"/>
        <w:jc w:val="center"/>
        <w:rPr>
          <w:sz w:val="24"/>
          <w:szCs w:val="24"/>
          <w:u w:val="single"/>
        </w:rPr>
      </w:pPr>
    </w:p>
    <w:p w:rsidR="00790178" w:rsidRPr="00E80038" w:rsidRDefault="00790178" w:rsidP="00790178">
      <w:pPr>
        <w:spacing w:line="360" w:lineRule="auto"/>
        <w:jc w:val="center"/>
        <w:rPr>
          <w:sz w:val="24"/>
          <w:szCs w:val="24"/>
          <w:u w:val="single"/>
        </w:rPr>
      </w:pPr>
    </w:p>
    <w:p w:rsidR="00790178" w:rsidRPr="00E80038" w:rsidRDefault="00790178" w:rsidP="00790178">
      <w:pPr>
        <w:spacing w:line="360" w:lineRule="auto"/>
        <w:jc w:val="center"/>
        <w:rPr>
          <w:sz w:val="24"/>
          <w:szCs w:val="24"/>
          <w:u w:val="single"/>
        </w:rPr>
      </w:pPr>
    </w:p>
    <w:p w:rsidR="00790178" w:rsidRPr="00E80038" w:rsidRDefault="00790178" w:rsidP="00790178">
      <w:pPr>
        <w:spacing w:line="360" w:lineRule="auto"/>
        <w:jc w:val="center"/>
        <w:rPr>
          <w:sz w:val="24"/>
          <w:szCs w:val="24"/>
          <w:u w:val="single"/>
        </w:rPr>
      </w:pPr>
    </w:p>
    <w:p w:rsidR="00790178" w:rsidRPr="00E80038" w:rsidRDefault="00790178" w:rsidP="00790178">
      <w:pPr>
        <w:spacing w:line="360" w:lineRule="auto"/>
        <w:jc w:val="center"/>
        <w:rPr>
          <w:sz w:val="24"/>
          <w:szCs w:val="24"/>
          <w:u w:val="single"/>
        </w:rPr>
      </w:pPr>
    </w:p>
    <w:p w:rsidR="00790178" w:rsidRPr="00E80038" w:rsidRDefault="00790178" w:rsidP="00790178">
      <w:pPr>
        <w:spacing w:line="360" w:lineRule="auto"/>
        <w:jc w:val="center"/>
        <w:rPr>
          <w:sz w:val="24"/>
          <w:szCs w:val="24"/>
          <w:u w:val="single"/>
        </w:rPr>
      </w:pPr>
    </w:p>
    <w:p w:rsidR="00790178" w:rsidRPr="00E80038" w:rsidRDefault="00790178" w:rsidP="00790178">
      <w:pPr>
        <w:spacing w:line="360" w:lineRule="auto"/>
        <w:jc w:val="center"/>
        <w:rPr>
          <w:sz w:val="24"/>
          <w:szCs w:val="24"/>
          <w:u w:val="single"/>
        </w:rPr>
      </w:pPr>
      <w:r w:rsidRPr="00E80038">
        <w:rPr>
          <w:sz w:val="24"/>
          <w:szCs w:val="24"/>
          <w:u w:val="single"/>
        </w:rPr>
        <w:lastRenderedPageBreak/>
        <w:t>ORDER</w:t>
      </w:r>
    </w:p>
    <w:p w:rsidR="00790178" w:rsidRPr="00E80038" w:rsidRDefault="00790178" w:rsidP="00790178">
      <w:pPr>
        <w:spacing w:line="360" w:lineRule="auto"/>
        <w:jc w:val="center"/>
        <w:rPr>
          <w:sz w:val="24"/>
          <w:szCs w:val="24"/>
          <w:u w:val="single"/>
        </w:rPr>
      </w:pPr>
    </w:p>
    <w:p w:rsidR="00790178" w:rsidRPr="00E80038" w:rsidRDefault="00790178" w:rsidP="00790178">
      <w:pPr>
        <w:spacing w:line="360" w:lineRule="auto"/>
        <w:jc w:val="center"/>
        <w:rPr>
          <w:sz w:val="24"/>
          <w:szCs w:val="24"/>
          <w:u w:val="single"/>
        </w:rPr>
      </w:pPr>
    </w:p>
    <w:p w:rsidR="00790178" w:rsidRPr="00E80038" w:rsidRDefault="00790178" w:rsidP="00790178">
      <w:pPr>
        <w:spacing w:line="360" w:lineRule="auto"/>
        <w:ind w:firstLine="1440"/>
        <w:rPr>
          <w:b/>
          <w:sz w:val="24"/>
          <w:szCs w:val="24"/>
        </w:rPr>
      </w:pPr>
      <w:r w:rsidRPr="00E80038">
        <w:rPr>
          <w:sz w:val="24"/>
          <w:szCs w:val="24"/>
        </w:rPr>
        <w:t xml:space="preserve">THEREFORE, </w:t>
      </w:r>
    </w:p>
    <w:p w:rsidR="00790178" w:rsidRPr="00E80038" w:rsidRDefault="00790178" w:rsidP="00790178">
      <w:pPr>
        <w:spacing w:line="360" w:lineRule="auto"/>
        <w:rPr>
          <w:b/>
          <w:sz w:val="24"/>
          <w:szCs w:val="24"/>
        </w:rPr>
      </w:pPr>
    </w:p>
    <w:p w:rsidR="00790178" w:rsidRPr="00E80038" w:rsidRDefault="00790178" w:rsidP="00790178">
      <w:pPr>
        <w:spacing w:line="360" w:lineRule="auto"/>
        <w:ind w:firstLine="1440"/>
        <w:outlineLvl w:val="0"/>
        <w:rPr>
          <w:sz w:val="24"/>
          <w:szCs w:val="24"/>
        </w:rPr>
      </w:pPr>
      <w:r w:rsidRPr="00E80038">
        <w:rPr>
          <w:sz w:val="24"/>
          <w:szCs w:val="24"/>
        </w:rPr>
        <w:t xml:space="preserve">IT IS ORDERED: </w:t>
      </w:r>
    </w:p>
    <w:p w:rsidR="00790178" w:rsidRPr="00E80038" w:rsidRDefault="00790178" w:rsidP="00790178">
      <w:pPr>
        <w:spacing w:line="360" w:lineRule="auto"/>
        <w:ind w:firstLine="1440"/>
        <w:outlineLvl w:val="0"/>
        <w:rPr>
          <w:sz w:val="24"/>
          <w:szCs w:val="24"/>
        </w:rPr>
      </w:pPr>
    </w:p>
    <w:p w:rsidR="00790178" w:rsidRPr="00E80038" w:rsidRDefault="00790178" w:rsidP="00790178">
      <w:pPr>
        <w:pStyle w:val="ListParagraph"/>
        <w:numPr>
          <w:ilvl w:val="0"/>
          <w:numId w:val="25"/>
        </w:numPr>
        <w:spacing w:line="360" w:lineRule="auto"/>
        <w:ind w:left="0" w:firstLine="1440"/>
        <w:outlineLvl w:val="0"/>
        <w:rPr>
          <w:sz w:val="24"/>
          <w:szCs w:val="24"/>
        </w:rPr>
      </w:pPr>
      <w:r w:rsidRPr="00E80038">
        <w:rPr>
          <w:sz w:val="24"/>
          <w:szCs w:val="24"/>
        </w:rPr>
        <w:t xml:space="preserve">That the Formal Complaint of Michael </w:t>
      </w:r>
      <w:proofErr w:type="spellStart"/>
      <w:r w:rsidRPr="00E80038">
        <w:rPr>
          <w:sz w:val="24"/>
          <w:szCs w:val="24"/>
        </w:rPr>
        <w:t>Bobitka</w:t>
      </w:r>
      <w:proofErr w:type="spellEnd"/>
      <w:r w:rsidRPr="00E80038">
        <w:rPr>
          <w:sz w:val="24"/>
          <w:szCs w:val="24"/>
        </w:rPr>
        <w:t xml:space="preserve"> at Docket No. C-2013-2352756 is denied and dismissed.</w:t>
      </w:r>
    </w:p>
    <w:p w:rsidR="00790178" w:rsidRPr="00E80038" w:rsidRDefault="00790178" w:rsidP="00790178">
      <w:pPr>
        <w:pStyle w:val="ListParagraph"/>
        <w:spacing w:line="360" w:lineRule="auto"/>
        <w:ind w:left="1440"/>
        <w:outlineLvl w:val="0"/>
        <w:rPr>
          <w:sz w:val="24"/>
          <w:szCs w:val="24"/>
        </w:rPr>
      </w:pPr>
    </w:p>
    <w:p w:rsidR="00790178" w:rsidRPr="00E80038" w:rsidRDefault="00790178" w:rsidP="00790178">
      <w:pPr>
        <w:pStyle w:val="ListParagraph"/>
        <w:numPr>
          <w:ilvl w:val="0"/>
          <w:numId w:val="25"/>
        </w:numPr>
        <w:spacing w:line="360" w:lineRule="auto"/>
        <w:ind w:left="0" w:firstLine="1440"/>
        <w:outlineLvl w:val="0"/>
        <w:rPr>
          <w:sz w:val="24"/>
          <w:szCs w:val="24"/>
        </w:rPr>
      </w:pPr>
      <w:r w:rsidRPr="00E80038">
        <w:rPr>
          <w:sz w:val="24"/>
          <w:szCs w:val="24"/>
        </w:rPr>
        <w:t>That the Secretary’s Bureau shall mark Docket No. C-2013-2352756 closed.</w:t>
      </w:r>
    </w:p>
    <w:p w:rsidR="00790178" w:rsidRPr="00E80038" w:rsidRDefault="00790178" w:rsidP="00790178">
      <w:pPr>
        <w:spacing w:line="360" w:lineRule="auto"/>
        <w:rPr>
          <w:sz w:val="24"/>
          <w:szCs w:val="24"/>
        </w:rPr>
      </w:pPr>
    </w:p>
    <w:p w:rsidR="00790178" w:rsidRPr="00E80038" w:rsidRDefault="00790178" w:rsidP="00790178">
      <w:pPr>
        <w:spacing w:line="360" w:lineRule="auto"/>
        <w:rPr>
          <w:sz w:val="24"/>
          <w:szCs w:val="24"/>
        </w:rPr>
      </w:pPr>
    </w:p>
    <w:p w:rsidR="00790178" w:rsidRPr="00E80038" w:rsidRDefault="00790178" w:rsidP="00790178">
      <w:pPr>
        <w:spacing w:line="360" w:lineRule="auto"/>
        <w:rPr>
          <w:sz w:val="24"/>
          <w:szCs w:val="24"/>
        </w:rPr>
      </w:pPr>
    </w:p>
    <w:p w:rsidR="00790178" w:rsidRPr="00E80038" w:rsidRDefault="00790178" w:rsidP="00790178">
      <w:pPr>
        <w:rPr>
          <w:sz w:val="24"/>
          <w:szCs w:val="24"/>
        </w:rPr>
      </w:pPr>
      <w:r w:rsidRPr="00E80038">
        <w:rPr>
          <w:sz w:val="24"/>
          <w:szCs w:val="24"/>
        </w:rPr>
        <w:t xml:space="preserve">Date:  </w:t>
      </w:r>
      <w:r w:rsidRPr="00E80038">
        <w:rPr>
          <w:sz w:val="24"/>
          <w:szCs w:val="24"/>
          <w:u w:val="single"/>
        </w:rPr>
        <w:t>July 2, 2013</w:t>
      </w:r>
      <w:r w:rsidRPr="00E80038">
        <w:rPr>
          <w:sz w:val="24"/>
          <w:szCs w:val="24"/>
        </w:rPr>
        <w:tab/>
      </w:r>
      <w:r w:rsidRPr="00E80038">
        <w:rPr>
          <w:sz w:val="24"/>
          <w:szCs w:val="24"/>
        </w:rPr>
        <w:tab/>
      </w:r>
      <w:r w:rsidRPr="00E80038">
        <w:rPr>
          <w:sz w:val="24"/>
          <w:szCs w:val="24"/>
        </w:rPr>
        <w:tab/>
      </w:r>
      <w:r w:rsidRPr="00E80038">
        <w:rPr>
          <w:sz w:val="24"/>
          <w:szCs w:val="24"/>
        </w:rPr>
        <w:tab/>
      </w:r>
      <w:r w:rsidRPr="00E80038">
        <w:rPr>
          <w:sz w:val="24"/>
          <w:szCs w:val="24"/>
        </w:rPr>
        <w:tab/>
      </w:r>
      <w:r w:rsidRPr="00E80038">
        <w:rPr>
          <w:sz w:val="24"/>
          <w:szCs w:val="24"/>
        </w:rPr>
        <w:tab/>
      </w:r>
      <w:r w:rsidRPr="00E80038">
        <w:rPr>
          <w:sz w:val="24"/>
          <w:szCs w:val="24"/>
          <w:u w:val="single"/>
        </w:rPr>
        <w:tab/>
      </w:r>
      <w:r w:rsidRPr="00E80038">
        <w:rPr>
          <w:sz w:val="24"/>
          <w:szCs w:val="24"/>
          <w:u w:val="single"/>
        </w:rPr>
        <w:tab/>
        <w:t>/s/</w:t>
      </w:r>
      <w:r w:rsidRPr="00E80038">
        <w:rPr>
          <w:sz w:val="24"/>
          <w:szCs w:val="24"/>
          <w:u w:val="single"/>
        </w:rPr>
        <w:tab/>
      </w:r>
      <w:r w:rsidRPr="00E80038">
        <w:rPr>
          <w:sz w:val="24"/>
          <w:szCs w:val="24"/>
          <w:u w:val="single"/>
        </w:rPr>
        <w:tab/>
      </w:r>
      <w:r w:rsidRPr="00E80038">
        <w:rPr>
          <w:sz w:val="24"/>
          <w:szCs w:val="24"/>
          <w:u w:val="single"/>
        </w:rPr>
        <w:tab/>
      </w:r>
    </w:p>
    <w:p w:rsidR="00790178" w:rsidRPr="00E80038" w:rsidRDefault="00790178" w:rsidP="00790178">
      <w:pPr>
        <w:rPr>
          <w:sz w:val="24"/>
          <w:szCs w:val="24"/>
        </w:rPr>
      </w:pPr>
      <w:r w:rsidRPr="00E80038">
        <w:rPr>
          <w:sz w:val="24"/>
          <w:szCs w:val="24"/>
        </w:rPr>
        <w:tab/>
      </w:r>
      <w:r w:rsidRPr="00E80038">
        <w:rPr>
          <w:sz w:val="24"/>
          <w:szCs w:val="24"/>
        </w:rPr>
        <w:tab/>
      </w:r>
      <w:r w:rsidRPr="00E80038">
        <w:rPr>
          <w:sz w:val="24"/>
          <w:szCs w:val="24"/>
        </w:rPr>
        <w:tab/>
      </w:r>
      <w:r w:rsidRPr="00E80038">
        <w:rPr>
          <w:sz w:val="24"/>
          <w:szCs w:val="24"/>
        </w:rPr>
        <w:tab/>
      </w:r>
      <w:r w:rsidRPr="00E80038">
        <w:rPr>
          <w:sz w:val="24"/>
          <w:szCs w:val="24"/>
        </w:rPr>
        <w:tab/>
      </w:r>
      <w:r w:rsidRPr="00E80038">
        <w:rPr>
          <w:sz w:val="24"/>
          <w:szCs w:val="24"/>
        </w:rPr>
        <w:tab/>
      </w:r>
      <w:r w:rsidRPr="00E80038">
        <w:rPr>
          <w:sz w:val="24"/>
          <w:szCs w:val="24"/>
        </w:rPr>
        <w:tab/>
      </w:r>
      <w:r w:rsidRPr="00E80038">
        <w:rPr>
          <w:sz w:val="24"/>
          <w:szCs w:val="24"/>
        </w:rPr>
        <w:tab/>
        <w:t>Ember S. Jandebeur</w:t>
      </w:r>
    </w:p>
    <w:p w:rsidR="00790178" w:rsidRPr="00E80038" w:rsidRDefault="00790178" w:rsidP="00790178">
      <w:pPr>
        <w:rPr>
          <w:sz w:val="24"/>
          <w:szCs w:val="24"/>
        </w:rPr>
      </w:pPr>
      <w:r w:rsidRPr="00E80038">
        <w:rPr>
          <w:sz w:val="24"/>
          <w:szCs w:val="24"/>
        </w:rPr>
        <w:tab/>
      </w:r>
      <w:r w:rsidRPr="00E80038">
        <w:rPr>
          <w:sz w:val="24"/>
          <w:szCs w:val="24"/>
        </w:rPr>
        <w:tab/>
      </w:r>
      <w:r w:rsidRPr="00E80038">
        <w:rPr>
          <w:sz w:val="24"/>
          <w:szCs w:val="24"/>
        </w:rPr>
        <w:tab/>
      </w:r>
      <w:r w:rsidRPr="00E80038">
        <w:rPr>
          <w:sz w:val="24"/>
          <w:szCs w:val="24"/>
        </w:rPr>
        <w:tab/>
      </w:r>
      <w:r w:rsidRPr="00E80038">
        <w:rPr>
          <w:sz w:val="24"/>
          <w:szCs w:val="24"/>
        </w:rPr>
        <w:tab/>
      </w:r>
      <w:r w:rsidRPr="00E80038">
        <w:rPr>
          <w:sz w:val="24"/>
          <w:szCs w:val="24"/>
        </w:rPr>
        <w:tab/>
      </w:r>
      <w:r w:rsidRPr="00E80038">
        <w:rPr>
          <w:sz w:val="24"/>
          <w:szCs w:val="24"/>
        </w:rPr>
        <w:tab/>
      </w:r>
      <w:r w:rsidRPr="00E80038">
        <w:rPr>
          <w:sz w:val="24"/>
          <w:szCs w:val="24"/>
        </w:rPr>
        <w:tab/>
        <w:t>Administrative Law Judge</w:t>
      </w:r>
    </w:p>
    <w:p w:rsidR="00790178" w:rsidRPr="00E80038" w:rsidRDefault="00790178" w:rsidP="00790178">
      <w:pPr>
        <w:jc w:val="both"/>
        <w:rPr>
          <w:sz w:val="24"/>
          <w:szCs w:val="24"/>
        </w:rPr>
      </w:pPr>
    </w:p>
    <w:p w:rsidR="00790178" w:rsidRPr="00E80038" w:rsidRDefault="00790178" w:rsidP="00790178">
      <w:pPr>
        <w:jc w:val="both"/>
        <w:rPr>
          <w:sz w:val="24"/>
          <w:szCs w:val="24"/>
        </w:rPr>
      </w:pPr>
    </w:p>
    <w:p w:rsidR="00790178" w:rsidRPr="00E80038" w:rsidRDefault="00790178" w:rsidP="00790178">
      <w:pPr>
        <w:tabs>
          <w:tab w:val="center" w:pos="4752"/>
        </w:tabs>
        <w:suppressAutoHyphens/>
        <w:jc w:val="center"/>
        <w:rPr>
          <w:kern w:val="2"/>
        </w:rPr>
      </w:pPr>
    </w:p>
    <w:p w:rsidR="00790178" w:rsidRPr="00E80038" w:rsidRDefault="00790178" w:rsidP="00790178">
      <w:pPr>
        <w:jc w:val="both"/>
        <w:rPr>
          <w:sz w:val="24"/>
          <w:szCs w:val="24"/>
        </w:rPr>
      </w:pPr>
    </w:p>
    <w:p w:rsidR="002B19D4" w:rsidRPr="00E80038" w:rsidRDefault="002B19D4" w:rsidP="00790178"/>
    <w:sectPr w:rsidR="002B19D4" w:rsidRPr="00E80038" w:rsidSect="005F452A">
      <w:footerReference w:type="even" r:id="rId20"/>
      <w:foot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E9D" w:rsidRDefault="00886E9D">
      <w:r>
        <w:separator/>
      </w:r>
    </w:p>
  </w:endnote>
  <w:endnote w:type="continuationSeparator" w:id="0">
    <w:p w:rsidR="00886E9D" w:rsidRDefault="0088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E80038">
      <w:rPr>
        <w:rStyle w:val="PageNumber"/>
        <w:noProof/>
        <w:sz w:val="20"/>
        <w:szCs w:val="20"/>
      </w:rPr>
      <w:t>2</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E9D" w:rsidRDefault="00886E9D">
      <w:r>
        <w:separator/>
      </w:r>
    </w:p>
  </w:footnote>
  <w:footnote w:type="continuationSeparator" w:id="0">
    <w:p w:rsidR="00886E9D" w:rsidRDefault="00886E9D">
      <w:r>
        <w:continuationSeparator/>
      </w:r>
    </w:p>
  </w:footnote>
  <w:footnote w:id="1">
    <w:p w:rsidR="00790178" w:rsidRDefault="00790178" w:rsidP="00790178">
      <w:pPr>
        <w:pStyle w:val="FootnoteText"/>
      </w:pPr>
      <w:r>
        <w:rPr>
          <w:rStyle w:val="FootnoteReference"/>
        </w:rPr>
        <w:footnoteRef/>
      </w:r>
      <w:r>
        <w:t xml:space="preserve"> The mailing address is P.O. Box 591, Marshalls Creek, Pennsylvania 18335.</w:t>
      </w:r>
    </w:p>
    <w:p w:rsidR="00790178" w:rsidRDefault="00790178" w:rsidP="00790178">
      <w:pPr>
        <w:pStyle w:val="FootnoteText"/>
      </w:pPr>
    </w:p>
  </w:footnote>
  <w:footnote w:id="2">
    <w:p w:rsidR="00790178" w:rsidRDefault="00790178" w:rsidP="00790178">
      <w:pPr>
        <w:pStyle w:val="FootnoteText"/>
      </w:pPr>
      <w:r>
        <w:rPr>
          <w:rStyle w:val="FootnoteReference"/>
        </w:rPr>
        <w:footnoteRef/>
      </w:r>
      <w:r>
        <w:t xml:space="preserve"> Judicial notice was taken of the tariff.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664DFC"/>
    <w:multiLevelType w:val="hybridMultilevel"/>
    <w:tmpl w:val="CB669306"/>
    <w:lvl w:ilvl="0" w:tplc="33B2BD3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4E4518F"/>
    <w:multiLevelType w:val="hybridMultilevel"/>
    <w:tmpl w:val="42F40D2E"/>
    <w:lvl w:ilvl="0" w:tplc="33B2BD32">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5">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C3A20ED"/>
    <w:multiLevelType w:val="hybridMultilevel"/>
    <w:tmpl w:val="C840B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4"/>
  </w:num>
  <w:num w:numId="4">
    <w:abstractNumId w:val="2"/>
  </w:num>
  <w:num w:numId="5">
    <w:abstractNumId w:val="11"/>
  </w:num>
  <w:num w:numId="6">
    <w:abstractNumId w:val="7"/>
  </w:num>
  <w:num w:numId="7">
    <w:abstractNumId w:val="4"/>
  </w:num>
  <w:num w:numId="8">
    <w:abstractNumId w:val="0"/>
  </w:num>
  <w:num w:numId="9">
    <w:abstractNumId w:val="12"/>
  </w:num>
  <w:num w:numId="10">
    <w:abstractNumId w:val="15"/>
  </w:num>
  <w:num w:numId="11">
    <w:abstractNumId w:val="13"/>
  </w:num>
  <w:num w:numId="12">
    <w:abstractNumId w:val="20"/>
  </w:num>
  <w:num w:numId="13">
    <w:abstractNumId w:val="1"/>
  </w:num>
  <w:num w:numId="14">
    <w:abstractNumId w:val="5"/>
  </w:num>
  <w:num w:numId="15">
    <w:abstractNumId w:val="18"/>
  </w:num>
  <w:num w:numId="16">
    <w:abstractNumId w:val="19"/>
  </w:num>
  <w:num w:numId="17">
    <w:abstractNumId w:val="8"/>
  </w:num>
  <w:num w:numId="18">
    <w:abstractNumId w:val="3"/>
  </w:num>
  <w:num w:numId="19">
    <w:abstractNumId w:val="16"/>
  </w:num>
  <w:num w:numId="20">
    <w:abstractNumId w:val="21"/>
  </w:num>
  <w:num w:numId="21">
    <w:abstractNumId w:val="6"/>
  </w:num>
  <w:num w:numId="22">
    <w:abstractNumId w:val="1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5A89"/>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E0BD8"/>
    <w:rsid w:val="000E277A"/>
    <w:rsid w:val="000E2934"/>
    <w:rsid w:val="000E6B17"/>
    <w:rsid w:val="000F0833"/>
    <w:rsid w:val="000F1894"/>
    <w:rsid w:val="000F1F62"/>
    <w:rsid w:val="000F2F0A"/>
    <w:rsid w:val="0010177F"/>
    <w:rsid w:val="001027AA"/>
    <w:rsid w:val="00110C23"/>
    <w:rsid w:val="00111EA9"/>
    <w:rsid w:val="001122A9"/>
    <w:rsid w:val="001155B6"/>
    <w:rsid w:val="00116136"/>
    <w:rsid w:val="00117B90"/>
    <w:rsid w:val="00125871"/>
    <w:rsid w:val="00126207"/>
    <w:rsid w:val="001312A6"/>
    <w:rsid w:val="00134E8D"/>
    <w:rsid w:val="001404C5"/>
    <w:rsid w:val="00141DF5"/>
    <w:rsid w:val="00143C49"/>
    <w:rsid w:val="00144488"/>
    <w:rsid w:val="00147DEE"/>
    <w:rsid w:val="001508E2"/>
    <w:rsid w:val="00152C6B"/>
    <w:rsid w:val="0015646C"/>
    <w:rsid w:val="001620CA"/>
    <w:rsid w:val="00176F82"/>
    <w:rsid w:val="0018160C"/>
    <w:rsid w:val="00187B87"/>
    <w:rsid w:val="001930DE"/>
    <w:rsid w:val="00193B6C"/>
    <w:rsid w:val="001A4CC0"/>
    <w:rsid w:val="001A721E"/>
    <w:rsid w:val="001B123C"/>
    <w:rsid w:val="001B3235"/>
    <w:rsid w:val="001C20B7"/>
    <w:rsid w:val="001C715B"/>
    <w:rsid w:val="001D3206"/>
    <w:rsid w:val="001D6FCF"/>
    <w:rsid w:val="001D79E7"/>
    <w:rsid w:val="001E2E18"/>
    <w:rsid w:val="001E4FAC"/>
    <w:rsid w:val="001F0787"/>
    <w:rsid w:val="001F08B4"/>
    <w:rsid w:val="001F2116"/>
    <w:rsid w:val="001F6FC1"/>
    <w:rsid w:val="001F7F73"/>
    <w:rsid w:val="0020095D"/>
    <w:rsid w:val="002045D9"/>
    <w:rsid w:val="00220C5E"/>
    <w:rsid w:val="00223E7E"/>
    <w:rsid w:val="00234619"/>
    <w:rsid w:val="0023520D"/>
    <w:rsid w:val="00235C44"/>
    <w:rsid w:val="00236FF7"/>
    <w:rsid w:val="002416AB"/>
    <w:rsid w:val="0024496F"/>
    <w:rsid w:val="00244D86"/>
    <w:rsid w:val="0024687C"/>
    <w:rsid w:val="0025370D"/>
    <w:rsid w:val="00260D19"/>
    <w:rsid w:val="002732DC"/>
    <w:rsid w:val="0028114B"/>
    <w:rsid w:val="0028185A"/>
    <w:rsid w:val="0028646C"/>
    <w:rsid w:val="00290918"/>
    <w:rsid w:val="002919C6"/>
    <w:rsid w:val="00293557"/>
    <w:rsid w:val="002959E3"/>
    <w:rsid w:val="002A7C1C"/>
    <w:rsid w:val="002B19D4"/>
    <w:rsid w:val="002B3489"/>
    <w:rsid w:val="002B4EAE"/>
    <w:rsid w:val="002C3FDE"/>
    <w:rsid w:val="002D13C5"/>
    <w:rsid w:val="002D5378"/>
    <w:rsid w:val="002D554B"/>
    <w:rsid w:val="002E0985"/>
    <w:rsid w:val="002E2A27"/>
    <w:rsid w:val="002E5AEF"/>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21E0"/>
    <w:rsid w:val="0034312D"/>
    <w:rsid w:val="00346E30"/>
    <w:rsid w:val="003539D2"/>
    <w:rsid w:val="0035737A"/>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E6CFB"/>
    <w:rsid w:val="003F5796"/>
    <w:rsid w:val="003F69BF"/>
    <w:rsid w:val="00402359"/>
    <w:rsid w:val="004064A8"/>
    <w:rsid w:val="00417087"/>
    <w:rsid w:val="0042160A"/>
    <w:rsid w:val="00422E29"/>
    <w:rsid w:val="00424A76"/>
    <w:rsid w:val="00427E73"/>
    <w:rsid w:val="004312BE"/>
    <w:rsid w:val="00431BEF"/>
    <w:rsid w:val="00442854"/>
    <w:rsid w:val="00452AFD"/>
    <w:rsid w:val="0046339D"/>
    <w:rsid w:val="004724F9"/>
    <w:rsid w:val="00476C8A"/>
    <w:rsid w:val="00486535"/>
    <w:rsid w:val="00490174"/>
    <w:rsid w:val="004917C1"/>
    <w:rsid w:val="00491C99"/>
    <w:rsid w:val="00495450"/>
    <w:rsid w:val="004A1805"/>
    <w:rsid w:val="004A5AD6"/>
    <w:rsid w:val="004C3EFA"/>
    <w:rsid w:val="004D1B54"/>
    <w:rsid w:val="004D3108"/>
    <w:rsid w:val="004D46FD"/>
    <w:rsid w:val="004E20CB"/>
    <w:rsid w:val="004E2912"/>
    <w:rsid w:val="004E533F"/>
    <w:rsid w:val="004F2D3D"/>
    <w:rsid w:val="005032B5"/>
    <w:rsid w:val="00515310"/>
    <w:rsid w:val="00515937"/>
    <w:rsid w:val="00517AD1"/>
    <w:rsid w:val="00523780"/>
    <w:rsid w:val="00530D1B"/>
    <w:rsid w:val="00531226"/>
    <w:rsid w:val="00531409"/>
    <w:rsid w:val="00535DF7"/>
    <w:rsid w:val="00542107"/>
    <w:rsid w:val="00553EEB"/>
    <w:rsid w:val="00564C41"/>
    <w:rsid w:val="0056706A"/>
    <w:rsid w:val="00582896"/>
    <w:rsid w:val="00584798"/>
    <w:rsid w:val="0059070D"/>
    <w:rsid w:val="00592C86"/>
    <w:rsid w:val="005A33D0"/>
    <w:rsid w:val="005B0962"/>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83119"/>
    <w:rsid w:val="00695694"/>
    <w:rsid w:val="006A21C2"/>
    <w:rsid w:val="006A3B47"/>
    <w:rsid w:val="006A7A0A"/>
    <w:rsid w:val="006C1047"/>
    <w:rsid w:val="006C3226"/>
    <w:rsid w:val="006D4BB7"/>
    <w:rsid w:val="006D75BD"/>
    <w:rsid w:val="006E4407"/>
    <w:rsid w:val="006F36DA"/>
    <w:rsid w:val="006F44F9"/>
    <w:rsid w:val="007015FC"/>
    <w:rsid w:val="007114E7"/>
    <w:rsid w:val="0071588F"/>
    <w:rsid w:val="0073239A"/>
    <w:rsid w:val="0073727C"/>
    <w:rsid w:val="00744AF3"/>
    <w:rsid w:val="00747E56"/>
    <w:rsid w:val="00751672"/>
    <w:rsid w:val="0075510C"/>
    <w:rsid w:val="00766C8E"/>
    <w:rsid w:val="00775593"/>
    <w:rsid w:val="00782A08"/>
    <w:rsid w:val="00786153"/>
    <w:rsid w:val="00790178"/>
    <w:rsid w:val="00792C70"/>
    <w:rsid w:val="007965B0"/>
    <w:rsid w:val="007A49B5"/>
    <w:rsid w:val="007B1672"/>
    <w:rsid w:val="007B1D2D"/>
    <w:rsid w:val="007B46F9"/>
    <w:rsid w:val="007B6CFE"/>
    <w:rsid w:val="007C202B"/>
    <w:rsid w:val="007C36CE"/>
    <w:rsid w:val="007C4AC4"/>
    <w:rsid w:val="007C74E3"/>
    <w:rsid w:val="007D0BE4"/>
    <w:rsid w:val="007D3E3E"/>
    <w:rsid w:val="007D6063"/>
    <w:rsid w:val="007E09E5"/>
    <w:rsid w:val="007E31DB"/>
    <w:rsid w:val="007E7871"/>
    <w:rsid w:val="00803141"/>
    <w:rsid w:val="008105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803F7"/>
    <w:rsid w:val="00881C76"/>
    <w:rsid w:val="00886E9D"/>
    <w:rsid w:val="0088763C"/>
    <w:rsid w:val="00893B0E"/>
    <w:rsid w:val="00893F0B"/>
    <w:rsid w:val="00894839"/>
    <w:rsid w:val="0089761B"/>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342E4"/>
    <w:rsid w:val="009445E9"/>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22D0"/>
    <w:rsid w:val="009D5A08"/>
    <w:rsid w:val="009E69A1"/>
    <w:rsid w:val="009F24FB"/>
    <w:rsid w:val="009F4939"/>
    <w:rsid w:val="009F7BD8"/>
    <w:rsid w:val="00A022C7"/>
    <w:rsid w:val="00A02D20"/>
    <w:rsid w:val="00A0627A"/>
    <w:rsid w:val="00A109FB"/>
    <w:rsid w:val="00A22653"/>
    <w:rsid w:val="00A23BC5"/>
    <w:rsid w:val="00A24F45"/>
    <w:rsid w:val="00A345AE"/>
    <w:rsid w:val="00A409B8"/>
    <w:rsid w:val="00A4383B"/>
    <w:rsid w:val="00A475EE"/>
    <w:rsid w:val="00A523A9"/>
    <w:rsid w:val="00A52E9C"/>
    <w:rsid w:val="00A67786"/>
    <w:rsid w:val="00A67C1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2620"/>
    <w:rsid w:val="00AE3E93"/>
    <w:rsid w:val="00AE6D1F"/>
    <w:rsid w:val="00AF2068"/>
    <w:rsid w:val="00AF7EAE"/>
    <w:rsid w:val="00B03092"/>
    <w:rsid w:val="00B0541E"/>
    <w:rsid w:val="00B13849"/>
    <w:rsid w:val="00B23067"/>
    <w:rsid w:val="00B2590D"/>
    <w:rsid w:val="00B32E66"/>
    <w:rsid w:val="00B32EB6"/>
    <w:rsid w:val="00B34848"/>
    <w:rsid w:val="00B40E21"/>
    <w:rsid w:val="00B45676"/>
    <w:rsid w:val="00B45F71"/>
    <w:rsid w:val="00B5018B"/>
    <w:rsid w:val="00B57687"/>
    <w:rsid w:val="00B61D99"/>
    <w:rsid w:val="00B625D9"/>
    <w:rsid w:val="00B665D7"/>
    <w:rsid w:val="00B70860"/>
    <w:rsid w:val="00B71D02"/>
    <w:rsid w:val="00B8423F"/>
    <w:rsid w:val="00B87994"/>
    <w:rsid w:val="00B922CF"/>
    <w:rsid w:val="00B94E3D"/>
    <w:rsid w:val="00BA47D2"/>
    <w:rsid w:val="00BA61F7"/>
    <w:rsid w:val="00BB3104"/>
    <w:rsid w:val="00BB352A"/>
    <w:rsid w:val="00BC2D8F"/>
    <w:rsid w:val="00BC2DE6"/>
    <w:rsid w:val="00BC7240"/>
    <w:rsid w:val="00BD42F1"/>
    <w:rsid w:val="00BE1D82"/>
    <w:rsid w:val="00BE6352"/>
    <w:rsid w:val="00BF5F04"/>
    <w:rsid w:val="00BF7C9B"/>
    <w:rsid w:val="00C052E4"/>
    <w:rsid w:val="00C1140C"/>
    <w:rsid w:val="00C1195C"/>
    <w:rsid w:val="00C136F0"/>
    <w:rsid w:val="00C150A5"/>
    <w:rsid w:val="00C15501"/>
    <w:rsid w:val="00C21F78"/>
    <w:rsid w:val="00C224B0"/>
    <w:rsid w:val="00C25C02"/>
    <w:rsid w:val="00C27A38"/>
    <w:rsid w:val="00C302A8"/>
    <w:rsid w:val="00C322C5"/>
    <w:rsid w:val="00C34D87"/>
    <w:rsid w:val="00C37F96"/>
    <w:rsid w:val="00C419F9"/>
    <w:rsid w:val="00C426F5"/>
    <w:rsid w:val="00C45D4C"/>
    <w:rsid w:val="00C477B5"/>
    <w:rsid w:val="00C546D2"/>
    <w:rsid w:val="00C60CC9"/>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49DA"/>
    <w:rsid w:val="00CC5E96"/>
    <w:rsid w:val="00CD4A78"/>
    <w:rsid w:val="00CD6B6A"/>
    <w:rsid w:val="00CE43B4"/>
    <w:rsid w:val="00CE68C6"/>
    <w:rsid w:val="00CF3BB0"/>
    <w:rsid w:val="00CF7138"/>
    <w:rsid w:val="00D02084"/>
    <w:rsid w:val="00D050DE"/>
    <w:rsid w:val="00D077EC"/>
    <w:rsid w:val="00D13B06"/>
    <w:rsid w:val="00D1728D"/>
    <w:rsid w:val="00D176B3"/>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05BB"/>
    <w:rsid w:val="00D71653"/>
    <w:rsid w:val="00D72436"/>
    <w:rsid w:val="00D8063C"/>
    <w:rsid w:val="00D80864"/>
    <w:rsid w:val="00D926F9"/>
    <w:rsid w:val="00D93182"/>
    <w:rsid w:val="00D961B5"/>
    <w:rsid w:val="00DA30BE"/>
    <w:rsid w:val="00DA3490"/>
    <w:rsid w:val="00DA7FD6"/>
    <w:rsid w:val="00DB1328"/>
    <w:rsid w:val="00DB6C7B"/>
    <w:rsid w:val="00DB7EE0"/>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5003A"/>
    <w:rsid w:val="00E514FA"/>
    <w:rsid w:val="00E51D1F"/>
    <w:rsid w:val="00E55ECB"/>
    <w:rsid w:val="00E56529"/>
    <w:rsid w:val="00E57C67"/>
    <w:rsid w:val="00E6135C"/>
    <w:rsid w:val="00E659AC"/>
    <w:rsid w:val="00E66725"/>
    <w:rsid w:val="00E67591"/>
    <w:rsid w:val="00E67A2A"/>
    <w:rsid w:val="00E728B0"/>
    <w:rsid w:val="00E75758"/>
    <w:rsid w:val="00E75BC0"/>
    <w:rsid w:val="00E80038"/>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6C7F"/>
    <w:rsid w:val="00F06571"/>
    <w:rsid w:val="00F2180F"/>
    <w:rsid w:val="00F31732"/>
    <w:rsid w:val="00F31F04"/>
    <w:rsid w:val="00F327E2"/>
    <w:rsid w:val="00F34A38"/>
    <w:rsid w:val="00F375FF"/>
    <w:rsid w:val="00F50C2B"/>
    <w:rsid w:val="00F566E6"/>
    <w:rsid w:val="00F63841"/>
    <w:rsid w:val="00F702DD"/>
    <w:rsid w:val="00F721A2"/>
    <w:rsid w:val="00F72B51"/>
    <w:rsid w:val="00F734B6"/>
    <w:rsid w:val="00F76C50"/>
    <w:rsid w:val="00F80BA1"/>
    <w:rsid w:val="00F84427"/>
    <w:rsid w:val="00F85050"/>
    <w:rsid w:val="00F86303"/>
    <w:rsid w:val="00F95BD7"/>
    <w:rsid w:val="00FA1741"/>
    <w:rsid w:val="00FA6242"/>
    <w:rsid w:val="00FA643C"/>
    <w:rsid w:val="00FA7894"/>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customStyle="1" w:styleId="FootnoteTextChar">
    <w:name w:val="Footnote Text Char"/>
    <w:basedOn w:val="DefaultParagraphFont"/>
    <w:link w:val="FootnoteText"/>
    <w:semiHidden/>
    <w:rsid w:val="00790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customStyle="1" w:styleId="FootnoteTextChar">
    <w:name w:val="Footnote Text Char"/>
    <w:basedOn w:val="DefaultParagraphFont"/>
    <w:link w:val="FootnoteText"/>
    <w:semiHidden/>
    <w:rsid w:val="0079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10775">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theme" Target="theme/theme1.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AECAC-5315-4D43-AD8F-43A82F25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Park, Pokim</cp:lastModifiedBy>
  <cp:revision>27</cp:revision>
  <cp:lastPrinted>2013-07-02T18:34:00Z</cp:lastPrinted>
  <dcterms:created xsi:type="dcterms:W3CDTF">2013-07-02T17:57:00Z</dcterms:created>
  <dcterms:modified xsi:type="dcterms:W3CDTF">2013-07-11T15:58:00Z</dcterms:modified>
</cp:coreProperties>
</file>