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E5C" w:rsidRPr="002D4F24" w:rsidRDefault="00272E5C" w:rsidP="00272E5C">
      <w:pPr>
        <w:jc w:val="center"/>
        <w:rPr>
          <w:b/>
          <w:sz w:val="24"/>
          <w:szCs w:val="24"/>
        </w:rPr>
      </w:pPr>
      <w:bookmarkStart w:id="0" w:name="_GoBack"/>
      <w:bookmarkEnd w:id="0"/>
      <w:r w:rsidRPr="002D4F24">
        <w:rPr>
          <w:b/>
          <w:sz w:val="24"/>
          <w:szCs w:val="24"/>
        </w:rPr>
        <w:t>BEFORE THE</w:t>
      </w:r>
    </w:p>
    <w:p w:rsidR="00272E5C" w:rsidRPr="002D4F24" w:rsidRDefault="00272E5C" w:rsidP="00272E5C">
      <w:pPr>
        <w:jc w:val="center"/>
        <w:rPr>
          <w:b/>
          <w:sz w:val="24"/>
          <w:szCs w:val="24"/>
        </w:rPr>
      </w:pPr>
      <w:r w:rsidRPr="002D4F24">
        <w:rPr>
          <w:b/>
          <w:sz w:val="24"/>
          <w:szCs w:val="24"/>
        </w:rPr>
        <w:t>PENNSYLVANIA PUBLIC UTILITY COMMISSION</w:t>
      </w:r>
    </w:p>
    <w:p w:rsidR="00272E5C" w:rsidRPr="002D4F24" w:rsidRDefault="00272E5C" w:rsidP="00272E5C">
      <w:pPr>
        <w:jc w:val="center"/>
        <w:rPr>
          <w:b/>
          <w:sz w:val="24"/>
          <w:szCs w:val="24"/>
        </w:rPr>
      </w:pPr>
    </w:p>
    <w:p w:rsidR="00272E5C" w:rsidRPr="002D4F24" w:rsidRDefault="00272E5C" w:rsidP="00272E5C">
      <w:pPr>
        <w:jc w:val="center"/>
        <w:rPr>
          <w:b/>
          <w:sz w:val="24"/>
          <w:szCs w:val="24"/>
        </w:rPr>
      </w:pPr>
    </w:p>
    <w:p w:rsidR="00272E5C" w:rsidRPr="002D4F24" w:rsidRDefault="00272E5C" w:rsidP="00272E5C">
      <w:pPr>
        <w:jc w:val="center"/>
        <w:rPr>
          <w:b/>
          <w:sz w:val="24"/>
          <w:szCs w:val="24"/>
        </w:rPr>
      </w:pPr>
    </w:p>
    <w:p w:rsidR="00272E5C" w:rsidRPr="002D4F24" w:rsidRDefault="00272E5C" w:rsidP="00272E5C">
      <w:pPr>
        <w:rPr>
          <w:sz w:val="24"/>
          <w:szCs w:val="24"/>
        </w:rPr>
      </w:pPr>
      <w:r w:rsidRPr="002D4F24">
        <w:rPr>
          <w:sz w:val="24"/>
          <w:szCs w:val="24"/>
        </w:rPr>
        <w:t>Stephanie Jackson</w:t>
      </w:r>
      <w:r w:rsidRPr="002D4F24">
        <w:rPr>
          <w:sz w:val="24"/>
          <w:szCs w:val="24"/>
        </w:rPr>
        <w:tab/>
      </w:r>
      <w:r w:rsidRPr="002D4F24">
        <w:rPr>
          <w:sz w:val="24"/>
          <w:szCs w:val="24"/>
        </w:rPr>
        <w:tab/>
      </w:r>
      <w:r w:rsidRPr="002D4F24">
        <w:rPr>
          <w:sz w:val="24"/>
          <w:szCs w:val="24"/>
        </w:rPr>
        <w:tab/>
      </w:r>
      <w:r w:rsidRPr="002D4F24">
        <w:rPr>
          <w:sz w:val="24"/>
          <w:szCs w:val="24"/>
        </w:rPr>
        <w:tab/>
      </w:r>
      <w:r w:rsidRPr="002D4F24">
        <w:rPr>
          <w:sz w:val="24"/>
          <w:szCs w:val="24"/>
        </w:rPr>
        <w:tab/>
        <w:t>:</w:t>
      </w:r>
    </w:p>
    <w:p w:rsidR="00272E5C" w:rsidRPr="002D4F24" w:rsidRDefault="00272E5C" w:rsidP="00272E5C">
      <w:pPr>
        <w:rPr>
          <w:sz w:val="24"/>
          <w:szCs w:val="24"/>
        </w:rPr>
      </w:pPr>
      <w:r w:rsidRPr="002D4F24">
        <w:rPr>
          <w:sz w:val="24"/>
          <w:szCs w:val="24"/>
        </w:rPr>
        <w:tab/>
      </w:r>
      <w:r w:rsidRPr="002D4F24">
        <w:rPr>
          <w:sz w:val="24"/>
          <w:szCs w:val="24"/>
        </w:rPr>
        <w:tab/>
      </w:r>
      <w:r w:rsidRPr="002D4F24">
        <w:rPr>
          <w:sz w:val="24"/>
          <w:szCs w:val="24"/>
        </w:rPr>
        <w:tab/>
      </w:r>
      <w:r w:rsidRPr="002D4F24">
        <w:rPr>
          <w:sz w:val="24"/>
          <w:szCs w:val="24"/>
        </w:rPr>
        <w:tab/>
      </w:r>
      <w:r w:rsidRPr="002D4F24">
        <w:rPr>
          <w:sz w:val="24"/>
          <w:szCs w:val="24"/>
        </w:rPr>
        <w:tab/>
      </w:r>
      <w:r w:rsidRPr="002D4F24">
        <w:rPr>
          <w:sz w:val="24"/>
          <w:szCs w:val="24"/>
        </w:rPr>
        <w:tab/>
      </w:r>
      <w:r w:rsidRPr="002D4F24">
        <w:rPr>
          <w:sz w:val="24"/>
          <w:szCs w:val="24"/>
        </w:rPr>
        <w:tab/>
        <w:t>:</w:t>
      </w:r>
    </w:p>
    <w:p w:rsidR="00272E5C" w:rsidRPr="002D4F24" w:rsidRDefault="00272E5C" w:rsidP="00272E5C">
      <w:pPr>
        <w:rPr>
          <w:sz w:val="24"/>
          <w:szCs w:val="24"/>
        </w:rPr>
      </w:pPr>
      <w:r w:rsidRPr="002D4F24">
        <w:rPr>
          <w:sz w:val="24"/>
          <w:szCs w:val="24"/>
        </w:rPr>
        <w:tab/>
        <w:t>v.</w:t>
      </w:r>
      <w:r w:rsidRPr="002D4F24">
        <w:rPr>
          <w:sz w:val="24"/>
          <w:szCs w:val="24"/>
        </w:rPr>
        <w:tab/>
      </w:r>
      <w:r w:rsidRPr="002D4F24">
        <w:rPr>
          <w:sz w:val="24"/>
          <w:szCs w:val="24"/>
        </w:rPr>
        <w:tab/>
      </w:r>
      <w:r w:rsidRPr="002D4F24">
        <w:rPr>
          <w:sz w:val="24"/>
          <w:szCs w:val="24"/>
        </w:rPr>
        <w:tab/>
      </w:r>
      <w:r w:rsidRPr="002D4F24">
        <w:rPr>
          <w:sz w:val="24"/>
          <w:szCs w:val="24"/>
        </w:rPr>
        <w:tab/>
      </w:r>
      <w:r w:rsidRPr="002D4F24">
        <w:rPr>
          <w:sz w:val="24"/>
          <w:szCs w:val="24"/>
        </w:rPr>
        <w:tab/>
      </w:r>
      <w:r w:rsidRPr="002D4F24">
        <w:rPr>
          <w:sz w:val="24"/>
          <w:szCs w:val="24"/>
        </w:rPr>
        <w:tab/>
        <w:t>:</w:t>
      </w:r>
      <w:r w:rsidRPr="002D4F24">
        <w:rPr>
          <w:sz w:val="24"/>
          <w:szCs w:val="24"/>
        </w:rPr>
        <w:tab/>
      </w:r>
      <w:r w:rsidRPr="002D4F24">
        <w:rPr>
          <w:sz w:val="24"/>
          <w:szCs w:val="24"/>
        </w:rPr>
        <w:tab/>
        <w:t>F-2013-2351046</w:t>
      </w:r>
    </w:p>
    <w:p w:rsidR="00272E5C" w:rsidRPr="002D4F24" w:rsidRDefault="00272E5C" w:rsidP="00272E5C">
      <w:pPr>
        <w:rPr>
          <w:sz w:val="24"/>
          <w:szCs w:val="24"/>
        </w:rPr>
      </w:pPr>
      <w:r w:rsidRPr="002D4F24">
        <w:rPr>
          <w:sz w:val="24"/>
          <w:szCs w:val="24"/>
        </w:rPr>
        <w:tab/>
      </w:r>
      <w:r w:rsidRPr="002D4F24">
        <w:rPr>
          <w:sz w:val="24"/>
          <w:szCs w:val="24"/>
        </w:rPr>
        <w:tab/>
      </w:r>
      <w:r w:rsidRPr="002D4F24">
        <w:rPr>
          <w:sz w:val="24"/>
          <w:szCs w:val="24"/>
        </w:rPr>
        <w:tab/>
      </w:r>
      <w:r w:rsidRPr="002D4F24">
        <w:rPr>
          <w:sz w:val="24"/>
          <w:szCs w:val="24"/>
        </w:rPr>
        <w:tab/>
      </w:r>
      <w:r w:rsidRPr="002D4F24">
        <w:rPr>
          <w:sz w:val="24"/>
          <w:szCs w:val="24"/>
        </w:rPr>
        <w:tab/>
      </w:r>
      <w:r w:rsidRPr="002D4F24">
        <w:rPr>
          <w:sz w:val="24"/>
          <w:szCs w:val="24"/>
        </w:rPr>
        <w:tab/>
      </w:r>
      <w:r w:rsidRPr="002D4F24">
        <w:rPr>
          <w:sz w:val="24"/>
          <w:szCs w:val="24"/>
        </w:rPr>
        <w:tab/>
        <w:t>:</w:t>
      </w:r>
    </w:p>
    <w:p w:rsidR="00272E5C" w:rsidRPr="002D4F24" w:rsidRDefault="00272E5C" w:rsidP="00272E5C">
      <w:pPr>
        <w:rPr>
          <w:sz w:val="24"/>
          <w:szCs w:val="24"/>
        </w:rPr>
      </w:pPr>
      <w:r w:rsidRPr="002D4F24">
        <w:rPr>
          <w:sz w:val="24"/>
          <w:szCs w:val="24"/>
        </w:rPr>
        <w:t>PECO Energy Company</w:t>
      </w:r>
      <w:r w:rsidRPr="002D4F24">
        <w:rPr>
          <w:sz w:val="24"/>
          <w:szCs w:val="24"/>
        </w:rPr>
        <w:tab/>
      </w:r>
      <w:r w:rsidRPr="002D4F24">
        <w:rPr>
          <w:sz w:val="24"/>
          <w:szCs w:val="24"/>
        </w:rPr>
        <w:tab/>
      </w:r>
      <w:r w:rsidRPr="002D4F24">
        <w:rPr>
          <w:sz w:val="24"/>
          <w:szCs w:val="24"/>
        </w:rPr>
        <w:tab/>
      </w:r>
      <w:r w:rsidRPr="002D4F24">
        <w:rPr>
          <w:sz w:val="24"/>
          <w:szCs w:val="24"/>
        </w:rPr>
        <w:tab/>
        <w:t>:</w:t>
      </w:r>
    </w:p>
    <w:p w:rsidR="00272E5C" w:rsidRDefault="00272E5C" w:rsidP="00272E5C">
      <w:pPr>
        <w:rPr>
          <w:sz w:val="24"/>
          <w:szCs w:val="24"/>
        </w:rPr>
      </w:pPr>
    </w:p>
    <w:p w:rsidR="002D4F24" w:rsidRPr="002D4F24" w:rsidRDefault="002D4F24" w:rsidP="00272E5C">
      <w:pPr>
        <w:rPr>
          <w:sz w:val="24"/>
          <w:szCs w:val="24"/>
        </w:rPr>
      </w:pPr>
    </w:p>
    <w:p w:rsidR="00272E5C" w:rsidRPr="002D4F24" w:rsidRDefault="00272E5C" w:rsidP="00272E5C">
      <w:pPr>
        <w:rPr>
          <w:sz w:val="24"/>
          <w:szCs w:val="24"/>
        </w:rPr>
      </w:pPr>
    </w:p>
    <w:p w:rsidR="00C04960" w:rsidRPr="002D4F24" w:rsidRDefault="00272E5C" w:rsidP="00272E5C">
      <w:pPr>
        <w:jc w:val="center"/>
        <w:rPr>
          <w:b/>
          <w:sz w:val="24"/>
          <w:szCs w:val="24"/>
          <w:u w:val="single"/>
        </w:rPr>
      </w:pPr>
      <w:r w:rsidRPr="002D4F24">
        <w:rPr>
          <w:b/>
          <w:sz w:val="24"/>
          <w:szCs w:val="24"/>
          <w:u w:val="single"/>
        </w:rPr>
        <w:t>INITIAL DECISION</w:t>
      </w:r>
    </w:p>
    <w:p w:rsidR="00272E5C" w:rsidRDefault="00272E5C" w:rsidP="00272E5C">
      <w:pPr>
        <w:jc w:val="center"/>
        <w:rPr>
          <w:b/>
          <w:sz w:val="24"/>
          <w:szCs w:val="24"/>
          <w:u w:val="single"/>
        </w:rPr>
      </w:pPr>
    </w:p>
    <w:p w:rsidR="002D4F24" w:rsidRPr="002D4F24" w:rsidRDefault="002D4F24" w:rsidP="00272E5C">
      <w:pPr>
        <w:jc w:val="center"/>
        <w:rPr>
          <w:b/>
          <w:sz w:val="24"/>
          <w:szCs w:val="24"/>
          <w:u w:val="single"/>
        </w:rPr>
      </w:pPr>
    </w:p>
    <w:p w:rsidR="00272E5C" w:rsidRPr="002D4F24" w:rsidRDefault="00272E5C" w:rsidP="00272E5C">
      <w:pPr>
        <w:jc w:val="center"/>
        <w:rPr>
          <w:sz w:val="24"/>
          <w:szCs w:val="24"/>
        </w:rPr>
      </w:pPr>
      <w:r w:rsidRPr="002D4F24">
        <w:rPr>
          <w:sz w:val="24"/>
          <w:szCs w:val="24"/>
        </w:rPr>
        <w:t>Before</w:t>
      </w:r>
    </w:p>
    <w:p w:rsidR="00272E5C" w:rsidRPr="002D4F24" w:rsidRDefault="00272E5C" w:rsidP="00272E5C">
      <w:pPr>
        <w:jc w:val="center"/>
        <w:rPr>
          <w:sz w:val="24"/>
          <w:szCs w:val="24"/>
        </w:rPr>
      </w:pPr>
      <w:r w:rsidRPr="002D4F24">
        <w:rPr>
          <w:sz w:val="24"/>
          <w:szCs w:val="24"/>
        </w:rPr>
        <w:t>Susan D. Colwell</w:t>
      </w:r>
    </w:p>
    <w:p w:rsidR="00272E5C" w:rsidRPr="002D4F24" w:rsidRDefault="00272E5C" w:rsidP="00272E5C">
      <w:pPr>
        <w:jc w:val="center"/>
        <w:rPr>
          <w:sz w:val="24"/>
          <w:szCs w:val="24"/>
        </w:rPr>
      </w:pPr>
      <w:r w:rsidRPr="002D4F24">
        <w:rPr>
          <w:sz w:val="24"/>
          <w:szCs w:val="24"/>
        </w:rPr>
        <w:t>Administrative Law Judge</w:t>
      </w:r>
    </w:p>
    <w:p w:rsidR="00272E5C" w:rsidRPr="002D4F24" w:rsidRDefault="00272E5C" w:rsidP="00272E5C">
      <w:pPr>
        <w:jc w:val="center"/>
        <w:rPr>
          <w:sz w:val="24"/>
          <w:szCs w:val="24"/>
        </w:rPr>
      </w:pPr>
    </w:p>
    <w:p w:rsidR="00272E5C" w:rsidRPr="002D4F24" w:rsidRDefault="00272E5C" w:rsidP="00272E5C">
      <w:pPr>
        <w:jc w:val="center"/>
        <w:rPr>
          <w:sz w:val="24"/>
          <w:szCs w:val="24"/>
        </w:rPr>
      </w:pPr>
    </w:p>
    <w:p w:rsidR="00272E5C" w:rsidRPr="002D4F24" w:rsidRDefault="00272E5C" w:rsidP="00272E5C">
      <w:pPr>
        <w:jc w:val="center"/>
        <w:rPr>
          <w:sz w:val="24"/>
          <w:szCs w:val="24"/>
          <w:u w:val="single"/>
        </w:rPr>
      </w:pPr>
      <w:r w:rsidRPr="002D4F24">
        <w:rPr>
          <w:sz w:val="24"/>
          <w:szCs w:val="24"/>
          <w:u w:val="single"/>
        </w:rPr>
        <w:t>HISTORY OF THE PROCEEDING</w:t>
      </w:r>
    </w:p>
    <w:p w:rsidR="00272E5C" w:rsidRPr="002D4F24" w:rsidRDefault="00272E5C" w:rsidP="00272E5C">
      <w:pPr>
        <w:jc w:val="center"/>
        <w:rPr>
          <w:sz w:val="24"/>
          <w:szCs w:val="24"/>
          <w:u w:val="single"/>
        </w:rPr>
      </w:pPr>
    </w:p>
    <w:p w:rsidR="00272E5C" w:rsidRPr="002D4F24" w:rsidRDefault="00272E5C" w:rsidP="00272E5C">
      <w:pPr>
        <w:jc w:val="center"/>
        <w:rPr>
          <w:sz w:val="24"/>
          <w:szCs w:val="24"/>
          <w:u w:val="single"/>
        </w:rPr>
      </w:pPr>
    </w:p>
    <w:p w:rsidR="00280D03" w:rsidRPr="002D4F24" w:rsidRDefault="00280D03" w:rsidP="00280D03">
      <w:pPr>
        <w:spacing w:line="360" w:lineRule="auto"/>
        <w:rPr>
          <w:sz w:val="24"/>
          <w:szCs w:val="24"/>
          <w:u w:val="single"/>
        </w:rPr>
      </w:pPr>
      <w:r w:rsidRPr="002D4F24">
        <w:rPr>
          <w:sz w:val="24"/>
          <w:szCs w:val="24"/>
        </w:rPr>
        <w:tab/>
      </w:r>
      <w:r w:rsidRPr="002D4F24">
        <w:rPr>
          <w:sz w:val="24"/>
          <w:szCs w:val="24"/>
        </w:rPr>
        <w:tab/>
        <w:t xml:space="preserve">This Initial Decision dismisses the Complaint for failure to sustain the burden of proving that the utility </w:t>
      </w:r>
      <w:r w:rsidR="00142469" w:rsidRPr="002D4F24">
        <w:rPr>
          <w:sz w:val="24"/>
          <w:szCs w:val="24"/>
        </w:rPr>
        <w:t>should have terminated service for the period from November</w:t>
      </w:r>
      <w:r w:rsidR="00C068D9">
        <w:rPr>
          <w:sz w:val="24"/>
          <w:szCs w:val="24"/>
        </w:rPr>
        <w:t>, 2009 to August, 201</w:t>
      </w:r>
      <w:r w:rsidR="00142469" w:rsidRPr="002D4F24">
        <w:rPr>
          <w:sz w:val="24"/>
          <w:szCs w:val="24"/>
        </w:rPr>
        <w:t>1 at the S</w:t>
      </w:r>
      <w:r w:rsidR="00B10420">
        <w:rPr>
          <w:sz w:val="24"/>
          <w:szCs w:val="24"/>
        </w:rPr>
        <w:t>pruce Street address, and grants</w:t>
      </w:r>
      <w:r w:rsidR="00142469" w:rsidRPr="002D4F24">
        <w:rPr>
          <w:sz w:val="24"/>
          <w:szCs w:val="24"/>
        </w:rPr>
        <w:t xml:space="preserve"> a conditional payment agreement</w:t>
      </w:r>
      <w:r w:rsidRPr="002D4F24">
        <w:rPr>
          <w:sz w:val="24"/>
          <w:szCs w:val="24"/>
        </w:rPr>
        <w:t>.</w:t>
      </w:r>
    </w:p>
    <w:p w:rsidR="00280D03" w:rsidRPr="002D4F24" w:rsidRDefault="00280D03" w:rsidP="00401288">
      <w:pPr>
        <w:spacing w:line="360" w:lineRule="auto"/>
        <w:jc w:val="center"/>
        <w:rPr>
          <w:sz w:val="24"/>
          <w:szCs w:val="24"/>
          <w:u w:val="single"/>
        </w:rPr>
      </w:pPr>
    </w:p>
    <w:p w:rsidR="00272E5C" w:rsidRPr="002D4F24" w:rsidRDefault="00272E5C" w:rsidP="00272E5C">
      <w:pPr>
        <w:spacing w:line="360" w:lineRule="auto"/>
        <w:rPr>
          <w:sz w:val="24"/>
          <w:szCs w:val="24"/>
        </w:rPr>
      </w:pPr>
      <w:r w:rsidRPr="002D4F24">
        <w:rPr>
          <w:sz w:val="24"/>
          <w:szCs w:val="24"/>
        </w:rPr>
        <w:tab/>
      </w:r>
      <w:r w:rsidRPr="002D4F24">
        <w:rPr>
          <w:sz w:val="24"/>
          <w:szCs w:val="24"/>
        </w:rPr>
        <w:tab/>
        <w:t>On February 11, 2013, Stephanie Jackson (Complainant) filed a formal Complaint against PECO Energy Company (PECO or Respondent or utility) alleging that she had requested that service at her Spruce Street residence be taken out of her name in November</w:t>
      </w:r>
      <w:r w:rsidR="00401288">
        <w:rPr>
          <w:sz w:val="24"/>
          <w:szCs w:val="24"/>
        </w:rPr>
        <w:t>,</w:t>
      </w:r>
      <w:r w:rsidRPr="002D4F24">
        <w:rPr>
          <w:sz w:val="24"/>
          <w:szCs w:val="24"/>
        </w:rPr>
        <w:t xml:space="preserve"> 2009, at which time she moved to New Jersey.  In April, 2010, she was advised that service had not been terminated and she requested that a dispute be registered.  PECO did not register a dispute but established a company payment arrangement, and service remained on at the address until August</w:t>
      </w:r>
      <w:r w:rsidR="00141676">
        <w:rPr>
          <w:sz w:val="24"/>
          <w:szCs w:val="24"/>
        </w:rPr>
        <w:t>,</w:t>
      </w:r>
      <w:r w:rsidRPr="002D4F24">
        <w:rPr>
          <w:sz w:val="24"/>
          <w:szCs w:val="24"/>
        </w:rPr>
        <w:t xml:space="preserve"> 2011.  She avers that PECO was at fault.  She</w:t>
      </w:r>
      <w:r w:rsidR="00E91672">
        <w:rPr>
          <w:sz w:val="24"/>
          <w:szCs w:val="24"/>
        </w:rPr>
        <w:t xml:space="preserve"> seeks the following remedies: </w:t>
      </w:r>
      <w:r w:rsidRPr="002D4F24">
        <w:rPr>
          <w:sz w:val="24"/>
          <w:szCs w:val="24"/>
        </w:rPr>
        <w:t>(1) to have the charges from November</w:t>
      </w:r>
      <w:r w:rsidR="00383DBA">
        <w:rPr>
          <w:sz w:val="24"/>
          <w:szCs w:val="24"/>
        </w:rPr>
        <w:t>,</w:t>
      </w:r>
      <w:r w:rsidRPr="002D4F24">
        <w:rPr>
          <w:sz w:val="24"/>
          <w:szCs w:val="24"/>
        </w:rPr>
        <w:t xml:space="preserve"> 2009 until August</w:t>
      </w:r>
      <w:r w:rsidR="00383DBA">
        <w:rPr>
          <w:sz w:val="24"/>
          <w:szCs w:val="24"/>
        </w:rPr>
        <w:t>,</w:t>
      </w:r>
      <w:r w:rsidRPr="002D4F24">
        <w:rPr>
          <w:sz w:val="24"/>
          <w:szCs w:val="24"/>
        </w:rPr>
        <w:t xml:space="preserve"> 2011 removed from her bill; (2) a payment arrangement for the remainder; and (3) service restored to her present residence.  She states that the balance should be approximately $4,000.00, which would account for the tampering fee at </w:t>
      </w:r>
      <w:r w:rsidRPr="002D4F24">
        <w:rPr>
          <w:sz w:val="24"/>
          <w:szCs w:val="24"/>
        </w:rPr>
        <w:lastRenderedPageBreak/>
        <w:t>her present address and the past due amounts for both the Spruce Street address and the present address.</w:t>
      </w:r>
    </w:p>
    <w:p w:rsidR="00272E5C" w:rsidRPr="002D4F24" w:rsidRDefault="00272E5C" w:rsidP="00272E5C">
      <w:pPr>
        <w:spacing w:line="360" w:lineRule="auto"/>
        <w:rPr>
          <w:sz w:val="24"/>
          <w:szCs w:val="24"/>
        </w:rPr>
      </w:pPr>
    </w:p>
    <w:p w:rsidR="00E75C21" w:rsidRPr="002D4F24" w:rsidRDefault="00272E5C" w:rsidP="00272E5C">
      <w:pPr>
        <w:spacing w:line="360" w:lineRule="auto"/>
        <w:rPr>
          <w:sz w:val="24"/>
          <w:szCs w:val="24"/>
        </w:rPr>
      </w:pPr>
      <w:r w:rsidRPr="002D4F24">
        <w:rPr>
          <w:sz w:val="24"/>
          <w:szCs w:val="24"/>
        </w:rPr>
        <w:tab/>
      </w:r>
      <w:r w:rsidRPr="002D4F24">
        <w:rPr>
          <w:sz w:val="24"/>
          <w:szCs w:val="24"/>
        </w:rPr>
        <w:tab/>
      </w:r>
      <w:r w:rsidR="00BA2951" w:rsidRPr="002D4F24">
        <w:rPr>
          <w:sz w:val="24"/>
          <w:szCs w:val="24"/>
        </w:rPr>
        <w:t xml:space="preserve">The Complaint, a timely appeal of a Bureau of Consumer Services (BCS) decision </w:t>
      </w:r>
      <w:r w:rsidR="00E75C21" w:rsidRPr="002D4F24">
        <w:rPr>
          <w:sz w:val="24"/>
          <w:szCs w:val="24"/>
        </w:rPr>
        <w:t xml:space="preserve">at No. 003057874, </w:t>
      </w:r>
      <w:r w:rsidR="00BA2951" w:rsidRPr="002D4F24">
        <w:rPr>
          <w:sz w:val="24"/>
          <w:szCs w:val="24"/>
        </w:rPr>
        <w:t xml:space="preserve">was served on March 5, 2013. </w:t>
      </w:r>
      <w:r w:rsidR="008154BA">
        <w:rPr>
          <w:sz w:val="24"/>
          <w:szCs w:val="24"/>
        </w:rPr>
        <w:t xml:space="preserve"> PECO filed its Answer on March 21, </w:t>
      </w:r>
      <w:r w:rsidR="00BA2951" w:rsidRPr="002D4F24">
        <w:rPr>
          <w:sz w:val="24"/>
          <w:szCs w:val="24"/>
        </w:rPr>
        <w:t>2013, denying any wrongdoing and stating that the November</w:t>
      </w:r>
      <w:r w:rsidR="00B73C98">
        <w:rPr>
          <w:sz w:val="24"/>
          <w:szCs w:val="24"/>
        </w:rPr>
        <w:t>,</w:t>
      </w:r>
      <w:r w:rsidR="00BA2951" w:rsidRPr="002D4F24">
        <w:rPr>
          <w:sz w:val="24"/>
          <w:szCs w:val="24"/>
        </w:rPr>
        <w:t xml:space="preserve"> 2009 contact was the Complainant's request for a payment agreement, and that the Complainant did not request that the service be taken out of her name.  </w:t>
      </w:r>
      <w:r w:rsidR="00F467F9" w:rsidRPr="002D4F24">
        <w:rPr>
          <w:sz w:val="24"/>
          <w:szCs w:val="24"/>
        </w:rPr>
        <w:t xml:space="preserve">Service was finally terminated at the Spruce Street address for an unpaid balance of $7,324.65 on July 13, 2011, the delay caused by lack of access to the meter.  </w:t>
      </w:r>
      <w:r w:rsidR="007E6194" w:rsidRPr="002D4F24">
        <w:rPr>
          <w:sz w:val="24"/>
          <w:szCs w:val="24"/>
        </w:rPr>
        <w:t>On October 10, 2011, Complainant requested service at he</w:t>
      </w:r>
      <w:r w:rsidR="00BD012E" w:rsidRPr="002D4F24">
        <w:rPr>
          <w:sz w:val="24"/>
          <w:szCs w:val="24"/>
        </w:rPr>
        <w:t>r</w:t>
      </w:r>
      <w:r w:rsidR="007E6194" w:rsidRPr="002D4F24">
        <w:rPr>
          <w:sz w:val="24"/>
          <w:szCs w:val="24"/>
        </w:rPr>
        <w:t xml:space="preserve"> present Darby Terrace address.  She was advised that the balance </w:t>
      </w:r>
      <w:r w:rsidR="00BD012E" w:rsidRPr="002D4F24">
        <w:rPr>
          <w:sz w:val="24"/>
          <w:szCs w:val="24"/>
        </w:rPr>
        <w:t xml:space="preserve">from the Spruce Street address </w:t>
      </w:r>
      <w:r w:rsidR="007E6194" w:rsidRPr="002D4F24">
        <w:rPr>
          <w:sz w:val="24"/>
          <w:szCs w:val="24"/>
        </w:rPr>
        <w:t>would be transferred to the new account and that payment would be required</w:t>
      </w:r>
      <w:r w:rsidR="00BD012E" w:rsidRPr="002D4F24">
        <w:rPr>
          <w:sz w:val="24"/>
          <w:szCs w:val="24"/>
        </w:rPr>
        <w:t xml:space="preserve"> in order for service to continue</w:t>
      </w:r>
      <w:r w:rsidR="007E6194" w:rsidRPr="002D4F24">
        <w:rPr>
          <w:sz w:val="24"/>
          <w:szCs w:val="24"/>
        </w:rPr>
        <w:t>.  Complainant disputed the amount, PECO opened an investigation and issued a written Utility Report dated November 11, 2011.  A</w:t>
      </w:r>
      <w:r w:rsidR="00E75C21" w:rsidRPr="002D4F24">
        <w:rPr>
          <w:sz w:val="24"/>
          <w:szCs w:val="24"/>
        </w:rPr>
        <w:t>dditional</w:t>
      </w:r>
      <w:r w:rsidR="007E6194" w:rsidRPr="002D4F24">
        <w:rPr>
          <w:sz w:val="24"/>
          <w:szCs w:val="24"/>
        </w:rPr>
        <w:t xml:space="preserve"> investigation</w:t>
      </w:r>
      <w:r w:rsidR="00E75C21" w:rsidRPr="002D4F24">
        <w:rPr>
          <w:sz w:val="24"/>
          <w:szCs w:val="24"/>
        </w:rPr>
        <w:t>s</w:t>
      </w:r>
      <w:r w:rsidR="007E6194" w:rsidRPr="002D4F24">
        <w:rPr>
          <w:sz w:val="24"/>
          <w:szCs w:val="24"/>
        </w:rPr>
        <w:t xml:space="preserve"> w</w:t>
      </w:r>
      <w:r w:rsidR="00E75C21" w:rsidRPr="002D4F24">
        <w:rPr>
          <w:sz w:val="24"/>
          <w:szCs w:val="24"/>
        </w:rPr>
        <w:t>ere</w:t>
      </w:r>
      <w:r w:rsidR="007E6194" w:rsidRPr="002D4F24">
        <w:rPr>
          <w:sz w:val="24"/>
          <w:szCs w:val="24"/>
        </w:rPr>
        <w:t xml:space="preserve"> instituted following </w:t>
      </w:r>
      <w:r w:rsidR="00E75C21" w:rsidRPr="002D4F24">
        <w:rPr>
          <w:sz w:val="24"/>
          <w:szCs w:val="24"/>
        </w:rPr>
        <w:t>disputes dated February 9, 2012, and January 18, 2013.  Complainant failed to provide support for her position each time.  Complainant's balance at the time of the filing of the Answer was $10,573.10.  She is enrolled in CAP, and a portion of the arrearage is comprised of CAP arrears.</w:t>
      </w:r>
    </w:p>
    <w:p w:rsidR="00E75C21" w:rsidRPr="002D4F24" w:rsidRDefault="00E75C21" w:rsidP="00272E5C">
      <w:pPr>
        <w:spacing w:line="360" w:lineRule="auto"/>
        <w:rPr>
          <w:sz w:val="24"/>
          <w:szCs w:val="24"/>
        </w:rPr>
      </w:pPr>
    </w:p>
    <w:p w:rsidR="00E75C21" w:rsidRPr="002D4F24" w:rsidRDefault="00E75C21" w:rsidP="00272E5C">
      <w:pPr>
        <w:spacing w:line="360" w:lineRule="auto"/>
        <w:rPr>
          <w:sz w:val="24"/>
          <w:szCs w:val="24"/>
        </w:rPr>
      </w:pPr>
      <w:r w:rsidRPr="002D4F24">
        <w:rPr>
          <w:sz w:val="24"/>
          <w:szCs w:val="24"/>
        </w:rPr>
        <w:tab/>
      </w:r>
      <w:r w:rsidRPr="002D4F24">
        <w:rPr>
          <w:sz w:val="24"/>
          <w:szCs w:val="24"/>
        </w:rPr>
        <w:tab/>
        <w:t>On April 1, 2013, a telephonic hearing notice was issued which set the evidentiary hearing for June 5, 2013, and assigned the matter to me.  I iss</w:t>
      </w:r>
      <w:r w:rsidR="00266367">
        <w:rPr>
          <w:sz w:val="24"/>
          <w:szCs w:val="24"/>
        </w:rPr>
        <w:t>ued a prehearing order on April 2, </w:t>
      </w:r>
      <w:r w:rsidRPr="002D4F24">
        <w:rPr>
          <w:sz w:val="24"/>
          <w:szCs w:val="24"/>
        </w:rPr>
        <w:t>2013, which set forth some of the requirements for a formal hearing before the Commission.</w:t>
      </w:r>
    </w:p>
    <w:p w:rsidR="00E75C21" w:rsidRPr="002D4F24" w:rsidRDefault="00E75C21" w:rsidP="00272E5C">
      <w:pPr>
        <w:spacing w:line="360" w:lineRule="auto"/>
        <w:rPr>
          <w:sz w:val="24"/>
          <w:szCs w:val="24"/>
        </w:rPr>
      </w:pPr>
    </w:p>
    <w:p w:rsidR="00E75C21" w:rsidRPr="002D4F24" w:rsidRDefault="00E75C21" w:rsidP="00272E5C">
      <w:pPr>
        <w:spacing w:line="360" w:lineRule="auto"/>
        <w:rPr>
          <w:sz w:val="24"/>
          <w:szCs w:val="24"/>
        </w:rPr>
      </w:pPr>
      <w:r w:rsidRPr="002D4F24">
        <w:rPr>
          <w:sz w:val="24"/>
          <w:szCs w:val="24"/>
        </w:rPr>
        <w:tab/>
      </w:r>
      <w:r w:rsidRPr="002D4F24">
        <w:rPr>
          <w:sz w:val="24"/>
          <w:szCs w:val="24"/>
        </w:rPr>
        <w:tab/>
        <w:t>The hearing was convened as scheduled, with Complainant appearing on her own behalf and PECO represented by Shawane Lee, Esq., who presented two witnesses and eleven exhibits.  A transcript of 67 pages was generated, and the record</w:t>
      </w:r>
      <w:r w:rsidR="001E5253">
        <w:rPr>
          <w:sz w:val="24"/>
          <w:szCs w:val="24"/>
        </w:rPr>
        <w:t xml:space="preserve"> closed upon its filing on June 25, </w:t>
      </w:r>
      <w:r w:rsidRPr="002D4F24">
        <w:rPr>
          <w:sz w:val="24"/>
          <w:szCs w:val="24"/>
        </w:rPr>
        <w:t>2013.  The matter is ripe for disposition.</w:t>
      </w:r>
    </w:p>
    <w:p w:rsidR="00E75C21" w:rsidRPr="002D4F24" w:rsidRDefault="00E75C21" w:rsidP="00272E5C">
      <w:pPr>
        <w:spacing w:line="360" w:lineRule="auto"/>
        <w:rPr>
          <w:sz w:val="24"/>
          <w:szCs w:val="24"/>
        </w:rPr>
      </w:pPr>
    </w:p>
    <w:p w:rsidR="00272E5C" w:rsidRPr="002D4F24" w:rsidRDefault="00E75C21" w:rsidP="00E75C21">
      <w:pPr>
        <w:spacing w:line="360" w:lineRule="auto"/>
        <w:jc w:val="center"/>
        <w:rPr>
          <w:sz w:val="24"/>
          <w:szCs w:val="24"/>
          <w:u w:val="single"/>
        </w:rPr>
      </w:pPr>
      <w:r w:rsidRPr="002D4F24">
        <w:rPr>
          <w:sz w:val="24"/>
          <w:szCs w:val="24"/>
          <w:u w:val="single"/>
        </w:rPr>
        <w:t>FINDINGS OF FACT</w:t>
      </w:r>
    </w:p>
    <w:p w:rsidR="00E75C21" w:rsidRPr="002D4F24" w:rsidRDefault="00E75C21" w:rsidP="00E75C21">
      <w:pPr>
        <w:spacing w:line="360" w:lineRule="auto"/>
        <w:jc w:val="center"/>
        <w:rPr>
          <w:sz w:val="24"/>
          <w:szCs w:val="24"/>
          <w:u w:val="single"/>
        </w:rPr>
      </w:pPr>
    </w:p>
    <w:p w:rsidR="00E75C21" w:rsidRPr="002D4F24" w:rsidRDefault="00E75C21" w:rsidP="00E75C21">
      <w:pPr>
        <w:spacing w:line="360" w:lineRule="auto"/>
        <w:rPr>
          <w:sz w:val="24"/>
          <w:szCs w:val="24"/>
        </w:rPr>
      </w:pPr>
      <w:r w:rsidRPr="002D4F24">
        <w:rPr>
          <w:sz w:val="24"/>
          <w:szCs w:val="24"/>
        </w:rPr>
        <w:tab/>
      </w:r>
      <w:r w:rsidRPr="002D4F24">
        <w:rPr>
          <w:sz w:val="24"/>
          <w:szCs w:val="24"/>
        </w:rPr>
        <w:tab/>
        <w:t>1.</w:t>
      </w:r>
      <w:r w:rsidRPr="002D4F24">
        <w:rPr>
          <w:sz w:val="24"/>
          <w:szCs w:val="24"/>
        </w:rPr>
        <w:tab/>
        <w:t>Complainant is Stephanie Jackson, 613 Darby Terrace, Darby PA 19023.</w:t>
      </w:r>
    </w:p>
    <w:p w:rsidR="00E75C21" w:rsidRPr="002D4F24" w:rsidRDefault="00E75C21" w:rsidP="00E75C21">
      <w:pPr>
        <w:spacing w:line="360" w:lineRule="auto"/>
        <w:rPr>
          <w:sz w:val="24"/>
          <w:szCs w:val="24"/>
        </w:rPr>
      </w:pPr>
    </w:p>
    <w:p w:rsidR="00E75C21" w:rsidRPr="002D4F24" w:rsidRDefault="00E75C21" w:rsidP="00E75C21">
      <w:pPr>
        <w:spacing w:line="360" w:lineRule="auto"/>
        <w:rPr>
          <w:sz w:val="24"/>
          <w:szCs w:val="24"/>
        </w:rPr>
      </w:pPr>
      <w:r w:rsidRPr="002D4F24">
        <w:rPr>
          <w:sz w:val="24"/>
          <w:szCs w:val="24"/>
        </w:rPr>
        <w:tab/>
      </w:r>
      <w:r w:rsidRPr="002D4F24">
        <w:rPr>
          <w:sz w:val="24"/>
          <w:szCs w:val="24"/>
        </w:rPr>
        <w:tab/>
        <w:t>2.</w:t>
      </w:r>
      <w:r w:rsidRPr="002D4F24">
        <w:rPr>
          <w:sz w:val="24"/>
          <w:szCs w:val="24"/>
        </w:rPr>
        <w:tab/>
        <w:t>Respondent is PECO Energy Company, a jurisdictional public utility providing residential electric distribution service in the Commonwealth of Pennsylvania.</w:t>
      </w:r>
    </w:p>
    <w:p w:rsidR="00E75C21" w:rsidRPr="002D4F24" w:rsidRDefault="00E75C21" w:rsidP="00E75C21">
      <w:pPr>
        <w:spacing w:line="360" w:lineRule="auto"/>
        <w:rPr>
          <w:sz w:val="24"/>
          <w:szCs w:val="24"/>
        </w:rPr>
      </w:pPr>
    </w:p>
    <w:p w:rsidR="009915D6" w:rsidRPr="002D4F24" w:rsidRDefault="009915D6" w:rsidP="00E75C21">
      <w:pPr>
        <w:spacing w:line="360" w:lineRule="auto"/>
        <w:rPr>
          <w:sz w:val="24"/>
          <w:szCs w:val="24"/>
        </w:rPr>
      </w:pPr>
      <w:r w:rsidRPr="002D4F24">
        <w:rPr>
          <w:sz w:val="24"/>
          <w:szCs w:val="24"/>
        </w:rPr>
        <w:tab/>
      </w:r>
      <w:r w:rsidRPr="002D4F24">
        <w:rPr>
          <w:sz w:val="24"/>
          <w:szCs w:val="24"/>
        </w:rPr>
        <w:tab/>
        <w:t>3.</w:t>
      </w:r>
      <w:r w:rsidRPr="002D4F24">
        <w:rPr>
          <w:sz w:val="24"/>
          <w:szCs w:val="24"/>
        </w:rPr>
        <w:tab/>
        <w:t xml:space="preserve">Renee </w:t>
      </w:r>
      <w:r w:rsidR="00B10420">
        <w:rPr>
          <w:sz w:val="24"/>
          <w:szCs w:val="24"/>
        </w:rPr>
        <w:t>Tarpley</w:t>
      </w:r>
      <w:r w:rsidRPr="002D4F24">
        <w:rPr>
          <w:sz w:val="24"/>
          <w:szCs w:val="24"/>
        </w:rPr>
        <w:t xml:space="preserve">, regulatory assessor for PECO, appeared and testified on behalf of Respondent.  Tr. </w:t>
      </w:r>
      <w:r w:rsidR="00645078" w:rsidRPr="002D4F24">
        <w:rPr>
          <w:sz w:val="24"/>
          <w:szCs w:val="24"/>
        </w:rPr>
        <w:t>16.</w:t>
      </w:r>
    </w:p>
    <w:p w:rsidR="00645078" w:rsidRPr="002D4F24" w:rsidRDefault="00645078" w:rsidP="00E75C21">
      <w:pPr>
        <w:spacing w:line="360" w:lineRule="auto"/>
        <w:rPr>
          <w:sz w:val="24"/>
          <w:szCs w:val="24"/>
        </w:rPr>
      </w:pPr>
    </w:p>
    <w:p w:rsidR="00645078" w:rsidRPr="002D4F24" w:rsidRDefault="00645078" w:rsidP="00E75C21">
      <w:pPr>
        <w:spacing w:line="360" w:lineRule="auto"/>
        <w:rPr>
          <w:sz w:val="24"/>
          <w:szCs w:val="24"/>
        </w:rPr>
      </w:pPr>
      <w:r w:rsidRPr="002D4F24">
        <w:rPr>
          <w:sz w:val="24"/>
          <w:szCs w:val="24"/>
        </w:rPr>
        <w:tab/>
      </w:r>
      <w:r w:rsidRPr="002D4F24">
        <w:rPr>
          <w:sz w:val="24"/>
          <w:szCs w:val="24"/>
        </w:rPr>
        <w:tab/>
      </w:r>
      <w:r w:rsidR="000E3651" w:rsidRPr="002D4F24">
        <w:rPr>
          <w:sz w:val="24"/>
          <w:szCs w:val="24"/>
        </w:rPr>
        <w:t>4</w:t>
      </w:r>
      <w:r w:rsidRPr="002D4F24">
        <w:rPr>
          <w:sz w:val="24"/>
          <w:szCs w:val="24"/>
        </w:rPr>
        <w:t>.</w:t>
      </w:r>
      <w:r w:rsidRPr="002D4F24">
        <w:rPr>
          <w:sz w:val="24"/>
          <w:szCs w:val="24"/>
        </w:rPr>
        <w:tab/>
      </w:r>
      <w:r w:rsidR="0084072A" w:rsidRPr="002D4F24">
        <w:rPr>
          <w:sz w:val="24"/>
          <w:szCs w:val="24"/>
        </w:rPr>
        <w:t>PECO Exhibit 1 is the account activity statement for 5025 Spruce Street dating from February 15, 2011 to November 28, 2011.</w:t>
      </w:r>
    </w:p>
    <w:p w:rsidR="0084072A" w:rsidRPr="002D4F24" w:rsidRDefault="0084072A" w:rsidP="00E75C21">
      <w:pPr>
        <w:spacing w:line="360" w:lineRule="auto"/>
        <w:rPr>
          <w:sz w:val="24"/>
          <w:szCs w:val="24"/>
        </w:rPr>
      </w:pPr>
    </w:p>
    <w:p w:rsidR="0084072A" w:rsidRPr="002D4F24" w:rsidRDefault="0084072A" w:rsidP="00E75C21">
      <w:pPr>
        <w:spacing w:line="360" w:lineRule="auto"/>
        <w:rPr>
          <w:sz w:val="24"/>
          <w:szCs w:val="24"/>
        </w:rPr>
      </w:pPr>
      <w:r w:rsidRPr="002D4F24">
        <w:rPr>
          <w:sz w:val="24"/>
          <w:szCs w:val="24"/>
        </w:rPr>
        <w:tab/>
      </w:r>
      <w:r w:rsidRPr="002D4F24">
        <w:rPr>
          <w:sz w:val="24"/>
          <w:szCs w:val="24"/>
        </w:rPr>
        <w:tab/>
      </w:r>
      <w:r w:rsidR="000E3651" w:rsidRPr="002D4F24">
        <w:rPr>
          <w:sz w:val="24"/>
          <w:szCs w:val="24"/>
        </w:rPr>
        <w:t>5</w:t>
      </w:r>
      <w:r w:rsidRPr="002D4F24">
        <w:rPr>
          <w:sz w:val="24"/>
          <w:szCs w:val="24"/>
        </w:rPr>
        <w:t>.</w:t>
      </w:r>
      <w:r w:rsidRPr="002D4F24">
        <w:rPr>
          <w:sz w:val="24"/>
          <w:szCs w:val="24"/>
        </w:rPr>
        <w:tab/>
        <w:t xml:space="preserve">PECO Exhibit 2 is the account activity statement for 613 Darby </w:t>
      </w:r>
      <w:r w:rsidR="00B10420">
        <w:rPr>
          <w:sz w:val="24"/>
          <w:szCs w:val="24"/>
        </w:rPr>
        <w:t>Terrace</w:t>
      </w:r>
      <w:r w:rsidRPr="002D4F24">
        <w:rPr>
          <w:sz w:val="24"/>
          <w:szCs w:val="24"/>
        </w:rPr>
        <w:t>, dating from November 7, 2011 to January 14, 2013, showing an account balance of $10,824.66.</w:t>
      </w:r>
    </w:p>
    <w:p w:rsidR="0084072A" w:rsidRPr="002D4F24" w:rsidRDefault="0084072A" w:rsidP="00E75C21">
      <w:pPr>
        <w:spacing w:line="360" w:lineRule="auto"/>
        <w:rPr>
          <w:sz w:val="24"/>
          <w:szCs w:val="24"/>
        </w:rPr>
      </w:pPr>
    </w:p>
    <w:p w:rsidR="0084072A" w:rsidRPr="002D4F24" w:rsidRDefault="0084072A" w:rsidP="00E75C21">
      <w:pPr>
        <w:spacing w:line="360" w:lineRule="auto"/>
        <w:rPr>
          <w:sz w:val="24"/>
          <w:szCs w:val="24"/>
        </w:rPr>
      </w:pPr>
      <w:r w:rsidRPr="002D4F24">
        <w:rPr>
          <w:sz w:val="24"/>
          <w:szCs w:val="24"/>
        </w:rPr>
        <w:tab/>
      </w:r>
      <w:r w:rsidRPr="002D4F24">
        <w:rPr>
          <w:sz w:val="24"/>
          <w:szCs w:val="24"/>
        </w:rPr>
        <w:tab/>
      </w:r>
      <w:r w:rsidR="000E3651" w:rsidRPr="002D4F24">
        <w:rPr>
          <w:sz w:val="24"/>
          <w:szCs w:val="24"/>
        </w:rPr>
        <w:t>6</w:t>
      </w:r>
      <w:r w:rsidRPr="002D4F24">
        <w:rPr>
          <w:sz w:val="24"/>
          <w:szCs w:val="24"/>
        </w:rPr>
        <w:t>.</w:t>
      </w:r>
      <w:r w:rsidRPr="002D4F24">
        <w:rPr>
          <w:sz w:val="24"/>
          <w:szCs w:val="24"/>
        </w:rPr>
        <w:tab/>
        <w:t>PECO Exhibit 3 is a one-page document entitled, "Payment Agreement History," showing a payment agreement dated November 16</w:t>
      </w:r>
      <w:r w:rsidR="00EE449A">
        <w:rPr>
          <w:sz w:val="24"/>
          <w:szCs w:val="24"/>
        </w:rPr>
        <w:t>, 2009, and another dated May 30, </w:t>
      </w:r>
      <w:r w:rsidRPr="002D4F24">
        <w:rPr>
          <w:sz w:val="24"/>
          <w:szCs w:val="24"/>
        </w:rPr>
        <w:t>2012.</w:t>
      </w:r>
    </w:p>
    <w:p w:rsidR="0084072A" w:rsidRPr="002D4F24" w:rsidRDefault="0084072A" w:rsidP="00E75C21">
      <w:pPr>
        <w:spacing w:line="360" w:lineRule="auto"/>
        <w:rPr>
          <w:sz w:val="24"/>
          <w:szCs w:val="24"/>
        </w:rPr>
      </w:pPr>
    </w:p>
    <w:p w:rsidR="0084072A" w:rsidRPr="002D4F24" w:rsidRDefault="0084072A" w:rsidP="00E75C21">
      <w:pPr>
        <w:spacing w:line="360" w:lineRule="auto"/>
        <w:rPr>
          <w:sz w:val="24"/>
          <w:szCs w:val="24"/>
        </w:rPr>
      </w:pPr>
      <w:r w:rsidRPr="002D4F24">
        <w:rPr>
          <w:sz w:val="24"/>
          <w:szCs w:val="24"/>
        </w:rPr>
        <w:tab/>
      </w:r>
      <w:r w:rsidRPr="002D4F24">
        <w:rPr>
          <w:sz w:val="24"/>
          <w:szCs w:val="24"/>
        </w:rPr>
        <w:tab/>
      </w:r>
      <w:r w:rsidR="000E3651" w:rsidRPr="002D4F24">
        <w:rPr>
          <w:sz w:val="24"/>
          <w:szCs w:val="24"/>
        </w:rPr>
        <w:t>7</w:t>
      </w:r>
      <w:r w:rsidRPr="002D4F24">
        <w:rPr>
          <w:sz w:val="24"/>
          <w:szCs w:val="24"/>
        </w:rPr>
        <w:t>.</w:t>
      </w:r>
      <w:r w:rsidRPr="002D4F24">
        <w:rPr>
          <w:sz w:val="24"/>
          <w:szCs w:val="24"/>
        </w:rPr>
        <w:tab/>
        <w:t xml:space="preserve">PECO Exhibit 4 is a one-page document entitled, "CAP History," showing CAP enrollment beginning May 10, 2007, a re-enrollment on May 30, 2012, and listing CAP arrears </w:t>
      </w:r>
      <w:r w:rsidR="00B10420" w:rsidRPr="002D4F24">
        <w:rPr>
          <w:sz w:val="24"/>
          <w:szCs w:val="24"/>
        </w:rPr>
        <w:t>total</w:t>
      </w:r>
      <w:r w:rsidR="00B10420">
        <w:rPr>
          <w:sz w:val="24"/>
          <w:szCs w:val="24"/>
        </w:rPr>
        <w:t>ing</w:t>
      </w:r>
      <w:r w:rsidRPr="002D4F24">
        <w:rPr>
          <w:sz w:val="24"/>
          <w:szCs w:val="24"/>
        </w:rPr>
        <w:t xml:space="preserve"> $813.11.</w:t>
      </w:r>
    </w:p>
    <w:p w:rsidR="0084072A" w:rsidRPr="002D4F24" w:rsidRDefault="0084072A" w:rsidP="00E75C21">
      <w:pPr>
        <w:spacing w:line="360" w:lineRule="auto"/>
        <w:rPr>
          <w:sz w:val="24"/>
          <w:szCs w:val="24"/>
        </w:rPr>
      </w:pPr>
    </w:p>
    <w:p w:rsidR="0084072A" w:rsidRPr="002D4F24" w:rsidRDefault="0084072A" w:rsidP="00E75C21">
      <w:pPr>
        <w:spacing w:line="360" w:lineRule="auto"/>
        <w:rPr>
          <w:sz w:val="24"/>
          <w:szCs w:val="24"/>
        </w:rPr>
      </w:pPr>
      <w:r w:rsidRPr="002D4F24">
        <w:rPr>
          <w:sz w:val="24"/>
          <w:szCs w:val="24"/>
        </w:rPr>
        <w:tab/>
      </w:r>
      <w:r w:rsidRPr="002D4F24">
        <w:rPr>
          <w:sz w:val="24"/>
          <w:szCs w:val="24"/>
        </w:rPr>
        <w:tab/>
      </w:r>
      <w:r w:rsidR="000E3651" w:rsidRPr="002D4F24">
        <w:rPr>
          <w:sz w:val="24"/>
          <w:szCs w:val="24"/>
        </w:rPr>
        <w:t>8</w:t>
      </w:r>
      <w:r w:rsidRPr="002D4F24">
        <w:rPr>
          <w:sz w:val="24"/>
          <w:szCs w:val="24"/>
        </w:rPr>
        <w:t>.</w:t>
      </w:r>
      <w:r w:rsidRPr="002D4F24">
        <w:rPr>
          <w:sz w:val="24"/>
          <w:szCs w:val="24"/>
        </w:rPr>
        <w:tab/>
        <w:t>PECO Exhibit 5 is a two-page document entitled, "Address History," listing addresses and service/termination history for Complainant since May 20, 2006.</w:t>
      </w:r>
      <w:r w:rsidR="00F07A41" w:rsidRPr="002D4F24">
        <w:rPr>
          <w:sz w:val="24"/>
          <w:szCs w:val="24"/>
        </w:rPr>
        <w:t xml:space="preserve">  Tr. 17.</w:t>
      </w:r>
    </w:p>
    <w:p w:rsidR="0084072A" w:rsidRPr="002D4F24" w:rsidRDefault="0084072A" w:rsidP="00E75C21">
      <w:pPr>
        <w:spacing w:line="360" w:lineRule="auto"/>
        <w:rPr>
          <w:sz w:val="24"/>
          <w:szCs w:val="24"/>
        </w:rPr>
      </w:pPr>
    </w:p>
    <w:p w:rsidR="0084072A" w:rsidRPr="002D4F24" w:rsidRDefault="0084072A" w:rsidP="00E75C21">
      <w:pPr>
        <w:spacing w:line="360" w:lineRule="auto"/>
        <w:rPr>
          <w:sz w:val="24"/>
          <w:szCs w:val="24"/>
        </w:rPr>
      </w:pPr>
      <w:r w:rsidRPr="002D4F24">
        <w:rPr>
          <w:sz w:val="24"/>
          <w:szCs w:val="24"/>
        </w:rPr>
        <w:tab/>
      </w:r>
      <w:r w:rsidRPr="002D4F24">
        <w:rPr>
          <w:sz w:val="24"/>
          <w:szCs w:val="24"/>
        </w:rPr>
        <w:tab/>
      </w:r>
      <w:r w:rsidR="000E3651" w:rsidRPr="002D4F24">
        <w:rPr>
          <w:sz w:val="24"/>
          <w:szCs w:val="24"/>
        </w:rPr>
        <w:t>9</w:t>
      </w:r>
      <w:r w:rsidRPr="002D4F24">
        <w:rPr>
          <w:sz w:val="24"/>
          <w:szCs w:val="24"/>
        </w:rPr>
        <w:t>.</w:t>
      </w:r>
      <w:r w:rsidRPr="002D4F24">
        <w:rPr>
          <w:sz w:val="24"/>
          <w:szCs w:val="24"/>
        </w:rPr>
        <w:tab/>
        <w:t xml:space="preserve">PECO Exhibit 6 is </w:t>
      </w:r>
      <w:r w:rsidR="00F07A41" w:rsidRPr="002D4F24">
        <w:rPr>
          <w:sz w:val="24"/>
          <w:szCs w:val="24"/>
        </w:rPr>
        <w:t>a Utility Company Report,</w:t>
      </w:r>
      <w:r w:rsidRPr="002D4F24">
        <w:rPr>
          <w:sz w:val="24"/>
          <w:szCs w:val="24"/>
        </w:rPr>
        <w:t xml:space="preserve"> dated November 11, 2011</w:t>
      </w:r>
      <w:r w:rsidR="00F07A41" w:rsidRPr="002D4F24">
        <w:rPr>
          <w:sz w:val="24"/>
          <w:szCs w:val="24"/>
        </w:rPr>
        <w:t>, noting that PECO requested that Complainant provide a copy of her lease or other documentation to support her claim but that no documentation had been received.</w:t>
      </w:r>
    </w:p>
    <w:p w:rsidR="00F07A41" w:rsidRPr="002D4F24" w:rsidRDefault="00F07A41" w:rsidP="00E75C21">
      <w:pPr>
        <w:spacing w:line="360" w:lineRule="auto"/>
        <w:rPr>
          <w:sz w:val="24"/>
          <w:szCs w:val="24"/>
        </w:rPr>
      </w:pPr>
    </w:p>
    <w:p w:rsidR="00F07A41" w:rsidRPr="002D4F24" w:rsidRDefault="000E3651" w:rsidP="00E75C21">
      <w:pPr>
        <w:spacing w:line="360" w:lineRule="auto"/>
        <w:rPr>
          <w:sz w:val="24"/>
          <w:szCs w:val="24"/>
        </w:rPr>
      </w:pPr>
      <w:r w:rsidRPr="002D4F24">
        <w:rPr>
          <w:sz w:val="24"/>
          <w:szCs w:val="24"/>
        </w:rPr>
        <w:tab/>
      </w:r>
      <w:r w:rsidRPr="002D4F24">
        <w:rPr>
          <w:sz w:val="24"/>
          <w:szCs w:val="24"/>
        </w:rPr>
        <w:tab/>
        <w:t>10</w:t>
      </w:r>
      <w:r w:rsidR="00F07A41" w:rsidRPr="002D4F24">
        <w:rPr>
          <w:sz w:val="24"/>
          <w:szCs w:val="24"/>
        </w:rPr>
        <w:t>.</w:t>
      </w:r>
      <w:r w:rsidR="00F07A41" w:rsidRPr="002D4F24">
        <w:rPr>
          <w:sz w:val="24"/>
          <w:szCs w:val="24"/>
        </w:rPr>
        <w:tab/>
        <w:t>PECO Exhibit 7 is a Utility Company Report, dated April 5, 2012, indicating that PECO had not received the information requested to support Complainant's claim.</w:t>
      </w:r>
    </w:p>
    <w:p w:rsidR="00F07A41" w:rsidRPr="002D4F24" w:rsidRDefault="00F07A41" w:rsidP="00E75C21">
      <w:pPr>
        <w:spacing w:line="360" w:lineRule="auto"/>
        <w:rPr>
          <w:sz w:val="24"/>
          <w:szCs w:val="24"/>
        </w:rPr>
      </w:pPr>
    </w:p>
    <w:p w:rsidR="00F07A41" w:rsidRPr="002D4F24" w:rsidRDefault="00F07A41" w:rsidP="00E75C21">
      <w:pPr>
        <w:spacing w:line="360" w:lineRule="auto"/>
        <w:rPr>
          <w:sz w:val="24"/>
          <w:szCs w:val="24"/>
        </w:rPr>
      </w:pPr>
      <w:r w:rsidRPr="002D4F24">
        <w:rPr>
          <w:sz w:val="24"/>
          <w:szCs w:val="24"/>
        </w:rPr>
        <w:lastRenderedPageBreak/>
        <w:tab/>
      </w:r>
      <w:r w:rsidRPr="002D4F24">
        <w:rPr>
          <w:sz w:val="24"/>
          <w:szCs w:val="24"/>
        </w:rPr>
        <w:tab/>
        <w:t>1</w:t>
      </w:r>
      <w:r w:rsidR="000E3651" w:rsidRPr="002D4F24">
        <w:rPr>
          <w:sz w:val="24"/>
          <w:szCs w:val="24"/>
        </w:rPr>
        <w:t>1</w:t>
      </w:r>
      <w:r w:rsidRPr="002D4F24">
        <w:rPr>
          <w:sz w:val="24"/>
          <w:szCs w:val="24"/>
        </w:rPr>
        <w:t>.</w:t>
      </w:r>
      <w:r w:rsidRPr="002D4F24">
        <w:rPr>
          <w:sz w:val="24"/>
          <w:szCs w:val="24"/>
        </w:rPr>
        <w:tab/>
        <w:t xml:space="preserve">PECO Exhibit 8 is a Service Denial Notice dated January 18, 2013, noting her outstanding balance from prior addresses which needed to be satisfied.  </w:t>
      </w:r>
      <w:r w:rsidR="00387F55" w:rsidRPr="002D4F24">
        <w:rPr>
          <w:sz w:val="24"/>
          <w:szCs w:val="24"/>
        </w:rPr>
        <w:t>Tr. 26.</w:t>
      </w:r>
    </w:p>
    <w:p w:rsidR="00F07A41" w:rsidRPr="002D4F24" w:rsidRDefault="00F07A41" w:rsidP="00E75C21">
      <w:pPr>
        <w:spacing w:line="360" w:lineRule="auto"/>
        <w:rPr>
          <w:sz w:val="24"/>
          <w:szCs w:val="24"/>
        </w:rPr>
      </w:pPr>
    </w:p>
    <w:p w:rsidR="00F07A41" w:rsidRPr="002D4F24" w:rsidRDefault="00F07A41" w:rsidP="00E75C21">
      <w:pPr>
        <w:spacing w:line="360" w:lineRule="auto"/>
        <w:rPr>
          <w:sz w:val="24"/>
          <w:szCs w:val="24"/>
        </w:rPr>
      </w:pPr>
      <w:r w:rsidRPr="002D4F24">
        <w:rPr>
          <w:sz w:val="24"/>
          <w:szCs w:val="24"/>
        </w:rPr>
        <w:tab/>
      </w:r>
      <w:r w:rsidRPr="002D4F24">
        <w:rPr>
          <w:sz w:val="24"/>
          <w:szCs w:val="24"/>
        </w:rPr>
        <w:tab/>
        <w:t>1</w:t>
      </w:r>
      <w:r w:rsidR="000E3651" w:rsidRPr="002D4F24">
        <w:rPr>
          <w:sz w:val="24"/>
          <w:szCs w:val="24"/>
        </w:rPr>
        <w:t>2</w:t>
      </w:r>
      <w:r w:rsidRPr="002D4F24">
        <w:rPr>
          <w:sz w:val="24"/>
          <w:szCs w:val="24"/>
        </w:rPr>
        <w:t>.</w:t>
      </w:r>
      <w:r w:rsidRPr="002D4F24">
        <w:rPr>
          <w:sz w:val="24"/>
          <w:szCs w:val="24"/>
        </w:rPr>
        <w:tab/>
        <w:t>PECO Exhibit 9 is</w:t>
      </w:r>
      <w:r w:rsidR="00B10420">
        <w:rPr>
          <w:sz w:val="24"/>
          <w:szCs w:val="24"/>
        </w:rPr>
        <w:t xml:space="preserve"> a </w:t>
      </w:r>
      <w:r w:rsidRPr="002D4F24">
        <w:rPr>
          <w:sz w:val="24"/>
          <w:szCs w:val="24"/>
        </w:rPr>
        <w:t>report dated May 24, 2013 of the BCS informal complaint.</w:t>
      </w:r>
    </w:p>
    <w:p w:rsidR="00F07A41" w:rsidRPr="002D4F24" w:rsidRDefault="00F07A41" w:rsidP="00E75C21">
      <w:pPr>
        <w:spacing w:line="360" w:lineRule="auto"/>
        <w:rPr>
          <w:sz w:val="24"/>
          <w:szCs w:val="24"/>
        </w:rPr>
      </w:pPr>
    </w:p>
    <w:p w:rsidR="002D3A47" w:rsidRPr="002D4F24" w:rsidRDefault="00F07A41" w:rsidP="002D3A47">
      <w:pPr>
        <w:spacing w:line="360" w:lineRule="auto"/>
        <w:rPr>
          <w:sz w:val="24"/>
          <w:szCs w:val="24"/>
        </w:rPr>
      </w:pPr>
      <w:r w:rsidRPr="002D4F24">
        <w:rPr>
          <w:sz w:val="24"/>
          <w:szCs w:val="24"/>
        </w:rPr>
        <w:tab/>
      </w:r>
      <w:r w:rsidRPr="002D4F24">
        <w:rPr>
          <w:sz w:val="24"/>
          <w:szCs w:val="24"/>
        </w:rPr>
        <w:tab/>
        <w:t>1</w:t>
      </w:r>
      <w:r w:rsidR="000E3651" w:rsidRPr="002D4F24">
        <w:rPr>
          <w:sz w:val="24"/>
          <w:szCs w:val="24"/>
        </w:rPr>
        <w:t>3</w:t>
      </w:r>
      <w:r w:rsidRPr="002D4F24">
        <w:rPr>
          <w:sz w:val="24"/>
          <w:szCs w:val="24"/>
        </w:rPr>
        <w:t>.</w:t>
      </w:r>
      <w:r w:rsidRPr="002D4F24">
        <w:rPr>
          <w:sz w:val="24"/>
          <w:szCs w:val="24"/>
        </w:rPr>
        <w:tab/>
      </w:r>
      <w:r w:rsidR="002D3A47" w:rsidRPr="002D4F24">
        <w:rPr>
          <w:sz w:val="24"/>
          <w:szCs w:val="24"/>
        </w:rPr>
        <w:t>PECO records indicate that Complainant</w:t>
      </w:r>
      <w:r w:rsidR="001B4832">
        <w:rPr>
          <w:sz w:val="24"/>
          <w:szCs w:val="24"/>
        </w:rPr>
        <w:t xml:space="preserve"> was responsible for service to </w:t>
      </w:r>
      <w:r w:rsidR="002D3A47" w:rsidRPr="002D4F24">
        <w:rPr>
          <w:sz w:val="24"/>
          <w:szCs w:val="24"/>
        </w:rPr>
        <w:t>7615 Rising Sun Avenue from May 20, 2006 to August 17, 2009; for 5025 Spruce Street from June 26, 2009 to August 18, 2011; and for 613 Darby Terrace beginning on October 11, 2011.  Tr. 18; PECO Ex. 5.</w:t>
      </w:r>
    </w:p>
    <w:p w:rsidR="00AA01E6" w:rsidRPr="002D4F24" w:rsidRDefault="00AA01E6" w:rsidP="002D3A47">
      <w:pPr>
        <w:spacing w:line="360" w:lineRule="auto"/>
        <w:rPr>
          <w:sz w:val="24"/>
          <w:szCs w:val="24"/>
        </w:rPr>
      </w:pPr>
    </w:p>
    <w:p w:rsidR="00AA01E6" w:rsidRPr="002D4F24" w:rsidRDefault="00AA01E6" w:rsidP="002D3A47">
      <w:pPr>
        <w:spacing w:line="360" w:lineRule="auto"/>
        <w:rPr>
          <w:sz w:val="24"/>
          <w:szCs w:val="24"/>
        </w:rPr>
      </w:pPr>
      <w:r w:rsidRPr="002D4F24">
        <w:rPr>
          <w:sz w:val="24"/>
          <w:szCs w:val="24"/>
        </w:rPr>
        <w:tab/>
      </w:r>
      <w:r w:rsidRPr="002D4F24">
        <w:rPr>
          <w:sz w:val="24"/>
          <w:szCs w:val="24"/>
        </w:rPr>
        <w:tab/>
      </w:r>
      <w:r w:rsidR="00BD012E" w:rsidRPr="002D4F24">
        <w:rPr>
          <w:sz w:val="24"/>
          <w:szCs w:val="24"/>
        </w:rPr>
        <w:t>1</w:t>
      </w:r>
      <w:r w:rsidR="000E3651" w:rsidRPr="002D4F24">
        <w:rPr>
          <w:sz w:val="24"/>
          <w:szCs w:val="24"/>
        </w:rPr>
        <w:t>4</w:t>
      </w:r>
      <w:r w:rsidR="00BD012E" w:rsidRPr="002D4F24">
        <w:rPr>
          <w:sz w:val="24"/>
          <w:szCs w:val="24"/>
        </w:rPr>
        <w:t>.</w:t>
      </w:r>
      <w:r w:rsidR="00BD012E" w:rsidRPr="002D4F24">
        <w:rPr>
          <w:sz w:val="24"/>
          <w:szCs w:val="24"/>
        </w:rPr>
        <w:tab/>
      </w:r>
      <w:r w:rsidRPr="002D4F24">
        <w:rPr>
          <w:sz w:val="24"/>
          <w:szCs w:val="24"/>
        </w:rPr>
        <w:t>When a customer disputes any charge, PECO opens an investigation and issues a Utility Company Report to inform the customer of the result of the investigation.  Tr. 24.</w:t>
      </w:r>
    </w:p>
    <w:p w:rsidR="00AA01E6" w:rsidRPr="002D4F24" w:rsidRDefault="00AA01E6" w:rsidP="002D3A47">
      <w:pPr>
        <w:spacing w:line="360" w:lineRule="auto"/>
        <w:rPr>
          <w:sz w:val="24"/>
          <w:szCs w:val="24"/>
        </w:rPr>
      </w:pPr>
    </w:p>
    <w:p w:rsidR="00AA01E6" w:rsidRPr="002D4F24" w:rsidRDefault="00AA01E6" w:rsidP="002D3A47">
      <w:pPr>
        <w:spacing w:line="360" w:lineRule="auto"/>
        <w:rPr>
          <w:sz w:val="24"/>
          <w:szCs w:val="24"/>
        </w:rPr>
      </w:pPr>
      <w:r w:rsidRPr="002D4F24">
        <w:rPr>
          <w:sz w:val="24"/>
          <w:szCs w:val="24"/>
        </w:rPr>
        <w:tab/>
      </w:r>
      <w:r w:rsidRPr="002D4F24">
        <w:rPr>
          <w:sz w:val="24"/>
          <w:szCs w:val="24"/>
        </w:rPr>
        <w:tab/>
      </w:r>
      <w:r w:rsidR="00BD012E" w:rsidRPr="002D4F24">
        <w:rPr>
          <w:sz w:val="24"/>
          <w:szCs w:val="24"/>
        </w:rPr>
        <w:t>1</w:t>
      </w:r>
      <w:r w:rsidR="000E3651" w:rsidRPr="002D4F24">
        <w:rPr>
          <w:sz w:val="24"/>
          <w:szCs w:val="24"/>
        </w:rPr>
        <w:t>5</w:t>
      </w:r>
      <w:r w:rsidR="00BD012E" w:rsidRPr="002D4F24">
        <w:rPr>
          <w:sz w:val="24"/>
          <w:szCs w:val="24"/>
        </w:rPr>
        <w:t>.</w:t>
      </w:r>
      <w:r w:rsidR="00BD012E" w:rsidRPr="002D4F24">
        <w:rPr>
          <w:sz w:val="24"/>
          <w:szCs w:val="24"/>
        </w:rPr>
        <w:tab/>
      </w:r>
      <w:r w:rsidRPr="002D4F24">
        <w:rPr>
          <w:sz w:val="24"/>
          <w:szCs w:val="24"/>
        </w:rPr>
        <w:t>Complainant disputed her bill in October 2011.  Tr. 24.</w:t>
      </w:r>
    </w:p>
    <w:p w:rsidR="00387F55" w:rsidRPr="002D4F24" w:rsidRDefault="00387F55" w:rsidP="002D3A47">
      <w:pPr>
        <w:spacing w:line="360" w:lineRule="auto"/>
        <w:rPr>
          <w:sz w:val="24"/>
          <w:szCs w:val="24"/>
        </w:rPr>
      </w:pPr>
    </w:p>
    <w:p w:rsidR="00387F55" w:rsidRPr="002D4F24" w:rsidRDefault="00387F55" w:rsidP="002D3A47">
      <w:pPr>
        <w:spacing w:line="360" w:lineRule="auto"/>
        <w:rPr>
          <w:sz w:val="24"/>
          <w:szCs w:val="24"/>
        </w:rPr>
      </w:pPr>
      <w:r w:rsidRPr="002D4F24">
        <w:rPr>
          <w:sz w:val="24"/>
          <w:szCs w:val="24"/>
        </w:rPr>
        <w:tab/>
      </w:r>
      <w:r w:rsidRPr="002D4F24">
        <w:rPr>
          <w:sz w:val="24"/>
          <w:szCs w:val="24"/>
        </w:rPr>
        <w:tab/>
      </w:r>
      <w:r w:rsidR="00BD012E" w:rsidRPr="002D4F24">
        <w:rPr>
          <w:sz w:val="24"/>
          <w:szCs w:val="24"/>
        </w:rPr>
        <w:t>1</w:t>
      </w:r>
      <w:r w:rsidR="000E3651" w:rsidRPr="002D4F24">
        <w:rPr>
          <w:sz w:val="24"/>
          <w:szCs w:val="24"/>
        </w:rPr>
        <w:t>6</w:t>
      </w:r>
      <w:r w:rsidR="00BD012E" w:rsidRPr="002D4F24">
        <w:rPr>
          <w:sz w:val="24"/>
          <w:szCs w:val="24"/>
        </w:rPr>
        <w:t>.</w:t>
      </w:r>
      <w:r w:rsidR="00BD012E" w:rsidRPr="002D4F24">
        <w:rPr>
          <w:sz w:val="24"/>
          <w:szCs w:val="24"/>
        </w:rPr>
        <w:tab/>
      </w:r>
      <w:r w:rsidRPr="002D4F24">
        <w:rPr>
          <w:sz w:val="24"/>
          <w:szCs w:val="24"/>
        </w:rPr>
        <w:t>PECO issued a Utility Company Report on November 11, 2011, indicating that it had requested documentation but Complainant had failed to provide any; therefore, the amount due by November 27, 2011 to avoid delinquency was $7,622.09.  PECO Ex. 6.</w:t>
      </w:r>
    </w:p>
    <w:p w:rsidR="00387F55" w:rsidRPr="002D4F24" w:rsidRDefault="00387F55" w:rsidP="002D3A47">
      <w:pPr>
        <w:spacing w:line="360" w:lineRule="auto"/>
        <w:rPr>
          <w:sz w:val="24"/>
          <w:szCs w:val="24"/>
        </w:rPr>
      </w:pPr>
    </w:p>
    <w:p w:rsidR="00387F55" w:rsidRPr="002D4F24" w:rsidRDefault="00387F55" w:rsidP="002D3A47">
      <w:pPr>
        <w:spacing w:line="360" w:lineRule="auto"/>
        <w:rPr>
          <w:sz w:val="24"/>
          <w:szCs w:val="24"/>
        </w:rPr>
      </w:pPr>
      <w:r w:rsidRPr="002D4F24">
        <w:rPr>
          <w:sz w:val="24"/>
          <w:szCs w:val="24"/>
        </w:rPr>
        <w:tab/>
      </w:r>
      <w:r w:rsidRPr="002D4F24">
        <w:rPr>
          <w:sz w:val="24"/>
          <w:szCs w:val="24"/>
        </w:rPr>
        <w:tab/>
      </w:r>
      <w:r w:rsidR="000E3651" w:rsidRPr="002D4F24">
        <w:rPr>
          <w:sz w:val="24"/>
          <w:szCs w:val="24"/>
        </w:rPr>
        <w:t>17</w:t>
      </w:r>
      <w:r w:rsidR="00BD012E" w:rsidRPr="002D4F24">
        <w:rPr>
          <w:sz w:val="24"/>
          <w:szCs w:val="24"/>
        </w:rPr>
        <w:t>.</w:t>
      </w:r>
      <w:r w:rsidR="00BD012E" w:rsidRPr="002D4F24">
        <w:rPr>
          <w:sz w:val="24"/>
          <w:szCs w:val="24"/>
        </w:rPr>
        <w:tab/>
      </w:r>
      <w:r w:rsidRPr="002D4F24">
        <w:rPr>
          <w:sz w:val="24"/>
          <w:szCs w:val="24"/>
        </w:rPr>
        <w:t>PECO issued a Utility Company Report on April 5, 2012, indicating that it had requested documentation but Complainant had failed to provide any; therefore, the amount due by April 21, 2012, was $8,964.48.  PECO Ex. 7.</w:t>
      </w:r>
    </w:p>
    <w:p w:rsidR="00387F55" w:rsidRPr="002D4F24" w:rsidRDefault="00387F55" w:rsidP="002D3A47">
      <w:pPr>
        <w:spacing w:line="360" w:lineRule="auto"/>
        <w:rPr>
          <w:sz w:val="24"/>
          <w:szCs w:val="24"/>
        </w:rPr>
      </w:pPr>
    </w:p>
    <w:p w:rsidR="00387F55" w:rsidRPr="002D4F24" w:rsidRDefault="0037406C" w:rsidP="002D3A47">
      <w:pPr>
        <w:spacing w:line="360" w:lineRule="auto"/>
        <w:rPr>
          <w:sz w:val="24"/>
          <w:szCs w:val="24"/>
        </w:rPr>
      </w:pPr>
      <w:r w:rsidRPr="002D4F24">
        <w:rPr>
          <w:sz w:val="24"/>
          <w:szCs w:val="24"/>
        </w:rPr>
        <w:tab/>
      </w:r>
      <w:r w:rsidRPr="002D4F24">
        <w:rPr>
          <w:sz w:val="24"/>
          <w:szCs w:val="24"/>
        </w:rPr>
        <w:tab/>
      </w:r>
      <w:r w:rsidR="000E3651" w:rsidRPr="002D4F24">
        <w:rPr>
          <w:sz w:val="24"/>
          <w:szCs w:val="24"/>
        </w:rPr>
        <w:t>18</w:t>
      </w:r>
      <w:r w:rsidR="00BD012E" w:rsidRPr="002D4F24">
        <w:rPr>
          <w:sz w:val="24"/>
          <w:szCs w:val="24"/>
        </w:rPr>
        <w:t>.</w:t>
      </w:r>
      <w:r w:rsidR="00BD012E" w:rsidRPr="002D4F24">
        <w:rPr>
          <w:sz w:val="24"/>
          <w:szCs w:val="24"/>
        </w:rPr>
        <w:tab/>
      </w:r>
      <w:r w:rsidRPr="002D4F24">
        <w:rPr>
          <w:sz w:val="24"/>
          <w:szCs w:val="24"/>
        </w:rPr>
        <w:t>Michael Begley, regulatory assessor for PECO, appeared and testified on behalf of Respondent.  Tr. 55.</w:t>
      </w:r>
    </w:p>
    <w:p w:rsidR="0037406C" w:rsidRPr="002D4F24" w:rsidRDefault="0037406C" w:rsidP="002D3A47">
      <w:pPr>
        <w:spacing w:line="360" w:lineRule="auto"/>
        <w:rPr>
          <w:sz w:val="24"/>
          <w:szCs w:val="24"/>
        </w:rPr>
      </w:pPr>
    </w:p>
    <w:p w:rsidR="00BD012E" w:rsidRPr="002D4F24" w:rsidRDefault="00BD012E" w:rsidP="00BD012E">
      <w:pPr>
        <w:spacing w:line="360" w:lineRule="auto"/>
        <w:rPr>
          <w:sz w:val="24"/>
          <w:szCs w:val="24"/>
        </w:rPr>
      </w:pPr>
      <w:r w:rsidRPr="002D4F24">
        <w:rPr>
          <w:sz w:val="24"/>
          <w:szCs w:val="24"/>
        </w:rPr>
        <w:tab/>
      </w:r>
      <w:r w:rsidRPr="002D4F24">
        <w:rPr>
          <w:sz w:val="24"/>
          <w:szCs w:val="24"/>
        </w:rPr>
        <w:tab/>
      </w:r>
      <w:r w:rsidR="000E3651" w:rsidRPr="002D4F24">
        <w:rPr>
          <w:sz w:val="24"/>
          <w:szCs w:val="24"/>
        </w:rPr>
        <w:t>19</w:t>
      </w:r>
      <w:r w:rsidRPr="002D4F24">
        <w:rPr>
          <w:sz w:val="24"/>
          <w:szCs w:val="24"/>
        </w:rPr>
        <w:t>.</w:t>
      </w:r>
      <w:r w:rsidRPr="002D4F24">
        <w:rPr>
          <w:sz w:val="24"/>
          <w:szCs w:val="24"/>
        </w:rPr>
        <w:tab/>
        <w:t>PECO Exhibit 10 is a letter dated January 23, 2013, from PECO Associate Business Analyst Mike Begley to Complainant indicating that PECO's investigation of the BCS complaint concludes that Complainant is responsible for the outstanding amount, and that this is the information which will be provided to BCS.</w:t>
      </w:r>
    </w:p>
    <w:p w:rsidR="00BD012E" w:rsidRPr="002D4F24" w:rsidRDefault="00BD012E" w:rsidP="00BD012E">
      <w:pPr>
        <w:spacing w:line="360" w:lineRule="auto"/>
        <w:rPr>
          <w:sz w:val="24"/>
          <w:szCs w:val="24"/>
        </w:rPr>
      </w:pPr>
    </w:p>
    <w:p w:rsidR="00BD012E" w:rsidRPr="002D4F24" w:rsidRDefault="00BD012E" w:rsidP="00BD012E">
      <w:pPr>
        <w:spacing w:line="360" w:lineRule="auto"/>
        <w:rPr>
          <w:sz w:val="24"/>
          <w:szCs w:val="24"/>
        </w:rPr>
      </w:pPr>
      <w:r w:rsidRPr="002D4F24">
        <w:rPr>
          <w:sz w:val="24"/>
          <w:szCs w:val="24"/>
        </w:rPr>
        <w:tab/>
      </w:r>
      <w:r w:rsidRPr="002D4F24">
        <w:rPr>
          <w:sz w:val="24"/>
          <w:szCs w:val="24"/>
        </w:rPr>
        <w:tab/>
        <w:t>2</w:t>
      </w:r>
      <w:r w:rsidR="000E3651" w:rsidRPr="002D4F24">
        <w:rPr>
          <w:sz w:val="24"/>
          <w:szCs w:val="24"/>
        </w:rPr>
        <w:t>0</w:t>
      </w:r>
      <w:r w:rsidRPr="002D4F24">
        <w:rPr>
          <w:sz w:val="24"/>
          <w:szCs w:val="24"/>
        </w:rPr>
        <w:t>.</w:t>
      </w:r>
      <w:r w:rsidRPr="002D4F24">
        <w:rPr>
          <w:sz w:val="24"/>
          <w:szCs w:val="24"/>
        </w:rPr>
        <w:tab/>
        <w:t>PECO Exhibit 11 is the BCS Decision Report dated May 24, 2013, indicating that Complainant is responsible for the entire balance.</w:t>
      </w:r>
    </w:p>
    <w:p w:rsidR="00BD012E" w:rsidRPr="002D4F24" w:rsidRDefault="00BD012E" w:rsidP="002D3A47">
      <w:pPr>
        <w:spacing w:line="360" w:lineRule="auto"/>
        <w:rPr>
          <w:sz w:val="24"/>
          <w:szCs w:val="24"/>
        </w:rPr>
      </w:pPr>
    </w:p>
    <w:p w:rsidR="0037406C" w:rsidRPr="002D4F24" w:rsidRDefault="00BD012E" w:rsidP="002D3A47">
      <w:pPr>
        <w:spacing w:line="360" w:lineRule="auto"/>
        <w:rPr>
          <w:sz w:val="24"/>
          <w:szCs w:val="24"/>
        </w:rPr>
      </w:pPr>
      <w:r w:rsidRPr="002D4F24">
        <w:rPr>
          <w:sz w:val="24"/>
          <w:szCs w:val="24"/>
        </w:rPr>
        <w:tab/>
      </w:r>
      <w:r w:rsidRPr="002D4F24">
        <w:rPr>
          <w:sz w:val="24"/>
          <w:szCs w:val="24"/>
        </w:rPr>
        <w:tab/>
      </w:r>
      <w:r w:rsidR="000E3651" w:rsidRPr="002D4F24">
        <w:rPr>
          <w:sz w:val="24"/>
          <w:szCs w:val="24"/>
        </w:rPr>
        <w:t>21</w:t>
      </w:r>
      <w:r w:rsidRPr="002D4F24">
        <w:rPr>
          <w:sz w:val="24"/>
          <w:szCs w:val="24"/>
        </w:rPr>
        <w:t>.</w:t>
      </w:r>
      <w:r w:rsidRPr="002D4F24">
        <w:rPr>
          <w:sz w:val="24"/>
          <w:szCs w:val="24"/>
        </w:rPr>
        <w:tab/>
      </w:r>
      <w:r w:rsidR="00E5031D" w:rsidRPr="002D4F24">
        <w:rPr>
          <w:sz w:val="24"/>
          <w:szCs w:val="24"/>
        </w:rPr>
        <w:t>Mr. Begley investigated the informal complaint filed by Complainant at BCS Case No. 3057874.  Tr. 56.</w:t>
      </w:r>
    </w:p>
    <w:p w:rsidR="00E5031D" w:rsidRPr="002D4F24" w:rsidRDefault="00E5031D" w:rsidP="002D3A47">
      <w:pPr>
        <w:spacing w:line="360" w:lineRule="auto"/>
        <w:rPr>
          <w:sz w:val="24"/>
          <w:szCs w:val="24"/>
        </w:rPr>
      </w:pPr>
    </w:p>
    <w:p w:rsidR="00E5031D" w:rsidRPr="002D4F24" w:rsidRDefault="00E5031D" w:rsidP="002D3A47">
      <w:pPr>
        <w:spacing w:line="360" w:lineRule="auto"/>
        <w:rPr>
          <w:sz w:val="24"/>
          <w:szCs w:val="24"/>
        </w:rPr>
      </w:pPr>
      <w:r w:rsidRPr="002D4F24">
        <w:rPr>
          <w:sz w:val="24"/>
          <w:szCs w:val="24"/>
        </w:rPr>
        <w:tab/>
      </w:r>
      <w:r w:rsidRPr="002D4F24">
        <w:rPr>
          <w:sz w:val="24"/>
          <w:szCs w:val="24"/>
        </w:rPr>
        <w:tab/>
      </w:r>
      <w:r w:rsidR="00BD012E" w:rsidRPr="002D4F24">
        <w:rPr>
          <w:sz w:val="24"/>
          <w:szCs w:val="24"/>
        </w:rPr>
        <w:t>2</w:t>
      </w:r>
      <w:r w:rsidR="000E3651" w:rsidRPr="002D4F24">
        <w:rPr>
          <w:sz w:val="24"/>
          <w:szCs w:val="24"/>
        </w:rPr>
        <w:t>2</w:t>
      </w:r>
      <w:r w:rsidR="00BD012E" w:rsidRPr="002D4F24">
        <w:rPr>
          <w:sz w:val="24"/>
          <w:szCs w:val="24"/>
        </w:rPr>
        <w:t>.</w:t>
      </w:r>
      <w:r w:rsidR="00BD012E" w:rsidRPr="002D4F24">
        <w:rPr>
          <w:sz w:val="24"/>
          <w:szCs w:val="24"/>
        </w:rPr>
        <w:tab/>
      </w:r>
      <w:r w:rsidRPr="002D4F24">
        <w:rPr>
          <w:sz w:val="24"/>
          <w:szCs w:val="24"/>
        </w:rPr>
        <w:t>As part of his investigation, Mr. Begley checked PECO's call records for the calls made on November 14, 2009, and April 14, 2010.  Tr. 56.</w:t>
      </w:r>
    </w:p>
    <w:p w:rsidR="00E5031D" w:rsidRPr="002D4F24" w:rsidRDefault="00E5031D" w:rsidP="002D3A47">
      <w:pPr>
        <w:spacing w:line="360" w:lineRule="auto"/>
        <w:rPr>
          <w:sz w:val="24"/>
          <w:szCs w:val="24"/>
        </w:rPr>
      </w:pPr>
    </w:p>
    <w:p w:rsidR="002D3A47" w:rsidRPr="002D4F24" w:rsidRDefault="002D3A47" w:rsidP="00BD012E">
      <w:pPr>
        <w:spacing w:line="360" w:lineRule="auto"/>
        <w:jc w:val="center"/>
        <w:rPr>
          <w:sz w:val="24"/>
          <w:szCs w:val="24"/>
          <w:u w:val="single"/>
        </w:rPr>
      </w:pPr>
      <w:r w:rsidRPr="002D4F24">
        <w:rPr>
          <w:sz w:val="24"/>
          <w:szCs w:val="24"/>
          <w:u w:val="single"/>
        </w:rPr>
        <w:t>DISCUSSION</w:t>
      </w:r>
    </w:p>
    <w:p w:rsidR="002D3A47" w:rsidRPr="002D4F24" w:rsidRDefault="002D3A47" w:rsidP="002D3A47">
      <w:pPr>
        <w:spacing w:line="360" w:lineRule="auto"/>
        <w:jc w:val="center"/>
        <w:rPr>
          <w:sz w:val="24"/>
          <w:szCs w:val="24"/>
          <w:u w:val="single"/>
        </w:rPr>
      </w:pPr>
    </w:p>
    <w:p w:rsidR="002D3A47" w:rsidRPr="002D4F24" w:rsidRDefault="00562F87" w:rsidP="002D3A47">
      <w:pPr>
        <w:spacing w:line="360" w:lineRule="auto"/>
        <w:rPr>
          <w:sz w:val="24"/>
          <w:szCs w:val="24"/>
        </w:rPr>
      </w:pPr>
      <w:r w:rsidRPr="002D4F24">
        <w:rPr>
          <w:sz w:val="24"/>
          <w:szCs w:val="24"/>
        </w:rPr>
        <w:tab/>
      </w:r>
      <w:r w:rsidRPr="002D4F24">
        <w:rPr>
          <w:sz w:val="24"/>
          <w:szCs w:val="24"/>
        </w:rPr>
        <w:tab/>
        <w:t>Complainant alleges that she directed PECO to take the service at Spruce Street out of her name in November</w:t>
      </w:r>
      <w:r w:rsidR="00C27A52">
        <w:rPr>
          <w:sz w:val="24"/>
          <w:szCs w:val="24"/>
        </w:rPr>
        <w:t>,</w:t>
      </w:r>
      <w:r w:rsidRPr="002D4F24">
        <w:rPr>
          <w:sz w:val="24"/>
          <w:szCs w:val="24"/>
        </w:rPr>
        <w:t xml:space="preserve"> 2009 but PECO failed to do so until service was terminated at that address for failure to make payments on August 18, 2011.  She asks that the bills for usage during that time be removed from her bill and that service that was terminated at her present address due to the arrearage accrued during the time period in question be restored with a reasonable payment agreement.</w:t>
      </w:r>
    </w:p>
    <w:p w:rsidR="00562F87" w:rsidRPr="002D4F24" w:rsidRDefault="00562F87" w:rsidP="002D3A47">
      <w:pPr>
        <w:spacing w:line="360" w:lineRule="auto"/>
        <w:rPr>
          <w:sz w:val="24"/>
          <w:szCs w:val="24"/>
        </w:rPr>
      </w:pPr>
    </w:p>
    <w:p w:rsidR="00562F87" w:rsidRPr="002D4F24" w:rsidRDefault="00562F87" w:rsidP="00562F87">
      <w:pPr>
        <w:spacing w:line="360" w:lineRule="auto"/>
        <w:contextualSpacing/>
        <w:rPr>
          <w:sz w:val="24"/>
          <w:szCs w:val="24"/>
        </w:rPr>
      </w:pPr>
      <w:r w:rsidRPr="002D4F24">
        <w:rPr>
          <w:sz w:val="24"/>
          <w:szCs w:val="24"/>
        </w:rPr>
        <w:tab/>
      </w:r>
      <w:r w:rsidRPr="002D4F24">
        <w:rPr>
          <w:sz w:val="24"/>
          <w:szCs w:val="24"/>
        </w:rPr>
        <w:tab/>
        <w:t xml:space="preserve">The proponent of a rule or order in any Commission proceeding has the burden of proof.  66 Pa. C.S.A. § 332; </w:t>
      </w:r>
      <w:r w:rsidRPr="002D4F24">
        <w:rPr>
          <w:i/>
          <w:sz w:val="24"/>
          <w:szCs w:val="24"/>
        </w:rPr>
        <w:t>Se-Ling Hosiery v. Margulies</w:t>
      </w:r>
      <w:r w:rsidRPr="002D4F24">
        <w:rPr>
          <w:sz w:val="24"/>
          <w:szCs w:val="24"/>
        </w:rPr>
        <w:t xml:space="preserve">, 364 Pa. 45, 70 A.3d 854 (1950); </w:t>
      </w:r>
      <w:r w:rsidRPr="002D4F24">
        <w:rPr>
          <w:i/>
          <w:sz w:val="24"/>
          <w:szCs w:val="24"/>
        </w:rPr>
        <w:t>Samuel J. Lansberry, Inc. v. Pa. Publ. Util. Comm’n</w:t>
      </w:r>
      <w:r w:rsidRPr="002D4F24">
        <w:rPr>
          <w:sz w:val="24"/>
          <w:szCs w:val="24"/>
        </w:rPr>
        <w:t>, 578 A.2d 600 (Pa.Cmwlth. 1990).</w:t>
      </w:r>
    </w:p>
    <w:p w:rsidR="00562F87" w:rsidRPr="002D4F24" w:rsidRDefault="00562F87" w:rsidP="00562F87">
      <w:pPr>
        <w:spacing w:line="360" w:lineRule="auto"/>
        <w:contextualSpacing/>
        <w:rPr>
          <w:sz w:val="24"/>
          <w:szCs w:val="24"/>
        </w:rPr>
      </w:pPr>
    </w:p>
    <w:p w:rsidR="00562F87" w:rsidRPr="002D4F24" w:rsidRDefault="00562F87" w:rsidP="00562F87">
      <w:pPr>
        <w:spacing w:line="360" w:lineRule="auto"/>
        <w:rPr>
          <w:sz w:val="24"/>
          <w:szCs w:val="24"/>
        </w:rPr>
      </w:pPr>
      <w:r w:rsidRPr="002D4F24">
        <w:rPr>
          <w:sz w:val="24"/>
          <w:szCs w:val="24"/>
        </w:rPr>
        <w:tab/>
      </w:r>
      <w:r w:rsidRPr="002D4F24">
        <w:rPr>
          <w:sz w:val="24"/>
          <w:szCs w:val="24"/>
        </w:rPr>
        <w:tab/>
        <w:t xml:space="preserve">Additionally, any finding of fact necessary to support an adjudication of the Commission must be based upon substantial evidence, which is such relevant evidence as a reasonable mind might accept as adequate to support a conclusion.  </w:t>
      </w:r>
      <w:r w:rsidRPr="002D4F24">
        <w:rPr>
          <w:i/>
          <w:sz w:val="24"/>
          <w:szCs w:val="24"/>
        </w:rPr>
        <w:t>Mill v. Comm., Pa. Publ. Util. Comm’n</w:t>
      </w:r>
      <w:r w:rsidRPr="002D4F24">
        <w:rPr>
          <w:sz w:val="24"/>
          <w:szCs w:val="24"/>
        </w:rPr>
        <w:t xml:space="preserve">, 447 A.2d 1100 (Pa.Cmwlth.1982); </w:t>
      </w:r>
      <w:r w:rsidRPr="002D4F24">
        <w:rPr>
          <w:i/>
          <w:sz w:val="24"/>
          <w:szCs w:val="24"/>
        </w:rPr>
        <w:t>Edan Transp. Corp. v. Pa. Publ. Util. Comm’n,</w:t>
      </w:r>
      <w:r w:rsidRPr="002D4F24">
        <w:rPr>
          <w:sz w:val="24"/>
          <w:szCs w:val="24"/>
        </w:rPr>
        <w:t xml:space="preserve"> 623 A.2d 6 (Pa.Cmwlth.1993), 2 Pa. C.S.A. § 704.  More is required than a mere trace of evidence or a suspicion of the existence of a fact sought to be established.  </w:t>
      </w:r>
      <w:r w:rsidRPr="002D4F24">
        <w:rPr>
          <w:i/>
          <w:sz w:val="24"/>
          <w:szCs w:val="24"/>
        </w:rPr>
        <w:t xml:space="preserve">Norfolk &amp; Western Ry. V. Pa. Publ. Util. Comm’n, </w:t>
      </w:r>
      <w:r w:rsidRPr="002D4F24">
        <w:rPr>
          <w:sz w:val="24"/>
          <w:szCs w:val="24"/>
        </w:rPr>
        <w:t xml:space="preserve">489 Pa. 109, 413 A.2d 1037 (1980); </w:t>
      </w:r>
      <w:r w:rsidRPr="002D4F24">
        <w:rPr>
          <w:i/>
          <w:sz w:val="24"/>
          <w:szCs w:val="24"/>
        </w:rPr>
        <w:t xml:space="preserve">Erie Resistor Corp. v. </w:t>
      </w:r>
      <w:r w:rsidRPr="002D4F24">
        <w:rPr>
          <w:i/>
          <w:sz w:val="24"/>
          <w:szCs w:val="24"/>
        </w:rPr>
        <w:lastRenderedPageBreak/>
        <w:t>Unemployment Com. Bd. Of Review</w:t>
      </w:r>
      <w:r w:rsidRPr="002D4F24">
        <w:rPr>
          <w:sz w:val="24"/>
          <w:szCs w:val="24"/>
        </w:rPr>
        <w:t xml:space="preserve">, 166 A.2d 96 (Pa.Super.1960); </w:t>
      </w:r>
      <w:r w:rsidRPr="002D4F24">
        <w:rPr>
          <w:i/>
          <w:sz w:val="24"/>
          <w:szCs w:val="24"/>
        </w:rPr>
        <w:t xml:space="preserve">Murphy v. Comm., Dept. of Public Welfare, White Haven Center, </w:t>
      </w:r>
      <w:r w:rsidRPr="002D4F24">
        <w:rPr>
          <w:sz w:val="24"/>
          <w:szCs w:val="24"/>
        </w:rPr>
        <w:t>480 A.2d 382 (Pa.Cmwlth.1984).</w:t>
      </w:r>
    </w:p>
    <w:p w:rsidR="00562F87" w:rsidRPr="002D4F24" w:rsidRDefault="00562F87" w:rsidP="00562F87">
      <w:pPr>
        <w:spacing w:line="360" w:lineRule="auto"/>
        <w:rPr>
          <w:sz w:val="24"/>
          <w:szCs w:val="24"/>
        </w:rPr>
      </w:pPr>
    </w:p>
    <w:p w:rsidR="00562F87" w:rsidRPr="002D4F24" w:rsidRDefault="00562F87" w:rsidP="00562F87">
      <w:pPr>
        <w:spacing w:line="360" w:lineRule="auto"/>
        <w:rPr>
          <w:spacing w:val="-3"/>
          <w:sz w:val="24"/>
          <w:szCs w:val="24"/>
        </w:rPr>
      </w:pPr>
      <w:r w:rsidRPr="002D4F24">
        <w:rPr>
          <w:sz w:val="24"/>
          <w:szCs w:val="24"/>
        </w:rPr>
        <w:tab/>
      </w:r>
      <w:r w:rsidRPr="002D4F24">
        <w:rPr>
          <w:sz w:val="24"/>
          <w:szCs w:val="24"/>
        </w:rPr>
        <w:tab/>
      </w:r>
      <w:r w:rsidRPr="002D4F24">
        <w:rPr>
          <w:spacing w:val="-3"/>
          <w:sz w:val="24"/>
          <w:szCs w:val="24"/>
        </w:rPr>
        <w:t xml:space="preserve">The “burden of proof” is composed of two distinct burdens: the burden of production and the burden of persuasion.  </w:t>
      </w:r>
      <w:r w:rsidRPr="002D4F24">
        <w:rPr>
          <w:i/>
          <w:spacing w:val="-3"/>
          <w:sz w:val="24"/>
          <w:szCs w:val="24"/>
        </w:rPr>
        <w:t>Hurley v. Hurley</w:t>
      </w:r>
      <w:r w:rsidRPr="002D4F24">
        <w:rPr>
          <w:spacing w:val="-3"/>
          <w:sz w:val="24"/>
          <w:szCs w:val="24"/>
        </w:rPr>
        <w:t>, 2000 Pa.Super. 178, 754 A.2d 1283 (2000).</w:t>
      </w:r>
    </w:p>
    <w:p w:rsidR="00562F87" w:rsidRPr="002D4F24" w:rsidRDefault="00562F87" w:rsidP="00562F87">
      <w:pPr>
        <w:spacing w:line="360" w:lineRule="auto"/>
        <w:rPr>
          <w:spacing w:val="-3"/>
          <w:sz w:val="24"/>
          <w:szCs w:val="24"/>
        </w:rPr>
      </w:pPr>
    </w:p>
    <w:p w:rsidR="002E3947" w:rsidRPr="002D4F24" w:rsidRDefault="002E3947" w:rsidP="0083035D">
      <w:pPr>
        <w:tabs>
          <w:tab w:val="left" w:pos="-1440"/>
          <w:tab w:val="left" w:pos="-720"/>
        </w:tabs>
        <w:suppressAutoHyphens/>
        <w:spacing w:line="360" w:lineRule="auto"/>
        <w:ind w:firstLine="1440"/>
        <w:rPr>
          <w:spacing w:val="-3"/>
          <w:sz w:val="24"/>
          <w:szCs w:val="24"/>
        </w:rPr>
      </w:pPr>
      <w:r w:rsidRPr="002D4F24">
        <w:rPr>
          <w:spacing w:val="-3"/>
          <w:sz w:val="24"/>
          <w:szCs w:val="24"/>
        </w:rPr>
        <w:t>The burden of production, also called the burden of producing evidence or the burden of coming forward with evidence, determines which party must come forward with evidence to support a particular proposition.  This burden may shift between the parties during the course of a trial.  If the party (initially, this will usually be the complainant, applicant, or petitioner, as the case may be) with the burden of production fails to introduce sufficient evidence the opposing party is entitled to receive a favorable ruling.  That is, the opposing party would be entitled to a compulsory nonsuit, a directed verdict, or a judgment notwithstanding the verdict.  Once the party with the initial burden of production introduces sufficient evidence to constitute a prima facie case, the burden of production shifts to the opposing party.  If the opposing party introduces evidence sufficient to balance the evidence introduced by the party having the initial burden of production, the burden then shifts back to the party who had the initial burden to introduce more evidence favorable to his position.  The burden of production goes to the legal sufficiency of a party’s case.</w:t>
      </w:r>
    </w:p>
    <w:p w:rsidR="002E3947" w:rsidRPr="002D4F24" w:rsidRDefault="002E3947" w:rsidP="002E3947">
      <w:pPr>
        <w:tabs>
          <w:tab w:val="left" w:pos="-1440"/>
          <w:tab w:val="left" w:pos="-720"/>
        </w:tabs>
        <w:suppressAutoHyphens/>
        <w:spacing w:line="360" w:lineRule="auto"/>
        <w:jc w:val="both"/>
        <w:rPr>
          <w:spacing w:val="-3"/>
          <w:sz w:val="24"/>
          <w:szCs w:val="24"/>
        </w:rPr>
      </w:pPr>
    </w:p>
    <w:p w:rsidR="002E3947" w:rsidRPr="002D4F24" w:rsidRDefault="005E487C" w:rsidP="005E487C">
      <w:pPr>
        <w:tabs>
          <w:tab w:val="left" w:pos="-1440"/>
          <w:tab w:val="left" w:pos="-720"/>
        </w:tabs>
        <w:suppressAutoHyphens/>
        <w:spacing w:line="360" w:lineRule="auto"/>
        <w:rPr>
          <w:spacing w:val="-3"/>
          <w:sz w:val="24"/>
          <w:szCs w:val="24"/>
        </w:rPr>
      </w:pPr>
      <w:r>
        <w:rPr>
          <w:spacing w:val="-3"/>
          <w:sz w:val="24"/>
          <w:szCs w:val="24"/>
        </w:rPr>
        <w:tab/>
      </w:r>
      <w:r>
        <w:rPr>
          <w:spacing w:val="-3"/>
          <w:sz w:val="24"/>
          <w:szCs w:val="24"/>
        </w:rPr>
        <w:tab/>
      </w:r>
      <w:r w:rsidR="002E3947" w:rsidRPr="002D4F24">
        <w:rPr>
          <w:spacing w:val="-3"/>
          <w:sz w:val="24"/>
          <w:szCs w:val="24"/>
        </w:rPr>
        <w:t xml:space="preserve">Having passed the test of legal sufficiency, the party with the burden of proof must then bear the burden of persuasion to be entitled to a verdict in his favor.  “[T]he burden of persuasion never leaves the party on whom it is originally cast, but the burden of production may shift during the course of the proceedings.”  </w:t>
      </w:r>
      <w:r w:rsidR="002E3947" w:rsidRPr="002D4F24">
        <w:rPr>
          <w:i/>
          <w:spacing w:val="-3"/>
          <w:sz w:val="24"/>
          <w:szCs w:val="24"/>
        </w:rPr>
        <w:t>Riedel v. County of Allegheny</w:t>
      </w:r>
      <w:r w:rsidR="000B5D38">
        <w:rPr>
          <w:spacing w:val="-3"/>
          <w:sz w:val="24"/>
          <w:szCs w:val="24"/>
        </w:rPr>
        <w:t>, 159</w:t>
      </w:r>
      <w:r>
        <w:rPr>
          <w:spacing w:val="-3"/>
          <w:sz w:val="24"/>
          <w:szCs w:val="24"/>
        </w:rPr>
        <w:t xml:space="preserve"> P</w:t>
      </w:r>
      <w:r w:rsidR="000B5D38">
        <w:rPr>
          <w:spacing w:val="-3"/>
          <w:sz w:val="24"/>
          <w:szCs w:val="24"/>
        </w:rPr>
        <w:t>a.Cmwlth. </w:t>
      </w:r>
      <w:r w:rsidR="00C604F9">
        <w:rPr>
          <w:spacing w:val="-3"/>
          <w:sz w:val="24"/>
          <w:szCs w:val="24"/>
        </w:rPr>
        <w:t>583,</w:t>
      </w:r>
      <w:r>
        <w:rPr>
          <w:spacing w:val="-3"/>
          <w:sz w:val="24"/>
          <w:szCs w:val="24"/>
        </w:rPr>
        <w:t xml:space="preserve"> </w:t>
      </w:r>
      <w:r w:rsidR="002E3947" w:rsidRPr="002D4F24">
        <w:rPr>
          <w:spacing w:val="-3"/>
          <w:sz w:val="24"/>
          <w:szCs w:val="24"/>
        </w:rPr>
        <w:t xml:space="preserve">591, 633 A.2d 1325; 1328 n. 11 (1993).  The burden of persuasion, usually placed on the complainant, applicant, or petitioner, determines which party must produce sufficient evidence to meet the applicable standard of proof.  </w:t>
      </w:r>
      <w:r w:rsidR="002E3947" w:rsidRPr="002D4F24">
        <w:rPr>
          <w:i/>
          <w:spacing w:val="-3"/>
          <w:sz w:val="24"/>
          <w:szCs w:val="24"/>
        </w:rPr>
        <w:t>Hurley v. Hurley</w:t>
      </w:r>
      <w:r w:rsidR="002E3947" w:rsidRPr="002D4F24">
        <w:rPr>
          <w:spacing w:val="-3"/>
          <w:sz w:val="24"/>
          <w:szCs w:val="24"/>
        </w:rPr>
        <w:t>, 2000 Pa</w:t>
      </w:r>
      <w:r w:rsidR="007B6B84">
        <w:rPr>
          <w:spacing w:val="-3"/>
          <w:sz w:val="24"/>
          <w:szCs w:val="24"/>
        </w:rPr>
        <w:t>.Super. 178, 754 A.2d </w:t>
      </w:r>
      <w:r w:rsidR="002E3947" w:rsidRPr="002D4F24">
        <w:rPr>
          <w:spacing w:val="-3"/>
          <w:sz w:val="24"/>
          <w:szCs w:val="24"/>
        </w:rPr>
        <w:t xml:space="preserve">1283 (2000).  It is entirely possible for a party to successfully bear the burden of production but not be entitled to a verdict in his favor because the party did not bear the burden of persuasion.  Unlike the burden of production, the burden of persuasion includes determinations of credibility and acceptance or rejection of inferences.  Even unrebutted evidence may be disbelieved.  </w:t>
      </w:r>
      <w:r w:rsidR="002E3947" w:rsidRPr="002D4F24">
        <w:rPr>
          <w:i/>
          <w:spacing w:val="-3"/>
          <w:sz w:val="24"/>
          <w:szCs w:val="24"/>
        </w:rPr>
        <w:t xml:space="preserve">Suber v. Pa. </w:t>
      </w:r>
      <w:r w:rsidR="002E3947" w:rsidRPr="002D4F24">
        <w:rPr>
          <w:i/>
          <w:spacing w:val="-3"/>
          <w:sz w:val="24"/>
          <w:szCs w:val="24"/>
        </w:rPr>
        <w:lastRenderedPageBreak/>
        <w:t>Comm’n on Crime and Delinquency</w:t>
      </w:r>
      <w:r w:rsidR="002E3947" w:rsidRPr="002D4F24">
        <w:rPr>
          <w:spacing w:val="-3"/>
          <w:sz w:val="24"/>
          <w:szCs w:val="24"/>
        </w:rPr>
        <w:t>, 885 A.2d 678 (Pa.Cmwl</w:t>
      </w:r>
      <w:r w:rsidR="0013036A">
        <w:rPr>
          <w:spacing w:val="-3"/>
          <w:sz w:val="24"/>
          <w:szCs w:val="24"/>
        </w:rPr>
        <w:t>th. 2005), app. denied, 586 Pa. </w:t>
      </w:r>
      <w:r w:rsidR="002E3947" w:rsidRPr="002D4F24">
        <w:rPr>
          <w:spacing w:val="-3"/>
          <w:sz w:val="24"/>
          <w:szCs w:val="24"/>
        </w:rPr>
        <w:t>776, 895 A.2d 1264 (2006).  In order to bear the burden of proof and be entitled to a decision in his favor, a party must bear both the burden of production and the burden of persuasion.</w:t>
      </w:r>
    </w:p>
    <w:p w:rsidR="002E3947" w:rsidRPr="002D4F24" w:rsidRDefault="002E3947" w:rsidP="002E3947">
      <w:pPr>
        <w:spacing w:line="360" w:lineRule="auto"/>
        <w:contextualSpacing/>
        <w:rPr>
          <w:sz w:val="24"/>
          <w:szCs w:val="24"/>
        </w:rPr>
      </w:pPr>
    </w:p>
    <w:p w:rsidR="00562F87" w:rsidRPr="002D4F24" w:rsidRDefault="002E3947" w:rsidP="00562F87">
      <w:pPr>
        <w:spacing w:line="360" w:lineRule="auto"/>
        <w:contextualSpacing/>
        <w:rPr>
          <w:sz w:val="24"/>
          <w:szCs w:val="24"/>
        </w:rPr>
      </w:pPr>
      <w:r w:rsidRPr="002D4F24">
        <w:rPr>
          <w:sz w:val="24"/>
          <w:szCs w:val="24"/>
        </w:rPr>
        <w:tab/>
      </w:r>
      <w:r w:rsidR="00562F87" w:rsidRPr="002D4F24">
        <w:rPr>
          <w:sz w:val="24"/>
          <w:szCs w:val="24"/>
        </w:rPr>
        <w:tab/>
        <w:t>“Every public utility shall furnish and maintain adequate, efficient, safe and reasonable service and facilities . . . as shall be necessary or proper for the accommodation, convenience, and safety of its patrons, employees and the public. . . .”  66 Pa. C.S.A. § 1501.  Therefore, Complainant bears the burden of proving that the utility has acted in a manner which is unreasonable or inadequate within the meaning of the Public Utility Code, 66 Pa. C.S.A. § 1501.  If she sustains her burden of producing substantial evidence, the utility must counter the Complainant’s evidence in order to prevail.</w:t>
      </w:r>
    </w:p>
    <w:p w:rsidR="00C57101" w:rsidRPr="002D4F24" w:rsidRDefault="00C57101" w:rsidP="00562F87">
      <w:pPr>
        <w:spacing w:line="360" w:lineRule="auto"/>
        <w:contextualSpacing/>
        <w:rPr>
          <w:sz w:val="24"/>
          <w:szCs w:val="24"/>
        </w:rPr>
      </w:pPr>
    </w:p>
    <w:p w:rsidR="00142469" w:rsidRPr="002D4F24" w:rsidRDefault="00142469" w:rsidP="00142469">
      <w:pPr>
        <w:contextualSpacing/>
        <w:rPr>
          <w:b/>
          <w:sz w:val="24"/>
          <w:szCs w:val="24"/>
        </w:rPr>
      </w:pPr>
      <w:r w:rsidRPr="002D4F24">
        <w:rPr>
          <w:b/>
          <w:sz w:val="24"/>
          <w:szCs w:val="24"/>
        </w:rPr>
        <w:t>Count 1.  Whether Complainant should be resp</w:t>
      </w:r>
      <w:r w:rsidR="00CC34D0">
        <w:rPr>
          <w:b/>
          <w:sz w:val="24"/>
          <w:szCs w:val="24"/>
        </w:rPr>
        <w:t>onsible for Spruce Street usage</w:t>
      </w:r>
      <w:r w:rsidRPr="002D4F24">
        <w:rPr>
          <w:b/>
          <w:sz w:val="24"/>
          <w:szCs w:val="24"/>
        </w:rPr>
        <w:t xml:space="preserve"> from November 2009 to August 2012</w:t>
      </w:r>
    </w:p>
    <w:p w:rsidR="00142469" w:rsidRPr="002D4F24" w:rsidRDefault="00142469" w:rsidP="00562F87">
      <w:pPr>
        <w:spacing w:line="360" w:lineRule="auto"/>
        <w:contextualSpacing/>
        <w:rPr>
          <w:b/>
          <w:sz w:val="24"/>
          <w:szCs w:val="24"/>
        </w:rPr>
      </w:pPr>
    </w:p>
    <w:p w:rsidR="00483F43" w:rsidRPr="002D4F24" w:rsidRDefault="00483F43" w:rsidP="00562F87">
      <w:pPr>
        <w:spacing w:line="360" w:lineRule="auto"/>
        <w:contextualSpacing/>
        <w:rPr>
          <w:sz w:val="24"/>
          <w:szCs w:val="24"/>
        </w:rPr>
      </w:pPr>
      <w:r w:rsidRPr="002D4F24">
        <w:rPr>
          <w:sz w:val="24"/>
          <w:szCs w:val="24"/>
        </w:rPr>
        <w:tab/>
      </w:r>
      <w:r w:rsidRPr="002D4F24">
        <w:rPr>
          <w:sz w:val="24"/>
          <w:szCs w:val="24"/>
        </w:rPr>
        <w:tab/>
        <w:t>Complainant testified that she called PECO in November</w:t>
      </w:r>
      <w:r w:rsidR="004E79CA">
        <w:rPr>
          <w:sz w:val="24"/>
          <w:szCs w:val="24"/>
        </w:rPr>
        <w:t>,</w:t>
      </w:r>
      <w:r w:rsidRPr="002D4F24">
        <w:rPr>
          <w:sz w:val="24"/>
          <w:szCs w:val="24"/>
        </w:rPr>
        <w:t xml:space="preserve"> 2009 and directed that the service to the Spruce Street apartment be taken out of her name.  She testified that she had given notice to the landlord and moved out.  She stated that the property changed hands after she left, and she did not know when, or who the new owner is.  Tr. 11.  She stated that she moved to New Jersey until June or July of 2010, when she moved back to Pennsylvania.  Tr. 9-10.  Her service at Darby Terrace was terminated approximately two weeks after it was turned on, when the balance from the former address was added to her account.  Tr. 10.</w:t>
      </w:r>
    </w:p>
    <w:p w:rsidR="00562F87" w:rsidRPr="002D4F24" w:rsidRDefault="00562F87" w:rsidP="00562F87">
      <w:pPr>
        <w:spacing w:line="360" w:lineRule="auto"/>
        <w:contextualSpacing/>
        <w:rPr>
          <w:sz w:val="24"/>
          <w:szCs w:val="24"/>
        </w:rPr>
      </w:pPr>
    </w:p>
    <w:p w:rsidR="00562F87" w:rsidRPr="002D4F24" w:rsidRDefault="00562F87" w:rsidP="00562F87">
      <w:pPr>
        <w:spacing w:line="360" w:lineRule="auto"/>
        <w:contextualSpacing/>
        <w:rPr>
          <w:sz w:val="24"/>
          <w:szCs w:val="24"/>
        </w:rPr>
      </w:pPr>
      <w:r w:rsidRPr="002D4F24">
        <w:rPr>
          <w:sz w:val="24"/>
          <w:szCs w:val="24"/>
        </w:rPr>
        <w:tab/>
      </w:r>
      <w:r w:rsidRPr="002D4F24">
        <w:rPr>
          <w:sz w:val="24"/>
          <w:szCs w:val="24"/>
        </w:rPr>
        <w:tab/>
      </w:r>
      <w:r w:rsidR="00C5512D" w:rsidRPr="002D4F24">
        <w:rPr>
          <w:sz w:val="24"/>
          <w:szCs w:val="24"/>
        </w:rPr>
        <w:t>PECO's records show that f</w:t>
      </w:r>
      <w:r w:rsidR="00244D77" w:rsidRPr="002D4F24">
        <w:rPr>
          <w:sz w:val="24"/>
          <w:szCs w:val="24"/>
        </w:rPr>
        <w:t xml:space="preserve">rom May 20, 2006, to </w:t>
      </w:r>
      <w:r w:rsidR="00B10420">
        <w:rPr>
          <w:sz w:val="24"/>
          <w:szCs w:val="24"/>
        </w:rPr>
        <w:t>August 17</w:t>
      </w:r>
      <w:r w:rsidR="00244D77" w:rsidRPr="002D4F24">
        <w:rPr>
          <w:sz w:val="24"/>
          <w:szCs w:val="24"/>
        </w:rPr>
        <w:t>, 2009, Complain</w:t>
      </w:r>
      <w:r w:rsidR="00B10420">
        <w:rPr>
          <w:sz w:val="24"/>
          <w:szCs w:val="24"/>
        </w:rPr>
        <w:t>an</w:t>
      </w:r>
      <w:r w:rsidR="00244D77" w:rsidRPr="002D4F24">
        <w:rPr>
          <w:sz w:val="24"/>
          <w:szCs w:val="24"/>
        </w:rPr>
        <w:t xml:space="preserve">t was responsible for service to 7615 Rising Sun Avenue.  Service there was terminated </w:t>
      </w:r>
      <w:r w:rsidR="00620212" w:rsidRPr="002D4F24">
        <w:rPr>
          <w:sz w:val="24"/>
          <w:szCs w:val="24"/>
        </w:rPr>
        <w:t xml:space="preserve">for a past due balance of $203.53 </w:t>
      </w:r>
      <w:r w:rsidR="00244D77" w:rsidRPr="002D4F24">
        <w:rPr>
          <w:sz w:val="24"/>
          <w:szCs w:val="24"/>
        </w:rPr>
        <w:t>on July 14, 2009</w:t>
      </w:r>
      <w:r w:rsidR="00620212" w:rsidRPr="002D4F24">
        <w:rPr>
          <w:sz w:val="24"/>
          <w:szCs w:val="24"/>
        </w:rPr>
        <w:t>,</w:t>
      </w:r>
      <w:r w:rsidR="00244D77" w:rsidRPr="002D4F24">
        <w:rPr>
          <w:sz w:val="24"/>
          <w:szCs w:val="24"/>
        </w:rPr>
        <w:t xml:space="preserve"> which was after service was initiated in Complainant's name at 5025 Spruce Street on June 26, 2009.  On September</w:t>
      </w:r>
      <w:r w:rsidR="00620212" w:rsidRPr="002D4F24">
        <w:rPr>
          <w:sz w:val="24"/>
          <w:szCs w:val="24"/>
        </w:rPr>
        <w:t xml:space="preserve"> </w:t>
      </w:r>
      <w:r w:rsidR="00244D77" w:rsidRPr="002D4F24">
        <w:rPr>
          <w:sz w:val="24"/>
          <w:szCs w:val="24"/>
        </w:rPr>
        <w:t>14, 2009, the unpaid balance from Rising Sun Avenue was transferred to the Spruce Street account.</w:t>
      </w:r>
    </w:p>
    <w:p w:rsidR="0037406C" w:rsidRPr="002D4F24" w:rsidRDefault="0037406C" w:rsidP="00562F87">
      <w:pPr>
        <w:spacing w:line="360" w:lineRule="auto"/>
        <w:contextualSpacing/>
        <w:rPr>
          <w:sz w:val="24"/>
          <w:szCs w:val="24"/>
        </w:rPr>
      </w:pPr>
    </w:p>
    <w:p w:rsidR="0037406C" w:rsidRPr="002D4F24" w:rsidRDefault="0037406C" w:rsidP="00562F87">
      <w:pPr>
        <w:spacing w:line="360" w:lineRule="auto"/>
        <w:contextualSpacing/>
        <w:rPr>
          <w:sz w:val="24"/>
          <w:szCs w:val="24"/>
        </w:rPr>
      </w:pPr>
      <w:r w:rsidRPr="002D4F24">
        <w:rPr>
          <w:sz w:val="24"/>
          <w:szCs w:val="24"/>
        </w:rPr>
        <w:tab/>
      </w:r>
      <w:r w:rsidRPr="002D4F24">
        <w:rPr>
          <w:sz w:val="24"/>
          <w:szCs w:val="24"/>
        </w:rPr>
        <w:tab/>
        <w:t xml:space="preserve">Both parties agree that Complainant called PECO in November of 2009.  However, Complainant claims that she called to terminate service, while PECO </w:t>
      </w:r>
      <w:r w:rsidR="00BD012E" w:rsidRPr="002D4F24">
        <w:rPr>
          <w:sz w:val="24"/>
          <w:szCs w:val="24"/>
        </w:rPr>
        <w:t xml:space="preserve">claims </w:t>
      </w:r>
      <w:r w:rsidRPr="002D4F24">
        <w:rPr>
          <w:sz w:val="24"/>
          <w:szCs w:val="24"/>
        </w:rPr>
        <w:t>that she called for a payment agreement and agreed to one.  Tr. 53.</w:t>
      </w:r>
    </w:p>
    <w:p w:rsidR="002B1EEB" w:rsidRPr="002D4F24" w:rsidRDefault="002B1EEB" w:rsidP="00562F87">
      <w:pPr>
        <w:spacing w:line="360" w:lineRule="auto"/>
        <w:contextualSpacing/>
        <w:rPr>
          <w:sz w:val="24"/>
          <w:szCs w:val="24"/>
        </w:rPr>
      </w:pPr>
    </w:p>
    <w:p w:rsidR="002B1EEB" w:rsidRPr="002D4F24" w:rsidRDefault="002B1EEB" w:rsidP="00562F87">
      <w:pPr>
        <w:spacing w:line="360" w:lineRule="auto"/>
        <w:contextualSpacing/>
        <w:rPr>
          <w:sz w:val="24"/>
          <w:szCs w:val="24"/>
        </w:rPr>
      </w:pPr>
      <w:r w:rsidRPr="002D4F24">
        <w:rPr>
          <w:sz w:val="24"/>
          <w:szCs w:val="24"/>
        </w:rPr>
        <w:tab/>
      </w:r>
      <w:r w:rsidRPr="002D4F24">
        <w:rPr>
          <w:sz w:val="24"/>
          <w:szCs w:val="24"/>
        </w:rPr>
        <w:tab/>
        <w:t>PECO witness Begley testified that he personally listened to the calls in question:</w:t>
      </w:r>
    </w:p>
    <w:p w:rsidR="002B1EEB" w:rsidRPr="002D4F24" w:rsidRDefault="002B1EEB" w:rsidP="00562F87">
      <w:pPr>
        <w:spacing w:line="360" w:lineRule="auto"/>
        <w:contextualSpacing/>
        <w:rPr>
          <w:sz w:val="24"/>
          <w:szCs w:val="24"/>
        </w:rPr>
      </w:pPr>
    </w:p>
    <w:p w:rsidR="002B1EEB" w:rsidRPr="002D4F24" w:rsidRDefault="00635B55" w:rsidP="002B1EEB">
      <w:pPr>
        <w:ind w:left="1440"/>
        <w:contextualSpacing/>
        <w:rPr>
          <w:sz w:val="24"/>
          <w:szCs w:val="24"/>
        </w:rPr>
      </w:pPr>
      <w:r>
        <w:rPr>
          <w:sz w:val="24"/>
          <w:szCs w:val="24"/>
        </w:rPr>
        <w:t xml:space="preserve">Complainant: </w:t>
      </w:r>
      <w:r w:rsidR="002B1EEB" w:rsidRPr="002D4F24">
        <w:rPr>
          <w:sz w:val="24"/>
          <w:szCs w:val="24"/>
        </w:rPr>
        <w:t>There were – is what you're saying regarding those phone calls based just on what was then put into the record by the representative, or did someone listen to the entire phone call, and based on listening to that call the determination is made?</w:t>
      </w:r>
    </w:p>
    <w:p w:rsidR="002B1EEB" w:rsidRPr="002D4F24" w:rsidRDefault="002B1EEB" w:rsidP="002B1EEB">
      <w:pPr>
        <w:ind w:left="1440"/>
        <w:contextualSpacing/>
        <w:rPr>
          <w:sz w:val="24"/>
          <w:szCs w:val="24"/>
        </w:rPr>
      </w:pPr>
    </w:p>
    <w:p w:rsidR="002B1EEB" w:rsidRPr="002D4F24" w:rsidRDefault="004B5327" w:rsidP="002B1EEB">
      <w:pPr>
        <w:ind w:left="1440"/>
        <w:contextualSpacing/>
        <w:rPr>
          <w:sz w:val="24"/>
          <w:szCs w:val="24"/>
        </w:rPr>
      </w:pPr>
      <w:r>
        <w:rPr>
          <w:sz w:val="24"/>
          <w:szCs w:val="24"/>
        </w:rPr>
        <w:t xml:space="preserve">Mr. Begley: </w:t>
      </w:r>
      <w:r w:rsidR="002B1EEB" w:rsidRPr="002D4F24">
        <w:rPr>
          <w:sz w:val="24"/>
          <w:szCs w:val="24"/>
        </w:rPr>
        <w:t>Yes.  I listened to the call to investigate further, because the written – the contac</w:t>
      </w:r>
      <w:r w:rsidR="001B6B08" w:rsidRPr="002D4F24">
        <w:rPr>
          <w:sz w:val="24"/>
          <w:szCs w:val="24"/>
        </w:rPr>
        <w:t>t</w:t>
      </w:r>
      <w:r w:rsidR="002B1EEB" w:rsidRPr="002D4F24">
        <w:rPr>
          <w:sz w:val="24"/>
          <w:szCs w:val="24"/>
        </w:rPr>
        <w:t xml:space="preserve"> documented by the representative that you spoke with when you called did not indicate that you wanted to discontinue the service.  So as a result, I listened to the calls to make sure that no information was left out.  And it verified that there was no record that you had requested t</w:t>
      </w:r>
      <w:r w:rsidR="00960F06">
        <w:rPr>
          <w:sz w:val="24"/>
          <w:szCs w:val="24"/>
        </w:rPr>
        <w:t>o stop service on those calls.</w:t>
      </w:r>
    </w:p>
    <w:p w:rsidR="002B1EEB" w:rsidRPr="002D4F24" w:rsidRDefault="002B1EEB" w:rsidP="00562F87">
      <w:pPr>
        <w:spacing w:line="360" w:lineRule="auto"/>
        <w:contextualSpacing/>
        <w:rPr>
          <w:sz w:val="24"/>
          <w:szCs w:val="24"/>
        </w:rPr>
      </w:pPr>
      <w:r w:rsidRPr="002D4F24">
        <w:rPr>
          <w:sz w:val="24"/>
          <w:szCs w:val="24"/>
        </w:rPr>
        <w:t>Tr. 60.</w:t>
      </w:r>
    </w:p>
    <w:p w:rsidR="00933A94" w:rsidRPr="002D4F24" w:rsidRDefault="00933A94" w:rsidP="00562F87">
      <w:pPr>
        <w:spacing w:line="360" w:lineRule="auto"/>
        <w:contextualSpacing/>
        <w:rPr>
          <w:sz w:val="24"/>
          <w:szCs w:val="24"/>
        </w:rPr>
      </w:pPr>
    </w:p>
    <w:p w:rsidR="00C56AC1" w:rsidRPr="002D4F24" w:rsidRDefault="00BD012E" w:rsidP="00C56AC1">
      <w:pPr>
        <w:spacing w:line="360" w:lineRule="auto"/>
        <w:contextualSpacing/>
        <w:rPr>
          <w:sz w:val="24"/>
          <w:szCs w:val="24"/>
        </w:rPr>
      </w:pPr>
      <w:r w:rsidRPr="002D4F24">
        <w:rPr>
          <w:sz w:val="24"/>
          <w:szCs w:val="24"/>
        </w:rPr>
        <w:tab/>
      </w:r>
      <w:r w:rsidR="00C56AC1" w:rsidRPr="002D4F24">
        <w:rPr>
          <w:sz w:val="24"/>
          <w:szCs w:val="24"/>
        </w:rPr>
        <w:tab/>
        <w:t xml:space="preserve">I note here that the Company's evidence is faulty.  While Mr. Begley testified that he listened to the call, the call itself was not produced, and neither was the Company's business record of the customer service representative's notations of the content of the call.  Rather, PECO offered Mr. Begley's recitation of the content of the call, which is uncorroborated hearsay.  Therefore, </w:t>
      </w:r>
      <w:r w:rsidR="007A0A49" w:rsidRPr="002D4F24">
        <w:rPr>
          <w:sz w:val="24"/>
          <w:szCs w:val="24"/>
        </w:rPr>
        <w:t>Mr. Begley's testimony</w:t>
      </w:r>
      <w:r w:rsidR="00C56AC1" w:rsidRPr="002D4F24">
        <w:rPr>
          <w:sz w:val="24"/>
          <w:szCs w:val="24"/>
        </w:rPr>
        <w:t xml:space="preserve"> cannot serve as support for a finding of fact, particularly when his </w:t>
      </w:r>
      <w:r w:rsidR="000E3D1E" w:rsidRPr="002D4F24">
        <w:rPr>
          <w:sz w:val="24"/>
          <w:szCs w:val="24"/>
        </w:rPr>
        <w:t>recitation</w:t>
      </w:r>
      <w:r w:rsidR="00C56AC1" w:rsidRPr="002D4F24">
        <w:rPr>
          <w:sz w:val="24"/>
          <w:szCs w:val="24"/>
        </w:rPr>
        <w:t xml:space="preserve"> was contested by the Complainant.</w:t>
      </w:r>
    </w:p>
    <w:p w:rsidR="00C56AC1" w:rsidRPr="002D4F24" w:rsidRDefault="00C56AC1" w:rsidP="00C56AC1">
      <w:pPr>
        <w:spacing w:line="360" w:lineRule="auto"/>
        <w:contextualSpacing/>
        <w:rPr>
          <w:sz w:val="24"/>
          <w:szCs w:val="24"/>
        </w:rPr>
      </w:pPr>
    </w:p>
    <w:p w:rsidR="00C56AC1" w:rsidRPr="002D4F24" w:rsidRDefault="00C56AC1" w:rsidP="00C56AC1">
      <w:pPr>
        <w:spacing w:line="360" w:lineRule="auto"/>
        <w:contextualSpacing/>
        <w:rPr>
          <w:sz w:val="24"/>
          <w:szCs w:val="24"/>
        </w:rPr>
      </w:pPr>
      <w:r w:rsidRPr="002D4F24">
        <w:rPr>
          <w:sz w:val="24"/>
          <w:szCs w:val="24"/>
        </w:rPr>
        <w:tab/>
      </w:r>
      <w:r w:rsidRPr="002D4F24">
        <w:rPr>
          <w:sz w:val="24"/>
          <w:szCs w:val="24"/>
        </w:rPr>
        <w:tab/>
      </w:r>
      <w:r w:rsidR="00933A94" w:rsidRPr="002D4F24">
        <w:rPr>
          <w:sz w:val="24"/>
          <w:szCs w:val="24"/>
        </w:rPr>
        <w:t xml:space="preserve">In addition, </w:t>
      </w:r>
      <w:r w:rsidR="00B10420">
        <w:rPr>
          <w:sz w:val="24"/>
          <w:szCs w:val="24"/>
        </w:rPr>
        <w:t>PECO witness Tarple</w:t>
      </w:r>
      <w:r w:rsidRPr="002D4F24">
        <w:rPr>
          <w:sz w:val="24"/>
          <w:szCs w:val="24"/>
        </w:rPr>
        <w:t xml:space="preserve">y testified that there was no discontinuance call made for the Spruce Street address.  Tr. 19.  </w:t>
      </w:r>
      <w:r w:rsidR="00933A94" w:rsidRPr="002D4F24">
        <w:rPr>
          <w:sz w:val="24"/>
          <w:szCs w:val="24"/>
        </w:rPr>
        <w:t xml:space="preserve">However, the BCS informal decision, provided here as PECO Exhibit 11, indicates that the customer contacted the Company on November 8, </w:t>
      </w:r>
      <w:r w:rsidR="00933A94" w:rsidRPr="00232B10">
        <w:rPr>
          <w:sz w:val="24"/>
          <w:szCs w:val="24"/>
        </w:rPr>
        <w:t>2010</w:t>
      </w:r>
      <w:r w:rsidR="00C57101" w:rsidRPr="00232B10">
        <w:rPr>
          <w:sz w:val="24"/>
          <w:szCs w:val="24"/>
        </w:rPr>
        <w:t xml:space="preserve"> </w:t>
      </w:r>
      <w:r w:rsidR="00C57101" w:rsidRPr="002D4F24">
        <w:rPr>
          <w:b/>
          <w:sz w:val="24"/>
          <w:szCs w:val="24"/>
        </w:rPr>
        <w:t>(</w:t>
      </w:r>
      <w:r w:rsidR="00C57101" w:rsidRPr="002D4F24">
        <w:rPr>
          <w:sz w:val="24"/>
          <w:szCs w:val="24"/>
        </w:rPr>
        <w:t xml:space="preserve">either a typo or a full year </w:t>
      </w:r>
      <w:r w:rsidR="00C83C3D" w:rsidRPr="002D4F24">
        <w:rPr>
          <w:sz w:val="24"/>
          <w:szCs w:val="24"/>
        </w:rPr>
        <w:t xml:space="preserve">and six days </w:t>
      </w:r>
      <w:r w:rsidR="00C57101" w:rsidRPr="002D4F24">
        <w:rPr>
          <w:sz w:val="24"/>
          <w:szCs w:val="24"/>
        </w:rPr>
        <w:t>after the phone call was made in 2009</w:t>
      </w:r>
      <w:r w:rsidR="003A048A">
        <w:rPr>
          <w:sz w:val="24"/>
          <w:szCs w:val="24"/>
        </w:rPr>
        <w:t>, see Tr. 30 and </w:t>
      </w:r>
      <w:r w:rsidR="00C83C3D" w:rsidRPr="002D4F24">
        <w:rPr>
          <w:sz w:val="24"/>
          <w:szCs w:val="24"/>
        </w:rPr>
        <w:t>57</w:t>
      </w:r>
      <w:r w:rsidR="00C57101" w:rsidRPr="002D4F24">
        <w:rPr>
          <w:sz w:val="24"/>
          <w:szCs w:val="24"/>
        </w:rPr>
        <w:t>)</w:t>
      </w:r>
      <w:r w:rsidR="00933A94" w:rsidRPr="002D4F24">
        <w:rPr>
          <w:b/>
          <w:sz w:val="24"/>
          <w:szCs w:val="24"/>
        </w:rPr>
        <w:t xml:space="preserve"> </w:t>
      </w:r>
      <w:r w:rsidR="00933A94" w:rsidRPr="002D4F24">
        <w:rPr>
          <w:sz w:val="24"/>
          <w:szCs w:val="24"/>
        </w:rPr>
        <w:t>and requested that service be discontinued at the Spruce Street address</w:t>
      </w:r>
      <w:r w:rsidR="00650651" w:rsidRPr="002D4F24">
        <w:rPr>
          <w:sz w:val="24"/>
          <w:szCs w:val="24"/>
        </w:rPr>
        <w:t xml:space="preserve"> but provided a social security number that was different from that used to initiate service in her name.  </w:t>
      </w:r>
      <w:r w:rsidR="00933A94" w:rsidRPr="002D4F24">
        <w:rPr>
          <w:sz w:val="24"/>
          <w:szCs w:val="24"/>
        </w:rPr>
        <w:t xml:space="preserve">It states further that the Company requested </w:t>
      </w:r>
      <w:r w:rsidR="00650651" w:rsidRPr="002D4F24">
        <w:rPr>
          <w:sz w:val="24"/>
          <w:szCs w:val="24"/>
        </w:rPr>
        <w:t>that Complainant come to the Company office to verify her identity, and that she did not do that.  PECO Exhibit 11.</w:t>
      </w:r>
      <w:r w:rsidR="000E3D1E" w:rsidRPr="002D4F24">
        <w:rPr>
          <w:sz w:val="24"/>
          <w:szCs w:val="24"/>
        </w:rPr>
        <w:t xml:space="preserve"> </w:t>
      </w:r>
      <w:r w:rsidR="00F62DA7">
        <w:rPr>
          <w:sz w:val="24"/>
          <w:szCs w:val="24"/>
        </w:rPr>
        <w:t xml:space="preserve"> </w:t>
      </w:r>
      <w:r w:rsidR="00C83C3D" w:rsidRPr="002D4F24">
        <w:rPr>
          <w:sz w:val="24"/>
          <w:szCs w:val="24"/>
        </w:rPr>
        <w:t>PECO witness Tarpl</w:t>
      </w:r>
      <w:r w:rsidR="00B10420">
        <w:rPr>
          <w:sz w:val="24"/>
          <w:szCs w:val="24"/>
        </w:rPr>
        <w:t>e</w:t>
      </w:r>
      <w:r w:rsidR="00C83C3D" w:rsidRPr="002D4F24">
        <w:rPr>
          <w:sz w:val="24"/>
          <w:szCs w:val="24"/>
        </w:rPr>
        <w:t xml:space="preserve">y paraphrased most of the BCS informal decision </w:t>
      </w:r>
      <w:r w:rsidR="00142469" w:rsidRPr="002D4F24">
        <w:rPr>
          <w:sz w:val="24"/>
          <w:szCs w:val="24"/>
        </w:rPr>
        <w:t>but did not mention this section at all during her testimony.  Tr. 30.</w:t>
      </w:r>
    </w:p>
    <w:p w:rsidR="00650651" w:rsidRPr="002D4F24" w:rsidRDefault="00650651" w:rsidP="00C56AC1">
      <w:pPr>
        <w:spacing w:line="360" w:lineRule="auto"/>
        <w:contextualSpacing/>
        <w:rPr>
          <w:sz w:val="24"/>
          <w:szCs w:val="24"/>
        </w:rPr>
      </w:pPr>
    </w:p>
    <w:p w:rsidR="00650651" w:rsidRPr="002D4F24" w:rsidRDefault="00650651" w:rsidP="00C56AC1">
      <w:pPr>
        <w:spacing w:line="360" w:lineRule="auto"/>
        <w:contextualSpacing/>
        <w:rPr>
          <w:sz w:val="24"/>
          <w:szCs w:val="24"/>
        </w:rPr>
      </w:pPr>
      <w:r w:rsidRPr="002D4F24">
        <w:rPr>
          <w:sz w:val="24"/>
          <w:szCs w:val="24"/>
        </w:rPr>
        <w:lastRenderedPageBreak/>
        <w:tab/>
      </w:r>
      <w:r w:rsidRPr="002D4F24">
        <w:rPr>
          <w:sz w:val="24"/>
          <w:szCs w:val="24"/>
        </w:rPr>
        <w:tab/>
        <w:t xml:space="preserve">This is another evidentiary problem, as the BCS informal decision is based on information received without the benefits and protections provided by sworn testimony and the right of cross examination, and is, therefore, insufficient to form the basis of a finding of fact in this proceeding.  BCS decisions are required to be included where the proceeding is based on the </w:t>
      </w:r>
      <w:r w:rsidR="000E3D1E" w:rsidRPr="002D4F24">
        <w:rPr>
          <w:sz w:val="24"/>
          <w:szCs w:val="24"/>
        </w:rPr>
        <w:t xml:space="preserve">fact that there is a </w:t>
      </w:r>
      <w:r w:rsidRPr="002D4F24">
        <w:rPr>
          <w:sz w:val="24"/>
          <w:szCs w:val="24"/>
        </w:rPr>
        <w:t>BCS determination, but they cannot be used for any other purpose</w:t>
      </w:r>
      <w:r w:rsidR="00C83C3D" w:rsidRPr="002D4F24">
        <w:rPr>
          <w:sz w:val="24"/>
          <w:szCs w:val="24"/>
        </w:rPr>
        <w:t>, i.e., proof of any of the facts claimed therein,</w:t>
      </w:r>
      <w:r w:rsidRPr="002D4F24">
        <w:rPr>
          <w:sz w:val="24"/>
          <w:szCs w:val="24"/>
        </w:rPr>
        <w:t xml:space="preserve"> in a formal proceeding.  This </w:t>
      </w:r>
      <w:r w:rsidR="00C83C3D" w:rsidRPr="002D4F24">
        <w:rPr>
          <w:sz w:val="24"/>
          <w:szCs w:val="24"/>
        </w:rPr>
        <w:t>informal decision</w:t>
      </w:r>
      <w:r w:rsidRPr="002D4F24">
        <w:rPr>
          <w:sz w:val="24"/>
          <w:szCs w:val="24"/>
        </w:rPr>
        <w:t xml:space="preserve"> contains information which is inconsistent with the evidence provided in the hearing itself, and the Company did not address the inconsistency on the record except to deny it outright</w:t>
      </w:r>
      <w:r w:rsidR="00142469" w:rsidRPr="002D4F24">
        <w:rPr>
          <w:sz w:val="24"/>
          <w:szCs w:val="24"/>
        </w:rPr>
        <w:t xml:space="preserve"> or omit it completely</w:t>
      </w:r>
      <w:r w:rsidRPr="002D4F24">
        <w:rPr>
          <w:sz w:val="24"/>
          <w:szCs w:val="24"/>
        </w:rPr>
        <w:t xml:space="preserve">.  </w:t>
      </w:r>
      <w:r w:rsidR="000E3D1E" w:rsidRPr="002D4F24">
        <w:rPr>
          <w:sz w:val="24"/>
          <w:szCs w:val="24"/>
        </w:rPr>
        <w:t xml:space="preserve">Again, a copy of the customer contact record, </w:t>
      </w:r>
      <w:r w:rsidR="00C57101" w:rsidRPr="002D4F24">
        <w:rPr>
          <w:sz w:val="24"/>
          <w:szCs w:val="24"/>
        </w:rPr>
        <w:t xml:space="preserve">a business record </w:t>
      </w:r>
      <w:r w:rsidR="000E3D1E" w:rsidRPr="002D4F24">
        <w:rPr>
          <w:sz w:val="24"/>
          <w:szCs w:val="24"/>
        </w:rPr>
        <w:t>which is usually provided in a case such as this where actual customer contact is contested, was conspicuous by its absence.</w:t>
      </w:r>
    </w:p>
    <w:p w:rsidR="000E3D1E" w:rsidRPr="002D4F24" w:rsidRDefault="000E3D1E" w:rsidP="00C56AC1">
      <w:pPr>
        <w:spacing w:line="360" w:lineRule="auto"/>
        <w:contextualSpacing/>
        <w:rPr>
          <w:sz w:val="24"/>
          <w:szCs w:val="24"/>
        </w:rPr>
      </w:pPr>
    </w:p>
    <w:p w:rsidR="000E3D1E" w:rsidRPr="002D4F24" w:rsidRDefault="000E3D1E" w:rsidP="00C56AC1">
      <w:pPr>
        <w:spacing w:line="360" w:lineRule="auto"/>
        <w:contextualSpacing/>
        <w:rPr>
          <w:sz w:val="24"/>
          <w:szCs w:val="24"/>
        </w:rPr>
      </w:pPr>
      <w:r w:rsidRPr="002D4F24">
        <w:rPr>
          <w:sz w:val="24"/>
          <w:szCs w:val="24"/>
        </w:rPr>
        <w:tab/>
      </w:r>
      <w:r w:rsidRPr="002D4F24">
        <w:rPr>
          <w:sz w:val="24"/>
          <w:szCs w:val="24"/>
        </w:rPr>
        <w:tab/>
        <w:t>However, PECO's evidentiary transgressions</w:t>
      </w:r>
      <w:r w:rsidR="00142469" w:rsidRPr="002D4F24">
        <w:rPr>
          <w:sz w:val="24"/>
          <w:szCs w:val="24"/>
        </w:rPr>
        <w:t>, while troubling,</w:t>
      </w:r>
      <w:r w:rsidRPr="002D4F24">
        <w:rPr>
          <w:sz w:val="24"/>
          <w:szCs w:val="24"/>
        </w:rPr>
        <w:t xml:space="preserve"> are not determinative where the Complainant has not carried her burden of proof.</w:t>
      </w:r>
    </w:p>
    <w:p w:rsidR="00650651" w:rsidRPr="002D4F24" w:rsidRDefault="00650651" w:rsidP="00C56AC1">
      <w:pPr>
        <w:spacing w:line="360" w:lineRule="auto"/>
        <w:contextualSpacing/>
        <w:rPr>
          <w:sz w:val="24"/>
          <w:szCs w:val="24"/>
        </w:rPr>
      </w:pPr>
    </w:p>
    <w:p w:rsidR="00AA01E6" w:rsidRPr="002D4F24" w:rsidRDefault="00C57101" w:rsidP="00C57101">
      <w:pPr>
        <w:pStyle w:val="FootnoteText"/>
        <w:spacing w:line="360" w:lineRule="auto"/>
        <w:rPr>
          <w:sz w:val="24"/>
          <w:szCs w:val="24"/>
        </w:rPr>
      </w:pPr>
      <w:r w:rsidRPr="002D4F24">
        <w:rPr>
          <w:sz w:val="24"/>
          <w:szCs w:val="24"/>
        </w:rPr>
        <w:tab/>
      </w:r>
      <w:r w:rsidRPr="002D4F24">
        <w:rPr>
          <w:sz w:val="24"/>
          <w:szCs w:val="24"/>
        </w:rPr>
        <w:tab/>
        <w:t>PECO's records show that s</w:t>
      </w:r>
      <w:r w:rsidR="00AA01E6" w:rsidRPr="002D4F24">
        <w:rPr>
          <w:sz w:val="24"/>
          <w:szCs w:val="24"/>
        </w:rPr>
        <w:t>ervice was term</w:t>
      </w:r>
      <w:r w:rsidR="00205170">
        <w:rPr>
          <w:sz w:val="24"/>
          <w:szCs w:val="24"/>
        </w:rPr>
        <w:t>inated at Spruce Street on July 13, </w:t>
      </w:r>
      <w:r w:rsidR="00AA01E6" w:rsidRPr="002D4F24">
        <w:rPr>
          <w:sz w:val="24"/>
          <w:szCs w:val="24"/>
        </w:rPr>
        <w:t>2011</w:t>
      </w:r>
      <w:r w:rsidR="00C3095D" w:rsidRPr="002D4F24">
        <w:rPr>
          <w:sz w:val="24"/>
          <w:szCs w:val="24"/>
        </w:rPr>
        <w:t xml:space="preserve"> for delinquency, not upon request of the customer</w:t>
      </w:r>
      <w:r w:rsidR="00AA01E6" w:rsidRPr="002D4F24">
        <w:rPr>
          <w:sz w:val="24"/>
          <w:szCs w:val="24"/>
        </w:rPr>
        <w:t>, with a final bill balance of $7,529.76.</w:t>
      </w:r>
      <w:r w:rsidR="00C3095D" w:rsidRPr="002D4F24">
        <w:rPr>
          <w:sz w:val="24"/>
          <w:szCs w:val="24"/>
        </w:rPr>
        <w:t xml:space="preserve">  Tr. 19.</w:t>
      </w:r>
    </w:p>
    <w:p w:rsidR="00AA01E6" w:rsidRPr="002D4F24" w:rsidRDefault="00AA01E6" w:rsidP="00562F87">
      <w:pPr>
        <w:spacing w:line="360" w:lineRule="auto"/>
        <w:contextualSpacing/>
        <w:rPr>
          <w:sz w:val="24"/>
          <w:szCs w:val="24"/>
        </w:rPr>
      </w:pPr>
    </w:p>
    <w:p w:rsidR="00AA01E6" w:rsidRPr="002D4F24" w:rsidRDefault="00AA01E6" w:rsidP="00562F87">
      <w:pPr>
        <w:spacing w:line="360" w:lineRule="auto"/>
        <w:contextualSpacing/>
        <w:rPr>
          <w:sz w:val="24"/>
          <w:szCs w:val="24"/>
        </w:rPr>
      </w:pPr>
      <w:r w:rsidRPr="002D4F24">
        <w:rPr>
          <w:sz w:val="24"/>
          <w:szCs w:val="24"/>
        </w:rPr>
        <w:tab/>
      </w:r>
      <w:r w:rsidRPr="002D4F24">
        <w:rPr>
          <w:sz w:val="24"/>
          <w:szCs w:val="24"/>
        </w:rPr>
        <w:tab/>
        <w:t xml:space="preserve">On October 11, 2011, service was initiated in Complainant's name at 613 Darby Terrace.  The unpaid balance from Spruce Street was transferred to the Darby Terrace account on November 28, 2011.  Service was terminated on </w:t>
      </w:r>
      <w:r w:rsidR="002F276A" w:rsidRPr="002D4F24">
        <w:rPr>
          <w:sz w:val="24"/>
          <w:szCs w:val="24"/>
        </w:rPr>
        <w:t>Octo</w:t>
      </w:r>
      <w:r w:rsidRPr="002D4F24">
        <w:rPr>
          <w:sz w:val="24"/>
          <w:szCs w:val="24"/>
        </w:rPr>
        <w:t>ber 11, 2012, with a final bill balance of $10,573.10.</w:t>
      </w:r>
    </w:p>
    <w:p w:rsidR="00562F87" w:rsidRPr="002D4F24" w:rsidRDefault="00562F87" w:rsidP="00562F87">
      <w:pPr>
        <w:spacing w:line="360" w:lineRule="auto"/>
        <w:rPr>
          <w:sz w:val="24"/>
          <w:szCs w:val="24"/>
        </w:rPr>
      </w:pPr>
    </w:p>
    <w:p w:rsidR="00590B90" w:rsidRPr="002D4F24" w:rsidRDefault="00590B90" w:rsidP="00590B90">
      <w:pPr>
        <w:spacing w:line="360" w:lineRule="auto"/>
        <w:rPr>
          <w:sz w:val="24"/>
          <w:szCs w:val="24"/>
        </w:rPr>
      </w:pPr>
      <w:r w:rsidRPr="002D4F24">
        <w:rPr>
          <w:sz w:val="24"/>
          <w:szCs w:val="24"/>
        </w:rPr>
        <w:tab/>
      </w:r>
      <w:r w:rsidRPr="002D4F24">
        <w:rPr>
          <w:sz w:val="24"/>
          <w:szCs w:val="24"/>
        </w:rPr>
        <w:tab/>
        <w:t>Complainant disputed the Spruce Street charges on October 11, 2011.  PECO Exhibit 6 was prepared in response to that dispute.  Tr. 24.  PECO witness Tarplay testified that attempts were made by telephone and letters to get additional information from Complainant but there was no response from Complainant, causing PECO to close its investigation.  Tr. 25.</w:t>
      </w:r>
    </w:p>
    <w:p w:rsidR="00386E8E" w:rsidRPr="002D4F24" w:rsidRDefault="00E20F75" w:rsidP="002D3A47">
      <w:pPr>
        <w:spacing w:line="360" w:lineRule="auto"/>
        <w:rPr>
          <w:sz w:val="24"/>
          <w:szCs w:val="24"/>
        </w:rPr>
      </w:pPr>
      <w:r w:rsidRPr="002D4F24">
        <w:rPr>
          <w:sz w:val="24"/>
          <w:szCs w:val="24"/>
        </w:rPr>
        <w:tab/>
      </w:r>
      <w:r w:rsidRPr="002D4F24">
        <w:rPr>
          <w:sz w:val="24"/>
          <w:szCs w:val="24"/>
        </w:rPr>
        <w:tab/>
      </w:r>
    </w:p>
    <w:p w:rsidR="00386E8E" w:rsidRPr="002D4F24" w:rsidRDefault="00386E8E" w:rsidP="002D3A47">
      <w:pPr>
        <w:spacing w:line="360" w:lineRule="auto"/>
        <w:rPr>
          <w:sz w:val="24"/>
          <w:szCs w:val="24"/>
        </w:rPr>
      </w:pPr>
      <w:r w:rsidRPr="002D4F24">
        <w:rPr>
          <w:sz w:val="24"/>
          <w:szCs w:val="24"/>
        </w:rPr>
        <w:lastRenderedPageBreak/>
        <w:tab/>
      </w:r>
      <w:r w:rsidRPr="002D4F24">
        <w:rPr>
          <w:sz w:val="24"/>
          <w:szCs w:val="24"/>
        </w:rPr>
        <w:tab/>
        <w:t>On October 18, 2012, a PECO employee conducting a routine registration of the inactive meter discovered that the meter board had been pried open.  Tr. 23-24.</w:t>
      </w:r>
      <w:r w:rsidR="00716B8E" w:rsidRPr="002D4F24">
        <w:rPr>
          <w:sz w:val="24"/>
          <w:szCs w:val="24"/>
        </w:rPr>
        <w:t xml:space="preserve">  A tampering fee was added to the Darby Street account on October 18, 2012.  PECO Exhibit 2.</w:t>
      </w:r>
    </w:p>
    <w:p w:rsidR="00386E8E" w:rsidRPr="002D4F24" w:rsidRDefault="00386E8E" w:rsidP="002D3A47">
      <w:pPr>
        <w:spacing w:line="360" w:lineRule="auto"/>
        <w:rPr>
          <w:sz w:val="24"/>
          <w:szCs w:val="24"/>
        </w:rPr>
      </w:pPr>
    </w:p>
    <w:p w:rsidR="00E93C5F" w:rsidRPr="002D4F24" w:rsidRDefault="00386E8E" w:rsidP="002D3A47">
      <w:pPr>
        <w:spacing w:line="360" w:lineRule="auto"/>
        <w:rPr>
          <w:sz w:val="24"/>
          <w:szCs w:val="24"/>
        </w:rPr>
      </w:pPr>
      <w:r w:rsidRPr="002D4F24">
        <w:rPr>
          <w:sz w:val="24"/>
          <w:szCs w:val="24"/>
        </w:rPr>
        <w:tab/>
      </w:r>
      <w:r w:rsidRPr="002D4F24">
        <w:rPr>
          <w:sz w:val="24"/>
          <w:szCs w:val="24"/>
        </w:rPr>
        <w:tab/>
        <w:t>Complainant reopened the dispute</w:t>
      </w:r>
      <w:r w:rsidR="00590B90" w:rsidRPr="002D4F24">
        <w:rPr>
          <w:sz w:val="24"/>
          <w:szCs w:val="24"/>
        </w:rPr>
        <w:t xml:space="preserve"> regarding the Spruce Street charges</w:t>
      </w:r>
      <w:r w:rsidRPr="002D4F24">
        <w:rPr>
          <w:sz w:val="24"/>
          <w:szCs w:val="24"/>
        </w:rPr>
        <w:t xml:space="preserve"> in 2012</w:t>
      </w:r>
      <w:r w:rsidR="00E93C5F" w:rsidRPr="002D4F24">
        <w:rPr>
          <w:sz w:val="24"/>
          <w:szCs w:val="24"/>
        </w:rPr>
        <w:t>, and again, PECO attempted by telephone calls and letters to obtain additional information from Complainant to substantiate her claims, but Complainant was not responsive.  PECO closed its investigation, as evidenced by PECO Exhibit 7.  Tr. 25.</w:t>
      </w:r>
    </w:p>
    <w:p w:rsidR="00E93C5F" w:rsidRPr="002D4F24" w:rsidRDefault="00E93C5F" w:rsidP="002D3A47">
      <w:pPr>
        <w:spacing w:line="360" w:lineRule="auto"/>
        <w:rPr>
          <w:sz w:val="24"/>
          <w:szCs w:val="24"/>
        </w:rPr>
      </w:pPr>
    </w:p>
    <w:p w:rsidR="00386E8E" w:rsidRPr="002D4F24" w:rsidRDefault="00E93C5F" w:rsidP="002D3A47">
      <w:pPr>
        <w:spacing w:line="360" w:lineRule="auto"/>
        <w:rPr>
          <w:sz w:val="24"/>
          <w:szCs w:val="24"/>
        </w:rPr>
      </w:pPr>
      <w:r w:rsidRPr="002D4F24">
        <w:rPr>
          <w:sz w:val="24"/>
          <w:szCs w:val="24"/>
        </w:rPr>
        <w:tab/>
      </w:r>
      <w:r w:rsidRPr="002D4F24">
        <w:rPr>
          <w:sz w:val="24"/>
          <w:szCs w:val="24"/>
        </w:rPr>
        <w:tab/>
        <w:t>Complainant was denied service at the D</w:t>
      </w:r>
      <w:r w:rsidR="001233EA">
        <w:rPr>
          <w:sz w:val="24"/>
          <w:szCs w:val="24"/>
        </w:rPr>
        <w:t>arby Terrace address on January 18, </w:t>
      </w:r>
      <w:r w:rsidRPr="002D4F24">
        <w:rPr>
          <w:sz w:val="24"/>
          <w:szCs w:val="24"/>
        </w:rPr>
        <w:t>2013.  PECO Exhibit 8; Tr. 26.  On January 18, 2013, she filed an informal complaint</w:t>
      </w:r>
      <w:r w:rsidR="00386E8E" w:rsidRPr="002D4F24">
        <w:rPr>
          <w:sz w:val="24"/>
          <w:szCs w:val="24"/>
        </w:rPr>
        <w:t xml:space="preserve"> </w:t>
      </w:r>
      <w:r w:rsidRPr="002D4F24">
        <w:rPr>
          <w:sz w:val="24"/>
          <w:szCs w:val="24"/>
        </w:rPr>
        <w:t xml:space="preserve">with the Commission's BCS, as detailed in PECO Exhibit 9.  Tr. 27.  BCS denied her claims.  PECO Exhibit 9; Tr. 31.  </w:t>
      </w:r>
      <w:r w:rsidR="00590B90" w:rsidRPr="002D4F24">
        <w:rPr>
          <w:sz w:val="24"/>
          <w:szCs w:val="24"/>
        </w:rPr>
        <w:t>This appeal followed.</w:t>
      </w:r>
    </w:p>
    <w:p w:rsidR="00F07A41" w:rsidRPr="002D4F24" w:rsidRDefault="00F07A41" w:rsidP="00E75C21">
      <w:pPr>
        <w:spacing w:line="360" w:lineRule="auto"/>
        <w:rPr>
          <w:sz w:val="24"/>
          <w:szCs w:val="24"/>
        </w:rPr>
      </w:pPr>
    </w:p>
    <w:p w:rsidR="00590B90" w:rsidRPr="002D4F24" w:rsidRDefault="00535E2F" w:rsidP="00E75C21">
      <w:pPr>
        <w:spacing w:line="360" w:lineRule="auto"/>
        <w:rPr>
          <w:sz w:val="24"/>
          <w:szCs w:val="24"/>
        </w:rPr>
      </w:pPr>
      <w:r w:rsidRPr="002D4F24">
        <w:rPr>
          <w:sz w:val="24"/>
          <w:szCs w:val="24"/>
        </w:rPr>
        <w:tab/>
      </w:r>
      <w:r w:rsidRPr="002D4F24">
        <w:rPr>
          <w:sz w:val="24"/>
          <w:szCs w:val="24"/>
        </w:rPr>
        <w:tab/>
        <w:t xml:space="preserve">Complainant points out the inconsistency in PECO's action between leaving the service on at the Spruce Street address </w:t>
      </w:r>
      <w:r w:rsidR="00255826" w:rsidRPr="002D4F24">
        <w:rPr>
          <w:sz w:val="24"/>
          <w:szCs w:val="24"/>
        </w:rPr>
        <w:t>from the time that she called in November</w:t>
      </w:r>
      <w:r w:rsidR="00C43965">
        <w:rPr>
          <w:sz w:val="24"/>
          <w:szCs w:val="24"/>
        </w:rPr>
        <w:t>,</w:t>
      </w:r>
      <w:r w:rsidR="00255826" w:rsidRPr="002D4F24">
        <w:rPr>
          <w:sz w:val="24"/>
          <w:szCs w:val="24"/>
        </w:rPr>
        <w:t xml:space="preserve"> 2009 until </w:t>
      </w:r>
    </w:p>
    <w:p w:rsidR="00535E2F" w:rsidRPr="002D4F24" w:rsidRDefault="00255826" w:rsidP="00E75C21">
      <w:pPr>
        <w:spacing w:line="360" w:lineRule="auto"/>
        <w:rPr>
          <w:sz w:val="24"/>
          <w:szCs w:val="24"/>
        </w:rPr>
      </w:pPr>
      <w:r w:rsidRPr="002D4F24">
        <w:rPr>
          <w:sz w:val="24"/>
          <w:szCs w:val="24"/>
        </w:rPr>
        <w:t xml:space="preserve">July 13, 2011 without payment and PECO's quick action in terminating service to the Darby Terrace address within a few months of nonpayment.  She suggests that PECO should bear responsibility for not turning off the service sooner to the Spruce Street address.  </w:t>
      </w:r>
      <w:r w:rsidR="00E93C5F" w:rsidRPr="002D4F24">
        <w:rPr>
          <w:sz w:val="24"/>
          <w:szCs w:val="24"/>
        </w:rPr>
        <w:t>Tr. 36.</w:t>
      </w:r>
      <w:r w:rsidR="00142469" w:rsidRPr="002D4F24">
        <w:rPr>
          <w:sz w:val="24"/>
          <w:szCs w:val="24"/>
        </w:rPr>
        <w:t xml:space="preserve">  However, she offers no explanation for her lack of responsiveness to PECO's attempts to communicate with her and obtain additional information regarding her disputes.</w:t>
      </w:r>
    </w:p>
    <w:p w:rsidR="00E15CE9" w:rsidRPr="002D4F24" w:rsidRDefault="00E15CE9" w:rsidP="00E75C21">
      <w:pPr>
        <w:spacing w:line="360" w:lineRule="auto"/>
        <w:rPr>
          <w:sz w:val="24"/>
          <w:szCs w:val="24"/>
        </w:rPr>
      </w:pPr>
    </w:p>
    <w:p w:rsidR="00255826" w:rsidRPr="002D4F24" w:rsidRDefault="00E15CE9" w:rsidP="00E75C21">
      <w:pPr>
        <w:spacing w:line="360" w:lineRule="auto"/>
        <w:rPr>
          <w:sz w:val="24"/>
          <w:szCs w:val="24"/>
        </w:rPr>
      </w:pPr>
      <w:r w:rsidRPr="002D4F24">
        <w:rPr>
          <w:sz w:val="24"/>
          <w:szCs w:val="24"/>
        </w:rPr>
        <w:tab/>
      </w:r>
      <w:r w:rsidRPr="002D4F24">
        <w:rPr>
          <w:sz w:val="24"/>
          <w:szCs w:val="24"/>
        </w:rPr>
        <w:tab/>
      </w:r>
      <w:r w:rsidR="00142469" w:rsidRPr="002D4F24">
        <w:rPr>
          <w:sz w:val="24"/>
          <w:szCs w:val="24"/>
        </w:rPr>
        <w:t>In addition, a</w:t>
      </w:r>
      <w:r w:rsidR="004B6F69" w:rsidRPr="002D4F24">
        <w:rPr>
          <w:sz w:val="24"/>
          <w:szCs w:val="24"/>
        </w:rPr>
        <w:t>s PECO counters, it believed that Complainant lived there, and therefore, it had to proceed as if she did.  T</w:t>
      </w:r>
      <w:r w:rsidR="006E5358" w:rsidRPr="002D4F24">
        <w:rPr>
          <w:sz w:val="24"/>
          <w:szCs w:val="24"/>
        </w:rPr>
        <w:t>he Spruce Street address was a rental unit</w:t>
      </w:r>
      <w:r w:rsidR="004B6F69" w:rsidRPr="002D4F24">
        <w:rPr>
          <w:sz w:val="24"/>
          <w:szCs w:val="24"/>
        </w:rPr>
        <w:t>,</w:t>
      </w:r>
      <w:r w:rsidR="006E5358" w:rsidRPr="002D4F24">
        <w:rPr>
          <w:sz w:val="24"/>
          <w:szCs w:val="24"/>
        </w:rPr>
        <w:t xml:space="preserve"> and PECO had no access to the meter. </w:t>
      </w:r>
      <w:r w:rsidR="00503B74">
        <w:rPr>
          <w:sz w:val="24"/>
          <w:szCs w:val="24"/>
        </w:rPr>
        <w:t xml:space="preserve"> </w:t>
      </w:r>
      <w:r w:rsidR="007C5816" w:rsidRPr="002D4F24">
        <w:rPr>
          <w:sz w:val="24"/>
          <w:szCs w:val="24"/>
        </w:rPr>
        <w:t xml:space="preserve">The service could not be cut off at the tap because of the other </w:t>
      </w:r>
      <w:r w:rsidR="00590B90" w:rsidRPr="002D4F24">
        <w:rPr>
          <w:sz w:val="24"/>
          <w:szCs w:val="24"/>
        </w:rPr>
        <w:t xml:space="preserve">rental </w:t>
      </w:r>
      <w:r w:rsidR="007C5816" w:rsidRPr="002D4F24">
        <w:rPr>
          <w:sz w:val="24"/>
          <w:szCs w:val="24"/>
        </w:rPr>
        <w:t>units, and the meter could not be accessed from outside the building.  Tr. 38.  The bills were sent to the Spruce Street address, and PECO has no records of returned mail.  Tr. 39</w:t>
      </w:r>
      <w:r w:rsidR="00451F80" w:rsidRPr="002D4F24">
        <w:rPr>
          <w:sz w:val="24"/>
          <w:szCs w:val="24"/>
        </w:rPr>
        <w:t xml:space="preserve"> (but see PECO Exhibit 11, which contains a notation of returned mail on May 5, 2011)</w:t>
      </w:r>
      <w:r w:rsidR="007C5816" w:rsidRPr="002D4F24">
        <w:rPr>
          <w:sz w:val="24"/>
          <w:szCs w:val="24"/>
        </w:rPr>
        <w:t>.  In addition, between December 1</w:t>
      </w:r>
      <w:r w:rsidR="007C5816" w:rsidRPr="002D4F24">
        <w:rPr>
          <w:sz w:val="24"/>
          <w:szCs w:val="24"/>
          <w:vertAlign w:val="superscript"/>
        </w:rPr>
        <w:t>st</w:t>
      </w:r>
      <w:r w:rsidR="007C5816" w:rsidRPr="002D4F24">
        <w:rPr>
          <w:sz w:val="24"/>
          <w:szCs w:val="24"/>
        </w:rPr>
        <w:t xml:space="preserve"> and April 1</w:t>
      </w:r>
      <w:r w:rsidR="007C5816" w:rsidRPr="002D4F24">
        <w:rPr>
          <w:sz w:val="24"/>
          <w:szCs w:val="24"/>
          <w:vertAlign w:val="superscript"/>
        </w:rPr>
        <w:t>st</w:t>
      </w:r>
      <w:r w:rsidR="007C5816" w:rsidRPr="002D4F24">
        <w:rPr>
          <w:sz w:val="24"/>
          <w:szCs w:val="24"/>
        </w:rPr>
        <w:t>, there is a moratorium against terminating low-income customers.  Tr.</w:t>
      </w:r>
      <w:r w:rsidR="008C56CC">
        <w:rPr>
          <w:sz w:val="24"/>
          <w:szCs w:val="24"/>
        </w:rPr>
        <w:t> </w:t>
      </w:r>
      <w:r w:rsidR="007C5816" w:rsidRPr="002D4F24">
        <w:rPr>
          <w:sz w:val="24"/>
          <w:szCs w:val="24"/>
        </w:rPr>
        <w:t xml:space="preserve">40.  The Company first attempted to access the meter on July 16, 2010, and then again on </w:t>
      </w:r>
      <w:r w:rsidR="007C5816" w:rsidRPr="002D4F24">
        <w:rPr>
          <w:sz w:val="24"/>
          <w:szCs w:val="24"/>
        </w:rPr>
        <w:lastRenderedPageBreak/>
        <w:t xml:space="preserve">September 8, 2010, </w:t>
      </w:r>
      <w:r w:rsidR="0037406C" w:rsidRPr="002D4F24">
        <w:rPr>
          <w:sz w:val="24"/>
          <w:szCs w:val="24"/>
        </w:rPr>
        <w:t xml:space="preserve">and November 2010, </w:t>
      </w:r>
      <w:r w:rsidR="007C5816" w:rsidRPr="002D4F24">
        <w:rPr>
          <w:sz w:val="24"/>
          <w:szCs w:val="24"/>
        </w:rPr>
        <w:t>and was unabl</w:t>
      </w:r>
      <w:r w:rsidR="0037406C" w:rsidRPr="002D4F24">
        <w:rPr>
          <w:sz w:val="24"/>
          <w:szCs w:val="24"/>
        </w:rPr>
        <w:t>e to gain access to the meter</w:t>
      </w:r>
      <w:r w:rsidR="007C5816" w:rsidRPr="002D4F24">
        <w:rPr>
          <w:sz w:val="24"/>
          <w:szCs w:val="24"/>
        </w:rPr>
        <w:t>.  Tr. 42</w:t>
      </w:r>
      <w:r w:rsidR="0037406C" w:rsidRPr="002D4F24">
        <w:rPr>
          <w:sz w:val="24"/>
          <w:szCs w:val="24"/>
        </w:rPr>
        <w:t>, 49</w:t>
      </w:r>
      <w:r w:rsidR="007C5816" w:rsidRPr="002D4F24">
        <w:rPr>
          <w:sz w:val="24"/>
          <w:szCs w:val="24"/>
        </w:rPr>
        <w:t>.  Service was terminated July 13, 2011.  Tr. 43.</w:t>
      </w:r>
    </w:p>
    <w:p w:rsidR="00C3095D" w:rsidRPr="002D4F24" w:rsidRDefault="00C3095D" w:rsidP="00E75C21">
      <w:pPr>
        <w:spacing w:line="360" w:lineRule="auto"/>
        <w:rPr>
          <w:sz w:val="24"/>
          <w:szCs w:val="24"/>
        </w:rPr>
      </w:pPr>
    </w:p>
    <w:p w:rsidR="00590B90" w:rsidRPr="002D4F24" w:rsidRDefault="00C3095D" w:rsidP="00E75C21">
      <w:pPr>
        <w:spacing w:line="360" w:lineRule="auto"/>
        <w:rPr>
          <w:sz w:val="24"/>
          <w:szCs w:val="24"/>
        </w:rPr>
      </w:pPr>
      <w:r w:rsidRPr="002D4F24">
        <w:rPr>
          <w:sz w:val="24"/>
          <w:szCs w:val="24"/>
        </w:rPr>
        <w:tab/>
      </w:r>
      <w:r w:rsidRPr="002D4F24">
        <w:rPr>
          <w:sz w:val="24"/>
          <w:szCs w:val="24"/>
        </w:rPr>
        <w:tab/>
        <w:t xml:space="preserve">I note that PECO's records indicate that Complainant </w:t>
      </w:r>
      <w:r w:rsidR="00590B90" w:rsidRPr="002D4F24">
        <w:rPr>
          <w:sz w:val="24"/>
          <w:szCs w:val="24"/>
        </w:rPr>
        <w:t>began service in her name at</w:t>
      </w:r>
      <w:r w:rsidRPr="002D4F24">
        <w:rPr>
          <w:sz w:val="24"/>
          <w:szCs w:val="24"/>
        </w:rPr>
        <w:t xml:space="preserve"> the Spruce Street address in June</w:t>
      </w:r>
      <w:r w:rsidR="00234C95">
        <w:rPr>
          <w:sz w:val="24"/>
          <w:szCs w:val="24"/>
        </w:rPr>
        <w:t>,</w:t>
      </w:r>
      <w:r w:rsidRPr="002D4F24">
        <w:rPr>
          <w:sz w:val="24"/>
          <w:szCs w:val="24"/>
        </w:rPr>
        <w:t xml:space="preserve"> 2009, while Complainant testified that she moved to that address</w:t>
      </w:r>
      <w:r w:rsidR="004B6F69" w:rsidRPr="002D4F24">
        <w:rPr>
          <w:sz w:val="24"/>
          <w:szCs w:val="24"/>
        </w:rPr>
        <w:t xml:space="preserve"> in</w:t>
      </w:r>
      <w:r w:rsidRPr="002D4F24">
        <w:rPr>
          <w:sz w:val="24"/>
          <w:szCs w:val="24"/>
        </w:rPr>
        <w:t xml:space="preserve"> October 2008.  Tr. 17-18.  </w:t>
      </w:r>
      <w:r w:rsidR="006D17E1" w:rsidRPr="002D4F24">
        <w:rPr>
          <w:sz w:val="24"/>
          <w:szCs w:val="24"/>
        </w:rPr>
        <w:t>She provided general time frames but few details, and she offered no documentary evidence to support her claims.  For example, if she were in New Jersey from October</w:t>
      </w:r>
      <w:r w:rsidR="00807BBC">
        <w:rPr>
          <w:sz w:val="24"/>
          <w:szCs w:val="24"/>
        </w:rPr>
        <w:t>,</w:t>
      </w:r>
      <w:r w:rsidR="006D17E1" w:rsidRPr="002D4F24">
        <w:rPr>
          <w:sz w:val="24"/>
          <w:szCs w:val="24"/>
        </w:rPr>
        <w:t xml:space="preserve"> 2009 to June or July of 2010, there should be some evidence to support her presence there, such as a lease or receipt from a rental unit, change of address card, tax returns filed from the New Jersey address, anything to support a claim that she was somewhere other than the Spruce Street address.  She offered nothing, either to PECO during its own investigations into her claims, or to the Commission</w:t>
      </w:r>
      <w:r w:rsidR="00C57101" w:rsidRPr="002D4F24">
        <w:rPr>
          <w:sz w:val="24"/>
          <w:szCs w:val="24"/>
        </w:rPr>
        <w:t xml:space="preserve"> as part of the evidentiary hearing</w:t>
      </w:r>
      <w:r w:rsidR="000E3651" w:rsidRPr="002D4F24">
        <w:rPr>
          <w:sz w:val="24"/>
          <w:szCs w:val="24"/>
        </w:rPr>
        <w:t>, other than unsupported testimony</w:t>
      </w:r>
      <w:r w:rsidR="006D17E1" w:rsidRPr="002D4F24">
        <w:rPr>
          <w:sz w:val="24"/>
          <w:szCs w:val="24"/>
        </w:rPr>
        <w:t>.</w:t>
      </w:r>
    </w:p>
    <w:p w:rsidR="00590B90" w:rsidRPr="002D4F24" w:rsidRDefault="00590B90" w:rsidP="00E75C21">
      <w:pPr>
        <w:spacing w:line="360" w:lineRule="auto"/>
        <w:rPr>
          <w:sz w:val="24"/>
          <w:szCs w:val="24"/>
        </w:rPr>
      </w:pPr>
    </w:p>
    <w:p w:rsidR="00142469" w:rsidRPr="002D4F24" w:rsidRDefault="00590B90" w:rsidP="00E75C21">
      <w:pPr>
        <w:spacing w:line="360" w:lineRule="auto"/>
        <w:rPr>
          <w:sz w:val="24"/>
          <w:szCs w:val="24"/>
        </w:rPr>
      </w:pPr>
      <w:r w:rsidRPr="002D4F24">
        <w:rPr>
          <w:sz w:val="24"/>
          <w:szCs w:val="24"/>
        </w:rPr>
        <w:tab/>
      </w:r>
      <w:r w:rsidRPr="002D4F24">
        <w:rPr>
          <w:sz w:val="24"/>
          <w:szCs w:val="24"/>
        </w:rPr>
        <w:tab/>
      </w:r>
      <w:r w:rsidR="00C3095D" w:rsidRPr="002D4F24">
        <w:rPr>
          <w:sz w:val="24"/>
          <w:szCs w:val="24"/>
        </w:rPr>
        <w:t>Complainant's inability to provide specific facts casts doubt on her credibility</w:t>
      </w:r>
      <w:r w:rsidRPr="002D4F24">
        <w:rPr>
          <w:sz w:val="24"/>
          <w:szCs w:val="24"/>
        </w:rPr>
        <w:t>.  Also working against her is</w:t>
      </w:r>
      <w:r w:rsidR="006D17E1" w:rsidRPr="002D4F24">
        <w:rPr>
          <w:sz w:val="24"/>
          <w:szCs w:val="24"/>
        </w:rPr>
        <w:t xml:space="preserve"> the fact that her meter at the Darby Terrace address had been tampered with following PECO's termination of her service there</w:t>
      </w:r>
      <w:r w:rsidR="00C3095D" w:rsidRPr="002D4F24">
        <w:rPr>
          <w:sz w:val="24"/>
          <w:szCs w:val="24"/>
        </w:rPr>
        <w:t>.</w:t>
      </w:r>
      <w:r w:rsidRPr="002D4F24">
        <w:rPr>
          <w:sz w:val="24"/>
          <w:szCs w:val="24"/>
        </w:rPr>
        <w:t xml:space="preserve">  PECO had added a charge to her bill for meter tampering, </w:t>
      </w:r>
      <w:r w:rsidR="004B6F69" w:rsidRPr="002D4F24">
        <w:rPr>
          <w:sz w:val="24"/>
          <w:szCs w:val="24"/>
        </w:rPr>
        <w:t>which she accepted</w:t>
      </w:r>
      <w:r w:rsidRPr="002D4F24">
        <w:rPr>
          <w:sz w:val="24"/>
          <w:szCs w:val="24"/>
        </w:rPr>
        <w:t>.  While I sympathize with the need to provide elec</w:t>
      </w:r>
      <w:r w:rsidR="000E3651" w:rsidRPr="002D4F24">
        <w:rPr>
          <w:sz w:val="24"/>
          <w:szCs w:val="24"/>
        </w:rPr>
        <w:t>tric service to her family, the</w:t>
      </w:r>
      <w:r w:rsidRPr="002D4F24">
        <w:rPr>
          <w:sz w:val="24"/>
          <w:szCs w:val="24"/>
        </w:rPr>
        <w:t xml:space="preserve"> meter tampering charge weighs against her efforts to present herself as a reliable, honest witness.</w:t>
      </w:r>
    </w:p>
    <w:p w:rsidR="00142469" w:rsidRPr="002D4F24" w:rsidRDefault="00142469" w:rsidP="00E75C21">
      <w:pPr>
        <w:spacing w:line="360" w:lineRule="auto"/>
        <w:rPr>
          <w:sz w:val="24"/>
          <w:szCs w:val="24"/>
        </w:rPr>
      </w:pPr>
    </w:p>
    <w:p w:rsidR="00590B90" w:rsidRPr="002D4F24" w:rsidRDefault="00142469" w:rsidP="00E75C21">
      <w:pPr>
        <w:spacing w:line="360" w:lineRule="auto"/>
        <w:rPr>
          <w:sz w:val="24"/>
          <w:szCs w:val="24"/>
        </w:rPr>
      </w:pPr>
      <w:r w:rsidRPr="002D4F24">
        <w:rPr>
          <w:sz w:val="24"/>
          <w:szCs w:val="24"/>
        </w:rPr>
        <w:tab/>
      </w:r>
      <w:r w:rsidRPr="002D4F24">
        <w:rPr>
          <w:sz w:val="24"/>
          <w:szCs w:val="24"/>
        </w:rPr>
        <w:tab/>
      </w:r>
      <w:r w:rsidR="007D4D29" w:rsidRPr="002D4F24">
        <w:rPr>
          <w:sz w:val="24"/>
          <w:szCs w:val="24"/>
        </w:rPr>
        <w:t>Complainant has not sustained her burden of proving that she should not be charged for the electric service from November</w:t>
      </w:r>
      <w:r w:rsidR="00A21773">
        <w:rPr>
          <w:sz w:val="24"/>
          <w:szCs w:val="24"/>
        </w:rPr>
        <w:t>,</w:t>
      </w:r>
      <w:r w:rsidR="007D4D29" w:rsidRPr="002D4F24">
        <w:rPr>
          <w:sz w:val="24"/>
          <w:szCs w:val="24"/>
        </w:rPr>
        <w:t xml:space="preserve"> 2009 to the termination date of the Spruce Street </w:t>
      </w:r>
      <w:r w:rsidR="006D6FA2" w:rsidRPr="002D4F24">
        <w:rPr>
          <w:sz w:val="24"/>
          <w:szCs w:val="24"/>
        </w:rPr>
        <w:t>service in August</w:t>
      </w:r>
      <w:r w:rsidR="00A21773">
        <w:rPr>
          <w:sz w:val="24"/>
          <w:szCs w:val="24"/>
        </w:rPr>
        <w:t>,</w:t>
      </w:r>
      <w:r w:rsidR="006D6FA2" w:rsidRPr="002D4F24">
        <w:rPr>
          <w:sz w:val="24"/>
          <w:szCs w:val="24"/>
        </w:rPr>
        <w:t xml:space="preserve"> 2011.</w:t>
      </w:r>
    </w:p>
    <w:p w:rsidR="00590B90" w:rsidRPr="002D4F24" w:rsidRDefault="00590B90" w:rsidP="00E75C21">
      <w:pPr>
        <w:spacing w:line="360" w:lineRule="auto"/>
        <w:rPr>
          <w:sz w:val="24"/>
          <w:szCs w:val="24"/>
        </w:rPr>
      </w:pPr>
    </w:p>
    <w:p w:rsidR="00142469" w:rsidRPr="002D4F24" w:rsidRDefault="00142469" w:rsidP="00E75C21">
      <w:pPr>
        <w:spacing w:line="360" w:lineRule="auto"/>
        <w:rPr>
          <w:b/>
          <w:sz w:val="24"/>
          <w:szCs w:val="24"/>
        </w:rPr>
      </w:pPr>
      <w:r w:rsidRPr="002D4F24">
        <w:rPr>
          <w:b/>
          <w:sz w:val="24"/>
          <w:szCs w:val="24"/>
        </w:rPr>
        <w:t>Count 2.  Request for Payment Agreement</w:t>
      </w:r>
    </w:p>
    <w:p w:rsidR="00142469" w:rsidRPr="002D4F24" w:rsidRDefault="00142469" w:rsidP="00E75C21">
      <w:pPr>
        <w:spacing w:line="360" w:lineRule="auto"/>
        <w:rPr>
          <w:b/>
          <w:sz w:val="24"/>
          <w:szCs w:val="24"/>
        </w:rPr>
      </w:pPr>
    </w:p>
    <w:p w:rsidR="004B6F69" w:rsidRPr="002D4F24" w:rsidRDefault="00590B90" w:rsidP="00E75C21">
      <w:pPr>
        <w:spacing w:line="360" w:lineRule="auto"/>
        <w:rPr>
          <w:sz w:val="24"/>
          <w:szCs w:val="24"/>
        </w:rPr>
      </w:pPr>
      <w:r w:rsidRPr="002D4F24">
        <w:rPr>
          <w:sz w:val="24"/>
          <w:szCs w:val="24"/>
        </w:rPr>
        <w:tab/>
      </w:r>
      <w:r w:rsidRPr="002D4F24">
        <w:rPr>
          <w:sz w:val="24"/>
          <w:szCs w:val="24"/>
        </w:rPr>
        <w:tab/>
      </w:r>
      <w:r w:rsidR="00946081" w:rsidRPr="002D4F24">
        <w:rPr>
          <w:sz w:val="24"/>
          <w:szCs w:val="24"/>
        </w:rPr>
        <w:t>Complainant seeks a payment agreement</w:t>
      </w:r>
      <w:r w:rsidR="00142469" w:rsidRPr="002D4F24">
        <w:rPr>
          <w:sz w:val="24"/>
          <w:szCs w:val="24"/>
        </w:rPr>
        <w:t xml:space="preserve"> for that portion of the bill remaining after removal of the time period discussed above</w:t>
      </w:r>
      <w:r w:rsidR="00946081" w:rsidRPr="002D4F24">
        <w:rPr>
          <w:sz w:val="24"/>
          <w:szCs w:val="24"/>
        </w:rPr>
        <w:t>.</w:t>
      </w:r>
      <w:r w:rsidR="003A0FEB" w:rsidRPr="002D4F24">
        <w:rPr>
          <w:sz w:val="24"/>
          <w:szCs w:val="24"/>
        </w:rPr>
        <w:t xml:space="preserve">  A public utility is entitled to payment for service provided to customers, and customers are obliged to pay for utility service.  </w:t>
      </w:r>
      <w:r w:rsidR="003A0FEB" w:rsidRPr="002D4F24">
        <w:rPr>
          <w:i/>
          <w:sz w:val="24"/>
          <w:szCs w:val="24"/>
        </w:rPr>
        <w:t xml:space="preserve">Kea v. </w:t>
      </w:r>
      <w:r w:rsidR="003A0FEB" w:rsidRPr="002D4F24">
        <w:rPr>
          <w:i/>
          <w:sz w:val="24"/>
          <w:szCs w:val="24"/>
        </w:rPr>
        <w:lastRenderedPageBreak/>
        <w:t xml:space="preserve">Peoples Natural Gas Co., </w:t>
      </w:r>
      <w:r w:rsidR="003A0FEB" w:rsidRPr="002D4F24">
        <w:rPr>
          <w:sz w:val="24"/>
          <w:szCs w:val="24"/>
        </w:rPr>
        <w:t xml:space="preserve">60 Pa. PUC 215 (1985); </w:t>
      </w:r>
      <w:r w:rsidR="003A0FEB" w:rsidRPr="002D4F24">
        <w:rPr>
          <w:i/>
          <w:sz w:val="24"/>
          <w:szCs w:val="24"/>
        </w:rPr>
        <w:t>Scaccia v. West Penn Power Co.,</w:t>
      </w:r>
      <w:r w:rsidR="00224A92">
        <w:rPr>
          <w:sz w:val="24"/>
          <w:szCs w:val="24"/>
        </w:rPr>
        <w:t xml:space="preserve"> 55 Pa. PUC </w:t>
      </w:r>
      <w:r w:rsidR="003A0FEB" w:rsidRPr="002D4F24">
        <w:rPr>
          <w:sz w:val="24"/>
          <w:szCs w:val="24"/>
        </w:rPr>
        <w:t>637 (1982).</w:t>
      </w:r>
    </w:p>
    <w:p w:rsidR="00946081" w:rsidRPr="002D4F24" w:rsidRDefault="00946081" w:rsidP="00E75C21">
      <w:pPr>
        <w:spacing w:line="360" w:lineRule="auto"/>
        <w:rPr>
          <w:sz w:val="24"/>
          <w:szCs w:val="24"/>
        </w:rPr>
      </w:pPr>
    </w:p>
    <w:p w:rsidR="00946081" w:rsidRPr="002D4F24" w:rsidRDefault="00946081" w:rsidP="00E75C21">
      <w:pPr>
        <w:spacing w:line="360" w:lineRule="auto"/>
        <w:rPr>
          <w:sz w:val="24"/>
          <w:szCs w:val="24"/>
        </w:rPr>
      </w:pPr>
      <w:r w:rsidRPr="002D4F24">
        <w:rPr>
          <w:sz w:val="24"/>
          <w:szCs w:val="24"/>
        </w:rPr>
        <w:tab/>
      </w:r>
      <w:r w:rsidRPr="002D4F24">
        <w:rPr>
          <w:sz w:val="24"/>
          <w:szCs w:val="24"/>
        </w:rPr>
        <w:tab/>
        <w:t>Chapter 14 of the Public Utility Code specifies when the Commission may grant a payment agreement.  66 Pa. C.S. § 1401 et seq.  One of the restrictions is that no payment agreement shall be granted for arrearages which were accrued while the customer was on a utility's customer assistance program (CAP).  66 Pa. C.S. § 1405(c).  Complainant was enrolled in PECO's CAP program from May 10, 2007</w:t>
      </w:r>
      <w:r w:rsidR="00A045C3" w:rsidRPr="002D4F24">
        <w:rPr>
          <w:sz w:val="24"/>
          <w:szCs w:val="24"/>
        </w:rPr>
        <w:t xml:space="preserve"> until a date not provided in the record, and a second enrollment began on May 30, 2012.  A payment agreement ordered by the Commission cannot include the amount of unpaid usage incurred while CAP rates were in effect.</w:t>
      </w:r>
      <w:r w:rsidR="00C56AC1" w:rsidRPr="002D4F24">
        <w:rPr>
          <w:rStyle w:val="FootnoteReference"/>
          <w:sz w:val="24"/>
          <w:szCs w:val="24"/>
        </w:rPr>
        <w:footnoteReference w:id="1"/>
      </w:r>
      <w:r w:rsidR="00A045C3" w:rsidRPr="002D4F24">
        <w:rPr>
          <w:sz w:val="24"/>
          <w:szCs w:val="24"/>
        </w:rPr>
        <w:t xml:space="preserve">  Therefore, PECO shall be directed to figure the amount of the arrearage that was incurred while the Complainant was receiving the benefit of CAP rates, and to subtract that amount from the total arrearage due</w:t>
      </w:r>
      <w:r w:rsidR="009F1AB7" w:rsidRPr="002D4F24">
        <w:rPr>
          <w:sz w:val="24"/>
          <w:szCs w:val="24"/>
        </w:rPr>
        <w:t>, as this cannot be subject to a payment agreement</w:t>
      </w:r>
      <w:r w:rsidR="00A045C3" w:rsidRPr="002D4F24">
        <w:rPr>
          <w:sz w:val="24"/>
          <w:szCs w:val="24"/>
        </w:rPr>
        <w:t>.</w:t>
      </w:r>
      <w:r w:rsidR="00A045C3" w:rsidRPr="002D4F24">
        <w:rPr>
          <w:rStyle w:val="FootnoteReference"/>
          <w:sz w:val="24"/>
          <w:szCs w:val="24"/>
        </w:rPr>
        <w:footnoteReference w:id="2"/>
      </w:r>
    </w:p>
    <w:p w:rsidR="009F1AB7" w:rsidRPr="002D4F24" w:rsidRDefault="009F1AB7" w:rsidP="00E75C21">
      <w:pPr>
        <w:spacing w:line="360" w:lineRule="auto"/>
        <w:rPr>
          <w:sz w:val="24"/>
          <w:szCs w:val="24"/>
        </w:rPr>
      </w:pPr>
    </w:p>
    <w:p w:rsidR="009F1AB7" w:rsidRPr="002D4F24" w:rsidRDefault="009F1AB7" w:rsidP="00E75C21">
      <w:pPr>
        <w:spacing w:line="360" w:lineRule="auto"/>
        <w:rPr>
          <w:sz w:val="24"/>
          <w:szCs w:val="24"/>
        </w:rPr>
      </w:pPr>
      <w:r w:rsidRPr="002D4F24">
        <w:rPr>
          <w:sz w:val="24"/>
          <w:szCs w:val="24"/>
        </w:rPr>
        <w:tab/>
      </w:r>
      <w:r w:rsidRPr="002D4F24">
        <w:rPr>
          <w:sz w:val="24"/>
          <w:szCs w:val="24"/>
        </w:rPr>
        <w:tab/>
        <w:t>Also not subject to a payment agreement is the meter tampering fee and any reconnection fee or security deposit that PECO assesses under Chapter 14.</w:t>
      </w:r>
    </w:p>
    <w:p w:rsidR="009F1AB7" w:rsidRPr="002D4F24" w:rsidRDefault="009F1AB7" w:rsidP="00E75C21">
      <w:pPr>
        <w:spacing w:line="360" w:lineRule="auto"/>
        <w:rPr>
          <w:sz w:val="24"/>
          <w:szCs w:val="24"/>
        </w:rPr>
      </w:pPr>
    </w:p>
    <w:p w:rsidR="003A0FEB" w:rsidRPr="002D4F24" w:rsidRDefault="009F1AB7" w:rsidP="00E75C21">
      <w:pPr>
        <w:spacing w:line="360" w:lineRule="auto"/>
        <w:rPr>
          <w:sz w:val="24"/>
          <w:szCs w:val="24"/>
        </w:rPr>
      </w:pPr>
      <w:r w:rsidRPr="002D4F24">
        <w:rPr>
          <w:sz w:val="24"/>
          <w:szCs w:val="24"/>
        </w:rPr>
        <w:tab/>
      </w:r>
      <w:r w:rsidRPr="002D4F24">
        <w:rPr>
          <w:sz w:val="24"/>
          <w:szCs w:val="24"/>
        </w:rPr>
        <w:tab/>
        <w:t xml:space="preserve">Therefore, the </w:t>
      </w:r>
      <w:r w:rsidR="006D6FA2" w:rsidRPr="002D4F24">
        <w:rPr>
          <w:sz w:val="24"/>
          <w:szCs w:val="24"/>
        </w:rPr>
        <w:t xml:space="preserve">Company shall </w:t>
      </w:r>
      <w:r w:rsidR="003A0FEB" w:rsidRPr="002D4F24">
        <w:rPr>
          <w:sz w:val="24"/>
          <w:szCs w:val="24"/>
        </w:rPr>
        <w:t>add the appropriate amounts for the following</w:t>
      </w:r>
      <w:r w:rsidR="00B97F17">
        <w:rPr>
          <w:sz w:val="24"/>
          <w:szCs w:val="24"/>
        </w:rPr>
        <w:t xml:space="preserve">: </w:t>
      </w:r>
    </w:p>
    <w:p w:rsidR="00946081" w:rsidRPr="002D4F24" w:rsidRDefault="009F1AB7" w:rsidP="00E75C21">
      <w:pPr>
        <w:spacing w:line="360" w:lineRule="auto"/>
        <w:rPr>
          <w:sz w:val="24"/>
          <w:szCs w:val="24"/>
        </w:rPr>
      </w:pPr>
      <w:r w:rsidRPr="002D4F24">
        <w:rPr>
          <w:sz w:val="24"/>
          <w:szCs w:val="24"/>
        </w:rPr>
        <w:t xml:space="preserve">(1) the amount </w:t>
      </w:r>
      <w:r w:rsidR="003A0FEB" w:rsidRPr="002D4F24">
        <w:rPr>
          <w:sz w:val="24"/>
          <w:szCs w:val="24"/>
        </w:rPr>
        <w:t xml:space="preserve">of the total arrearage which was </w:t>
      </w:r>
      <w:r w:rsidRPr="002D4F24">
        <w:rPr>
          <w:sz w:val="24"/>
          <w:szCs w:val="24"/>
        </w:rPr>
        <w:t xml:space="preserve">incurred while CAP rates were in effect; (2) the meter tampering fee; and (3) any security deposit and reconnection fee </w:t>
      </w:r>
      <w:r w:rsidR="003A0FEB" w:rsidRPr="002D4F24">
        <w:rPr>
          <w:sz w:val="24"/>
          <w:szCs w:val="24"/>
        </w:rPr>
        <w:t xml:space="preserve">to be </w:t>
      </w:r>
      <w:r w:rsidRPr="002D4F24">
        <w:rPr>
          <w:sz w:val="24"/>
          <w:szCs w:val="24"/>
        </w:rPr>
        <w:t>charged by PECO</w:t>
      </w:r>
      <w:r w:rsidR="006D6FA2" w:rsidRPr="002D4F24">
        <w:rPr>
          <w:sz w:val="24"/>
          <w:szCs w:val="24"/>
        </w:rPr>
        <w:t xml:space="preserve"> prior to restoration of service.</w:t>
      </w:r>
      <w:r w:rsidR="006D5D13">
        <w:rPr>
          <w:sz w:val="24"/>
          <w:szCs w:val="24"/>
        </w:rPr>
        <w:t xml:space="preserve">  </w:t>
      </w:r>
      <w:r w:rsidRPr="002D4F24">
        <w:rPr>
          <w:sz w:val="24"/>
          <w:szCs w:val="24"/>
        </w:rPr>
        <w:t>Th</w:t>
      </w:r>
      <w:r w:rsidR="003A0FEB" w:rsidRPr="002D4F24">
        <w:rPr>
          <w:sz w:val="24"/>
          <w:szCs w:val="24"/>
        </w:rPr>
        <w:t xml:space="preserve">is is the "non-payment agreement total," which </w:t>
      </w:r>
      <w:r w:rsidR="002E3947" w:rsidRPr="002D4F24">
        <w:rPr>
          <w:sz w:val="24"/>
          <w:szCs w:val="24"/>
        </w:rPr>
        <w:t>Complainant must</w:t>
      </w:r>
      <w:r w:rsidR="003A0FEB" w:rsidRPr="002D4F24">
        <w:rPr>
          <w:sz w:val="24"/>
          <w:szCs w:val="24"/>
        </w:rPr>
        <w:t xml:space="preserve"> pa</w:t>
      </w:r>
      <w:r w:rsidR="002E3947" w:rsidRPr="002D4F24">
        <w:rPr>
          <w:sz w:val="24"/>
          <w:szCs w:val="24"/>
        </w:rPr>
        <w:t>y</w:t>
      </w:r>
      <w:r w:rsidR="003A0FEB" w:rsidRPr="002D4F24">
        <w:rPr>
          <w:sz w:val="24"/>
          <w:szCs w:val="24"/>
        </w:rPr>
        <w:t xml:space="preserve"> before the</w:t>
      </w:r>
      <w:r w:rsidRPr="002D4F24">
        <w:rPr>
          <w:sz w:val="24"/>
          <w:szCs w:val="24"/>
        </w:rPr>
        <w:t xml:space="preserve"> payment agreement</w:t>
      </w:r>
      <w:r w:rsidR="003A0FEB" w:rsidRPr="002D4F24">
        <w:rPr>
          <w:sz w:val="24"/>
          <w:szCs w:val="24"/>
        </w:rPr>
        <w:t xml:space="preserve"> shall take effect on the remainder.</w:t>
      </w:r>
      <w:r w:rsidR="002E3947" w:rsidRPr="002D4F24">
        <w:rPr>
          <w:sz w:val="24"/>
          <w:szCs w:val="24"/>
        </w:rPr>
        <w:t xml:space="preserve">  The amount of time in which to repay the </w:t>
      </w:r>
      <w:r w:rsidR="00451F80" w:rsidRPr="002D4F24">
        <w:rPr>
          <w:sz w:val="24"/>
          <w:szCs w:val="24"/>
        </w:rPr>
        <w:t xml:space="preserve">remaining </w:t>
      </w:r>
      <w:r w:rsidR="002E3947" w:rsidRPr="002D4F24">
        <w:rPr>
          <w:sz w:val="24"/>
          <w:szCs w:val="24"/>
        </w:rPr>
        <w:t>arrearage shall be determined by the Complainant's income level in accordance with 66 Pa. C.S. § 1405(b).</w:t>
      </w:r>
      <w:r w:rsidR="002E3947" w:rsidRPr="002D4F24">
        <w:rPr>
          <w:rStyle w:val="FootnoteReference"/>
          <w:sz w:val="24"/>
          <w:szCs w:val="24"/>
        </w:rPr>
        <w:footnoteReference w:id="3"/>
      </w:r>
    </w:p>
    <w:p w:rsidR="00946081" w:rsidRPr="002D4F24" w:rsidRDefault="00946081" w:rsidP="00E75C21">
      <w:pPr>
        <w:spacing w:line="360" w:lineRule="auto"/>
        <w:rPr>
          <w:sz w:val="24"/>
          <w:szCs w:val="24"/>
        </w:rPr>
      </w:pPr>
    </w:p>
    <w:p w:rsidR="003A0FEB" w:rsidRPr="002D4F24" w:rsidRDefault="003A0FEB" w:rsidP="00E75C21">
      <w:pPr>
        <w:spacing w:line="360" w:lineRule="auto"/>
        <w:rPr>
          <w:sz w:val="24"/>
          <w:szCs w:val="24"/>
        </w:rPr>
      </w:pPr>
      <w:r w:rsidRPr="002D4F24">
        <w:rPr>
          <w:sz w:val="24"/>
          <w:szCs w:val="24"/>
        </w:rPr>
        <w:lastRenderedPageBreak/>
        <w:tab/>
      </w:r>
      <w:r w:rsidRPr="002D4F24">
        <w:rPr>
          <w:sz w:val="24"/>
          <w:szCs w:val="24"/>
        </w:rPr>
        <w:tab/>
        <w:t>Complainant is warned that this is the one Commission-ordered payment agreement that is permitted under Chapter 14</w:t>
      </w:r>
      <w:r w:rsidR="00451F80" w:rsidRPr="002D4F24">
        <w:rPr>
          <w:sz w:val="24"/>
          <w:szCs w:val="24"/>
        </w:rPr>
        <w:t xml:space="preserve"> absent a significant change in circumstances</w:t>
      </w:r>
      <w:r w:rsidRPr="002D4F24">
        <w:rPr>
          <w:sz w:val="24"/>
          <w:szCs w:val="24"/>
        </w:rPr>
        <w:t>.  Failure to comply will mean that any future complaints filed seeking a payment agreement will be dismissed outright.</w:t>
      </w:r>
    </w:p>
    <w:p w:rsidR="00946081" w:rsidRPr="002D4F24" w:rsidRDefault="00946081" w:rsidP="00E75C21">
      <w:pPr>
        <w:spacing w:line="360" w:lineRule="auto"/>
        <w:rPr>
          <w:sz w:val="24"/>
          <w:szCs w:val="24"/>
        </w:rPr>
      </w:pPr>
    </w:p>
    <w:p w:rsidR="004B6F69" w:rsidRPr="002D4F24" w:rsidRDefault="004B6F69" w:rsidP="00E75C21">
      <w:pPr>
        <w:spacing w:line="360" w:lineRule="auto"/>
        <w:rPr>
          <w:sz w:val="24"/>
          <w:szCs w:val="24"/>
        </w:rPr>
      </w:pPr>
      <w:r w:rsidRPr="002D4F24">
        <w:rPr>
          <w:sz w:val="24"/>
          <w:szCs w:val="24"/>
        </w:rPr>
        <w:tab/>
      </w:r>
      <w:r w:rsidRPr="002D4F24">
        <w:rPr>
          <w:sz w:val="24"/>
          <w:szCs w:val="24"/>
        </w:rPr>
        <w:tab/>
      </w:r>
      <w:r w:rsidR="002E3947" w:rsidRPr="002D4F24">
        <w:rPr>
          <w:sz w:val="24"/>
          <w:szCs w:val="24"/>
        </w:rPr>
        <w:t>Accordingly, t</w:t>
      </w:r>
      <w:r w:rsidRPr="002D4F24">
        <w:rPr>
          <w:sz w:val="24"/>
          <w:szCs w:val="24"/>
        </w:rPr>
        <w:t xml:space="preserve">he complaint is </w:t>
      </w:r>
      <w:r w:rsidR="003A0FEB" w:rsidRPr="002D4F24">
        <w:rPr>
          <w:sz w:val="24"/>
          <w:szCs w:val="24"/>
        </w:rPr>
        <w:t xml:space="preserve">granted in part and </w:t>
      </w:r>
      <w:r w:rsidRPr="002D4F24">
        <w:rPr>
          <w:sz w:val="24"/>
          <w:szCs w:val="24"/>
        </w:rPr>
        <w:t>dismissed</w:t>
      </w:r>
      <w:r w:rsidR="003A0FEB" w:rsidRPr="002D4F24">
        <w:rPr>
          <w:sz w:val="24"/>
          <w:szCs w:val="24"/>
        </w:rPr>
        <w:t xml:space="preserve"> in part</w:t>
      </w:r>
      <w:r w:rsidRPr="002D4F24">
        <w:rPr>
          <w:sz w:val="24"/>
          <w:szCs w:val="24"/>
        </w:rPr>
        <w:t>.</w:t>
      </w:r>
    </w:p>
    <w:p w:rsidR="004B6F69" w:rsidRPr="002D4F24" w:rsidRDefault="004B6F69" w:rsidP="00E75C21">
      <w:pPr>
        <w:spacing w:line="360" w:lineRule="auto"/>
        <w:rPr>
          <w:sz w:val="24"/>
          <w:szCs w:val="24"/>
        </w:rPr>
      </w:pPr>
    </w:p>
    <w:p w:rsidR="004B6F69" w:rsidRPr="002D4F24" w:rsidRDefault="004B6F69" w:rsidP="004B6F69">
      <w:pPr>
        <w:spacing w:line="360" w:lineRule="auto"/>
        <w:jc w:val="center"/>
        <w:rPr>
          <w:sz w:val="24"/>
          <w:szCs w:val="24"/>
          <w:u w:val="single"/>
        </w:rPr>
      </w:pPr>
      <w:r w:rsidRPr="002D4F24">
        <w:rPr>
          <w:sz w:val="24"/>
          <w:szCs w:val="24"/>
          <w:u w:val="single"/>
        </w:rPr>
        <w:t>CONCLUSIONS OF LAW</w:t>
      </w:r>
    </w:p>
    <w:p w:rsidR="004B6F69" w:rsidRPr="002D4F24" w:rsidRDefault="004B6F69" w:rsidP="004B6F69">
      <w:pPr>
        <w:spacing w:line="360" w:lineRule="auto"/>
        <w:jc w:val="center"/>
        <w:rPr>
          <w:sz w:val="24"/>
          <w:szCs w:val="24"/>
          <w:u w:val="single"/>
        </w:rPr>
      </w:pPr>
    </w:p>
    <w:p w:rsidR="004B6F69" w:rsidRPr="002D4F24" w:rsidRDefault="004B6F69" w:rsidP="004B6F69">
      <w:pPr>
        <w:spacing w:line="360" w:lineRule="auto"/>
        <w:rPr>
          <w:sz w:val="24"/>
          <w:szCs w:val="24"/>
        </w:rPr>
      </w:pPr>
      <w:r w:rsidRPr="002D4F24">
        <w:rPr>
          <w:sz w:val="24"/>
          <w:szCs w:val="24"/>
        </w:rPr>
        <w:tab/>
      </w:r>
      <w:r w:rsidRPr="002D4F24">
        <w:rPr>
          <w:sz w:val="24"/>
          <w:szCs w:val="24"/>
        </w:rPr>
        <w:tab/>
        <w:t>1.</w:t>
      </w:r>
      <w:r w:rsidRPr="002D4F24">
        <w:rPr>
          <w:sz w:val="24"/>
          <w:szCs w:val="24"/>
        </w:rPr>
        <w:tab/>
        <w:t xml:space="preserve">  The Commission has jurisdiction over the subject matter of this case.</w:t>
      </w:r>
    </w:p>
    <w:p w:rsidR="004B6F69" w:rsidRPr="002D4F24" w:rsidRDefault="004B6F69" w:rsidP="004B6F69">
      <w:pPr>
        <w:spacing w:line="360" w:lineRule="auto"/>
        <w:rPr>
          <w:sz w:val="24"/>
          <w:szCs w:val="24"/>
        </w:rPr>
      </w:pPr>
    </w:p>
    <w:p w:rsidR="004B6F69" w:rsidRPr="002D4F24" w:rsidRDefault="004B6F69" w:rsidP="004B6F69">
      <w:pPr>
        <w:spacing w:line="360" w:lineRule="auto"/>
        <w:contextualSpacing/>
        <w:rPr>
          <w:sz w:val="24"/>
          <w:szCs w:val="24"/>
        </w:rPr>
      </w:pPr>
      <w:r w:rsidRPr="002D4F24">
        <w:rPr>
          <w:sz w:val="24"/>
          <w:szCs w:val="24"/>
        </w:rPr>
        <w:tab/>
      </w:r>
      <w:r w:rsidRPr="002D4F24">
        <w:rPr>
          <w:sz w:val="24"/>
          <w:szCs w:val="24"/>
        </w:rPr>
        <w:tab/>
        <w:t>2.</w:t>
      </w:r>
      <w:r w:rsidRPr="002D4F24">
        <w:rPr>
          <w:sz w:val="24"/>
          <w:szCs w:val="24"/>
        </w:rPr>
        <w:tab/>
        <w:t xml:space="preserve">The proponent of a rule or order in any Commission proceeding has the burden of proof.  66 Pa. C.S.A. § 332; </w:t>
      </w:r>
      <w:r w:rsidRPr="002D4F24">
        <w:rPr>
          <w:i/>
          <w:sz w:val="24"/>
          <w:szCs w:val="24"/>
        </w:rPr>
        <w:t>Se-Ling Hosiery v. Margulies</w:t>
      </w:r>
      <w:r w:rsidRPr="002D4F24">
        <w:rPr>
          <w:sz w:val="24"/>
          <w:szCs w:val="24"/>
        </w:rPr>
        <w:t xml:space="preserve">, 364 Pa. 45, 70 A.3d 854 (1950); </w:t>
      </w:r>
      <w:r w:rsidRPr="002D4F24">
        <w:rPr>
          <w:i/>
          <w:sz w:val="24"/>
          <w:szCs w:val="24"/>
        </w:rPr>
        <w:t>Samuel J. Lansberry, Inc. v. Pa. Publ. Util. Comm’n</w:t>
      </w:r>
      <w:r w:rsidRPr="002D4F24">
        <w:rPr>
          <w:sz w:val="24"/>
          <w:szCs w:val="24"/>
        </w:rPr>
        <w:t>, 578 A.2d 600 (Pa.Cmwlth. 1990).</w:t>
      </w:r>
    </w:p>
    <w:p w:rsidR="004B6F69" w:rsidRPr="002D4F24" w:rsidRDefault="004B6F69" w:rsidP="004B6F69">
      <w:pPr>
        <w:spacing w:line="360" w:lineRule="auto"/>
        <w:contextualSpacing/>
        <w:rPr>
          <w:sz w:val="24"/>
          <w:szCs w:val="24"/>
        </w:rPr>
      </w:pPr>
    </w:p>
    <w:p w:rsidR="004B6F69" w:rsidRPr="002D4F24" w:rsidRDefault="004B6F69" w:rsidP="004B6F69">
      <w:pPr>
        <w:spacing w:line="360" w:lineRule="auto"/>
        <w:rPr>
          <w:sz w:val="24"/>
          <w:szCs w:val="24"/>
        </w:rPr>
      </w:pPr>
      <w:r w:rsidRPr="002D4F24">
        <w:rPr>
          <w:sz w:val="24"/>
          <w:szCs w:val="24"/>
        </w:rPr>
        <w:tab/>
      </w:r>
      <w:r w:rsidRPr="002D4F24">
        <w:rPr>
          <w:sz w:val="24"/>
          <w:szCs w:val="24"/>
        </w:rPr>
        <w:tab/>
        <w:t>3.</w:t>
      </w:r>
      <w:r w:rsidRPr="002D4F24">
        <w:rPr>
          <w:sz w:val="24"/>
          <w:szCs w:val="24"/>
        </w:rPr>
        <w:tab/>
        <w:t xml:space="preserve">Any finding of fact necessary to support an adjudication of the Commission must be based upon substantial evidence, which is such relevant evidence as a reasonable mind might accept as adequate to support a conclusion.  </w:t>
      </w:r>
      <w:r w:rsidRPr="002D4F24">
        <w:rPr>
          <w:i/>
          <w:sz w:val="24"/>
          <w:szCs w:val="24"/>
        </w:rPr>
        <w:t>Mill v. Comm., Pa. Publ. Util. Comm’n</w:t>
      </w:r>
      <w:r w:rsidRPr="002D4F24">
        <w:rPr>
          <w:sz w:val="24"/>
          <w:szCs w:val="24"/>
        </w:rPr>
        <w:t xml:space="preserve">, 447 A.2d 1100 (Pa.Cmwlth.1982); </w:t>
      </w:r>
      <w:r w:rsidRPr="002D4F24">
        <w:rPr>
          <w:i/>
          <w:sz w:val="24"/>
          <w:szCs w:val="24"/>
        </w:rPr>
        <w:t>Edan Transp. Corp. v. Pa. Publ. Util. Comm’n,</w:t>
      </w:r>
      <w:r w:rsidRPr="002D4F24">
        <w:rPr>
          <w:sz w:val="24"/>
          <w:szCs w:val="24"/>
        </w:rPr>
        <w:t xml:space="preserve"> 623 A.2d 6 (Pa.Cmwlth.1993), 2 Pa. C.S.A. § 704.  More is required than a mere trace of evidence or a suspicion of the existence of a fact sought to be established.  </w:t>
      </w:r>
      <w:r w:rsidRPr="002D4F24">
        <w:rPr>
          <w:i/>
          <w:sz w:val="24"/>
          <w:szCs w:val="24"/>
        </w:rPr>
        <w:t xml:space="preserve">Norfolk &amp; Western Ry. V. Pa. Publ. Util. Comm’n, </w:t>
      </w:r>
      <w:r w:rsidRPr="002D4F24">
        <w:rPr>
          <w:sz w:val="24"/>
          <w:szCs w:val="24"/>
        </w:rPr>
        <w:t xml:space="preserve">489 Pa. 109, 413 A.2d 1037 (1980); </w:t>
      </w:r>
      <w:r w:rsidRPr="002D4F24">
        <w:rPr>
          <w:i/>
          <w:sz w:val="24"/>
          <w:szCs w:val="24"/>
        </w:rPr>
        <w:t>Erie Resistor Corp. v. Unemployment Com. Bd. Of Review</w:t>
      </w:r>
      <w:r w:rsidRPr="002D4F24">
        <w:rPr>
          <w:sz w:val="24"/>
          <w:szCs w:val="24"/>
        </w:rPr>
        <w:t xml:space="preserve">, 166 A.2d 96 (Pa.Super.1960); </w:t>
      </w:r>
      <w:r w:rsidRPr="002D4F24">
        <w:rPr>
          <w:i/>
          <w:sz w:val="24"/>
          <w:szCs w:val="24"/>
        </w:rPr>
        <w:t xml:space="preserve">Murphy v. Comm., Dept. of Public Welfare, White Haven Center, </w:t>
      </w:r>
      <w:r w:rsidRPr="002D4F24">
        <w:rPr>
          <w:sz w:val="24"/>
          <w:szCs w:val="24"/>
        </w:rPr>
        <w:t>480 A.2d 382 (Pa.Cmwlth.1984).</w:t>
      </w:r>
    </w:p>
    <w:p w:rsidR="004B6F69" w:rsidRPr="002D4F24" w:rsidRDefault="004B6F69" w:rsidP="004B6F69">
      <w:pPr>
        <w:spacing w:line="360" w:lineRule="auto"/>
        <w:rPr>
          <w:sz w:val="24"/>
          <w:szCs w:val="24"/>
        </w:rPr>
      </w:pPr>
    </w:p>
    <w:p w:rsidR="004B6F69" w:rsidRPr="002D4F24" w:rsidRDefault="004B6F69" w:rsidP="004B6F69">
      <w:pPr>
        <w:spacing w:line="360" w:lineRule="auto"/>
        <w:rPr>
          <w:spacing w:val="-3"/>
          <w:sz w:val="24"/>
          <w:szCs w:val="24"/>
        </w:rPr>
      </w:pPr>
      <w:r w:rsidRPr="002D4F24">
        <w:rPr>
          <w:sz w:val="24"/>
          <w:szCs w:val="24"/>
        </w:rPr>
        <w:tab/>
      </w:r>
      <w:r w:rsidRPr="002D4F24">
        <w:rPr>
          <w:sz w:val="24"/>
          <w:szCs w:val="24"/>
        </w:rPr>
        <w:tab/>
        <w:t>4.</w:t>
      </w:r>
      <w:r w:rsidRPr="002D4F24">
        <w:rPr>
          <w:sz w:val="24"/>
          <w:szCs w:val="24"/>
        </w:rPr>
        <w:tab/>
      </w:r>
      <w:r w:rsidRPr="002D4F24">
        <w:rPr>
          <w:spacing w:val="-3"/>
          <w:sz w:val="24"/>
          <w:szCs w:val="24"/>
        </w:rPr>
        <w:t xml:space="preserve">The “burden of proof” is composed of two distinct burdens: the burden of production and the burden of persuasion.  </w:t>
      </w:r>
      <w:r w:rsidRPr="002D4F24">
        <w:rPr>
          <w:i/>
          <w:spacing w:val="-3"/>
          <w:sz w:val="24"/>
          <w:szCs w:val="24"/>
        </w:rPr>
        <w:t>Hurley v. Hurley</w:t>
      </w:r>
      <w:r w:rsidRPr="002D4F24">
        <w:rPr>
          <w:spacing w:val="-3"/>
          <w:sz w:val="24"/>
          <w:szCs w:val="24"/>
        </w:rPr>
        <w:t>, 2000 Pa.Super. 178, 754 A.2d 1283 (2000).</w:t>
      </w:r>
    </w:p>
    <w:p w:rsidR="004B6F69" w:rsidRPr="002D4F24" w:rsidRDefault="004B6F69" w:rsidP="004B6F69">
      <w:pPr>
        <w:spacing w:line="360" w:lineRule="auto"/>
        <w:rPr>
          <w:spacing w:val="-3"/>
          <w:sz w:val="24"/>
          <w:szCs w:val="24"/>
        </w:rPr>
      </w:pPr>
    </w:p>
    <w:p w:rsidR="004B6F69" w:rsidRPr="002D4F24" w:rsidRDefault="004B6F69" w:rsidP="004B6F69">
      <w:pPr>
        <w:tabs>
          <w:tab w:val="left" w:pos="-1440"/>
          <w:tab w:val="left" w:pos="-720"/>
        </w:tabs>
        <w:suppressAutoHyphens/>
        <w:spacing w:line="360" w:lineRule="auto"/>
        <w:ind w:firstLine="1440"/>
        <w:rPr>
          <w:spacing w:val="-3"/>
          <w:sz w:val="24"/>
          <w:szCs w:val="24"/>
        </w:rPr>
      </w:pPr>
      <w:r w:rsidRPr="002D4F24">
        <w:rPr>
          <w:spacing w:val="-3"/>
          <w:sz w:val="24"/>
          <w:szCs w:val="24"/>
        </w:rPr>
        <w:t>5.</w:t>
      </w:r>
      <w:r w:rsidRPr="002D4F24">
        <w:rPr>
          <w:spacing w:val="-3"/>
          <w:sz w:val="24"/>
          <w:szCs w:val="24"/>
        </w:rPr>
        <w:tab/>
        <w:t xml:space="preserve">The burden of production, also called the burden of producing evidence or the burden of coming forward with evidence, determines which party must come forward with </w:t>
      </w:r>
      <w:r w:rsidRPr="002D4F24">
        <w:rPr>
          <w:spacing w:val="-3"/>
          <w:sz w:val="24"/>
          <w:szCs w:val="24"/>
        </w:rPr>
        <w:lastRenderedPageBreak/>
        <w:t>evidence to support a particular proposition.  This burden may shift between the parties during the course of a trial.  If the party (initially, this will usually be the complainant, applicant, or petitioner, as the case may be) with the burden of production fails to introduce sufficient evidence the opposing party is entitled to receive a favorable ruling.  That is, the opposing party would be entitled to a compulsory nonsuit, a directed verdict, or a judgment notwithstanding the verdict.  Once the party with the initial burden of production introduces sufficient evidence to constitute a prima facie case, the burden of production shifts to the opposing party.  If the opposing party introduces evidence sufficient to balance the evidence introduced by the party having the initial burden of production, the burden then shifts back to the party who had the initial burden to introduce more evidence favorable to his position.  The burden of production goes to the legal sufficiency of a party’s case.</w:t>
      </w:r>
    </w:p>
    <w:p w:rsidR="004B6F69" w:rsidRPr="002D4F24" w:rsidRDefault="004B6F69" w:rsidP="004B6F69">
      <w:pPr>
        <w:tabs>
          <w:tab w:val="left" w:pos="-1440"/>
          <w:tab w:val="left" w:pos="-720"/>
        </w:tabs>
        <w:suppressAutoHyphens/>
        <w:spacing w:line="360" w:lineRule="auto"/>
        <w:jc w:val="both"/>
        <w:rPr>
          <w:spacing w:val="-3"/>
          <w:sz w:val="24"/>
          <w:szCs w:val="24"/>
        </w:rPr>
      </w:pPr>
    </w:p>
    <w:p w:rsidR="004B6F69" w:rsidRPr="002D4F24" w:rsidRDefault="0061281E" w:rsidP="004B6F69">
      <w:pPr>
        <w:tabs>
          <w:tab w:val="left" w:pos="-1440"/>
          <w:tab w:val="left" w:pos="-720"/>
        </w:tabs>
        <w:suppressAutoHyphens/>
        <w:spacing w:line="360" w:lineRule="auto"/>
        <w:ind w:firstLine="1440"/>
        <w:rPr>
          <w:spacing w:val="-3"/>
          <w:sz w:val="24"/>
          <w:szCs w:val="24"/>
        </w:rPr>
      </w:pPr>
      <w:r>
        <w:rPr>
          <w:spacing w:val="-3"/>
          <w:sz w:val="24"/>
          <w:szCs w:val="24"/>
        </w:rPr>
        <w:t>6.</w:t>
      </w:r>
      <w:r>
        <w:rPr>
          <w:spacing w:val="-3"/>
          <w:sz w:val="24"/>
          <w:szCs w:val="24"/>
        </w:rPr>
        <w:tab/>
      </w:r>
      <w:r w:rsidR="004B6F69" w:rsidRPr="002D4F24">
        <w:rPr>
          <w:spacing w:val="-3"/>
          <w:sz w:val="24"/>
          <w:szCs w:val="24"/>
        </w:rPr>
        <w:t xml:space="preserve">Having passed the test of legal sufficiency, the party with the burden of proof must then bear the burden of persuasion to be entitled to a verdict in his favor.  “[T]he burden of persuasion never leaves the party on whom it is originally cast, but the burden of production may shift during the course of the proceedings.”  </w:t>
      </w:r>
      <w:r w:rsidR="004B6F69" w:rsidRPr="002D4F24">
        <w:rPr>
          <w:i/>
          <w:spacing w:val="-3"/>
          <w:sz w:val="24"/>
          <w:szCs w:val="24"/>
        </w:rPr>
        <w:t>Riedel v. County of Allegheny</w:t>
      </w:r>
      <w:r w:rsidR="00F835DC">
        <w:rPr>
          <w:spacing w:val="-3"/>
          <w:sz w:val="24"/>
          <w:szCs w:val="24"/>
        </w:rPr>
        <w:t>, 159</w:t>
      </w:r>
      <w:r w:rsidR="005E487C">
        <w:rPr>
          <w:spacing w:val="-3"/>
          <w:sz w:val="24"/>
          <w:szCs w:val="24"/>
        </w:rPr>
        <w:t xml:space="preserve"> P</w:t>
      </w:r>
      <w:r w:rsidR="00F835DC">
        <w:rPr>
          <w:spacing w:val="-3"/>
          <w:sz w:val="24"/>
          <w:szCs w:val="24"/>
        </w:rPr>
        <w:t>a.Cmwlth. </w:t>
      </w:r>
      <w:r w:rsidR="005E487C">
        <w:rPr>
          <w:spacing w:val="-3"/>
          <w:sz w:val="24"/>
          <w:szCs w:val="24"/>
        </w:rPr>
        <w:t>583, 591, 633 A.2d 1325,</w:t>
      </w:r>
      <w:r w:rsidR="004B6F69" w:rsidRPr="002D4F24">
        <w:rPr>
          <w:spacing w:val="-3"/>
          <w:sz w:val="24"/>
          <w:szCs w:val="24"/>
        </w:rPr>
        <w:t xml:space="preserve"> 1328 n. 11 (1993).  The burden of persuasion, usually placed on the complainant, applicant, or petitioner, determines which party must produce sufficient evidence to meet the applicable standard of proof.  </w:t>
      </w:r>
      <w:r w:rsidR="004B6F69" w:rsidRPr="002D4F24">
        <w:rPr>
          <w:i/>
          <w:spacing w:val="-3"/>
          <w:sz w:val="24"/>
          <w:szCs w:val="24"/>
        </w:rPr>
        <w:t>Hurley v. Hurley</w:t>
      </w:r>
      <w:r w:rsidR="00E47F10">
        <w:rPr>
          <w:spacing w:val="-3"/>
          <w:sz w:val="24"/>
          <w:szCs w:val="24"/>
        </w:rPr>
        <w:t>, 2000 Pa.Super. 178, 754 A.2d </w:t>
      </w:r>
      <w:r w:rsidR="004B6F69" w:rsidRPr="002D4F24">
        <w:rPr>
          <w:spacing w:val="-3"/>
          <w:sz w:val="24"/>
          <w:szCs w:val="24"/>
        </w:rPr>
        <w:t xml:space="preserve">1283 (2000).  It is entirely possible for a party to successfully bear the burden of production but not be entitled to a verdict in his favor because the party did not bear the burden of persuasion.  Unlike the burden of production, the burden of persuasion includes determinations of credibility and acceptance or rejection of inferences.  Even unrebutted evidence may be disbelieved.  </w:t>
      </w:r>
      <w:r w:rsidR="004B6F69" w:rsidRPr="002D4F24">
        <w:rPr>
          <w:i/>
          <w:spacing w:val="-3"/>
          <w:sz w:val="24"/>
          <w:szCs w:val="24"/>
        </w:rPr>
        <w:t>Suber v. Pa. Comm’n on Crime and Delinquency</w:t>
      </w:r>
      <w:r w:rsidR="004B6F69" w:rsidRPr="002D4F24">
        <w:rPr>
          <w:spacing w:val="-3"/>
          <w:sz w:val="24"/>
          <w:szCs w:val="24"/>
        </w:rPr>
        <w:t>, 885 A.2d 678 (Pa.Cmwl</w:t>
      </w:r>
      <w:r w:rsidR="00E64092">
        <w:rPr>
          <w:spacing w:val="-3"/>
          <w:sz w:val="24"/>
          <w:szCs w:val="24"/>
        </w:rPr>
        <w:t>th. 2005), app. denied, 586 Pa. </w:t>
      </w:r>
      <w:r w:rsidR="004B6F69" w:rsidRPr="002D4F24">
        <w:rPr>
          <w:spacing w:val="-3"/>
          <w:sz w:val="24"/>
          <w:szCs w:val="24"/>
        </w:rPr>
        <w:t>776, 895 A.2d 1264 (2006).  In order to bear the burden of proof and be entitled to a decision in his favor, a party must bear both the burden of production and the burden of persuasion.</w:t>
      </w:r>
    </w:p>
    <w:p w:rsidR="004B6F69" w:rsidRPr="002D4F24" w:rsidRDefault="004B6F69" w:rsidP="004B6F69">
      <w:pPr>
        <w:spacing w:line="360" w:lineRule="auto"/>
        <w:contextualSpacing/>
        <w:rPr>
          <w:sz w:val="24"/>
          <w:szCs w:val="24"/>
        </w:rPr>
      </w:pPr>
    </w:p>
    <w:p w:rsidR="001B6B08" w:rsidRPr="002D4F24" w:rsidRDefault="004B6F69" w:rsidP="00E75C21">
      <w:pPr>
        <w:spacing w:line="360" w:lineRule="auto"/>
        <w:rPr>
          <w:sz w:val="24"/>
          <w:szCs w:val="24"/>
        </w:rPr>
      </w:pPr>
      <w:r w:rsidRPr="002D4F24">
        <w:rPr>
          <w:sz w:val="24"/>
          <w:szCs w:val="24"/>
        </w:rPr>
        <w:tab/>
      </w:r>
      <w:r w:rsidRPr="002D4F24">
        <w:rPr>
          <w:sz w:val="24"/>
          <w:szCs w:val="24"/>
        </w:rPr>
        <w:tab/>
        <w:t>7.</w:t>
      </w:r>
      <w:r w:rsidRPr="002D4F24">
        <w:rPr>
          <w:sz w:val="24"/>
          <w:szCs w:val="24"/>
        </w:rPr>
        <w:tab/>
        <w:t>Every public utility shall furnish and maintain adequate, efficient, safe and reasonable service and facilities as shall be necessary or proper for the accommodation, convenience, and safety of its patrons, employees and the public.  66 Pa. C.S.A. § 1501.</w:t>
      </w:r>
    </w:p>
    <w:p w:rsidR="001B6B08" w:rsidRPr="002D4F24" w:rsidRDefault="001B6B08" w:rsidP="00E75C21">
      <w:pPr>
        <w:spacing w:line="360" w:lineRule="auto"/>
        <w:rPr>
          <w:sz w:val="24"/>
          <w:szCs w:val="24"/>
        </w:rPr>
      </w:pPr>
    </w:p>
    <w:p w:rsidR="004B6F69" w:rsidRPr="002D4F24" w:rsidRDefault="004B6F69" w:rsidP="004B6F69">
      <w:pPr>
        <w:spacing w:line="360" w:lineRule="auto"/>
        <w:rPr>
          <w:sz w:val="24"/>
          <w:szCs w:val="24"/>
        </w:rPr>
      </w:pPr>
      <w:r w:rsidRPr="002D4F24">
        <w:rPr>
          <w:sz w:val="24"/>
          <w:szCs w:val="24"/>
        </w:rPr>
        <w:lastRenderedPageBreak/>
        <w:tab/>
      </w:r>
      <w:r w:rsidRPr="002D4F24">
        <w:rPr>
          <w:sz w:val="24"/>
          <w:szCs w:val="24"/>
        </w:rPr>
        <w:tab/>
        <w:t>8.</w:t>
      </w:r>
      <w:r w:rsidRPr="002D4F24">
        <w:rPr>
          <w:sz w:val="24"/>
          <w:szCs w:val="24"/>
        </w:rPr>
        <w:tab/>
        <w:t xml:space="preserve">The Commission cannot </w:t>
      </w:r>
      <w:r w:rsidR="00336B4B" w:rsidRPr="002D4F24">
        <w:rPr>
          <w:sz w:val="24"/>
          <w:szCs w:val="24"/>
        </w:rPr>
        <w:t xml:space="preserve">require a utility to provide a </w:t>
      </w:r>
      <w:r w:rsidRPr="002D4F24">
        <w:rPr>
          <w:sz w:val="24"/>
          <w:szCs w:val="24"/>
        </w:rPr>
        <w:t>second payment agreement without evidence of change of circumstances.  66 Pa. C.S. § 1405(d).</w:t>
      </w:r>
    </w:p>
    <w:p w:rsidR="00336B4B" w:rsidRPr="002D4F24" w:rsidRDefault="00336B4B" w:rsidP="004B6F69">
      <w:pPr>
        <w:spacing w:line="360" w:lineRule="auto"/>
        <w:rPr>
          <w:sz w:val="24"/>
          <w:szCs w:val="24"/>
        </w:rPr>
      </w:pPr>
    </w:p>
    <w:p w:rsidR="004B6F69" w:rsidRPr="002D4F24" w:rsidRDefault="00336B4B" w:rsidP="004B6F69">
      <w:pPr>
        <w:spacing w:line="360" w:lineRule="auto"/>
        <w:rPr>
          <w:sz w:val="24"/>
          <w:szCs w:val="24"/>
        </w:rPr>
      </w:pPr>
      <w:r w:rsidRPr="002D4F24">
        <w:rPr>
          <w:sz w:val="24"/>
          <w:szCs w:val="24"/>
        </w:rPr>
        <w:tab/>
      </w:r>
      <w:r w:rsidRPr="002D4F24">
        <w:rPr>
          <w:sz w:val="24"/>
          <w:szCs w:val="24"/>
        </w:rPr>
        <w:tab/>
        <w:t>9.</w:t>
      </w:r>
      <w:r w:rsidRPr="002D4F24">
        <w:rPr>
          <w:sz w:val="24"/>
          <w:szCs w:val="24"/>
        </w:rPr>
        <w:tab/>
      </w:r>
      <w:r w:rsidR="004B6F69" w:rsidRPr="002D4F24">
        <w:rPr>
          <w:sz w:val="24"/>
          <w:szCs w:val="24"/>
        </w:rPr>
        <w:t xml:space="preserve">A public utility is entitled to payment for service provided to customers, and customers are obliged to pay for utility service.  </w:t>
      </w:r>
      <w:r w:rsidR="004B6F69" w:rsidRPr="002D4F24">
        <w:rPr>
          <w:i/>
          <w:sz w:val="24"/>
          <w:szCs w:val="24"/>
        </w:rPr>
        <w:t xml:space="preserve">Kea v. Peoples Natural Gas Co., </w:t>
      </w:r>
      <w:r w:rsidR="004B6F69" w:rsidRPr="002D4F24">
        <w:rPr>
          <w:sz w:val="24"/>
          <w:szCs w:val="24"/>
        </w:rPr>
        <w:t xml:space="preserve">60 Pa. PUC 215 (1985); </w:t>
      </w:r>
      <w:r w:rsidR="004B6F69" w:rsidRPr="002D4F24">
        <w:rPr>
          <w:i/>
          <w:sz w:val="24"/>
          <w:szCs w:val="24"/>
        </w:rPr>
        <w:t>Scaccia v. West Penn Power Co.,</w:t>
      </w:r>
      <w:r w:rsidR="004B6F69" w:rsidRPr="002D4F24">
        <w:rPr>
          <w:sz w:val="24"/>
          <w:szCs w:val="24"/>
        </w:rPr>
        <w:t xml:space="preserve"> 55 Pa. PUC 637 (1982).</w:t>
      </w:r>
    </w:p>
    <w:p w:rsidR="00336B4B" w:rsidRPr="002D4F24" w:rsidRDefault="00336B4B" w:rsidP="004B6F69">
      <w:pPr>
        <w:spacing w:line="360" w:lineRule="auto"/>
        <w:rPr>
          <w:sz w:val="24"/>
          <w:szCs w:val="24"/>
        </w:rPr>
      </w:pPr>
    </w:p>
    <w:p w:rsidR="00336B4B" w:rsidRPr="002D4F24" w:rsidRDefault="00336B4B" w:rsidP="004B6F69">
      <w:pPr>
        <w:spacing w:line="360" w:lineRule="auto"/>
        <w:rPr>
          <w:sz w:val="24"/>
          <w:szCs w:val="24"/>
        </w:rPr>
      </w:pPr>
      <w:r w:rsidRPr="002D4F24">
        <w:rPr>
          <w:sz w:val="24"/>
          <w:szCs w:val="24"/>
        </w:rPr>
        <w:tab/>
      </w:r>
      <w:r w:rsidRPr="002D4F24">
        <w:rPr>
          <w:sz w:val="24"/>
          <w:szCs w:val="24"/>
        </w:rPr>
        <w:tab/>
        <w:t>10.</w:t>
      </w:r>
      <w:r w:rsidRPr="002D4F24">
        <w:rPr>
          <w:sz w:val="24"/>
          <w:szCs w:val="24"/>
        </w:rPr>
        <w:tab/>
        <w:t>Complainant has fail</w:t>
      </w:r>
      <w:r w:rsidR="00451F80" w:rsidRPr="002D4F24">
        <w:rPr>
          <w:sz w:val="24"/>
          <w:szCs w:val="24"/>
        </w:rPr>
        <w:t>ed to sustain her burden of proving that she should not be responsible for the billing at the Spruce Street address from November</w:t>
      </w:r>
      <w:r w:rsidR="00122672">
        <w:rPr>
          <w:sz w:val="24"/>
          <w:szCs w:val="24"/>
        </w:rPr>
        <w:t>,</w:t>
      </w:r>
      <w:r w:rsidR="00451F80" w:rsidRPr="002D4F24">
        <w:rPr>
          <w:sz w:val="24"/>
          <w:szCs w:val="24"/>
        </w:rPr>
        <w:t xml:space="preserve"> 2009 to August</w:t>
      </w:r>
      <w:r w:rsidR="00122672">
        <w:rPr>
          <w:sz w:val="24"/>
          <w:szCs w:val="24"/>
        </w:rPr>
        <w:t>, </w:t>
      </w:r>
      <w:r w:rsidR="00451F80" w:rsidRPr="002D4F24">
        <w:rPr>
          <w:sz w:val="24"/>
          <w:szCs w:val="24"/>
        </w:rPr>
        <w:t>2012</w:t>
      </w:r>
      <w:r w:rsidRPr="002D4F24">
        <w:rPr>
          <w:sz w:val="24"/>
          <w:szCs w:val="24"/>
        </w:rPr>
        <w:t>.</w:t>
      </w:r>
    </w:p>
    <w:p w:rsidR="00451F80" w:rsidRPr="002D4F24" w:rsidRDefault="00451F80" w:rsidP="004B6F69">
      <w:pPr>
        <w:spacing w:line="360" w:lineRule="auto"/>
        <w:rPr>
          <w:sz w:val="24"/>
          <w:szCs w:val="24"/>
        </w:rPr>
      </w:pPr>
    </w:p>
    <w:p w:rsidR="00451F80" w:rsidRPr="002D4F24" w:rsidRDefault="00451F80" w:rsidP="004B6F69">
      <w:pPr>
        <w:spacing w:line="360" w:lineRule="auto"/>
        <w:rPr>
          <w:sz w:val="24"/>
          <w:szCs w:val="24"/>
        </w:rPr>
      </w:pPr>
      <w:r w:rsidRPr="002D4F24">
        <w:rPr>
          <w:sz w:val="24"/>
          <w:szCs w:val="24"/>
        </w:rPr>
        <w:tab/>
      </w:r>
      <w:r w:rsidRPr="002D4F24">
        <w:rPr>
          <w:sz w:val="24"/>
          <w:szCs w:val="24"/>
        </w:rPr>
        <w:tab/>
        <w:t>11.</w:t>
      </w:r>
      <w:r w:rsidRPr="002D4F24">
        <w:rPr>
          <w:sz w:val="24"/>
          <w:szCs w:val="24"/>
        </w:rPr>
        <w:tab/>
        <w:t>No payment agreement shall be granted for arrearages which were accrued while the customer was on a utility's customer assistance program.  66 Pa. C.S. § 1405(c).</w:t>
      </w:r>
    </w:p>
    <w:p w:rsidR="00336B4B" w:rsidRPr="002D4F24" w:rsidRDefault="00336B4B" w:rsidP="004B6F69">
      <w:pPr>
        <w:spacing w:line="360" w:lineRule="auto"/>
        <w:rPr>
          <w:sz w:val="24"/>
          <w:szCs w:val="24"/>
        </w:rPr>
      </w:pPr>
    </w:p>
    <w:p w:rsidR="00451F80" w:rsidRPr="002D4F24" w:rsidRDefault="00451F80" w:rsidP="004B6F69">
      <w:pPr>
        <w:spacing w:line="360" w:lineRule="auto"/>
        <w:rPr>
          <w:sz w:val="24"/>
          <w:szCs w:val="24"/>
        </w:rPr>
      </w:pPr>
      <w:r w:rsidRPr="002D4F24">
        <w:rPr>
          <w:sz w:val="24"/>
          <w:szCs w:val="24"/>
        </w:rPr>
        <w:tab/>
      </w:r>
      <w:r w:rsidRPr="002D4F24">
        <w:rPr>
          <w:sz w:val="24"/>
          <w:szCs w:val="24"/>
        </w:rPr>
        <w:tab/>
        <w:t>12.</w:t>
      </w:r>
      <w:r w:rsidRPr="002D4F24">
        <w:rPr>
          <w:sz w:val="24"/>
          <w:szCs w:val="24"/>
        </w:rPr>
        <w:tab/>
        <w:t>A customer whose income does not exceed 150% of the federal poverty level (FPL) may be given up to five years to repay an arrearage</w:t>
      </w:r>
      <w:r w:rsidR="005E487C">
        <w:rPr>
          <w:sz w:val="24"/>
          <w:szCs w:val="24"/>
        </w:rPr>
        <w:t>,</w:t>
      </w:r>
      <w:r w:rsidRPr="002D4F24">
        <w:rPr>
          <w:sz w:val="24"/>
          <w:szCs w:val="24"/>
        </w:rPr>
        <w:t xml:space="preserve"> two years for customers whose income does not exceed 250% of the FPL, one year for customers</w:t>
      </w:r>
      <w:r w:rsidR="00A63E2F">
        <w:rPr>
          <w:sz w:val="24"/>
          <w:szCs w:val="24"/>
        </w:rPr>
        <w:t xml:space="preserve"> whose income is</w:t>
      </w:r>
      <w:r w:rsidRPr="002D4F24">
        <w:rPr>
          <w:sz w:val="24"/>
          <w:szCs w:val="24"/>
        </w:rPr>
        <w:t xml:space="preserve"> not more than 300% of the FPL, and six months for those customers whose income exceeds </w:t>
      </w:r>
      <w:r w:rsidR="000264F3">
        <w:rPr>
          <w:sz w:val="24"/>
          <w:szCs w:val="24"/>
        </w:rPr>
        <w:t>300% of the FPL.  66 Pa. C.S. § </w:t>
      </w:r>
      <w:r w:rsidRPr="002D4F24">
        <w:rPr>
          <w:sz w:val="24"/>
          <w:szCs w:val="24"/>
        </w:rPr>
        <w:t>1405(b).  66 Pa. C.S. § 1405(b).</w:t>
      </w:r>
    </w:p>
    <w:p w:rsidR="00451F80" w:rsidRPr="002D4F24" w:rsidRDefault="00451F80" w:rsidP="004B6F69">
      <w:pPr>
        <w:spacing w:line="360" w:lineRule="auto"/>
        <w:rPr>
          <w:sz w:val="24"/>
          <w:szCs w:val="24"/>
        </w:rPr>
      </w:pPr>
    </w:p>
    <w:p w:rsidR="00336B4B" w:rsidRPr="00E30428" w:rsidRDefault="00336B4B" w:rsidP="00336B4B">
      <w:pPr>
        <w:spacing w:line="360" w:lineRule="auto"/>
        <w:jc w:val="center"/>
        <w:rPr>
          <w:sz w:val="24"/>
          <w:szCs w:val="24"/>
          <w:u w:val="single"/>
        </w:rPr>
      </w:pPr>
      <w:r w:rsidRPr="00E30428">
        <w:rPr>
          <w:sz w:val="24"/>
          <w:szCs w:val="24"/>
          <w:u w:val="single"/>
        </w:rPr>
        <w:t>ORDER</w:t>
      </w:r>
    </w:p>
    <w:p w:rsidR="00336B4B" w:rsidRDefault="00336B4B" w:rsidP="00336B4B">
      <w:pPr>
        <w:spacing w:line="360" w:lineRule="auto"/>
        <w:jc w:val="center"/>
        <w:rPr>
          <w:b/>
          <w:sz w:val="24"/>
          <w:szCs w:val="24"/>
        </w:rPr>
      </w:pPr>
    </w:p>
    <w:p w:rsidR="00E30428" w:rsidRPr="002D4F24" w:rsidRDefault="00E30428" w:rsidP="00336B4B">
      <w:pPr>
        <w:spacing w:line="360" w:lineRule="auto"/>
        <w:jc w:val="center"/>
        <w:rPr>
          <w:b/>
          <w:sz w:val="24"/>
          <w:szCs w:val="24"/>
        </w:rPr>
      </w:pPr>
    </w:p>
    <w:p w:rsidR="00336B4B" w:rsidRPr="002D4F24" w:rsidRDefault="00336B4B" w:rsidP="00336B4B">
      <w:pPr>
        <w:spacing w:line="360" w:lineRule="auto"/>
        <w:rPr>
          <w:sz w:val="24"/>
          <w:szCs w:val="24"/>
        </w:rPr>
      </w:pPr>
      <w:r w:rsidRPr="002D4F24">
        <w:rPr>
          <w:sz w:val="24"/>
          <w:szCs w:val="24"/>
        </w:rPr>
        <w:tab/>
      </w:r>
      <w:r w:rsidRPr="002D4F24">
        <w:rPr>
          <w:sz w:val="24"/>
          <w:szCs w:val="24"/>
        </w:rPr>
        <w:tab/>
        <w:t>THEREFORE,</w:t>
      </w:r>
    </w:p>
    <w:p w:rsidR="00336B4B" w:rsidRPr="002D4F24" w:rsidRDefault="00336B4B" w:rsidP="00336B4B">
      <w:pPr>
        <w:spacing w:line="360" w:lineRule="auto"/>
        <w:rPr>
          <w:sz w:val="24"/>
          <w:szCs w:val="24"/>
        </w:rPr>
      </w:pPr>
    </w:p>
    <w:p w:rsidR="00336B4B" w:rsidRPr="002D4F24" w:rsidRDefault="00336B4B" w:rsidP="00336B4B">
      <w:pPr>
        <w:spacing w:line="360" w:lineRule="auto"/>
        <w:rPr>
          <w:sz w:val="24"/>
          <w:szCs w:val="24"/>
        </w:rPr>
      </w:pPr>
      <w:r w:rsidRPr="002D4F24">
        <w:rPr>
          <w:sz w:val="24"/>
          <w:szCs w:val="24"/>
        </w:rPr>
        <w:tab/>
      </w:r>
      <w:r w:rsidRPr="002D4F24">
        <w:rPr>
          <w:sz w:val="24"/>
          <w:szCs w:val="24"/>
        </w:rPr>
        <w:tab/>
        <w:t>IT IS ORDERED:</w:t>
      </w:r>
    </w:p>
    <w:p w:rsidR="00336B4B" w:rsidRPr="002D4F24" w:rsidRDefault="00336B4B" w:rsidP="00336B4B">
      <w:pPr>
        <w:spacing w:line="360" w:lineRule="auto"/>
        <w:rPr>
          <w:sz w:val="24"/>
          <w:szCs w:val="24"/>
        </w:rPr>
      </w:pPr>
    </w:p>
    <w:p w:rsidR="00336B4B" w:rsidRPr="002D4F24" w:rsidRDefault="00336B4B" w:rsidP="00336B4B">
      <w:pPr>
        <w:spacing w:line="360" w:lineRule="auto"/>
        <w:rPr>
          <w:sz w:val="24"/>
          <w:szCs w:val="24"/>
        </w:rPr>
      </w:pPr>
      <w:r w:rsidRPr="002D4F24">
        <w:rPr>
          <w:sz w:val="24"/>
          <w:szCs w:val="24"/>
        </w:rPr>
        <w:tab/>
      </w:r>
      <w:r w:rsidRPr="002D4F24">
        <w:rPr>
          <w:sz w:val="24"/>
          <w:szCs w:val="24"/>
        </w:rPr>
        <w:tab/>
        <w:t>1.</w:t>
      </w:r>
      <w:r w:rsidRPr="002D4F24">
        <w:rPr>
          <w:sz w:val="24"/>
          <w:szCs w:val="24"/>
        </w:rPr>
        <w:tab/>
        <w:t>That the Complaint filed by Stephanie Jackson against PECO Energy Company at Docket No.  F-2013-2351046, is dismissed</w:t>
      </w:r>
      <w:r w:rsidR="00451F80" w:rsidRPr="002D4F24">
        <w:rPr>
          <w:sz w:val="24"/>
          <w:szCs w:val="24"/>
        </w:rPr>
        <w:t xml:space="preserve"> insofar as it seeks a finding that Stephanie Jackson shall not be responsible for the usage at 5</w:t>
      </w:r>
      <w:r w:rsidR="00E30428">
        <w:rPr>
          <w:sz w:val="24"/>
          <w:szCs w:val="24"/>
        </w:rPr>
        <w:t>025 Spruce Street from November, </w:t>
      </w:r>
      <w:r w:rsidR="00451F80" w:rsidRPr="002D4F24">
        <w:rPr>
          <w:sz w:val="24"/>
          <w:szCs w:val="24"/>
        </w:rPr>
        <w:t>2009 to August</w:t>
      </w:r>
      <w:r w:rsidR="00E30428">
        <w:rPr>
          <w:sz w:val="24"/>
          <w:szCs w:val="24"/>
        </w:rPr>
        <w:t>,</w:t>
      </w:r>
      <w:r w:rsidR="00451F80" w:rsidRPr="002D4F24">
        <w:rPr>
          <w:sz w:val="24"/>
          <w:szCs w:val="24"/>
        </w:rPr>
        <w:t xml:space="preserve"> 2011</w:t>
      </w:r>
      <w:r w:rsidRPr="002D4F24">
        <w:rPr>
          <w:sz w:val="24"/>
          <w:szCs w:val="24"/>
        </w:rPr>
        <w:t>.</w:t>
      </w:r>
    </w:p>
    <w:p w:rsidR="00451F80" w:rsidRPr="002D4F24" w:rsidRDefault="00451F80" w:rsidP="00336B4B">
      <w:pPr>
        <w:spacing w:line="360" w:lineRule="auto"/>
        <w:rPr>
          <w:sz w:val="24"/>
          <w:szCs w:val="24"/>
        </w:rPr>
      </w:pPr>
    </w:p>
    <w:p w:rsidR="00451F80" w:rsidRPr="002D4F24" w:rsidRDefault="00451F80" w:rsidP="00336B4B">
      <w:pPr>
        <w:spacing w:line="360" w:lineRule="auto"/>
        <w:rPr>
          <w:sz w:val="24"/>
          <w:szCs w:val="24"/>
        </w:rPr>
      </w:pPr>
      <w:r w:rsidRPr="002D4F24">
        <w:rPr>
          <w:sz w:val="24"/>
          <w:szCs w:val="24"/>
        </w:rPr>
        <w:tab/>
      </w:r>
      <w:r w:rsidRPr="002D4F24">
        <w:rPr>
          <w:sz w:val="24"/>
          <w:szCs w:val="24"/>
        </w:rPr>
        <w:tab/>
        <w:t>2.</w:t>
      </w:r>
      <w:r w:rsidRPr="002D4F24">
        <w:rPr>
          <w:sz w:val="24"/>
          <w:szCs w:val="24"/>
        </w:rPr>
        <w:tab/>
        <w:t>That the Complaint filed by Stephanie Jackson against PECO Energy Company at Docket No. F-2013-2351046, is granted insofar as it seeks a payment agreement</w:t>
      </w:r>
      <w:r w:rsidR="005E487C">
        <w:rPr>
          <w:sz w:val="24"/>
          <w:szCs w:val="24"/>
        </w:rPr>
        <w:t xml:space="preserve"> for her non-CAP arrearage</w:t>
      </w:r>
      <w:r w:rsidRPr="002D4F24">
        <w:rPr>
          <w:sz w:val="24"/>
          <w:szCs w:val="24"/>
        </w:rPr>
        <w:t>.</w:t>
      </w:r>
    </w:p>
    <w:p w:rsidR="00D85EE1" w:rsidRPr="002D4F24" w:rsidRDefault="00D85EE1" w:rsidP="00336B4B">
      <w:pPr>
        <w:spacing w:line="360" w:lineRule="auto"/>
        <w:rPr>
          <w:sz w:val="24"/>
          <w:szCs w:val="24"/>
        </w:rPr>
      </w:pPr>
    </w:p>
    <w:p w:rsidR="00D85EE1" w:rsidRPr="002D4F24" w:rsidRDefault="00D85EE1" w:rsidP="00336B4B">
      <w:pPr>
        <w:spacing w:line="360" w:lineRule="auto"/>
        <w:rPr>
          <w:sz w:val="24"/>
          <w:szCs w:val="24"/>
        </w:rPr>
      </w:pPr>
      <w:r w:rsidRPr="002D4F24">
        <w:rPr>
          <w:sz w:val="24"/>
          <w:szCs w:val="24"/>
        </w:rPr>
        <w:tab/>
      </w:r>
      <w:r w:rsidRPr="002D4F24">
        <w:rPr>
          <w:sz w:val="24"/>
          <w:szCs w:val="24"/>
        </w:rPr>
        <w:tab/>
        <w:t>3.</w:t>
      </w:r>
      <w:r w:rsidRPr="002D4F24">
        <w:rPr>
          <w:sz w:val="24"/>
          <w:szCs w:val="24"/>
        </w:rPr>
        <w:tab/>
        <w:t>That within thirty days of the final Commission Order in this matter, Stephanie Jackson shall provide to PECO Energy Comp</w:t>
      </w:r>
      <w:r w:rsidR="003F210A">
        <w:rPr>
          <w:sz w:val="24"/>
          <w:szCs w:val="24"/>
        </w:rPr>
        <w:t xml:space="preserve">any the following information: </w:t>
      </w:r>
      <w:r w:rsidRPr="002D4F24">
        <w:rPr>
          <w:sz w:val="24"/>
          <w:szCs w:val="24"/>
        </w:rPr>
        <w:t>(a) her household's monthly income; and (b) the number of people in her household.  Failure to provide this information shall render the remainder of this Order null and void.</w:t>
      </w:r>
    </w:p>
    <w:p w:rsidR="00D85EE1" w:rsidRPr="002D4F24" w:rsidRDefault="00D85EE1" w:rsidP="00336B4B">
      <w:pPr>
        <w:spacing w:line="360" w:lineRule="auto"/>
        <w:rPr>
          <w:sz w:val="24"/>
          <w:szCs w:val="24"/>
        </w:rPr>
      </w:pPr>
    </w:p>
    <w:p w:rsidR="00451F80" w:rsidRPr="002D4F24" w:rsidRDefault="00D85EE1" w:rsidP="00336B4B">
      <w:pPr>
        <w:spacing w:line="360" w:lineRule="auto"/>
        <w:rPr>
          <w:sz w:val="24"/>
          <w:szCs w:val="24"/>
        </w:rPr>
      </w:pPr>
      <w:r w:rsidRPr="002D4F24">
        <w:rPr>
          <w:sz w:val="24"/>
          <w:szCs w:val="24"/>
        </w:rPr>
        <w:tab/>
      </w:r>
      <w:r w:rsidRPr="002D4F24">
        <w:rPr>
          <w:sz w:val="24"/>
          <w:szCs w:val="24"/>
        </w:rPr>
        <w:tab/>
        <w:t>4.</w:t>
      </w:r>
      <w:r w:rsidRPr="002D4F24">
        <w:rPr>
          <w:sz w:val="24"/>
          <w:szCs w:val="24"/>
        </w:rPr>
        <w:tab/>
        <w:t>That</w:t>
      </w:r>
      <w:r w:rsidR="00451F80" w:rsidRPr="002D4F24">
        <w:rPr>
          <w:sz w:val="24"/>
          <w:szCs w:val="24"/>
        </w:rPr>
        <w:t xml:space="preserve"> PECO Energy Company shall, </w:t>
      </w:r>
      <w:r w:rsidRPr="002D4F24">
        <w:rPr>
          <w:sz w:val="24"/>
          <w:szCs w:val="24"/>
        </w:rPr>
        <w:t xml:space="preserve">after receiving the information specified in Ordering Paragraph 3 and </w:t>
      </w:r>
      <w:r w:rsidR="00451F80" w:rsidRPr="002D4F24">
        <w:rPr>
          <w:sz w:val="24"/>
          <w:szCs w:val="24"/>
        </w:rPr>
        <w:t xml:space="preserve">within sixty days of the final Commission Order in this docket, </w:t>
      </w:r>
      <w:r w:rsidR="00C112FB" w:rsidRPr="002D4F24">
        <w:rPr>
          <w:sz w:val="24"/>
          <w:szCs w:val="24"/>
        </w:rPr>
        <w:t xml:space="preserve">provide a bill to Stephanie Jackson which indicates the non-payment agreement total, which Complainant must pay before the payment agreement shall take </w:t>
      </w:r>
      <w:r w:rsidR="005E487C">
        <w:rPr>
          <w:sz w:val="24"/>
          <w:szCs w:val="24"/>
        </w:rPr>
        <w:t>effect on the remainder, figured</w:t>
      </w:r>
      <w:r w:rsidR="00C112FB" w:rsidRPr="002D4F24">
        <w:rPr>
          <w:sz w:val="24"/>
          <w:szCs w:val="24"/>
        </w:rPr>
        <w:t xml:space="preserve"> by adding:</w:t>
      </w:r>
    </w:p>
    <w:p w:rsidR="00C112FB" w:rsidRPr="002D4F24" w:rsidRDefault="004D4F81" w:rsidP="00C112FB">
      <w:pPr>
        <w:spacing w:line="360" w:lineRule="auto"/>
        <w:ind w:left="720"/>
        <w:rPr>
          <w:sz w:val="24"/>
          <w:szCs w:val="24"/>
        </w:rPr>
      </w:pPr>
      <w:r>
        <w:rPr>
          <w:sz w:val="24"/>
          <w:szCs w:val="24"/>
        </w:rPr>
        <w:t xml:space="preserve">(a) </w:t>
      </w:r>
      <w:r w:rsidR="00C112FB" w:rsidRPr="002D4F24">
        <w:rPr>
          <w:sz w:val="24"/>
          <w:szCs w:val="24"/>
        </w:rPr>
        <w:t>The amount of the total arrearage which was incurred while CAP rates were in effect</w:t>
      </w:r>
    </w:p>
    <w:p w:rsidR="00C112FB" w:rsidRPr="002D4F24" w:rsidRDefault="00C112FB" w:rsidP="00C112FB">
      <w:pPr>
        <w:spacing w:line="360" w:lineRule="auto"/>
        <w:ind w:left="720"/>
        <w:rPr>
          <w:sz w:val="24"/>
          <w:szCs w:val="24"/>
        </w:rPr>
      </w:pPr>
      <w:r w:rsidRPr="002D4F24">
        <w:rPr>
          <w:sz w:val="24"/>
          <w:szCs w:val="24"/>
        </w:rPr>
        <w:t>Plus</w:t>
      </w:r>
    </w:p>
    <w:p w:rsidR="00C112FB" w:rsidRPr="002D4F24" w:rsidRDefault="00C112FB" w:rsidP="00C112FB">
      <w:pPr>
        <w:spacing w:line="360" w:lineRule="auto"/>
        <w:ind w:left="720"/>
        <w:rPr>
          <w:sz w:val="24"/>
          <w:szCs w:val="24"/>
        </w:rPr>
      </w:pPr>
      <w:r w:rsidRPr="002D4F24">
        <w:rPr>
          <w:sz w:val="24"/>
          <w:szCs w:val="24"/>
        </w:rPr>
        <w:t>(b) The meter tampering fee</w:t>
      </w:r>
    </w:p>
    <w:p w:rsidR="00C112FB" w:rsidRPr="002D4F24" w:rsidRDefault="00C112FB" w:rsidP="00C112FB">
      <w:pPr>
        <w:spacing w:line="360" w:lineRule="auto"/>
        <w:ind w:left="720"/>
        <w:rPr>
          <w:sz w:val="24"/>
          <w:szCs w:val="24"/>
        </w:rPr>
      </w:pPr>
      <w:r w:rsidRPr="002D4F24">
        <w:rPr>
          <w:sz w:val="24"/>
          <w:szCs w:val="24"/>
        </w:rPr>
        <w:t>Plus</w:t>
      </w:r>
    </w:p>
    <w:p w:rsidR="00C112FB" w:rsidRPr="002D4F24" w:rsidRDefault="00C112FB" w:rsidP="00C112FB">
      <w:pPr>
        <w:spacing w:line="360" w:lineRule="auto"/>
        <w:ind w:left="720"/>
        <w:rPr>
          <w:sz w:val="24"/>
          <w:szCs w:val="24"/>
        </w:rPr>
      </w:pPr>
      <w:r w:rsidRPr="002D4F24">
        <w:rPr>
          <w:sz w:val="24"/>
          <w:szCs w:val="24"/>
        </w:rPr>
        <w:t xml:space="preserve">(c) Any security deposit and reconnection fee to be charged by PECO </w:t>
      </w:r>
      <w:r w:rsidR="00A63E2F">
        <w:rPr>
          <w:sz w:val="24"/>
          <w:szCs w:val="24"/>
        </w:rPr>
        <w:t xml:space="preserve">Energy Company </w:t>
      </w:r>
      <w:r w:rsidRPr="002D4F24">
        <w:rPr>
          <w:sz w:val="24"/>
          <w:szCs w:val="24"/>
        </w:rPr>
        <w:t>prior to restoration of service.</w:t>
      </w:r>
    </w:p>
    <w:p w:rsidR="00C112FB" w:rsidRPr="002D4F24" w:rsidRDefault="00C112FB" w:rsidP="00336B4B">
      <w:pPr>
        <w:spacing w:line="360" w:lineRule="auto"/>
        <w:rPr>
          <w:sz w:val="24"/>
          <w:szCs w:val="24"/>
        </w:rPr>
      </w:pPr>
    </w:p>
    <w:p w:rsidR="00C112FB" w:rsidRPr="002D4F24" w:rsidRDefault="00C112FB" w:rsidP="00336B4B">
      <w:pPr>
        <w:spacing w:line="360" w:lineRule="auto"/>
        <w:rPr>
          <w:sz w:val="24"/>
          <w:szCs w:val="24"/>
        </w:rPr>
      </w:pPr>
      <w:r w:rsidRPr="002D4F24">
        <w:rPr>
          <w:sz w:val="24"/>
          <w:szCs w:val="24"/>
        </w:rPr>
        <w:tab/>
      </w:r>
      <w:r w:rsidRPr="002D4F24">
        <w:rPr>
          <w:sz w:val="24"/>
          <w:szCs w:val="24"/>
        </w:rPr>
        <w:tab/>
      </w:r>
      <w:r w:rsidR="00D85EE1" w:rsidRPr="002D4F24">
        <w:rPr>
          <w:sz w:val="24"/>
          <w:szCs w:val="24"/>
        </w:rPr>
        <w:t>5</w:t>
      </w:r>
      <w:r w:rsidRPr="002D4F24">
        <w:rPr>
          <w:sz w:val="24"/>
          <w:szCs w:val="24"/>
        </w:rPr>
        <w:t>.</w:t>
      </w:r>
      <w:r w:rsidRPr="002D4F24">
        <w:rPr>
          <w:sz w:val="24"/>
          <w:szCs w:val="24"/>
        </w:rPr>
        <w:tab/>
        <w:t xml:space="preserve">That the bill prepared by PECO Energy </w:t>
      </w:r>
      <w:r w:rsidR="00A63E2F">
        <w:rPr>
          <w:sz w:val="24"/>
          <w:szCs w:val="24"/>
        </w:rPr>
        <w:t xml:space="preserve">Company </w:t>
      </w:r>
      <w:r w:rsidRPr="002D4F24">
        <w:rPr>
          <w:sz w:val="24"/>
          <w:szCs w:val="24"/>
        </w:rPr>
        <w:t xml:space="preserve">in accordance with Ordering Paragraph 3 shall </w:t>
      </w:r>
      <w:r w:rsidR="00D85EE1" w:rsidRPr="002D4F24">
        <w:rPr>
          <w:sz w:val="24"/>
          <w:szCs w:val="24"/>
        </w:rPr>
        <w:t xml:space="preserve">indicate a sum that </w:t>
      </w:r>
      <w:r w:rsidRPr="002D4F24">
        <w:rPr>
          <w:sz w:val="24"/>
          <w:szCs w:val="24"/>
        </w:rPr>
        <w:t>subtract</w:t>
      </w:r>
      <w:r w:rsidR="00D85EE1" w:rsidRPr="002D4F24">
        <w:rPr>
          <w:sz w:val="24"/>
          <w:szCs w:val="24"/>
        </w:rPr>
        <w:t>s</w:t>
      </w:r>
      <w:r w:rsidRPr="002D4F24">
        <w:rPr>
          <w:sz w:val="24"/>
          <w:szCs w:val="24"/>
        </w:rPr>
        <w:t xml:space="preserve"> the non-payment agreement total from the total arrearage to arrive at the amount of the arrearage that is subject to the payment agreement, the Payment Agreement Total, and shall spread the Payment Agreement Total over the appropriate time period in accordance with 66 Pa. C.S. § 1405(b), depending on the income level of Stephanie Jackson.</w:t>
      </w:r>
    </w:p>
    <w:p w:rsidR="00C112FB" w:rsidRPr="002D4F24" w:rsidRDefault="00C112FB" w:rsidP="00336B4B">
      <w:pPr>
        <w:spacing w:line="360" w:lineRule="auto"/>
        <w:rPr>
          <w:sz w:val="24"/>
          <w:szCs w:val="24"/>
        </w:rPr>
      </w:pPr>
    </w:p>
    <w:p w:rsidR="001D3806" w:rsidRDefault="001D3806" w:rsidP="00336B4B">
      <w:pPr>
        <w:spacing w:line="360" w:lineRule="auto"/>
        <w:rPr>
          <w:sz w:val="24"/>
          <w:szCs w:val="24"/>
        </w:rPr>
      </w:pPr>
      <w:r>
        <w:rPr>
          <w:sz w:val="24"/>
          <w:szCs w:val="24"/>
        </w:rPr>
        <w:br w:type="page"/>
      </w:r>
    </w:p>
    <w:p w:rsidR="00336B4B" w:rsidRPr="002D4F24" w:rsidRDefault="00D85EE1" w:rsidP="00336B4B">
      <w:pPr>
        <w:spacing w:line="360" w:lineRule="auto"/>
        <w:rPr>
          <w:sz w:val="24"/>
          <w:szCs w:val="24"/>
        </w:rPr>
      </w:pPr>
      <w:r w:rsidRPr="002D4F24">
        <w:rPr>
          <w:sz w:val="24"/>
          <w:szCs w:val="24"/>
        </w:rPr>
        <w:lastRenderedPageBreak/>
        <w:tab/>
      </w:r>
      <w:r w:rsidRPr="002D4F24">
        <w:rPr>
          <w:sz w:val="24"/>
          <w:szCs w:val="24"/>
        </w:rPr>
        <w:tab/>
        <w:t>6</w:t>
      </w:r>
      <w:r w:rsidR="00336B4B" w:rsidRPr="002D4F24">
        <w:rPr>
          <w:sz w:val="24"/>
          <w:szCs w:val="24"/>
        </w:rPr>
        <w:t>.</w:t>
      </w:r>
      <w:r w:rsidR="00336B4B" w:rsidRPr="002D4F24">
        <w:rPr>
          <w:sz w:val="24"/>
          <w:szCs w:val="24"/>
        </w:rPr>
        <w:tab/>
        <w:t>That the Secretary mark this docket closed.</w:t>
      </w:r>
    </w:p>
    <w:p w:rsidR="00336B4B" w:rsidRDefault="00336B4B" w:rsidP="00336B4B">
      <w:pPr>
        <w:spacing w:line="360" w:lineRule="auto"/>
        <w:rPr>
          <w:sz w:val="24"/>
          <w:szCs w:val="24"/>
        </w:rPr>
      </w:pPr>
    </w:p>
    <w:p w:rsidR="001D3806" w:rsidRPr="002D4F24" w:rsidRDefault="001D3806" w:rsidP="00336B4B">
      <w:pPr>
        <w:spacing w:line="360" w:lineRule="auto"/>
        <w:rPr>
          <w:sz w:val="24"/>
          <w:szCs w:val="24"/>
        </w:rPr>
      </w:pPr>
    </w:p>
    <w:p w:rsidR="00336B4B" w:rsidRPr="002D4F24" w:rsidRDefault="00336B4B" w:rsidP="00336B4B">
      <w:pPr>
        <w:rPr>
          <w:sz w:val="24"/>
          <w:szCs w:val="24"/>
        </w:rPr>
      </w:pPr>
      <w:r w:rsidRPr="002D4F24">
        <w:rPr>
          <w:sz w:val="24"/>
          <w:szCs w:val="24"/>
        </w:rPr>
        <w:t xml:space="preserve">Dated: </w:t>
      </w:r>
      <w:r w:rsidRPr="002D4F24">
        <w:rPr>
          <w:sz w:val="24"/>
          <w:szCs w:val="24"/>
          <w:u w:val="single"/>
        </w:rPr>
        <w:t xml:space="preserve">July </w:t>
      </w:r>
      <w:r w:rsidR="00451F80" w:rsidRPr="002D4F24">
        <w:rPr>
          <w:sz w:val="24"/>
          <w:szCs w:val="24"/>
          <w:u w:val="single"/>
        </w:rPr>
        <w:t>5</w:t>
      </w:r>
      <w:r w:rsidRPr="002D4F24">
        <w:rPr>
          <w:sz w:val="24"/>
          <w:szCs w:val="24"/>
          <w:u w:val="single"/>
        </w:rPr>
        <w:t>, 2013</w:t>
      </w:r>
      <w:r w:rsidRPr="002D4F24">
        <w:rPr>
          <w:sz w:val="24"/>
          <w:szCs w:val="24"/>
        </w:rPr>
        <w:tab/>
      </w:r>
      <w:r w:rsidRPr="002D4F24">
        <w:rPr>
          <w:sz w:val="24"/>
          <w:szCs w:val="24"/>
        </w:rPr>
        <w:tab/>
      </w:r>
      <w:r w:rsidRPr="002D4F24">
        <w:rPr>
          <w:sz w:val="24"/>
          <w:szCs w:val="24"/>
        </w:rPr>
        <w:tab/>
      </w:r>
      <w:r w:rsidRPr="002D4F24">
        <w:rPr>
          <w:sz w:val="24"/>
          <w:szCs w:val="24"/>
        </w:rPr>
        <w:tab/>
      </w:r>
      <w:r w:rsidRPr="002D4F24">
        <w:rPr>
          <w:sz w:val="24"/>
          <w:szCs w:val="24"/>
        </w:rPr>
        <w:tab/>
        <w:t>_</w:t>
      </w:r>
      <w:r w:rsidR="002B4B8A">
        <w:rPr>
          <w:sz w:val="24"/>
          <w:szCs w:val="24"/>
          <w:u w:val="single"/>
        </w:rPr>
        <w:t>/</w:t>
      </w:r>
      <w:r w:rsidR="002B4B8A">
        <w:rPr>
          <w:rFonts w:ascii="Berlin Sans FB" w:hAnsi="Berlin Sans FB"/>
          <w:sz w:val="24"/>
          <w:szCs w:val="24"/>
          <w:u w:val="single"/>
        </w:rPr>
        <w:t>s</w:t>
      </w:r>
      <w:r w:rsidR="002B4B8A">
        <w:rPr>
          <w:sz w:val="24"/>
          <w:szCs w:val="24"/>
          <w:u w:val="single"/>
        </w:rPr>
        <w:t>/</w:t>
      </w:r>
      <w:r w:rsidRPr="002D4F24">
        <w:rPr>
          <w:sz w:val="24"/>
          <w:szCs w:val="24"/>
        </w:rPr>
        <w:t>____________________________</w:t>
      </w:r>
    </w:p>
    <w:p w:rsidR="00336B4B" w:rsidRPr="002D4F24" w:rsidRDefault="00336B4B" w:rsidP="00336B4B">
      <w:pPr>
        <w:rPr>
          <w:sz w:val="24"/>
          <w:szCs w:val="24"/>
        </w:rPr>
      </w:pPr>
      <w:r w:rsidRPr="002D4F24">
        <w:rPr>
          <w:sz w:val="24"/>
          <w:szCs w:val="24"/>
        </w:rPr>
        <w:tab/>
      </w:r>
      <w:r w:rsidRPr="002D4F24">
        <w:rPr>
          <w:sz w:val="24"/>
          <w:szCs w:val="24"/>
        </w:rPr>
        <w:tab/>
      </w:r>
      <w:r w:rsidRPr="002D4F24">
        <w:rPr>
          <w:sz w:val="24"/>
          <w:szCs w:val="24"/>
        </w:rPr>
        <w:tab/>
      </w:r>
      <w:r w:rsidRPr="002D4F24">
        <w:rPr>
          <w:sz w:val="24"/>
          <w:szCs w:val="24"/>
        </w:rPr>
        <w:tab/>
      </w:r>
      <w:r w:rsidRPr="002D4F24">
        <w:rPr>
          <w:sz w:val="24"/>
          <w:szCs w:val="24"/>
        </w:rPr>
        <w:tab/>
      </w:r>
      <w:r w:rsidRPr="002D4F24">
        <w:rPr>
          <w:sz w:val="24"/>
          <w:szCs w:val="24"/>
        </w:rPr>
        <w:tab/>
      </w:r>
      <w:r w:rsidRPr="002D4F24">
        <w:rPr>
          <w:sz w:val="24"/>
          <w:szCs w:val="24"/>
        </w:rPr>
        <w:tab/>
        <w:t>Susan D. Colwell</w:t>
      </w:r>
    </w:p>
    <w:p w:rsidR="00336B4B" w:rsidRPr="002D4F24" w:rsidRDefault="00336B4B" w:rsidP="00336B4B">
      <w:pPr>
        <w:rPr>
          <w:sz w:val="24"/>
          <w:szCs w:val="24"/>
        </w:rPr>
      </w:pPr>
      <w:r w:rsidRPr="002D4F24">
        <w:rPr>
          <w:sz w:val="24"/>
          <w:szCs w:val="24"/>
        </w:rPr>
        <w:tab/>
      </w:r>
      <w:r w:rsidRPr="002D4F24">
        <w:rPr>
          <w:sz w:val="24"/>
          <w:szCs w:val="24"/>
        </w:rPr>
        <w:tab/>
      </w:r>
      <w:r w:rsidRPr="002D4F24">
        <w:rPr>
          <w:sz w:val="24"/>
          <w:szCs w:val="24"/>
        </w:rPr>
        <w:tab/>
      </w:r>
      <w:r w:rsidRPr="002D4F24">
        <w:rPr>
          <w:sz w:val="24"/>
          <w:szCs w:val="24"/>
        </w:rPr>
        <w:tab/>
      </w:r>
      <w:r w:rsidRPr="002D4F24">
        <w:rPr>
          <w:sz w:val="24"/>
          <w:szCs w:val="24"/>
        </w:rPr>
        <w:tab/>
      </w:r>
      <w:r w:rsidRPr="002D4F24">
        <w:rPr>
          <w:sz w:val="24"/>
          <w:szCs w:val="24"/>
        </w:rPr>
        <w:tab/>
      </w:r>
      <w:r w:rsidRPr="002D4F24">
        <w:rPr>
          <w:sz w:val="24"/>
          <w:szCs w:val="24"/>
        </w:rPr>
        <w:tab/>
        <w:t>Administrative Law Judge</w:t>
      </w:r>
    </w:p>
    <w:p w:rsidR="001B6B08" w:rsidRPr="002D4F24" w:rsidRDefault="001B6B08" w:rsidP="00E75C21">
      <w:pPr>
        <w:spacing w:line="360" w:lineRule="auto"/>
        <w:rPr>
          <w:sz w:val="24"/>
          <w:szCs w:val="24"/>
        </w:rPr>
      </w:pPr>
    </w:p>
    <w:sectPr w:rsidR="001B6B08" w:rsidRPr="002D4F24" w:rsidSect="00280D03">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3B4" w:rsidRDefault="005203B4" w:rsidP="00280D03">
      <w:r>
        <w:separator/>
      </w:r>
    </w:p>
  </w:endnote>
  <w:endnote w:type="continuationSeparator" w:id="0">
    <w:p w:rsidR="005203B4" w:rsidRDefault="005203B4" w:rsidP="0028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8249913"/>
      <w:docPartObj>
        <w:docPartGallery w:val="Page Numbers (Bottom of Page)"/>
        <w:docPartUnique/>
      </w:docPartObj>
    </w:sdtPr>
    <w:sdtEndPr>
      <w:rPr>
        <w:noProof/>
        <w:sz w:val="20"/>
        <w:szCs w:val="20"/>
      </w:rPr>
    </w:sdtEndPr>
    <w:sdtContent>
      <w:p w:rsidR="00280D03" w:rsidRPr="00312BBC" w:rsidRDefault="00280D03" w:rsidP="00312BBC">
        <w:pPr>
          <w:pStyle w:val="Footer"/>
          <w:jc w:val="center"/>
          <w:rPr>
            <w:sz w:val="20"/>
            <w:szCs w:val="20"/>
          </w:rPr>
        </w:pPr>
        <w:r w:rsidRPr="00312BBC">
          <w:rPr>
            <w:sz w:val="20"/>
            <w:szCs w:val="20"/>
          </w:rPr>
          <w:fldChar w:fldCharType="begin"/>
        </w:r>
        <w:r w:rsidRPr="00312BBC">
          <w:rPr>
            <w:sz w:val="20"/>
            <w:szCs w:val="20"/>
          </w:rPr>
          <w:instrText xml:space="preserve"> PAGE   \* MERGEFORMAT </w:instrText>
        </w:r>
        <w:r w:rsidRPr="00312BBC">
          <w:rPr>
            <w:sz w:val="20"/>
            <w:szCs w:val="20"/>
          </w:rPr>
          <w:fldChar w:fldCharType="separate"/>
        </w:r>
        <w:r w:rsidR="00BC1217">
          <w:rPr>
            <w:noProof/>
            <w:sz w:val="20"/>
            <w:szCs w:val="20"/>
          </w:rPr>
          <w:t>17</w:t>
        </w:r>
        <w:r w:rsidRPr="00312BBC">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3B4" w:rsidRDefault="005203B4" w:rsidP="00280D03">
      <w:r>
        <w:separator/>
      </w:r>
    </w:p>
  </w:footnote>
  <w:footnote w:type="continuationSeparator" w:id="0">
    <w:p w:rsidR="005203B4" w:rsidRDefault="005203B4" w:rsidP="00280D03">
      <w:r>
        <w:continuationSeparator/>
      </w:r>
    </w:p>
  </w:footnote>
  <w:footnote w:id="1">
    <w:p w:rsidR="00C56AC1" w:rsidRDefault="00C56AC1">
      <w:pPr>
        <w:pStyle w:val="FootnoteText"/>
      </w:pPr>
      <w:r>
        <w:rPr>
          <w:rStyle w:val="FootnoteReference"/>
        </w:rPr>
        <w:footnoteRef/>
      </w:r>
      <w:r>
        <w:t xml:space="preserve"> PECO's CAP offers reduced billing for the first 500 to 650 kilowatts of usage and forgiveness of</w:t>
      </w:r>
      <w:r w:rsidR="006D6FA2">
        <w:t xml:space="preserve"> all or a portion of </w:t>
      </w:r>
      <w:r>
        <w:t>the arrearage if payments are made timely and consistently for a set time period.  Tr. 21.</w:t>
      </w:r>
    </w:p>
  </w:footnote>
  <w:footnote w:id="2">
    <w:p w:rsidR="00A045C3" w:rsidRDefault="00A045C3">
      <w:pPr>
        <w:pStyle w:val="FootnoteText"/>
      </w:pPr>
      <w:r>
        <w:rPr>
          <w:rStyle w:val="FootnoteReference"/>
        </w:rPr>
        <w:footnoteRef/>
      </w:r>
      <w:r>
        <w:t xml:space="preserve"> I note that PECO witness Tarpl</w:t>
      </w:r>
      <w:r w:rsidR="0061281E">
        <w:t>e</w:t>
      </w:r>
      <w:r>
        <w:t xml:space="preserve">y referred to the CAP arrearage as the amount of the arrearage that would be </w:t>
      </w:r>
      <w:r w:rsidRPr="006D6FA2">
        <w:rPr>
          <w:i/>
        </w:rPr>
        <w:t>forgiven</w:t>
      </w:r>
      <w:r>
        <w:t xml:space="preserve"> if the customer made consistent, timely payments at the decreased rate.  While this amount is properly subtracted from the overall arrearage, it is only a portion of the total CAP arrearage</w:t>
      </w:r>
      <w:r w:rsidR="006D6FA2">
        <w:t>, which is the total amount of unpaid bills accrued during the time that the customer was on the Company's CAP program</w:t>
      </w:r>
      <w:r>
        <w:t xml:space="preserve">.  </w:t>
      </w:r>
    </w:p>
  </w:footnote>
  <w:footnote w:id="3">
    <w:p w:rsidR="002E3947" w:rsidRDefault="002E3947">
      <w:pPr>
        <w:pStyle w:val="FootnoteText"/>
      </w:pPr>
      <w:r>
        <w:rPr>
          <w:rStyle w:val="FootnoteReference"/>
        </w:rPr>
        <w:footnoteRef/>
      </w:r>
      <w:r>
        <w:t xml:space="preserve"> Section 1405(b) provides that a customer whose income does not exceed 150% of the federal poverty level (FPL) may be given up to five years to repay an arrearage</w:t>
      </w:r>
      <w:r w:rsidR="005E487C">
        <w:t>,</w:t>
      </w:r>
      <w:r>
        <w:t xml:space="preserve"> two years for customers whose income does not exceed 250% of the FPL, one year for customers</w:t>
      </w:r>
      <w:r w:rsidR="0061281E">
        <w:t xml:space="preserve"> whose income is</w:t>
      </w:r>
      <w:r>
        <w:t xml:space="preserve"> not more than 300% of the FPL, and six months for those customers whose income exceeds 300% of the FPL.  66 Pa. C.S. § 1405(b).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E5C"/>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264F3"/>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438E"/>
    <w:rsid w:val="0006752D"/>
    <w:rsid w:val="000676B2"/>
    <w:rsid w:val="00067CBC"/>
    <w:rsid w:val="00070AA1"/>
    <w:rsid w:val="00071A36"/>
    <w:rsid w:val="00072595"/>
    <w:rsid w:val="00072D46"/>
    <w:rsid w:val="00073BE1"/>
    <w:rsid w:val="00074065"/>
    <w:rsid w:val="00076082"/>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76B"/>
    <w:rsid w:val="00094E20"/>
    <w:rsid w:val="00096B3F"/>
    <w:rsid w:val="00097D77"/>
    <w:rsid w:val="000A2192"/>
    <w:rsid w:val="000A4551"/>
    <w:rsid w:val="000A4E7A"/>
    <w:rsid w:val="000A5DEA"/>
    <w:rsid w:val="000A652E"/>
    <w:rsid w:val="000A770B"/>
    <w:rsid w:val="000B1BFC"/>
    <w:rsid w:val="000B2D0C"/>
    <w:rsid w:val="000B339A"/>
    <w:rsid w:val="000B5D38"/>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3651"/>
    <w:rsid w:val="000E3D1E"/>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2672"/>
    <w:rsid w:val="001233EA"/>
    <w:rsid w:val="0012343C"/>
    <w:rsid w:val="00124101"/>
    <w:rsid w:val="00124D49"/>
    <w:rsid w:val="00126739"/>
    <w:rsid w:val="0012770C"/>
    <w:rsid w:val="0013036A"/>
    <w:rsid w:val="0013068D"/>
    <w:rsid w:val="00130A2C"/>
    <w:rsid w:val="00135526"/>
    <w:rsid w:val="00140273"/>
    <w:rsid w:val="0014105E"/>
    <w:rsid w:val="00141676"/>
    <w:rsid w:val="00142469"/>
    <w:rsid w:val="00143142"/>
    <w:rsid w:val="00143C25"/>
    <w:rsid w:val="00144D2D"/>
    <w:rsid w:val="00145327"/>
    <w:rsid w:val="00150084"/>
    <w:rsid w:val="00150BAA"/>
    <w:rsid w:val="00151F6C"/>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1FA0"/>
    <w:rsid w:val="001B3572"/>
    <w:rsid w:val="001B3D6F"/>
    <w:rsid w:val="001B477B"/>
    <w:rsid w:val="001B4832"/>
    <w:rsid w:val="001B4B2B"/>
    <w:rsid w:val="001B4B72"/>
    <w:rsid w:val="001B4EC8"/>
    <w:rsid w:val="001B6470"/>
    <w:rsid w:val="001B6B08"/>
    <w:rsid w:val="001B760E"/>
    <w:rsid w:val="001C0410"/>
    <w:rsid w:val="001C054D"/>
    <w:rsid w:val="001C2234"/>
    <w:rsid w:val="001C537D"/>
    <w:rsid w:val="001C64B4"/>
    <w:rsid w:val="001C65CD"/>
    <w:rsid w:val="001D05DB"/>
    <w:rsid w:val="001D0876"/>
    <w:rsid w:val="001D0F91"/>
    <w:rsid w:val="001D1F1B"/>
    <w:rsid w:val="001D3806"/>
    <w:rsid w:val="001D4223"/>
    <w:rsid w:val="001D556B"/>
    <w:rsid w:val="001E2642"/>
    <w:rsid w:val="001E3C9A"/>
    <w:rsid w:val="001E5253"/>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170"/>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4A92"/>
    <w:rsid w:val="0022573F"/>
    <w:rsid w:val="00227A4A"/>
    <w:rsid w:val="00230CC6"/>
    <w:rsid w:val="00232B10"/>
    <w:rsid w:val="002337D7"/>
    <w:rsid w:val="00234C95"/>
    <w:rsid w:val="00234DEB"/>
    <w:rsid w:val="0023584A"/>
    <w:rsid w:val="00236C44"/>
    <w:rsid w:val="00240343"/>
    <w:rsid w:val="002403E6"/>
    <w:rsid w:val="002422D0"/>
    <w:rsid w:val="00244D77"/>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26"/>
    <w:rsid w:val="002558A3"/>
    <w:rsid w:val="00255930"/>
    <w:rsid w:val="00255ABE"/>
    <w:rsid w:val="00256505"/>
    <w:rsid w:val="00260459"/>
    <w:rsid w:val="00260814"/>
    <w:rsid w:val="00262A17"/>
    <w:rsid w:val="00262AF8"/>
    <w:rsid w:val="00263AD5"/>
    <w:rsid w:val="00266367"/>
    <w:rsid w:val="0026705F"/>
    <w:rsid w:val="002704DD"/>
    <w:rsid w:val="00270AF3"/>
    <w:rsid w:val="0027207B"/>
    <w:rsid w:val="0027210A"/>
    <w:rsid w:val="00272E5C"/>
    <w:rsid w:val="002748C2"/>
    <w:rsid w:val="002752C3"/>
    <w:rsid w:val="00275659"/>
    <w:rsid w:val="002761E2"/>
    <w:rsid w:val="00277591"/>
    <w:rsid w:val="00280D03"/>
    <w:rsid w:val="00283282"/>
    <w:rsid w:val="00284760"/>
    <w:rsid w:val="00285508"/>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1EEB"/>
    <w:rsid w:val="002B2AF4"/>
    <w:rsid w:val="002B3E20"/>
    <w:rsid w:val="002B4B8A"/>
    <w:rsid w:val="002B541A"/>
    <w:rsid w:val="002B754D"/>
    <w:rsid w:val="002C0694"/>
    <w:rsid w:val="002C1023"/>
    <w:rsid w:val="002C4F02"/>
    <w:rsid w:val="002C69AD"/>
    <w:rsid w:val="002D0E4D"/>
    <w:rsid w:val="002D11F2"/>
    <w:rsid w:val="002D1E71"/>
    <w:rsid w:val="002D29B0"/>
    <w:rsid w:val="002D3A47"/>
    <w:rsid w:val="002D4F24"/>
    <w:rsid w:val="002D6B36"/>
    <w:rsid w:val="002D7136"/>
    <w:rsid w:val="002D7978"/>
    <w:rsid w:val="002E2283"/>
    <w:rsid w:val="002E2CAD"/>
    <w:rsid w:val="002E32C2"/>
    <w:rsid w:val="002E3947"/>
    <w:rsid w:val="002E5790"/>
    <w:rsid w:val="002E6CB4"/>
    <w:rsid w:val="002E7DDB"/>
    <w:rsid w:val="002F21B6"/>
    <w:rsid w:val="002F222D"/>
    <w:rsid w:val="002F276A"/>
    <w:rsid w:val="002F2A4A"/>
    <w:rsid w:val="002F42FC"/>
    <w:rsid w:val="002F5C03"/>
    <w:rsid w:val="002F6F4F"/>
    <w:rsid w:val="002F75DA"/>
    <w:rsid w:val="00303526"/>
    <w:rsid w:val="00303761"/>
    <w:rsid w:val="00304AA1"/>
    <w:rsid w:val="0030682B"/>
    <w:rsid w:val="00306C33"/>
    <w:rsid w:val="00311531"/>
    <w:rsid w:val="003115D2"/>
    <w:rsid w:val="00312BBC"/>
    <w:rsid w:val="00312F06"/>
    <w:rsid w:val="00313595"/>
    <w:rsid w:val="0031425A"/>
    <w:rsid w:val="00314713"/>
    <w:rsid w:val="003149F5"/>
    <w:rsid w:val="003151E4"/>
    <w:rsid w:val="003156D7"/>
    <w:rsid w:val="00317261"/>
    <w:rsid w:val="0032130D"/>
    <w:rsid w:val="00321DB1"/>
    <w:rsid w:val="00326EEE"/>
    <w:rsid w:val="00326F3E"/>
    <w:rsid w:val="00330A67"/>
    <w:rsid w:val="00331EB4"/>
    <w:rsid w:val="00332A51"/>
    <w:rsid w:val="00333ADD"/>
    <w:rsid w:val="00334F62"/>
    <w:rsid w:val="00336496"/>
    <w:rsid w:val="003364EB"/>
    <w:rsid w:val="00336B4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4B49"/>
    <w:rsid w:val="003657F1"/>
    <w:rsid w:val="00365826"/>
    <w:rsid w:val="00365A2F"/>
    <w:rsid w:val="00366696"/>
    <w:rsid w:val="0036754C"/>
    <w:rsid w:val="0037406C"/>
    <w:rsid w:val="00375889"/>
    <w:rsid w:val="003760EB"/>
    <w:rsid w:val="00380892"/>
    <w:rsid w:val="003817B8"/>
    <w:rsid w:val="00381B05"/>
    <w:rsid w:val="00383321"/>
    <w:rsid w:val="00383DBA"/>
    <w:rsid w:val="00385BF0"/>
    <w:rsid w:val="00385DAD"/>
    <w:rsid w:val="00386626"/>
    <w:rsid w:val="00386E8E"/>
    <w:rsid w:val="00387F55"/>
    <w:rsid w:val="003908D7"/>
    <w:rsid w:val="00390929"/>
    <w:rsid w:val="00390DBB"/>
    <w:rsid w:val="00391CFF"/>
    <w:rsid w:val="003924CC"/>
    <w:rsid w:val="00396333"/>
    <w:rsid w:val="00396ADD"/>
    <w:rsid w:val="0039716B"/>
    <w:rsid w:val="003A048A"/>
    <w:rsid w:val="003A0B9C"/>
    <w:rsid w:val="003A0E5A"/>
    <w:rsid w:val="003A0F8D"/>
    <w:rsid w:val="003A0FEB"/>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10A"/>
    <w:rsid w:val="003F2E62"/>
    <w:rsid w:val="003F3925"/>
    <w:rsid w:val="003F425B"/>
    <w:rsid w:val="00401288"/>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1BFF"/>
    <w:rsid w:val="004222CB"/>
    <w:rsid w:val="00423359"/>
    <w:rsid w:val="00425C94"/>
    <w:rsid w:val="00426277"/>
    <w:rsid w:val="004262B3"/>
    <w:rsid w:val="00426605"/>
    <w:rsid w:val="00431130"/>
    <w:rsid w:val="00433AE5"/>
    <w:rsid w:val="0043485A"/>
    <w:rsid w:val="00434FD6"/>
    <w:rsid w:val="00440521"/>
    <w:rsid w:val="004407EE"/>
    <w:rsid w:val="00441078"/>
    <w:rsid w:val="0044175C"/>
    <w:rsid w:val="00441EA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1F80"/>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3F43"/>
    <w:rsid w:val="00484589"/>
    <w:rsid w:val="00484BCE"/>
    <w:rsid w:val="00487E8F"/>
    <w:rsid w:val="00491F39"/>
    <w:rsid w:val="004938B5"/>
    <w:rsid w:val="00493AC3"/>
    <w:rsid w:val="0049422F"/>
    <w:rsid w:val="0049475D"/>
    <w:rsid w:val="0049575D"/>
    <w:rsid w:val="00496D95"/>
    <w:rsid w:val="00496DB8"/>
    <w:rsid w:val="004A0D06"/>
    <w:rsid w:val="004A11A6"/>
    <w:rsid w:val="004A1729"/>
    <w:rsid w:val="004A21F4"/>
    <w:rsid w:val="004A3363"/>
    <w:rsid w:val="004A4B6C"/>
    <w:rsid w:val="004A5318"/>
    <w:rsid w:val="004A5D57"/>
    <w:rsid w:val="004A741E"/>
    <w:rsid w:val="004B0321"/>
    <w:rsid w:val="004B1ADE"/>
    <w:rsid w:val="004B2625"/>
    <w:rsid w:val="004B5327"/>
    <w:rsid w:val="004B570B"/>
    <w:rsid w:val="004B652A"/>
    <w:rsid w:val="004B6F69"/>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4F81"/>
    <w:rsid w:val="004D5646"/>
    <w:rsid w:val="004D6D13"/>
    <w:rsid w:val="004D6DCE"/>
    <w:rsid w:val="004E1B61"/>
    <w:rsid w:val="004E1FD5"/>
    <w:rsid w:val="004E23ED"/>
    <w:rsid w:val="004E429F"/>
    <w:rsid w:val="004E60E4"/>
    <w:rsid w:val="004E79CA"/>
    <w:rsid w:val="004F160A"/>
    <w:rsid w:val="004F2F62"/>
    <w:rsid w:val="004F37CB"/>
    <w:rsid w:val="004F45CA"/>
    <w:rsid w:val="004F5216"/>
    <w:rsid w:val="004F616B"/>
    <w:rsid w:val="004F64E4"/>
    <w:rsid w:val="00500A53"/>
    <w:rsid w:val="00503634"/>
    <w:rsid w:val="00503B74"/>
    <w:rsid w:val="00504F92"/>
    <w:rsid w:val="00505551"/>
    <w:rsid w:val="005078B3"/>
    <w:rsid w:val="00510A28"/>
    <w:rsid w:val="00511C54"/>
    <w:rsid w:val="0051292E"/>
    <w:rsid w:val="00516207"/>
    <w:rsid w:val="005203B4"/>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5E2F"/>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2F87"/>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0B90"/>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206B"/>
    <w:rsid w:val="005C2436"/>
    <w:rsid w:val="005C373B"/>
    <w:rsid w:val="005C3DD2"/>
    <w:rsid w:val="005C4AAA"/>
    <w:rsid w:val="005C610A"/>
    <w:rsid w:val="005D1442"/>
    <w:rsid w:val="005D1922"/>
    <w:rsid w:val="005D2788"/>
    <w:rsid w:val="005D4281"/>
    <w:rsid w:val="005D606F"/>
    <w:rsid w:val="005D6E32"/>
    <w:rsid w:val="005E06D4"/>
    <w:rsid w:val="005E1521"/>
    <w:rsid w:val="005E3768"/>
    <w:rsid w:val="005E448D"/>
    <w:rsid w:val="005E487C"/>
    <w:rsid w:val="005F064D"/>
    <w:rsid w:val="005F512E"/>
    <w:rsid w:val="005F5A21"/>
    <w:rsid w:val="005F6A04"/>
    <w:rsid w:val="00600458"/>
    <w:rsid w:val="0060118D"/>
    <w:rsid w:val="0060369E"/>
    <w:rsid w:val="00603824"/>
    <w:rsid w:val="0060530E"/>
    <w:rsid w:val="00605D75"/>
    <w:rsid w:val="006073B5"/>
    <w:rsid w:val="00610CE1"/>
    <w:rsid w:val="006113D8"/>
    <w:rsid w:val="0061281E"/>
    <w:rsid w:val="00612C6B"/>
    <w:rsid w:val="00614681"/>
    <w:rsid w:val="006151E3"/>
    <w:rsid w:val="00616232"/>
    <w:rsid w:val="00617B8F"/>
    <w:rsid w:val="0062021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B55"/>
    <w:rsid w:val="00635DA6"/>
    <w:rsid w:val="006416B8"/>
    <w:rsid w:val="0064349A"/>
    <w:rsid w:val="00643E46"/>
    <w:rsid w:val="00645078"/>
    <w:rsid w:val="006466B3"/>
    <w:rsid w:val="0064692D"/>
    <w:rsid w:val="00646FCC"/>
    <w:rsid w:val="0064750C"/>
    <w:rsid w:val="00650651"/>
    <w:rsid w:val="00651F0A"/>
    <w:rsid w:val="006540C5"/>
    <w:rsid w:val="006543FB"/>
    <w:rsid w:val="006549F5"/>
    <w:rsid w:val="006550BE"/>
    <w:rsid w:val="00655505"/>
    <w:rsid w:val="00655AA7"/>
    <w:rsid w:val="00655F80"/>
    <w:rsid w:val="00656541"/>
    <w:rsid w:val="00660216"/>
    <w:rsid w:val="006621E9"/>
    <w:rsid w:val="00662904"/>
    <w:rsid w:val="00664A57"/>
    <w:rsid w:val="00664C73"/>
    <w:rsid w:val="00666884"/>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7E1"/>
    <w:rsid w:val="006D1E5C"/>
    <w:rsid w:val="006D2C14"/>
    <w:rsid w:val="006D3945"/>
    <w:rsid w:val="006D4C15"/>
    <w:rsid w:val="006D5D13"/>
    <w:rsid w:val="006D6FA2"/>
    <w:rsid w:val="006D7692"/>
    <w:rsid w:val="006E1753"/>
    <w:rsid w:val="006E3BF0"/>
    <w:rsid w:val="006E4E29"/>
    <w:rsid w:val="006E5358"/>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B8E"/>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1B53"/>
    <w:rsid w:val="007631D1"/>
    <w:rsid w:val="007635AC"/>
    <w:rsid w:val="0076561F"/>
    <w:rsid w:val="00772458"/>
    <w:rsid w:val="007725A2"/>
    <w:rsid w:val="00775812"/>
    <w:rsid w:val="00781AFB"/>
    <w:rsid w:val="00782461"/>
    <w:rsid w:val="0078261F"/>
    <w:rsid w:val="007833DA"/>
    <w:rsid w:val="00783492"/>
    <w:rsid w:val="00783B06"/>
    <w:rsid w:val="00784522"/>
    <w:rsid w:val="0078470A"/>
    <w:rsid w:val="00784C15"/>
    <w:rsid w:val="0078583D"/>
    <w:rsid w:val="00785939"/>
    <w:rsid w:val="00785D73"/>
    <w:rsid w:val="00786FA8"/>
    <w:rsid w:val="00787AF1"/>
    <w:rsid w:val="0079132B"/>
    <w:rsid w:val="0079360E"/>
    <w:rsid w:val="00795245"/>
    <w:rsid w:val="007969E6"/>
    <w:rsid w:val="00796DA1"/>
    <w:rsid w:val="007A0A49"/>
    <w:rsid w:val="007A2C57"/>
    <w:rsid w:val="007A3440"/>
    <w:rsid w:val="007A34B3"/>
    <w:rsid w:val="007B1039"/>
    <w:rsid w:val="007B1644"/>
    <w:rsid w:val="007B33F8"/>
    <w:rsid w:val="007B3B6F"/>
    <w:rsid w:val="007B3F3D"/>
    <w:rsid w:val="007B413B"/>
    <w:rsid w:val="007B4FD7"/>
    <w:rsid w:val="007B5461"/>
    <w:rsid w:val="007B6474"/>
    <w:rsid w:val="007B6B84"/>
    <w:rsid w:val="007B7F0F"/>
    <w:rsid w:val="007C19EC"/>
    <w:rsid w:val="007C342D"/>
    <w:rsid w:val="007C3C7F"/>
    <w:rsid w:val="007C51EB"/>
    <w:rsid w:val="007C5816"/>
    <w:rsid w:val="007C60E2"/>
    <w:rsid w:val="007C7435"/>
    <w:rsid w:val="007D158A"/>
    <w:rsid w:val="007D4D29"/>
    <w:rsid w:val="007D4D66"/>
    <w:rsid w:val="007D5B1C"/>
    <w:rsid w:val="007D6D87"/>
    <w:rsid w:val="007D6FD6"/>
    <w:rsid w:val="007E0ADA"/>
    <w:rsid w:val="007E15CF"/>
    <w:rsid w:val="007E1DB4"/>
    <w:rsid w:val="007E5866"/>
    <w:rsid w:val="007E6194"/>
    <w:rsid w:val="007F07AF"/>
    <w:rsid w:val="007F2A44"/>
    <w:rsid w:val="007F433F"/>
    <w:rsid w:val="007F6E2B"/>
    <w:rsid w:val="007F7699"/>
    <w:rsid w:val="007F773D"/>
    <w:rsid w:val="008003C8"/>
    <w:rsid w:val="00802118"/>
    <w:rsid w:val="00804065"/>
    <w:rsid w:val="008047DD"/>
    <w:rsid w:val="0080611B"/>
    <w:rsid w:val="00806213"/>
    <w:rsid w:val="00807BBC"/>
    <w:rsid w:val="008121D7"/>
    <w:rsid w:val="00812B80"/>
    <w:rsid w:val="008154BA"/>
    <w:rsid w:val="008168A2"/>
    <w:rsid w:val="00820421"/>
    <w:rsid w:val="008213E7"/>
    <w:rsid w:val="00821687"/>
    <w:rsid w:val="0082217D"/>
    <w:rsid w:val="00822A40"/>
    <w:rsid w:val="008236C7"/>
    <w:rsid w:val="00823E67"/>
    <w:rsid w:val="00826045"/>
    <w:rsid w:val="0083035D"/>
    <w:rsid w:val="008307DB"/>
    <w:rsid w:val="00830A48"/>
    <w:rsid w:val="00833331"/>
    <w:rsid w:val="00833C36"/>
    <w:rsid w:val="00834B96"/>
    <w:rsid w:val="00836409"/>
    <w:rsid w:val="00836415"/>
    <w:rsid w:val="00836B47"/>
    <w:rsid w:val="0084072A"/>
    <w:rsid w:val="00840A53"/>
    <w:rsid w:val="008427B3"/>
    <w:rsid w:val="008428A1"/>
    <w:rsid w:val="0085047D"/>
    <w:rsid w:val="008524EA"/>
    <w:rsid w:val="0085263B"/>
    <w:rsid w:val="008530B9"/>
    <w:rsid w:val="008537C0"/>
    <w:rsid w:val="00855167"/>
    <w:rsid w:val="00857642"/>
    <w:rsid w:val="00857872"/>
    <w:rsid w:val="00857F8E"/>
    <w:rsid w:val="00860759"/>
    <w:rsid w:val="008607B2"/>
    <w:rsid w:val="0086268A"/>
    <w:rsid w:val="008644EC"/>
    <w:rsid w:val="00864AF6"/>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2CC"/>
    <w:rsid w:val="0089667B"/>
    <w:rsid w:val="0089728F"/>
    <w:rsid w:val="008A0874"/>
    <w:rsid w:val="008A0FF6"/>
    <w:rsid w:val="008A28F5"/>
    <w:rsid w:val="008A51AD"/>
    <w:rsid w:val="008A6240"/>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56CC"/>
    <w:rsid w:val="008C668F"/>
    <w:rsid w:val="008C696A"/>
    <w:rsid w:val="008D2DBA"/>
    <w:rsid w:val="008D530C"/>
    <w:rsid w:val="008D56D1"/>
    <w:rsid w:val="008D638B"/>
    <w:rsid w:val="008D7ECE"/>
    <w:rsid w:val="008E01A0"/>
    <w:rsid w:val="008E1BF6"/>
    <w:rsid w:val="008E324B"/>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07C54"/>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3A94"/>
    <w:rsid w:val="00934728"/>
    <w:rsid w:val="009347A5"/>
    <w:rsid w:val="009348E6"/>
    <w:rsid w:val="00935580"/>
    <w:rsid w:val="009366E0"/>
    <w:rsid w:val="00936EB3"/>
    <w:rsid w:val="00940622"/>
    <w:rsid w:val="009412D9"/>
    <w:rsid w:val="00942C91"/>
    <w:rsid w:val="00944730"/>
    <w:rsid w:val="00944858"/>
    <w:rsid w:val="00946081"/>
    <w:rsid w:val="009471B5"/>
    <w:rsid w:val="009502D3"/>
    <w:rsid w:val="00951A6C"/>
    <w:rsid w:val="00952928"/>
    <w:rsid w:val="009531DA"/>
    <w:rsid w:val="00953CFD"/>
    <w:rsid w:val="009540FD"/>
    <w:rsid w:val="0095579C"/>
    <w:rsid w:val="00956E7E"/>
    <w:rsid w:val="00960F06"/>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15D6"/>
    <w:rsid w:val="00996B05"/>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B7"/>
    <w:rsid w:val="009F1AEE"/>
    <w:rsid w:val="009F1DB1"/>
    <w:rsid w:val="009F1EA5"/>
    <w:rsid w:val="009F5E68"/>
    <w:rsid w:val="009F69E5"/>
    <w:rsid w:val="009F7476"/>
    <w:rsid w:val="009F768D"/>
    <w:rsid w:val="00A00F26"/>
    <w:rsid w:val="00A018F7"/>
    <w:rsid w:val="00A02ABC"/>
    <w:rsid w:val="00A039B4"/>
    <w:rsid w:val="00A045C3"/>
    <w:rsid w:val="00A0555A"/>
    <w:rsid w:val="00A063F2"/>
    <w:rsid w:val="00A0799C"/>
    <w:rsid w:val="00A07D8F"/>
    <w:rsid w:val="00A12531"/>
    <w:rsid w:val="00A13C95"/>
    <w:rsid w:val="00A15615"/>
    <w:rsid w:val="00A1707A"/>
    <w:rsid w:val="00A215E2"/>
    <w:rsid w:val="00A2164F"/>
    <w:rsid w:val="00A21773"/>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3E2F"/>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7D"/>
    <w:rsid w:val="00A90897"/>
    <w:rsid w:val="00A909E1"/>
    <w:rsid w:val="00A90C67"/>
    <w:rsid w:val="00A92B4B"/>
    <w:rsid w:val="00A93509"/>
    <w:rsid w:val="00A935BC"/>
    <w:rsid w:val="00A940DD"/>
    <w:rsid w:val="00A9585F"/>
    <w:rsid w:val="00AA013D"/>
    <w:rsid w:val="00AA01E6"/>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0420"/>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3C98"/>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97F17"/>
    <w:rsid w:val="00BA1322"/>
    <w:rsid w:val="00BA25FD"/>
    <w:rsid w:val="00BA2951"/>
    <w:rsid w:val="00BA2D85"/>
    <w:rsid w:val="00BA3AA7"/>
    <w:rsid w:val="00BA3C3F"/>
    <w:rsid w:val="00BA5CEA"/>
    <w:rsid w:val="00BA690D"/>
    <w:rsid w:val="00BA7612"/>
    <w:rsid w:val="00BB1D36"/>
    <w:rsid w:val="00BB3631"/>
    <w:rsid w:val="00BB3FF6"/>
    <w:rsid w:val="00BB5630"/>
    <w:rsid w:val="00BB6BE1"/>
    <w:rsid w:val="00BB750E"/>
    <w:rsid w:val="00BC1217"/>
    <w:rsid w:val="00BC392E"/>
    <w:rsid w:val="00BC60A6"/>
    <w:rsid w:val="00BC62E0"/>
    <w:rsid w:val="00BC6FBF"/>
    <w:rsid w:val="00BD00D9"/>
    <w:rsid w:val="00BD012E"/>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068D9"/>
    <w:rsid w:val="00C10713"/>
    <w:rsid w:val="00C1120E"/>
    <w:rsid w:val="00C112FB"/>
    <w:rsid w:val="00C11391"/>
    <w:rsid w:val="00C1142D"/>
    <w:rsid w:val="00C114A8"/>
    <w:rsid w:val="00C12EC0"/>
    <w:rsid w:val="00C1324E"/>
    <w:rsid w:val="00C138A5"/>
    <w:rsid w:val="00C14B96"/>
    <w:rsid w:val="00C158D4"/>
    <w:rsid w:val="00C211F9"/>
    <w:rsid w:val="00C2260B"/>
    <w:rsid w:val="00C22F92"/>
    <w:rsid w:val="00C238EE"/>
    <w:rsid w:val="00C25927"/>
    <w:rsid w:val="00C27126"/>
    <w:rsid w:val="00C273D7"/>
    <w:rsid w:val="00C2755A"/>
    <w:rsid w:val="00C27A52"/>
    <w:rsid w:val="00C3028D"/>
    <w:rsid w:val="00C3095D"/>
    <w:rsid w:val="00C310B8"/>
    <w:rsid w:val="00C31DBD"/>
    <w:rsid w:val="00C32633"/>
    <w:rsid w:val="00C3305D"/>
    <w:rsid w:val="00C3343C"/>
    <w:rsid w:val="00C3343E"/>
    <w:rsid w:val="00C3643C"/>
    <w:rsid w:val="00C36C29"/>
    <w:rsid w:val="00C40445"/>
    <w:rsid w:val="00C41646"/>
    <w:rsid w:val="00C4383B"/>
    <w:rsid w:val="00C43965"/>
    <w:rsid w:val="00C4601A"/>
    <w:rsid w:val="00C478FE"/>
    <w:rsid w:val="00C502DD"/>
    <w:rsid w:val="00C5512D"/>
    <w:rsid w:val="00C56AC1"/>
    <w:rsid w:val="00C57101"/>
    <w:rsid w:val="00C604F9"/>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3C3D"/>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4D0"/>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85EE1"/>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4BC9"/>
    <w:rsid w:val="00E15CE9"/>
    <w:rsid w:val="00E1638A"/>
    <w:rsid w:val="00E20F75"/>
    <w:rsid w:val="00E24543"/>
    <w:rsid w:val="00E2457B"/>
    <w:rsid w:val="00E247DE"/>
    <w:rsid w:val="00E257AB"/>
    <w:rsid w:val="00E30428"/>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47F10"/>
    <w:rsid w:val="00E5031D"/>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092"/>
    <w:rsid w:val="00E645FC"/>
    <w:rsid w:val="00E6494D"/>
    <w:rsid w:val="00E6634F"/>
    <w:rsid w:val="00E6716A"/>
    <w:rsid w:val="00E67F40"/>
    <w:rsid w:val="00E70167"/>
    <w:rsid w:val="00E703C3"/>
    <w:rsid w:val="00E73F29"/>
    <w:rsid w:val="00E74899"/>
    <w:rsid w:val="00E759B1"/>
    <w:rsid w:val="00E75C21"/>
    <w:rsid w:val="00E779AA"/>
    <w:rsid w:val="00E80333"/>
    <w:rsid w:val="00E8107B"/>
    <w:rsid w:val="00E83629"/>
    <w:rsid w:val="00E838DB"/>
    <w:rsid w:val="00E83F7E"/>
    <w:rsid w:val="00E865F0"/>
    <w:rsid w:val="00E868E7"/>
    <w:rsid w:val="00E91672"/>
    <w:rsid w:val="00E9310C"/>
    <w:rsid w:val="00E93979"/>
    <w:rsid w:val="00E93C5F"/>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3D12"/>
    <w:rsid w:val="00EC41C2"/>
    <w:rsid w:val="00EC4E71"/>
    <w:rsid w:val="00EC62F1"/>
    <w:rsid w:val="00EC6D41"/>
    <w:rsid w:val="00EC79CA"/>
    <w:rsid w:val="00ED03A3"/>
    <w:rsid w:val="00ED0AA7"/>
    <w:rsid w:val="00ED2F8A"/>
    <w:rsid w:val="00ED58AF"/>
    <w:rsid w:val="00ED7658"/>
    <w:rsid w:val="00EE13F4"/>
    <w:rsid w:val="00EE171F"/>
    <w:rsid w:val="00EE1B96"/>
    <w:rsid w:val="00EE1EE5"/>
    <w:rsid w:val="00EE2928"/>
    <w:rsid w:val="00EE2E23"/>
    <w:rsid w:val="00EE359A"/>
    <w:rsid w:val="00EE44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A41"/>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7F9"/>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2DA7"/>
    <w:rsid w:val="00F6434A"/>
    <w:rsid w:val="00F70887"/>
    <w:rsid w:val="00F70A7D"/>
    <w:rsid w:val="00F748DD"/>
    <w:rsid w:val="00F76633"/>
    <w:rsid w:val="00F77EEC"/>
    <w:rsid w:val="00F81710"/>
    <w:rsid w:val="00F81FF7"/>
    <w:rsid w:val="00F835DC"/>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E5C"/>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D03"/>
    <w:pPr>
      <w:tabs>
        <w:tab w:val="center" w:pos="4680"/>
        <w:tab w:val="right" w:pos="9360"/>
      </w:tabs>
    </w:pPr>
  </w:style>
  <w:style w:type="character" w:customStyle="1" w:styleId="HeaderChar">
    <w:name w:val="Header Char"/>
    <w:basedOn w:val="DefaultParagraphFont"/>
    <w:link w:val="Header"/>
    <w:uiPriority w:val="99"/>
    <w:rsid w:val="00280D03"/>
    <w:rPr>
      <w:rFonts w:eastAsia="Times New Roman"/>
      <w:sz w:val="26"/>
      <w:szCs w:val="26"/>
    </w:rPr>
  </w:style>
  <w:style w:type="paragraph" w:styleId="Footer">
    <w:name w:val="footer"/>
    <w:basedOn w:val="Normal"/>
    <w:link w:val="FooterChar"/>
    <w:uiPriority w:val="99"/>
    <w:unhideWhenUsed/>
    <w:rsid w:val="00280D03"/>
    <w:pPr>
      <w:tabs>
        <w:tab w:val="center" w:pos="4680"/>
        <w:tab w:val="right" w:pos="9360"/>
      </w:tabs>
    </w:pPr>
  </w:style>
  <w:style w:type="character" w:customStyle="1" w:styleId="FooterChar">
    <w:name w:val="Footer Char"/>
    <w:basedOn w:val="DefaultParagraphFont"/>
    <w:link w:val="Footer"/>
    <w:uiPriority w:val="99"/>
    <w:rsid w:val="00280D03"/>
    <w:rPr>
      <w:rFonts w:eastAsia="Times New Roman"/>
      <w:sz w:val="26"/>
      <w:szCs w:val="26"/>
    </w:rPr>
  </w:style>
  <w:style w:type="paragraph" w:styleId="FootnoteText">
    <w:name w:val="footnote text"/>
    <w:basedOn w:val="Normal"/>
    <w:link w:val="FootnoteTextChar"/>
    <w:uiPriority w:val="99"/>
    <w:unhideWhenUsed/>
    <w:rsid w:val="00617B8F"/>
    <w:rPr>
      <w:sz w:val="20"/>
      <w:szCs w:val="20"/>
    </w:rPr>
  </w:style>
  <w:style w:type="character" w:customStyle="1" w:styleId="FootnoteTextChar">
    <w:name w:val="Footnote Text Char"/>
    <w:basedOn w:val="DefaultParagraphFont"/>
    <w:link w:val="FootnoteText"/>
    <w:uiPriority w:val="99"/>
    <w:rsid w:val="00617B8F"/>
    <w:rPr>
      <w:rFonts w:eastAsia="Times New Roman"/>
      <w:sz w:val="20"/>
      <w:szCs w:val="20"/>
    </w:rPr>
  </w:style>
  <w:style w:type="character" w:styleId="FootnoteReference">
    <w:name w:val="footnote reference"/>
    <w:basedOn w:val="DefaultParagraphFont"/>
    <w:uiPriority w:val="99"/>
    <w:semiHidden/>
    <w:unhideWhenUsed/>
    <w:rsid w:val="00617B8F"/>
    <w:rPr>
      <w:vertAlign w:val="superscript"/>
    </w:rPr>
  </w:style>
  <w:style w:type="paragraph" w:styleId="BalloonText">
    <w:name w:val="Balloon Text"/>
    <w:basedOn w:val="Normal"/>
    <w:link w:val="BalloonTextChar"/>
    <w:uiPriority w:val="99"/>
    <w:semiHidden/>
    <w:unhideWhenUsed/>
    <w:rsid w:val="00336B4B"/>
    <w:rPr>
      <w:rFonts w:ascii="Tahoma" w:hAnsi="Tahoma" w:cs="Tahoma"/>
      <w:sz w:val="16"/>
      <w:szCs w:val="16"/>
    </w:rPr>
  </w:style>
  <w:style w:type="character" w:customStyle="1" w:styleId="BalloonTextChar">
    <w:name w:val="Balloon Text Char"/>
    <w:basedOn w:val="DefaultParagraphFont"/>
    <w:link w:val="BalloonText"/>
    <w:uiPriority w:val="99"/>
    <w:semiHidden/>
    <w:rsid w:val="00336B4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E5C"/>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D03"/>
    <w:pPr>
      <w:tabs>
        <w:tab w:val="center" w:pos="4680"/>
        <w:tab w:val="right" w:pos="9360"/>
      </w:tabs>
    </w:pPr>
  </w:style>
  <w:style w:type="character" w:customStyle="1" w:styleId="HeaderChar">
    <w:name w:val="Header Char"/>
    <w:basedOn w:val="DefaultParagraphFont"/>
    <w:link w:val="Header"/>
    <w:uiPriority w:val="99"/>
    <w:rsid w:val="00280D03"/>
    <w:rPr>
      <w:rFonts w:eastAsia="Times New Roman"/>
      <w:sz w:val="26"/>
      <w:szCs w:val="26"/>
    </w:rPr>
  </w:style>
  <w:style w:type="paragraph" w:styleId="Footer">
    <w:name w:val="footer"/>
    <w:basedOn w:val="Normal"/>
    <w:link w:val="FooterChar"/>
    <w:uiPriority w:val="99"/>
    <w:unhideWhenUsed/>
    <w:rsid w:val="00280D03"/>
    <w:pPr>
      <w:tabs>
        <w:tab w:val="center" w:pos="4680"/>
        <w:tab w:val="right" w:pos="9360"/>
      </w:tabs>
    </w:pPr>
  </w:style>
  <w:style w:type="character" w:customStyle="1" w:styleId="FooterChar">
    <w:name w:val="Footer Char"/>
    <w:basedOn w:val="DefaultParagraphFont"/>
    <w:link w:val="Footer"/>
    <w:uiPriority w:val="99"/>
    <w:rsid w:val="00280D03"/>
    <w:rPr>
      <w:rFonts w:eastAsia="Times New Roman"/>
      <w:sz w:val="26"/>
      <w:szCs w:val="26"/>
    </w:rPr>
  </w:style>
  <w:style w:type="paragraph" w:styleId="FootnoteText">
    <w:name w:val="footnote text"/>
    <w:basedOn w:val="Normal"/>
    <w:link w:val="FootnoteTextChar"/>
    <w:uiPriority w:val="99"/>
    <w:unhideWhenUsed/>
    <w:rsid w:val="00617B8F"/>
    <w:rPr>
      <w:sz w:val="20"/>
      <w:szCs w:val="20"/>
    </w:rPr>
  </w:style>
  <w:style w:type="character" w:customStyle="1" w:styleId="FootnoteTextChar">
    <w:name w:val="Footnote Text Char"/>
    <w:basedOn w:val="DefaultParagraphFont"/>
    <w:link w:val="FootnoteText"/>
    <w:uiPriority w:val="99"/>
    <w:rsid w:val="00617B8F"/>
    <w:rPr>
      <w:rFonts w:eastAsia="Times New Roman"/>
      <w:sz w:val="20"/>
      <w:szCs w:val="20"/>
    </w:rPr>
  </w:style>
  <w:style w:type="character" w:styleId="FootnoteReference">
    <w:name w:val="footnote reference"/>
    <w:basedOn w:val="DefaultParagraphFont"/>
    <w:uiPriority w:val="99"/>
    <w:semiHidden/>
    <w:unhideWhenUsed/>
    <w:rsid w:val="00617B8F"/>
    <w:rPr>
      <w:vertAlign w:val="superscript"/>
    </w:rPr>
  </w:style>
  <w:style w:type="paragraph" w:styleId="BalloonText">
    <w:name w:val="Balloon Text"/>
    <w:basedOn w:val="Normal"/>
    <w:link w:val="BalloonTextChar"/>
    <w:uiPriority w:val="99"/>
    <w:semiHidden/>
    <w:unhideWhenUsed/>
    <w:rsid w:val="00336B4B"/>
    <w:rPr>
      <w:rFonts w:ascii="Tahoma" w:hAnsi="Tahoma" w:cs="Tahoma"/>
      <w:sz w:val="16"/>
      <w:szCs w:val="16"/>
    </w:rPr>
  </w:style>
  <w:style w:type="character" w:customStyle="1" w:styleId="BalloonTextChar">
    <w:name w:val="Balloon Text Char"/>
    <w:basedOn w:val="DefaultParagraphFont"/>
    <w:link w:val="BalloonText"/>
    <w:uiPriority w:val="99"/>
    <w:semiHidden/>
    <w:rsid w:val="00336B4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16DA8-AD37-457F-A7B1-2FBBB9481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4625</Words>
  <Characters>26363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30927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2</cp:revision>
  <cp:lastPrinted>2013-07-11T18:39:00Z</cp:lastPrinted>
  <dcterms:created xsi:type="dcterms:W3CDTF">2013-07-11T18:44:00Z</dcterms:created>
  <dcterms:modified xsi:type="dcterms:W3CDTF">2013-07-11T18:44:00Z</dcterms:modified>
</cp:coreProperties>
</file>