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60799" w:rsidRPr="00D60799" w:rsidRDefault="00D60799" w:rsidP="00987C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60799">
              <w:rPr>
                <w:rFonts w:ascii="Arial" w:hAnsi="Arial"/>
                <w:b/>
                <w:spacing w:val="-1"/>
                <w:sz w:val="16"/>
                <w:szCs w:val="16"/>
              </w:rPr>
              <w:t>A-2009-</w:t>
            </w:r>
            <w:r w:rsidR="00987C35">
              <w:rPr>
                <w:rFonts w:ascii="Arial" w:hAnsi="Arial"/>
                <w:b/>
                <w:spacing w:val="-1"/>
                <w:sz w:val="16"/>
                <w:szCs w:val="16"/>
              </w:rPr>
              <w:t>2</w:t>
            </w:r>
            <w:r w:rsidR="00AF1359">
              <w:rPr>
                <w:rFonts w:ascii="Arial" w:hAnsi="Arial"/>
                <w:b/>
                <w:spacing w:val="-1"/>
                <w:sz w:val="16"/>
                <w:szCs w:val="16"/>
              </w:rPr>
              <w:t>109628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2994">
        <w:rPr>
          <w:sz w:val="24"/>
          <w:szCs w:val="24"/>
        </w:rPr>
        <w:t>July 15, 2013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B715AE" w:rsidRDefault="00B715AE" w:rsidP="00FA791C">
      <w:pPr>
        <w:rPr>
          <w:color w:val="000000" w:themeColor="text1"/>
          <w:sz w:val="24"/>
          <w:szCs w:val="24"/>
        </w:rPr>
      </w:pPr>
    </w:p>
    <w:p w:rsidR="00987C35" w:rsidRDefault="00AF1359" w:rsidP="00FA791C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Itron</w:t>
      </w:r>
      <w:proofErr w:type="spellEnd"/>
      <w:r>
        <w:rPr>
          <w:color w:val="000000" w:themeColor="text1"/>
          <w:sz w:val="24"/>
          <w:szCs w:val="24"/>
        </w:rPr>
        <w:t xml:space="preserve"> Inc.</w:t>
      </w:r>
    </w:p>
    <w:p w:rsidR="00AF1359" w:rsidRDefault="00AF1359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Attention:  Al Lutz</w:t>
      </w:r>
    </w:p>
    <w:p w:rsidR="00AF1359" w:rsidRDefault="00AF1359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1111 Broadway, Suite 1800</w:t>
      </w:r>
    </w:p>
    <w:p w:rsidR="00AF1359" w:rsidRDefault="00AF1359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Liberty Lake, WA  99019</w:t>
      </w:r>
    </w:p>
    <w:p w:rsidR="00987C35" w:rsidRDefault="00987C35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Re-Register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AF1359">
        <w:rPr>
          <w:sz w:val="24"/>
          <w:szCs w:val="24"/>
        </w:rPr>
        <w:t>Mr. Lutz</w:t>
      </w:r>
      <w:r w:rsidRPr="00FA791C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D60799">
      <w:pPr>
        <w:jc w:val="both"/>
        <w:rPr>
          <w:sz w:val="24"/>
        </w:rPr>
      </w:pPr>
      <w:r w:rsidRPr="00FA791C">
        <w:rPr>
          <w:sz w:val="24"/>
          <w:szCs w:val="24"/>
        </w:rPr>
        <w:tab/>
        <w:t xml:space="preserve">On </w:t>
      </w:r>
      <w:r w:rsidR="00AF1359">
        <w:rPr>
          <w:sz w:val="24"/>
          <w:szCs w:val="24"/>
        </w:rPr>
        <w:t>July 8</w:t>
      </w:r>
      <w:r w:rsidR="00CB1C49">
        <w:rPr>
          <w:sz w:val="24"/>
          <w:szCs w:val="24"/>
        </w:rPr>
        <w:t>, 2013</w:t>
      </w:r>
      <w:r w:rsidR="00EF3945">
        <w:rPr>
          <w:sz w:val="24"/>
          <w:szCs w:val="24"/>
        </w:rPr>
        <w:t xml:space="preserve">, </w:t>
      </w:r>
      <w:proofErr w:type="spellStart"/>
      <w:r w:rsidR="00AF1359" w:rsidRPr="00AF1359">
        <w:rPr>
          <w:sz w:val="24"/>
          <w:szCs w:val="24"/>
        </w:rPr>
        <w:t>Itron</w:t>
      </w:r>
      <w:proofErr w:type="spellEnd"/>
      <w:r w:rsidR="00AF1359" w:rsidRPr="00AF1359">
        <w:rPr>
          <w:sz w:val="24"/>
          <w:szCs w:val="24"/>
        </w:rPr>
        <w:t xml:space="preserve"> Inc.</w:t>
      </w:r>
      <w:r w:rsidR="00AF1359">
        <w:rPr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re-</w:t>
      </w:r>
      <w:r w:rsidR="00B93978" w:rsidRPr="00FA791C">
        <w:rPr>
          <w:sz w:val="24"/>
          <w:szCs w:val="24"/>
        </w:rPr>
        <w:t xml:space="preserve">register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</w:t>
      </w:r>
      <w:r w:rsidR="00987C35">
        <w:rPr>
          <w:sz w:val="24"/>
        </w:rPr>
        <w:t>most recent effective</w:t>
      </w:r>
      <w:r w:rsidR="003F0FFD">
        <w:rPr>
          <w:sz w:val="24"/>
        </w:rPr>
        <w:t xml:space="preserve"> registry date f</w:t>
      </w:r>
      <w:r w:rsidR="00AF1359">
        <w:rPr>
          <w:sz w:val="24"/>
        </w:rPr>
        <w:t>or</w:t>
      </w:r>
      <w:r w:rsidR="003F0FFD">
        <w:rPr>
          <w:sz w:val="24"/>
        </w:rPr>
        <w:t xml:space="preserve"> </w:t>
      </w:r>
      <w:proofErr w:type="spellStart"/>
      <w:r w:rsidR="00AF1359" w:rsidRPr="00AF1359">
        <w:rPr>
          <w:sz w:val="24"/>
        </w:rPr>
        <w:t>Itron</w:t>
      </w:r>
      <w:proofErr w:type="spellEnd"/>
      <w:r w:rsidR="00AF1359" w:rsidRPr="00AF1359">
        <w:rPr>
          <w:sz w:val="24"/>
        </w:rPr>
        <w:t xml:space="preserve"> Inc.</w:t>
      </w:r>
      <w:r w:rsidR="00AF1359">
        <w:rPr>
          <w:sz w:val="24"/>
        </w:rPr>
        <w:t xml:space="preserve"> i</w:t>
      </w:r>
      <w:r w:rsidR="00987C35">
        <w:rPr>
          <w:sz w:val="24"/>
        </w:rPr>
        <w:t>s</w:t>
      </w:r>
      <w:r w:rsidR="003F0FFD">
        <w:rPr>
          <w:sz w:val="24"/>
        </w:rPr>
        <w:t xml:space="preserve"> </w:t>
      </w:r>
      <w:r w:rsidR="00987C35">
        <w:rPr>
          <w:sz w:val="24"/>
        </w:rPr>
        <w:t>June 30, 2011</w:t>
      </w:r>
      <w:r w:rsidR="003F0FFD" w:rsidRPr="00B72653">
        <w:rPr>
          <w:sz w:val="24"/>
        </w:rPr>
        <w:t xml:space="preserve">.  </w:t>
      </w:r>
    </w:p>
    <w:p w:rsidR="003F0FFD" w:rsidRDefault="003F0FFD" w:rsidP="00D60799">
      <w:pPr>
        <w:jc w:val="both"/>
        <w:rPr>
          <w:sz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E2FF5" w:rsidRDefault="00EC7820" w:rsidP="00D607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244D10">
        <w:rPr>
          <w:sz w:val="24"/>
          <w:szCs w:val="24"/>
        </w:rPr>
        <w:t xml:space="preserve">June </w:t>
      </w:r>
      <w:r w:rsidR="00987C35">
        <w:rPr>
          <w:sz w:val="24"/>
          <w:szCs w:val="24"/>
        </w:rPr>
        <w:t>30</w:t>
      </w:r>
      <w:r w:rsidR="00CB1C49">
        <w:rPr>
          <w:sz w:val="24"/>
          <w:szCs w:val="24"/>
        </w:rPr>
        <w:t>, 2013</w:t>
      </w:r>
      <w:r w:rsidR="00B72653" w:rsidRPr="00B72653">
        <w:rPr>
          <w:sz w:val="24"/>
          <w:szCs w:val="24"/>
        </w:rPr>
        <w:t>,</w:t>
      </w:r>
      <w:r w:rsidR="00554EDA">
        <w:rPr>
          <w:sz w:val="24"/>
          <w:szCs w:val="24"/>
        </w:rPr>
        <w:t xml:space="preserve"> </w:t>
      </w:r>
      <w:proofErr w:type="spellStart"/>
      <w:r w:rsidR="00AF1359" w:rsidRPr="00AF1359">
        <w:rPr>
          <w:sz w:val="24"/>
          <w:szCs w:val="24"/>
        </w:rPr>
        <w:t>Itron</w:t>
      </w:r>
      <w:proofErr w:type="spellEnd"/>
      <w:r w:rsidR="00AF1359" w:rsidRPr="00AF1359">
        <w:rPr>
          <w:sz w:val="24"/>
          <w:szCs w:val="24"/>
        </w:rPr>
        <w:t xml:space="preserve"> Inc.</w:t>
      </w:r>
      <w:r w:rsidR="00AF1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244D10">
        <w:rPr>
          <w:b/>
          <w:sz w:val="24"/>
          <w:szCs w:val="24"/>
          <w:u w:val="single"/>
        </w:rPr>
        <w:t xml:space="preserve">June </w:t>
      </w:r>
      <w:r w:rsidR="00987C35">
        <w:rPr>
          <w:b/>
          <w:sz w:val="24"/>
          <w:szCs w:val="24"/>
          <w:u w:val="single"/>
        </w:rPr>
        <w:t>30</w:t>
      </w:r>
      <w:r w:rsidR="00CB1C49">
        <w:rPr>
          <w:b/>
          <w:sz w:val="24"/>
          <w:szCs w:val="24"/>
          <w:u w:val="single"/>
        </w:rPr>
        <w:t>, 2015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</w:t>
      </w:r>
      <w:r w:rsidR="00D60799">
        <w:rPr>
          <w:sz w:val="24"/>
          <w:szCs w:val="24"/>
        </w:rPr>
        <w:t>they</w:t>
      </w:r>
      <w:r w:rsidR="00663587">
        <w:rPr>
          <w:sz w:val="24"/>
          <w:szCs w:val="24"/>
        </w:rPr>
        <w:t xml:space="preserve">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A70586" w:rsidP="00D60799">
      <w:pPr>
        <w:jc w:val="both"/>
        <w:rPr>
          <w:sz w:val="24"/>
        </w:rPr>
      </w:pPr>
      <w:r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4E7225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9A2994">
      <w:pPr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A4DEFD1" wp14:editId="5AF60848">
            <wp:simplePos x="0" y="0"/>
            <wp:positionH relativeFrom="column">
              <wp:posOffset>2736850</wp:posOffset>
            </wp:positionH>
            <wp:positionV relativeFrom="paragraph">
              <wp:posOffset>107315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554EDA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987C35" w:rsidRDefault="00987C35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B6007"/>
    <w:rsid w:val="00232B25"/>
    <w:rsid w:val="00244D10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D2E56"/>
    <w:rsid w:val="004E7225"/>
    <w:rsid w:val="005435E7"/>
    <w:rsid w:val="00554EDA"/>
    <w:rsid w:val="005A0416"/>
    <w:rsid w:val="005B48B2"/>
    <w:rsid w:val="005F5226"/>
    <w:rsid w:val="00607940"/>
    <w:rsid w:val="00654A2E"/>
    <w:rsid w:val="00663587"/>
    <w:rsid w:val="006B08EF"/>
    <w:rsid w:val="00713F5B"/>
    <w:rsid w:val="007C4356"/>
    <w:rsid w:val="007D0999"/>
    <w:rsid w:val="007E0803"/>
    <w:rsid w:val="007E215A"/>
    <w:rsid w:val="007F1BA5"/>
    <w:rsid w:val="00806F29"/>
    <w:rsid w:val="00816F45"/>
    <w:rsid w:val="008205EF"/>
    <w:rsid w:val="00860A32"/>
    <w:rsid w:val="008860A3"/>
    <w:rsid w:val="00904DDC"/>
    <w:rsid w:val="00934ECD"/>
    <w:rsid w:val="00941CA6"/>
    <w:rsid w:val="009764C4"/>
    <w:rsid w:val="00981B9C"/>
    <w:rsid w:val="00987C35"/>
    <w:rsid w:val="009A2994"/>
    <w:rsid w:val="009B339F"/>
    <w:rsid w:val="009E54C3"/>
    <w:rsid w:val="00A17993"/>
    <w:rsid w:val="00A70586"/>
    <w:rsid w:val="00A82761"/>
    <w:rsid w:val="00AB3981"/>
    <w:rsid w:val="00AE2FF5"/>
    <w:rsid w:val="00AE38C9"/>
    <w:rsid w:val="00AF1359"/>
    <w:rsid w:val="00B50D70"/>
    <w:rsid w:val="00B65692"/>
    <w:rsid w:val="00B715AE"/>
    <w:rsid w:val="00B72653"/>
    <w:rsid w:val="00B74C59"/>
    <w:rsid w:val="00B856B7"/>
    <w:rsid w:val="00B91340"/>
    <w:rsid w:val="00B93978"/>
    <w:rsid w:val="00BA15E7"/>
    <w:rsid w:val="00BF1F53"/>
    <w:rsid w:val="00BF26F4"/>
    <w:rsid w:val="00C5489F"/>
    <w:rsid w:val="00C647B1"/>
    <w:rsid w:val="00CA1391"/>
    <w:rsid w:val="00CB1C49"/>
    <w:rsid w:val="00CB5442"/>
    <w:rsid w:val="00CF7DAC"/>
    <w:rsid w:val="00D07938"/>
    <w:rsid w:val="00D60799"/>
    <w:rsid w:val="00D924EB"/>
    <w:rsid w:val="00DA22D8"/>
    <w:rsid w:val="00DA4829"/>
    <w:rsid w:val="00DB6569"/>
    <w:rsid w:val="00E111BA"/>
    <w:rsid w:val="00E75E39"/>
    <w:rsid w:val="00EB040A"/>
    <w:rsid w:val="00EC7820"/>
    <w:rsid w:val="00ED177E"/>
    <w:rsid w:val="00EE4FA8"/>
    <w:rsid w:val="00EF3945"/>
    <w:rsid w:val="00F117A3"/>
    <w:rsid w:val="00F15671"/>
    <w:rsid w:val="00F20A68"/>
    <w:rsid w:val="00F30DE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3</cp:revision>
  <cp:lastPrinted>2013-07-15T15:59:00Z</cp:lastPrinted>
  <dcterms:created xsi:type="dcterms:W3CDTF">2013-07-10T18:47:00Z</dcterms:created>
  <dcterms:modified xsi:type="dcterms:W3CDTF">2013-07-15T15:59:00Z</dcterms:modified>
</cp:coreProperties>
</file>