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4230"/>
        <w:gridCol w:w="3600"/>
      </w:tblGrid>
      <w:tr w:rsidR="006D57F5">
        <w:tc>
          <w:tcPr>
            <w:tcW w:w="2448" w:type="dxa"/>
          </w:tcPr>
          <w:p w:rsidR="006D57F5" w:rsidRDefault="006D57F5">
            <w:pPr>
              <w:rPr>
                <w:sz w:val="26"/>
              </w:rPr>
            </w:pPr>
          </w:p>
        </w:tc>
        <w:tc>
          <w:tcPr>
            <w:tcW w:w="4230" w:type="dxa"/>
          </w:tcPr>
          <w:p w:rsidR="006D57F5" w:rsidRDefault="006D57F5">
            <w:pPr>
              <w:jc w:val="center"/>
              <w:rPr>
                <w:b/>
                <w:sz w:val="26"/>
              </w:rPr>
            </w:pPr>
            <w:smartTag w:uri="urn:schemas-microsoft-com:office:smarttags" w:element="State">
              <w:smartTag w:uri="urn:schemas-microsoft-com:office:smarttags" w:element="place">
                <w:r>
                  <w:rPr>
                    <w:b/>
                    <w:sz w:val="26"/>
                  </w:rPr>
                  <w:t>PENNSYLVANIA</w:t>
                </w:r>
              </w:smartTag>
            </w:smartTag>
          </w:p>
          <w:p w:rsidR="006D57F5" w:rsidRDefault="006D57F5">
            <w:pPr>
              <w:jc w:val="center"/>
              <w:rPr>
                <w:b/>
                <w:sz w:val="26"/>
              </w:rPr>
            </w:pPr>
            <w:r>
              <w:rPr>
                <w:b/>
                <w:sz w:val="26"/>
              </w:rPr>
              <w:t>PUBLIC UTILITY COMMISSION</w:t>
            </w:r>
          </w:p>
          <w:p w:rsidR="006D57F5" w:rsidRDefault="006D57F5">
            <w:pPr>
              <w:jc w:val="center"/>
              <w:rPr>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smartTag>
            <w:r>
              <w:rPr>
                <w:b/>
                <w:sz w:val="26"/>
              </w:rPr>
              <w:t xml:space="preserve">  17105-3265</w:t>
            </w:r>
          </w:p>
        </w:tc>
        <w:tc>
          <w:tcPr>
            <w:tcW w:w="3600" w:type="dxa"/>
          </w:tcPr>
          <w:p w:rsidR="006D57F5" w:rsidRDefault="006D57F5">
            <w:pPr>
              <w:rPr>
                <w:sz w:val="26"/>
              </w:rPr>
            </w:pPr>
          </w:p>
        </w:tc>
      </w:tr>
    </w:tbl>
    <w:p w:rsidR="006D57F5" w:rsidRDefault="006D57F5">
      <w:pPr>
        <w:rPr>
          <w:sz w:val="26"/>
        </w:rPr>
      </w:pPr>
    </w:p>
    <w:tbl>
      <w:tblPr>
        <w:tblW w:w="0" w:type="auto"/>
        <w:tblLayout w:type="fixed"/>
        <w:tblLook w:val="0000" w:firstRow="0" w:lastRow="0" w:firstColumn="0" w:lastColumn="0" w:noHBand="0" w:noVBand="0"/>
      </w:tblPr>
      <w:tblGrid>
        <w:gridCol w:w="4428"/>
        <w:gridCol w:w="5130"/>
      </w:tblGrid>
      <w:tr w:rsidR="006D57F5">
        <w:tc>
          <w:tcPr>
            <w:tcW w:w="4428" w:type="dxa"/>
          </w:tcPr>
          <w:p w:rsidR="006D57F5" w:rsidRDefault="006D57F5">
            <w:pPr>
              <w:rPr>
                <w:sz w:val="26"/>
              </w:rPr>
            </w:pPr>
          </w:p>
        </w:tc>
        <w:tc>
          <w:tcPr>
            <w:tcW w:w="5130" w:type="dxa"/>
          </w:tcPr>
          <w:p w:rsidR="006D57F5" w:rsidRDefault="004A7E9E" w:rsidP="00BB1143">
            <w:pPr>
              <w:ind w:firstLine="612"/>
              <w:rPr>
                <w:color w:val="800080"/>
                <w:sz w:val="26"/>
              </w:rPr>
            </w:pPr>
            <w:r>
              <w:rPr>
                <w:sz w:val="26"/>
              </w:rPr>
              <w:t xml:space="preserve">           </w:t>
            </w:r>
            <w:r w:rsidR="006D57F5" w:rsidRPr="006162AE">
              <w:rPr>
                <w:sz w:val="26"/>
              </w:rPr>
              <w:t>Public Meeting held</w:t>
            </w:r>
            <w:r w:rsidR="006D57F5" w:rsidRPr="006162AE">
              <w:rPr>
                <w:color w:val="800080"/>
                <w:sz w:val="26"/>
              </w:rPr>
              <w:t xml:space="preserve"> </w:t>
            </w:r>
            <w:r>
              <w:rPr>
                <w:sz w:val="26"/>
              </w:rPr>
              <w:t>July 1</w:t>
            </w:r>
            <w:r w:rsidR="00BB1143">
              <w:rPr>
                <w:sz w:val="26"/>
              </w:rPr>
              <w:t>6</w:t>
            </w:r>
            <w:r w:rsidR="006D57F5" w:rsidRPr="006162AE">
              <w:rPr>
                <w:sz w:val="26"/>
              </w:rPr>
              <w:t>, 20</w:t>
            </w:r>
            <w:r w:rsidR="00A07576">
              <w:rPr>
                <w:sz w:val="26"/>
              </w:rPr>
              <w:t>1</w:t>
            </w:r>
            <w:r>
              <w:rPr>
                <w:sz w:val="26"/>
              </w:rPr>
              <w:t>3</w:t>
            </w:r>
          </w:p>
        </w:tc>
      </w:tr>
      <w:tr w:rsidR="006D57F5">
        <w:tc>
          <w:tcPr>
            <w:tcW w:w="4428" w:type="dxa"/>
          </w:tcPr>
          <w:p w:rsidR="006D57F5" w:rsidRDefault="006D57F5">
            <w:pPr>
              <w:rPr>
                <w:sz w:val="26"/>
              </w:rPr>
            </w:pPr>
            <w:r>
              <w:rPr>
                <w:sz w:val="26"/>
              </w:rPr>
              <w:t>Commissioners Present:</w:t>
            </w:r>
          </w:p>
        </w:tc>
        <w:tc>
          <w:tcPr>
            <w:tcW w:w="5130" w:type="dxa"/>
          </w:tcPr>
          <w:p w:rsidR="006D57F5" w:rsidRDefault="006D57F5">
            <w:pPr>
              <w:rPr>
                <w:sz w:val="26"/>
              </w:rPr>
            </w:pPr>
          </w:p>
        </w:tc>
      </w:tr>
    </w:tbl>
    <w:p w:rsidR="006D57F5" w:rsidRDefault="006D57F5">
      <w:pPr>
        <w:rPr>
          <w:sz w:val="26"/>
        </w:rPr>
      </w:pPr>
    </w:p>
    <w:tbl>
      <w:tblPr>
        <w:tblW w:w="10296" w:type="dxa"/>
        <w:tblLayout w:type="fixed"/>
        <w:tblLook w:val="0000" w:firstRow="0" w:lastRow="0" w:firstColumn="0" w:lastColumn="0" w:noHBand="0" w:noVBand="0"/>
      </w:tblPr>
      <w:tblGrid>
        <w:gridCol w:w="738"/>
        <w:gridCol w:w="4680"/>
        <w:gridCol w:w="4140"/>
        <w:gridCol w:w="738"/>
      </w:tblGrid>
      <w:tr w:rsidR="00CD4DE0" w:rsidTr="002C4AB4">
        <w:tc>
          <w:tcPr>
            <w:tcW w:w="9558" w:type="dxa"/>
            <w:gridSpan w:val="3"/>
          </w:tcPr>
          <w:tbl>
            <w:tblPr>
              <w:tblW w:w="9558" w:type="dxa"/>
              <w:tblLayout w:type="fixed"/>
              <w:tblLook w:val="0000" w:firstRow="0" w:lastRow="0" w:firstColumn="0" w:lastColumn="0" w:noHBand="0" w:noVBand="0"/>
            </w:tblPr>
            <w:tblGrid>
              <w:gridCol w:w="9558"/>
            </w:tblGrid>
            <w:tr w:rsidR="00CD4DE0" w:rsidRPr="001469BF" w:rsidTr="00CD4DE0">
              <w:tc>
                <w:tcPr>
                  <w:tcW w:w="9558" w:type="dxa"/>
                </w:tcPr>
                <w:p w:rsidR="00CD4DE0" w:rsidRPr="001469BF" w:rsidRDefault="00CD4DE0" w:rsidP="00CD4DE0">
                  <w:pPr>
                    <w:rPr>
                      <w:sz w:val="26"/>
                      <w:szCs w:val="26"/>
                    </w:rPr>
                  </w:pPr>
                  <w:r w:rsidRPr="001469BF">
                    <w:rPr>
                      <w:sz w:val="26"/>
                      <w:szCs w:val="26"/>
                    </w:rPr>
                    <w:tab/>
                    <w:t>Robert F. Powelson, Chairman</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John F. Coleman, Jr., Vice Chairman</w:t>
                  </w:r>
                </w:p>
                <w:p w:rsidR="00CD4DE0" w:rsidRPr="001469BF" w:rsidRDefault="00CD4DE0" w:rsidP="00CD4DE0">
                  <w:pPr>
                    <w:rPr>
                      <w:sz w:val="26"/>
                      <w:szCs w:val="26"/>
                    </w:rPr>
                  </w:pPr>
                  <w:r w:rsidRPr="001469BF">
                    <w:rPr>
                      <w:sz w:val="26"/>
                      <w:szCs w:val="26"/>
                    </w:rPr>
                    <w:tab/>
                    <w:t>Wayne E. Gardner</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James H. Cawley</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Pamela A. Witmer</w:t>
                  </w:r>
                </w:p>
              </w:tc>
            </w:tr>
          </w:tbl>
          <w:p w:rsidR="00CD4DE0" w:rsidRDefault="00CD4DE0"/>
        </w:tc>
        <w:tc>
          <w:tcPr>
            <w:tcW w:w="738" w:type="dxa"/>
          </w:tcPr>
          <w:p w:rsidR="00CD4DE0" w:rsidRDefault="00CD4DE0">
            <w:pPr>
              <w:rPr>
                <w:sz w:val="26"/>
              </w:rPr>
            </w:pPr>
          </w:p>
        </w:tc>
      </w:tr>
      <w:tr w:rsidR="00CD4DE0" w:rsidTr="002C4AB4">
        <w:trPr>
          <w:gridAfter w:val="3"/>
          <w:wAfter w:w="9558" w:type="dxa"/>
        </w:trPr>
        <w:tc>
          <w:tcPr>
            <w:tcW w:w="738" w:type="dxa"/>
          </w:tcPr>
          <w:p w:rsidR="00CD4DE0" w:rsidRDefault="00CD4DE0">
            <w:pPr>
              <w:rPr>
                <w:sz w:val="26"/>
              </w:rPr>
            </w:pPr>
          </w:p>
        </w:tc>
      </w:tr>
      <w:tr w:rsidR="006D57F5" w:rsidTr="002C4AB4">
        <w:trPr>
          <w:gridAfter w:val="1"/>
          <w:wAfter w:w="738" w:type="dxa"/>
        </w:trPr>
        <w:tc>
          <w:tcPr>
            <w:tcW w:w="5418" w:type="dxa"/>
            <w:gridSpan w:val="2"/>
          </w:tcPr>
          <w:p w:rsidR="002C4AB4" w:rsidRPr="005A514C" w:rsidRDefault="005A514C" w:rsidP="009D286F">
            <w:pPr>
              <w:rPr>
                <w:color w:val="000000"/>
                <w:sz w:val="26"/>
              </w:rPr>
            </w:pPr>
            <w:r>
              <w:t>P</w:t>
            </w:r>
            <w:r w:rsidR="00F037BA">
              <w:t>ECO Energy Company</w:t>
            </w:r>
            <w:r w:rsidR="00CD4DE0">
              <w:t xml:space="preserve"> Supplement No. </w:t>
            </w:r>
            <w:r w:rsidR="009D286F">
              <w:t>7</w:t>
            </w:r>
            <w:r w:rsidR="00CD4DE0">
              <w:t>5 to Tariff Electric – Pa PUC No. 4</w:t>
            </w:r>
          </w:p>
        </w:tc>
        <w:tc>
          <w:tcPr>
            <w:tcW w:w="4140" w:type="dxa"/>
          </w:tcPr>
          <w:p w:rsidR="006D57F5" w:rsidRDefault="004A7E9E" w:rsidP="005A514C">
            <w:pPr>
              <w:jc w:val="center"/>
              <w:rPr>
                <w:color w:val="800080"/>
                <w:sz w:val="26"/>
              </w:rPr>
            </w:pPr>
            <w:r>
              <w:rPr>
                <w:sz w:val="26"/>
              </w:rPr>
              <w:t>R-2013</w:t>
            </w:r>
            <w:r w:rsidR="00F037BA">
              <w:rPr>
                <w:sz w:val="26"/>
              </w:rPr>
              <w:t>-</w:t>
            </w:r>
            <w:r w:rsidR="00CD4DE0">
              <w:rPr>
                <w:sz w:val="26"/>
              </w:rPr>
              <w:t>23</w:t>
            </w:r>
            <w:r>
              <w:rPr>
                <w:sz w:val="26"/>
              </w:rPr>
              <w:t>61111</w:t>
            </w:r>
          </w:p>
        </w:tc>
      </w:tr>
    </w:tbl>
    <w:p w:rsidR="006D57F5" w:rsidRDefault="006D57F5">
      <w:pPr>
        <w:ind w:firstLine="90"/>
        <w:jc w:val="center"/>
        <w:rPr>
          <w:sz w:val="26"/>
        </w:rPr>
      </w:pPr>
    </w:p>
    <w:p w:rsidR="006D57F5" w:rsidRDefault="006D57F5" w:rsidP="00003002">
      <w:pPr>
        <w:pStyle w:val="c2"/>
        <w:tabs>
          <w:tab w:val="left" w:pos="204"/>
        </w:tabs>
        <w:spacing w:line="360" w:lineRule="auto"/>
        <w:rPr>
          <w:b/>
          <w:sz w:val="26"/>
        </w:rPr>
      </w:pPr>
      <w:r>
        <w:rPr>
          <w:b/>
          <w:sz w:val="26"/>
        </w:rPr>
        <w:t>ORDER</w:t>
      </w:r>
    </w:p>
    <w:p w:rsidR="00003002" w:rsidRDefault="00003002" w:rsidP="00663DB3">
      <w:pPr>
        <w:pStyle w:val="c2"/>
        <w:tabs>
          <w:tab w:val="left" w:pos="204"/>
        </w:tabs>
        <w:rPr>
          <w:b/>
          <w:sz w:val="26"/>
        </w:rPr>
      </w:pPr>
    </w:p>
    <w:p w:rsidR="006D57F5" w:rsidRDefault="006D57F5">
      <w:pPr>
        <w:pStyle w:val="p4"/>
        <w:spacing w:line="360" w:lineRule="auto"/>
        <w:rPr>
          <w:b/>
          <w:sz w:val="26"/>
        </w:rPr>
      </w:pPr>
      <w:r>
        <w:rPr>
          <w:b/>
          <w:sz w:val="26"/>
        </w:rPr>
        <w:t>BY THE COMMISSION:</w:t>
      </w:r>
    </w:p>
    <w:p w:rsidR="006D57F5" w:rsidRDefault="006D57F5">
      <w:pPr>
        <w:tabs>
          <w:tab w:val="left" w:pos="204"/>
        </w:tabs>
        <w:spacing w:line="360" w:lineRule="auto"/>
        <w:rPr>
          <w:sz w:val="26"/>
        </w:rPr>
      </w:pPr>
    </w:p>
    <w:p w:rsidR="001345D9" w:rsidRDefault="00F037BA" w:rsidP="00255485">
      <w:pPr>
        <w:pStyle w:val="p6"/>
        <w:tabs>
          <w:tab w:val="clear" w:pos="1479"/>
          <w:tab w:val="left" w:pos="1440"/>
        </w:tabs>
        <w:spacing w:line="360" w:lineRule="auto"/>
        <w:ind w:firstLine="1440"/>
        <w:rPr>
          <w:sz w:val="26"/>
        </w:rPr>
      </w:pPr>
      <w:r>
        <w:rPr>
          <w:sz w:val="26"/>
        </w:rPr>
        <w:t>On</w:t>
      </w:r>
      <w:r w:rsidR="004A7E9E">
        <w:rPr>
          <w:sz w:val="26"/>
        </w:rPr>
        <w:t xml:space="preserve"> April 30, 2013</w:t>
      </w:r>
      <w:r w:rsidR="00D91F20">
        <w:rPr>
          <w:sz w:val="26"/>
        </w:rPr>
        <w:t>,</w:t>
      </w:r>
      <w:r w:rsidR="000F77B8">
        <w:rPr>
          <w:sz w:val="26"/>
        </w:rPr>
        <w:t xml:space="preserve"> PECO Energy Company (</w:t>
      </w:r>
      <w:r w:rsidR="003A4FF4">
        <w:rPr>
          <w:sz w:val="26"/>
        </w:rPr>
        <w:t>PECO</w:t>
      </w:r>
      <w:r w:rsidR="000F77B8">
        <w:rPr>
          <w:sz w:val="26"/>
        </w:rPr>
        <w:t xml:space="preserve"> or </w:t>
      </w:r>
      <w:r w:rsidR="006D57F5">
        <w:rPr>
          <w:sz w:val="26"/>
        </w:rPr>
        <w:t>the C</w:t>
      </w:r>
      <w:r w:rsidR="004A7E9E">
        <w:rPr>
          <w:sz w:val="26"/>
        </w:rPr>
        <w:t>ompany) filed</w:t>
      </w:r>
      <w:r w:rsidR="00874426">
        <w:rPr>
          <w:sz w:val="26"/>
        </w:rPr>
        <w:t xml:space="preserve"> </w:t>
      </w:r>
      <w:r w:rsidR="004A7E9E">
        <w:rPr>
          <w:sz w:val="26"/>
        </w:rPr>
        <w:t>Supplement No. 75</w:t>
      </w:r>
      <w:r w:rsidR="006D57F5">
        <w:rPr>
          <w:sz w:val="26"/>
        </w:rPr>
        <w:t xml:space="preserve"> to </w:t>
      </w:r>
      <w:r w:rsidR="001D1901">
        <w:rPr>
          <w:sz w:val="26"/>
        </w:rPr>
        <w:t xml:space="preserve">Electric </w:t>
      </w:r>
      <w:r w:rsidR="006D57F5">
        <w:rPr>
          <w:sz w:val="26"/>
        </w:rPr>
        <w:t>Ta</w:t>
      </w:r>
      <w:r w:rsidR="000F77B8">
        <w:rPr>
          <w:sz w:val="26"/>
        </w:rPr>
        <w:t>riff – Pa. P.U.C. No. 4</w:t>
      </w:r>
      <w:r w:rsidR="004A7E9E">
        <w:rPr>
          <w:sz w:val="26"/>
        </w:rPr>
        <w:t xml:space="preserve"> at Docket No. R-2013-2361111</w:t>
      </w:r>
      <w:r w:rsidR="006D57F5">
        <w:rPr>
          <w:sz w:val="26"/>
        </w:rPr>
        <w:t>,</w:t>
      </w:r>
      <w:r w:rsidR="009D1796">
        <w:rPr>
          <w:sz w:val="26"/>
        </w:rPr>
        <w:t xml:space="preserve"> </w:t>
      </w:r>
      <w:r w:rsidR="00D91F20">
        <w:rPr>
          <w:sz w:val="26"/>
        </w:rPr>
        <w:t xml:space="preserve">with the Pennsylvania Public Utility Commission (Commission), </w:t>
      </w:r>
      <w:r w:rsidR="009D1796">
        <w:rPr>
          <w:sz w:val="26"/>
        </w:rPr>
        <w:t>to become effective June 30</w:t>
      </w:r>
      <w:r w:rsidR="001524D4">
        <w:rPr>
          <w:sz w:val="26"/>
        </w:rPr>
        <w:t>, 2013</w:t>
      </w:r>
      <w:r w:rsidR="00255485">
        <w:rPr>
          <w:sz w:val="26"/>
        </w:rPr>
        <w:t>.</w:t>
      </w:r>
      <w:r w:rsidR="009D1796">
        <w:rPr>
          <w:sz w:val="26"/>
        </w:rPr>
        <w:t xml:space="preserve">  PECO subsequently filed supplement No.</w:t>
      </w:r>
      <w:r w:rsidR="00747DA8">
        <w:rPr>
          <w:sz w:val="26"/>
        </w:rPr>
        <w:t>82</w:t>
      </w:r>
      <w:r w:rsidR="00BD7343">
        <w:rPr>
          <w:sz w:val="26"/>
        </w:rPr>
        <w:t xml:space="preserve"> extending the effective date</w:t>
      </w:r>
      <w:r w:rsidR="009D1796">
        <w:rPr>
          <w:sz w:val="26"/>
        </w:rPr>
        <w:t xml:space="preserve"> to July 17, 2013. </w:t>
      </w:r>
      <w:r w:rsidR="00255485">
        <w:rPr>
          <w:sz w:val="26"/>
        </w:rPr>
        <w:t xml:space="preserve"> The filing</w:t>
      </w:r>
      <w:r w:rsidR="001345D9">
        <w:rPr>
          <w:sz w:val="26"/>
          <w:szCs w:val="26"/>
        </w:rPr>
        <w:t xml:space="preserve"> </w:t>
      </w:r>
      <w:r w:rsidR="00582377">
        <w:rPr>
          <w:sz w:val="26"/>
        </w:rPr>
        <w:t>proposes</w:t>
      </w:r>
      <w:r w:rsidR="00582377" w:rsidRPr="00582377">
        <w:rPr>
          <w:sz w:val="26"/>
        </w:rPr>
        <w:t xml:space="preserve"> to</w:t>
      </w:r>
      <w:r w:rsidR="004A7E9E">
        <w:rPr>
          <w:sz w:val="26"/>
        </w:rPr>
        <w:t xml:space="preserve"> revise Electric Tariff Rule 12.1 Service Continuity, Limitation on Liability for Service Interruptions and Variations</w:t>
      </w:r>
      <w:r w:rsidR="008D1225">
        <w:rPr>
          <w:sz w:val="26"/>
        </w:rPr>
        <w:t>.</w:t>
      </w:r>
      <w:r w:rsidR="000F77B8">
        <w:rPr>
          <w:sz w:val="26"/>
        </w:rPr>
        <w:t xml:space="preserve">  </w:t>
      </w:r>
      <w:r w:rsidR="00B3234D">
        <w:rPr>
          <w:sz w:val="26"/>
        </w:rPr>
        <w:t>The filing was also served on the</w:t>
      </w:r>
      <w:r w:rsidR="000D0AC7">
        <w:rPr>
          <w:sz w:val="26"/>
        </w:rPr>
        <w:t xml:space="preserve"> Office of Consumer Advocate,</w:t>
      </w:r>
      <w:r w:rsidR="00B3234D">
        <w:rPr>
          <w:sz w:val="26"/>
        </w:rPr>
        <w:t xml:space="preserve"> the Office of Small Business Advocate</w:t>
      </w:r>
      <w:r w:rsidR="000D0AC7">
        <w:rPr>
          <w:sz w:val="26"/>
        </w:rPr>
        <w:t xml:space="preserve">, and the Public Utility Commission’s </w:t>
      </w:r>
      <w:r w:rsidR="000D0AC7" w:rsidRPr="000D0AC7">
        <w:rPr>
          <w:sz w:val="26"/>
          <w:szCs w:val="26"/>
        </w:rPr>
        <w:t>Bureau</w:t>
      </w:r>
      <w:r w:rsidR="000D0AC7">
        <w:rPr>
          <w:sz w:val="26"/>
          <w:szCs w:val="26"/>
        </w:rPr>
        <w:t xml:space="preserve"> of Investigation and Enforcement.</w:t>
      </w:r>
    </w:p>
    <w:p w:rsidR="001345D9" w:rsidRDefault="001345D9" w:rsidP="000F77B8">
      <w:pPr>
        <w:pStyle w:val="p6"/>
        <w:tabs>
          <w:tab w:val="clear" w:pos="1479"/>
          <w:tab w:val="left" w:pos="1440"/>
        </w:tabs>
        <w:spacing w:line="360" w:lineRule="auto"/>
        <w:ind w:firstLine="0"/>
        <w:rPr>
          <w:sz w:val="26"/>
        </w:rPr>
      </w:pPr>
    </w:p>
    <w:p w:rsidR="003F76A4" w:rsidRDefault="00541F9A" w:rsidP="00541F9A">
      <w:pPr>
        <w:pStyle w:val="p6"/>
        <w:tabs>
          <w:tab w:val="clear" w:pos="1479"/>
          <w:tab w:val="left" w:pos="720"/>
          <w:tab w:val="left" w:pos="1440"/>
        </w:tabs>
        <w:spacing w:line="360" w:lineRule="auto"/>
        <w:ind w:firstLine="0"/>
        <w:rPr>
          <w:b/>
          <w:sz w:val="26"/>
        </w:rPr>
      </w:pPr>
      <w:r>
        <w:rPr>
          <w:b/>
          <w:sz w:val="26"/>
        </w:rPr>
        <w:tab/>
      </w:r>
      <w:r w:rsidR="008D1225" w:rsidRPr="008D1225">
        <w:rPr>
          <w:b/>
          <w:sz w:val="26"/>
        </w:rPr>
        <w:t>History</w:t>
      </w:r>
      <w:r w:rsidR="001345D9" w:rsidRPr="008D1225">
        <w:rPr>
          <w:b/>
          <w:sz w:val="26"/>
        </w:rPr>
        <w:t xml:space="preserve"> </w:t>
      </w:r>
    </w:p>
    <w:p w:rsidR="008D1225" w:rsidRDefault="008D1225" w:rsidP="000F77B8">
      <w:pPr>
        <w:pStyle w:val="p6"/>
        <w:tabs>
          <w:tab w:val="clear" w:pos="1479"/>
          <w:tab w:val="left" w:pos="1440"/>
        </w:tabs>
        <w:spacing w:line="360" w:lineRule="auto"/>
        <w:ind w:firstLine="0"/>
        <w:rPr>
          <w:b/>
          <w:sz w:val="26"/>
        </w:rPr>
      </w:pPr>
    </w:p>
    <w:p w:rsidR="00001777" w:rsidRDefault="008D1225" w:rsidP="000F77B8">
      <w:pPr>
        <w:pStyle w:val="p6"/>
        <w:tabs>
          <w:tab w:val="clear" w:pos="1479"/>
          <w:tab w:val="left" w:pos="1440"/>
        </w:tabs>
        <w:spacing w:line="360" w:lineRule="auto"/>
        <w:ind w:firstLine="0"/>
        <w:rPr>
          <w:sz w:val="26"/>
          <w:szCs w:val="26"/>
        </w:rPr>
      </w:pPr>
      <w:r>
        <w:rPr>
          <w:b/>
          <w:sz w:val="26"/>
        </w:rPr>
        <w:tab/>
      </w:r>
      <w:r w:rsidR="004B1D39">
        <w:rPr>
          <w:sz w:val="26"/>
          <w:szCs w:val="26"/>
        </w:rPr>
        <w:t xml:space="preserve">On </w:t>
      </w:r>
      <w:r w:rsidR="00571D44">
        <w:rPr>
          <w:sz w:val="26"/>
          <w:szCs w:val="26"/>
        </w:rPr>
        <w:t>April</w:t>
      </w:r>
      <w:r w:rsidR="004B1D39">
        <w:rPr>
          <w:sz w:val="26"/>
          <w:szCs w:val="26"/>
        </w:rPr>
        <w:t xml:space="preserve"> 30, 2013, PECO filed a tariff supplement</w:t>
      </w:r>
      <w:r w:rsidR="00571D44">
        <w:rPr>
          <w:sz w:val="26"/>
          <w:szCs w:val="26"/>
        </w:rPr>
        <w:t xml:space="preserve"> to provide for enhanced protection against strict liability suits.  The request is in response to an</w:t>
      </w:r>
      <w:r w:rsidR="00001777">
        <w:rPr>
          <w:sz w:val="26"/>
          <w:szCs w:val="26"/>
        </w:rPr>
        <w:t xml:space="preserve"> appeal of an</w:t>
      </w:r>
      <w:r w:rsidR="00D91F20">
        <w:rPr>
          <w:sz w:val="26"/>
          <w:szCs w:val="26"/>
        </w:rPr>
        <w:t xml:space="preserve"> April </w:t>
      </w:r>
      <w:r w:rsidR="00571D44">
        <w:rPr>
          <w:sz w:val="26"/>
          <w:szCs w:val="26"/>
        </w:rPr>
        <w:t>2009 suit by State Farm Fire and Casualty Company</w:t>
      </w:r>
      <w:r w:rsidR="00F60D5F">
        <w:rPr>
          <w:sz w:val="26"/>
          <w:szCs w:val="26"/>
        </w:rPr>
        <w:t xml:space="preserve"> (State Farm)</w:t>
      </w:r>
      <w:r w:rsidR="00571D44">
        <w:rPr>
          <w:sz w:val="26"/>
          <w:szCs w:val="26"/>
        </w:rPr>
        <w:t xml:space="preserve"> against PECO in Common Pleas </w:t>
      </w:r>
      <w:r w:rsidR="00001777">
        <w:rPr>
          <w:sz w:val="26"/>
          <w:szCs w:val="26"/>
        </w:rPr>
        <w:t>(</w:t>
      </w:r>
      <w:r w:rsidR="00001777">
        <w:rPr>
          <w:i/>
          <w:sz w:val="26"/>
          <w:szCs w:val="26"/>
        </w:rPr>
        <w:t xml:space="preserve">Common Pleas) </w:t>
      </w:r>
      <w:r w:rsidR="00571D44">
        <w:rPr>
          <w:sz w:val="26"/>
          <w:szCs w:val="26"/>
        </w:rPr>
        <w:t xml:space="preserve">for residential property damage to certain insured </w:t>
      </w:r>
      <w:r w:rsidR="00571D44">
        <w:rPr>
          <w:sz w:val="26"/>
          <w:szCs w:val="26"/>
        </w:rPr>
        <w:lastRenderedPageBreak/>
        <w:t>customers resulting from an August 2008 light</w:t>
      </w:r>
      <w:r w:rsidR="004B1D39">
        <w:rPr>
          <w:sz w:val="26"/>
          <w:szCs w:val="26"/>
        </w:rPr>
        <w:t>n</w:t>
      </w:r>
      <w:r w:rsidR="00571D44">
        <w:rPr>
          <w:sz w:val="26"/>
          <w:szCs w:val="26"/>
        </w:rPr>
        <w:t>ing strike on PECO facilities.  The light</w:t>
      </w:r>
      <w:r w:rsidR="004B1D39">
        <w:rPr>
          <w:sz w:val="26"/>
          <w:szCs w:val="26"/>
        </w:rPr>
        <w:t>n</w:t>
      </w:r>
      <w:r w:rsidR="00571D44">
        <w:rPr>
          <w:sz w:val="26"/>
          <w:szCs w:val="26"/>
        </w:rPr>
        <w:t xml:space="preserve">ing strike caused an uncontrolled power surge to flow through customer meters and into inside wiring causing damage.  </w:t>
      </w:r>
      <w:r w:rsidR="00571D44" w:rsidRPr="006E2036">
        <w:rPr>
          <w:i/>
          <w:sz w:val="26"/>
          <w:szCs w:val="26"/>
        </w:rPr>
        <w:t>State Farm v. P</w:t>
      </w:r>
      <w:r w:rsidR="00571D44">
        <w:rPr>
          <w:i/>
          <w:sz w:val="26"/>
          <w:szCs w:val="26"/>
        </w:rPr>
        <w:t>ECO</w:t>
      </w:r>
      <w:r w:rsidR="00571D44">
        <w:rPr>
          <w:sz w:val="26"/>
          <w:szCs w:val="26"/>
        </w:rPr>
        <w:t>, 54 A.3d 921 (Pa. Super 2012) (</w:t>
      </w:r>
      <w:r w:rsidR="00571D44" w:rsidRPr="00834A11">
        <w:rPr>
          <w:i/>
          <w:sz w:val="26"/>
          <w:szCs w:val="26"/>
        </w:rPr>
        <w:t>State Farm</w:t>
      </w:r>
      <w:r w:rsidR="00571D44">
        <w:rPr>
          <w:sz w:val="26"/>
          <w:szCs w:val="26"/>
        </w:rPr>
        <w:t>).</w:t>
      </w:r>
      <w:r w:rsidR="00F60D5F">
        <w:rPr>
          <w:sz w:val="26"/>
          <w:szCs w:val="26"/>
        </w:rPr>
        <w:t xml:space="preserve"> </w:t>
      </w:r>
    </w:p>
    <w:p w:rsidR="00001777" w:rsidRDefault="00001777" w:rsidP="000F77B8">
      <w:pPr>
        <w:pStyle w:val="p6"/>
        <w:tabs>
          <w:tab w:val="clear" w:pos="1479"/>
          <w:tab w:val="left" w:pos="1440"/>
        </w:tabs>
        <w:spacing w:line="360" w:lineRule="auto"/>
        <w:ind w:firstLine="0"/>
        <w:rPr>
          <w:sz w:val="26"/>
          <w:szCs w:val="26"/>
        </w:rPr>
      </w:pPr>
    </w:p>
    <w:p w:rsidR="008D1225" w:rsidRDefault="00001777" w:rsidP="000F77B8">
      <w:pPr>
        <w:pStyle w:val="p6"/>
        <w:tabs>
          <w:tab w:val="clear" w:pos="1479"/>
          <w:tab w:val="left" w:pos="1440"/>
        </w:tabs>
        <w:spacing w:line="360" w:lineRule="auto"/>
        <w:ind w:firstLine="0"/>
        <w:rPr>
          <w:sz w:val="26"/>
          <w:szCs w:val="26"/>
        </w:rPr>
      </w:pPr>
      <w:r>
        <w:rPr>
          <w:sz w:val="26"/>
          <w:szCs w:val="26"/>
        </w:rPr>
        <w:tab/>
      </w:r>
      <w:r w:rsidR="004B1D39">
        <w:rPr>
          <w:sz w:val="26"/>
          <w:szCs w:val="26"/>
        </w:rPr>
        <w:t>In its</w:t>
      </w:r>
      <w:r>
        <w:rPr>
          <w:sz w:val="26"/>
          <w:szCs w:val="26"/>
        </w:rPr>
        <w:t xml:space="preserve"> motion in the </w:t>
      </w:r>
      <w:r>
        <w:rPr>
          <w:i/>
          <w:sz w:val="26"/>
          <w:szCs w:val="26"/>
        </w:rPr>
        <w:t xml:space="preserve">Common Pleas </w:t>
      </w:r>
      <w:r>
        <w:rPr>
          <w:sz w:val="26"/>
          <w:szCs w:val="26"/>
        </w:rPr>
        <w:t>suit,</w:t>
      </w:r>
      <w:r w:rsidR="00F60D5F">
        <w:rPr>
          <w:sz w:val="26"/>
          <w:szCs w:val="26"/>
        </w:rPr>
        <w:t xml:space="preserve"> PECO asserted that Rule 12.1 of its tariff provided liability protection against the suit;</w:t>
      </w:r>
      <w:r w:rsidR="004B1D39">
        <w:rPr>
          <w:sz w:val="26"/>
          <w:szCs w:val="26"/>
        </w:rPr>
        <w:t xml:space="preserve"> and that the Commission had primary jurisdiction regarding this matter.</w:t>
      </w:r>
      <w:r w:rsidR="00F60D5F">
        <w:rPr>
          <w:sz w:val="26"/>
          <w:szCs w:val="26"/>
        </w:rPr>
        <w:t xml:space="preserve"> </w:t>
      </w:r>
      <w:r w:rsidR="00D91F20">
        <w:rPr>
          <w:sz w:val="26"/>
          <w:szCs w:val="26"/>
        </w:rPr>
        <w:t xml:space="preserve"> </w:t>
      </w:r>
      <w:r w:rsidR="00F60D5F">
        <w:rPr>
          <w:sz w:val="26"/>
          <w:szCs w:val="26"/>
        </w:rPr>
        <w:t>State Farm countered that Rule 12.1 was void as against public policy, did not apply to its claim of negligence, strict liability, and breach of contract.  Common Pleas agreed with PECO respecting the primary jurisdiction of the Commission</w:t>
      </w:r>
      <w:r w:rsidR="004B1D39">
        <w:rPr>
          <w:sz w:val="26"/>
          <w:szCs w:val="26"/>
        </w:rPr>
        <w:t>,</w:t>
      </w:r>
      <w:r w:rsidR="00F60D5F">
        <w:rPr>
          <w:sz w:val="26"/>
          <w:szCs w:val="26"/>
        </w:rPr>
        <w:t xml:space="preserve"> finding “State Farm has cited no applicable case which holds that the principles of strict liability usurp the PUC as the supreme law of the land.”  </w:t>
      </w:r>
      <w:r>
        <w:rPr>
          <w:sz w:val="26"/>
          <w:szCs w:val="26"/>
        </w:rPr>
        <w:t>(</w:t>
      </w:r>
      <w:r w:rsidR="00F60D5F" w:rsidRPr="00521070">
        <w:rPr>
          <w:i/>
          <w:sz w:val="26"/>
          <w:szCs w:val="26"/>
        </w:rPr>
        <w:t>State Farm</w:t>
      </w:r>
      <w:r w:rsidR="00F60D5F">
        <w:rPr>
          <w:sz w:val="26"/>
          <w:szCs w:val="26"/>
        </w:rPr>
        <w:t xml:space="preserve"> at 931</w:t>
      </w:r>
      <w:r>
        <w:rPr>
          <w:sz w:val="26"/>
          <w:szCs w:val="26"/>
        </w:rPr>
        <w:t>)</w:t>
      </w:r>
      <w:r w:rsidR="00F60D5F">
        <w:rPr>
          <w:sz w:val="26"/>
          <w:szCs w:val="26"/>
        </w:rPr>
        <w:t>.  State Farm filed an interlocutory appeal to Superior Court seeking review of the Common Pleas decision.  The Superior Court vacated the Common Pleas order to the extent that it precluded State Farm from pursuing its strict liability claim.</w:t>
      </w:r>
    </w:p>
    <w:p w:rsidR="00001777" w:rsidRDefault="00001777" w:rsidP="000F77B8">
      <w:pPr>
        <w:pStyle w:val="p6"/>
        <w:tabs>
          <w:tab w:val="clear" w:pos="1479"/>
          <w:tab w:val="left" w:pos="1440"/>
        </w:tabs>
        <w:spacing w:line="360" w:lineRule="auto"/>
        <w:ind w:firstLine="0"/>
        <w:rPr>
          <w:sz w:val="26"/>
          <w:szCs w:val="26"/>
        </w:rPr>
      </w:pPr>
    </w:p>
    <w:p w:rsidR="00CC6E29" w:rsidRDefault="00001777" w:rsidP="00001777">
      <w:pPr>
        <w:pStyle w:val="p5"/>
        <w:spacing w:line="360" w:lineRule="auto"/>
        <w:ind w:left="0"/>
        <w:rPr>
          <w:sz w:val="26"/>
          <w:szCs w:val="26"/>
        </w:rPr>
      </w:pPr>
      <w:r>
        <w:rPr>
          <w:sz w:val="26"/>
          <w:szCs w:val="26"/>
        </w:rPr>
        <w:tab/>
      </w:r>
      <w:r w:rsidR="00874426">
        <w:rPr>
          <w:sz w:val="26"/>
          <w:szCs w:val="26"/>
        </w:rPr>
        <w:tab/>
      </w:r>
      <w:r w:rsidR="00874426">
        <w:rPr>
          <w:sz w:val="26"/>
          <w:szCs w:val="26"/>
        </w:rPr>
        <w:tab/>
      </w:r>
      <w:r>
        <w:rPr>
          <w:sz w:val="26"/>
          <w:szCs w:val="26"/>
        </w:rPr>
        <w:t xml:space="preserve">The Superior </w:t>
      </w:r>
      <w:r w:rsidR="00CC6E29">
        <w:rPr>
          <w:sz w:val="26"/>
          <w:szCs w:val="26"/>
        </w:rPr>
        <w:t>Court summarized</w:t>
      </w:r>
      <w:r>
        <w:rPr>
          <w:sz w:val="26"/>
          <w:szCs w:val="26"/>
        </w:rPr>
        <w:t xml:space="preserve"> the key points of the State Farm argument: because Pennsylvania Courts have recognized strict liability claims against electric utilities</w:t>
      </w:r>
      <w:r>
        <w:rPr>
          <w:rStyle w:val="FootnoteReference"/>
          <w:sz w:val="26"/>
          <w:szCs w:val="26"/>
        </w:rPr>
        <w:footnoteReference w:id="1"/>
      </w:r>
      <w:r>
        <w:rPr>
          <w:sz w:val="26"/>
          <w:szCs w:val="26"/>
        </w:rPr>
        <w:t>, PECO must expressly disclaim strict liability in order to avoid defending ag</w:t>
      </w:r>
      <w:r w:rsidR="00CC6E29">
        <w:rPr>
          <w:sz w:val="26"/>
          <w:szCs w:val="26"/>
        </w:rPr>
        <w:t>ainst strict liability claims (</w:t>
      </w:r>
      <w:r w:rsidRPr="00E45D29">
        <w:rPr>
          <w:i/>
          <w:sz w:val="26"/>
          <w:szCs w:val="26"/>
        </w:rPr>
        <w:t>State Farm</w:t>
      </w:r>
      <w:r>
        <w:rPr>
          <w:sz w:val="26"/>
          <w:szCs w:val="26"/>
        </w:rPr>
        <w:t xml:space="preserve"> at 931</w:t>
      </w:r>
      <w:r w:rsidR="00CC6E29">
        <w:rPr>
          <w:sz w:val="26"/>
          <w:szCs w:val="26"/>
        </w:rPr>
        <w:t>)</w:t>
      </w:r>
      <w:r>
        <w:rPr>
          <w:sz w:val="26"/>
          <w:szCs w:val="26"/>
        </w:rPr>
        <w:t xml:space="preserve">.  While the </w:t>
      </w:r>
      <w:r w:rsidR="00CC6E29">
        <w:rPr>
          <w:sz w:val="26"/>
          <w:szCs w:val="26"/>
        </w:rPr>
        <w:t xml:space="preserve">Superior </w:t>
      </w:r>
      <w:r>
        <w:rPr>
          <w:sz w:val="26"/>
          <w:szCs w:val="26"/>
        </w:rPr>
        <w:t xml:space="preserve">Court found that PECO Rule 12.1 did not provide for an express waiver of strict liability, it did provide instruction on how PECO may avoid similar liability in the future.  It opined as follows. </w:t>
      </w:r>
    </w:p>
    <w:p w:rsidR="00001777" w:rsidRPr="00CC6E29" w:rsidRDefault="00001777" w:rsidP="00001777">
      <w:pPr>
        <w:pStyle w:val="p5"/>
        <w:keepNext/>
        <w:keepLines/>
        <w:ind w:left="810" w:right="1008"/>
        <w:jc w:val="both"/>
        <w:rPr>
          <w:sz w:val="26"/>
          <w:szCs w:val="26"/>
        </w:rPr>
      </w:pPr>
      <w:r>
        <w:rPr>
          <w:sz w:val="26"/>
          <w:szCs w:val="26"/>
        </w:rPr>
        <w:lastRenderedPageBreak/>
        <w:t xml:space="preserve">For PECO’s tariff to disclaim strict </w:t>
      </w:r>
      <w:r w:rsidR="00CC6E29">
        <w:rPr>
          <w:sz w:val="26"/>
          <w:szCs w:val="26"/>
        </w:rPr>
        <w:t>liability,</w:t>
      </w:r>
      <w:r>
        <w:rPr>
          <w:sz w:val="26"/>
          <w:szCs w:val="26"/>
        </w:rPr>
        <w:t xml:space="preserve"> Rule 12.1 must include some language purporting to disclaim liability for electricity which “[was] expected to and [did] reach the user or consumer without substantial change in the condition in which it was sold” and for electricity which possessed “a defective condition, unreasonably dangerous.”</w:t>
      </w:r>
      <w:r w:rsidR="00CC6E29">
        <w:rPr>
          <w:sz w:val="26"/>
          <w:szCs w:val="26"/>
        </w:rPr>
        <w:t xml:space="preserve"> (</w:t>
      </w:r>
      <w:r w:rsidR="00CC6E29">
        <w:rPr>
          <w:i/>
          <w:sz w:val="26"/>
          <w:szCs w:val="26"/>
        </w:rPr>
        <w:t>State Farm 931).</w:t>
      </w:r>
    </w:p>
    <w:p w:rsidR="00001777" w:rsidRPr="008D1225" w:rsidRDefault="00001777" w:rsidP="000F77B8">
      <w:pPr>
        <w:pStyle w:val="p6"/>
        <w:tabs>
          <w:tab w:val="clear" w:pos="1479"/>
          <w:tab w:val="left" w:pos="1440"/>
        </w:tabs>
        <w:spacing w:line="360" w:lineRule="auto"/>
        <w:ind w:firstLine="0"/>
        <w:rPr>
          <w:b/>
          <w:sz w:val="26"/>
        </w:rPr>
      </w:pPr>
    </w:p>
    <w:p w:rsidR="005E0BE0" w:rsidRDefault="00541F9A" w:rsidP="00541F9A">
      <w:pPr>
        <w:pStyle w:val="p6"/>
        <w:tabs>
          <w:tab w:val="clear" w:pos="1479"/>
          <w:tab w:val="left" w:pos="720"/>
          <w:tab w:val="left" w:pos="1440"/>
        </w:tabs>
        <w:spacing w:line="360" w:lineRule="auto"/>
        <w:ind w:firstLine="0"/>
        <w:rPr>
          <w:b/>
          <w:sz w:val="26"/>
        </w:rPr>
      </w:pPr>
      <w:r>
        <w:rPr>
          <w:b/>
          <w:sz w:val="26"/>
        </w:rPr>
        <w:tab/>
      </w:r>
      <w:r w:rsidR="00874426" w:rsidRPr="00541F9A">
        <w:rPr>
          <w:b/>
          <w:sz w:val="26"/>
        </w:rPr>
        <w:t>Discuss</w:t>
      </w:r>
      <w:r w:rsidRPr="00541F9A">
        <w:rPr>
          <w:b/>
          <w:sz w:val="26"/>
        </w:rPr>
        <w:t>ion</w:t>
      </w:r>
    </w:p>
    <w:p w:rsidR="00541F9A" w:rsidRDefault="00541F9A" w:rsidP="00541F9A">
      <w:pPr>
        <w:pStyle w:val="p6"/>
        <w:tabs>
          <w:tab w:val="clear" w:pos="1479"/>
          <w:tab w:val="left" w:pos="720"/>
          <w:tab w:val="left" w:pos="1440"/>
        </w:tabs>
        <w:spacing w:line="360" w:lineRule="auto"/>
        <w:ind w:firstLine="0"/>
        <w:rPr>
          <w:b/>
          <w:sz w:val="26"/>
        </w:rPr>
      </w:pPr>
    </w:p>
    <w:p w:rsidR="00AF3A73" w:rsidRDefault="00541F9A" w:rsidP="00AB2A76">
      <w:pPr>
        <w:pStyle w:val="p6"/>
        <w:tabs>
          <w:tab w:val="clear" w:pos="1479"/>
          <w:tab w:val="left" w:pos="720"/>
          <w:tab w:val="left" w:pos="1440"/>
        </w:tabs>
        <w:spacing w:line="360" w:lineRule="auto"/>
        <w:ind w:firstLine="0"/>
        <w:rPr>
          <w:sz w:val="26"/>
        </w:rPr>
      </w:pPr>
      <w:r>
        <w:rPr>
          <w:b/>
          <w:sz w:val="26"/>
        </w:rPr>
        <w:tab/>
      </w:r>
      <w:r>
        <w:rPr>
          <w:b/>
          <w:sz w:val="26"/>
        </w:rPr>
        <w:tab/>
      </w:r>
      <w:r>
        <w:rPr>
          <w:sz w:val="26"/>
        </w:rPr>
        <w:t>The Commission</w:t>
      </w:r>
      <w:r w:rsidR="00AF3A73">
        <w:rPr>
          <w:sz w:val="26"/>
        </w:rPr>
        <w:t xml:space="preserve"> agrees with the concept of adding strict liability language to the tariff.  However, we</w:t>
      </w:r>
      <w:r w:rsidR="00AB2A76">
        <w:rPr>
          <w:sz w:val="26"/>
        </w:rPr>
        <w:t xml:space="preserve"> do not agree with </w:t>
      </w:r>
      <w:r w:rsidR="00AF3A73">
        <w:rPr>
          <w:sz w:val="26"/>
        </w:rPr>
        <w:t>the language</w:t>
      </w:r>
      <w:r w:rsidR="00AB2A76">
        <w:rPr>
          <w:sz w:val="26"/>
        </w:rPr>
        <w:t xml:space="preserve"> initially </w:t>
      </w:r>
      <w:r w:rsidR="00AF3A73">
        <w:rPr>
          <w:sz w:val="26"/>
        </w:rPr>
        <w:t xml:space="preserve">submitted by </w:t>
      </w:r>
      <w:proofErr w:type="gramStart"/>
      <w:r w:rsidR="00AF3A73">
        <w:rPr>
          <w:sz w:val="26"/>
        </w:rPr>
        <w:t xml:space="preserve">PECO, </w:t>
      </w:r>
      <w:r w:rsidR="00550762">
        <w:rPr>
          <w:sz w:val="26"/>
        </w:rPr>
        <w:t>that</w:t>
      </w:r>
      <w:proofErr w:type="gramEnd"/>
      <w:r w:rsidR="00AB2A76">
        <w:rPr>
          <w:sz w:val="26"/>
        </w:rPr>
        <w:t xml:space="preserve"> was based on the above opinion of the court.  We do not agree with the language because we cannot endorse </w:t>
      </w:r>
      <w:r w:rsidR="00AF3A73">
        <w:rPr>
          <w:sz w:val="26"/>
        </w:rPr>
        <w:t>any tariff language</w:t>
      </w:r>
      <w:r w:rsidR="00550762">
        <w:rPr>
          <w:sz w:val="26"/>
        </w:rPr>
        <w:t xml:space="preserve"> which </w:t>
      </w:r>
      <w:r w:rsidR="00AF3A73">
        <w:rPr>
          <w:sz w:val="26"/>
        </w:rPr>
        <w:t>express</w:t>
      </w:r>
      <w:r w:rsidR="00550762">
        <w:rPr>
          <w:sz w:val="26"/>
        </w:rPr>
        <w:t xml:space="preserve">ly states or could be interpreted to mean that </w:t>
      </w:r>
      <w:r w:rsidR="00AF3A73">
        <w:rPr>
          <w:sz w:val="26"/>
        </w:rPr>
        <w:t>service in a “defecti</w:t>
      </w:r>
      <w:r w:rsidR="00376949">
        <w:rPr>
          <w:sz w:val="26"/>
        </w:rPr>
        <w:t>ve condition, unreasonably</w:t>
      </w:r>
      <w:r w:rsidR="00AF3A73">
        <w:rPr>
          <w:sz w:val="26"/>
        </w:rPr>
        <w:t xml:space="preserve"> dangerous” would be acceptable under the Public Utility Code</w:t>
      </w:r>
    </w:p>
    <w:p w:rsidR="00AF3A73" w:rsidRDefault="00AF3A73" w:rsidP="00AF3A73">
      <w:pPr>
        <w:pStyle w:val="p6"/>
        <w:tabs>
          <w:tab w:val="clear" w:pos="1479"/>
          <w:tab w:val="left" w:pos="720"/>
          <w:tab w:val="left" w:pos="1440"/>
        </w:tabs>
        <w:spacing w:line="360" w:lineRule="auto"/>
        <w:ind w:firstLine="0"/>
        <w:rPr>
          <w:sz w:val="26"/>
        </w:rPr>
      </w:pPr>
    </w:p>
    <w:p w:rsidR="00971600" w:rsidRDefault="00AF3A73" w:rsidP="009E05C0">
      <w:pPr>
        <w:pStyle w:val="p6"/>
        <w:tabs>
          <w:tab w:val="clear" w:pos="1479"/>
          <w:tab w:val="left" w:pos="720"/>
          <w:tab w:val="left" w:pos="1440"/>
        </w:tabs>
        <w:spacing w:line="360" w:lineRule="auto"/>
        <w:ind w:firstLine="0"/>
        <w:rPr>
          <w:sz w:val="26"/>
          <w:szCs w:val="26"/>
        </w:rPr>
      </w:pPr>
      <w:r>
        <w:rPr>
          <w:sz w:val="26"/>
        </w:rPr>
        <w:tab/>
      </w:r>
      <w:r>
        <w:rPr>
          <w:sz w:val="26"/>
        </w:rPr>
        <w:tab/>
        <w:t xml:space="preserve">In accordance with the direction of the </w:t>
      </w:r>
      <w:r>
        <w:rPr>
          <w:i/>
          <w:sz w:val="26"/>
        </w:rPr>
        <w:t>State Farm</w:t>
      </w:r>
      <w:r>
        <w:rPr>
          <w:sz w:val="26"/>
        </w:rPr>
        <w:t xml:space="preserve"> Superior Court decision regarding strict liability limitation</w:t>
      </w:r>
      <w:r w:rsidR="00B2309B">
        <w:rPr>
          <w:sz w:val="26"/>
        </w:rPr>
        <w:t>s</w:t>
      </w:r>
      <w:r>
        <w:rPr>
          <w:sz w:val="26"/>
        </w:rPr>
        <w:t xml:space="preserve">, PECO proposes the </w:t>
      </w:r>
      <w:r w:rsidR="009E05C0">
        <w:rPr>
          <w:sz w:val="26"/>
        </w:rPr>
        <w:t xml:space="preserve">following revised language </w:t>
      </w:r>
      <w:r w:rsidR="00971600">
        <w:rPr>
          <w:sz w:val="26"/>
          <w:szCs w:val="26"/>
        </w:rPr>
        <w:t>to</w:t>
      </w:r>
      <w:r w:rsidR="00EF193E">
        <w:rPr>
          <w:sz w:val="26"/>
          <w:szCs w:val="26"/>
        </w:rPr>
        <w:t xml:space="preserve"> Supplement No. </w:t>
      </w:r>
      <w:r w:rsidR="00971600">
        <w:rPr>
          <w:sz w:val="26"/>
          <w:szCs w:val="26"/>
        </w:rPr>
        <w:t>75 to Electric Tarif</w:t>
      </w:r>
      <w:r w:rsidR="00F0138F">
        <w:rPr>
          <w:sz w:val="26"/>
          <w:szCs w:val="26"/>
        </w:rPr>
        <w:t>f Pa P.U.C No. 4, Tariff Rule 12</w:t>
      </w:r>
      <w:r w:rsidR="00971600">
        <w:rPr>
          <w:sz w:val="26"/>
          <w:szCs w:val="26"/>
        </w:rPr>
        <w:t>.1 Service Continuity - Limitation on Liability for Service Interruptions</w:t>
      </w:r>
      <w:r w:rsidR="00F0138F">
        <w:rPr>
          <w:sz w:val="26"/>
          <w:szCs w:val="26"/>
        </w:rPr>
        <w:t xml:space="preserve"> and Variations</w:t>
      </w:r>
      <w:r w:rsidR="00971600">
        <w:rPr>
          <w:sz w:val="26"/>
          <w:szCs w:val="26"/>
        </w:rPr>
        <w:t>:</w:t>
      </w:r>
    </w:p>
    <w:p w:rsidR="00F0138F" w:rsidRPr="00F0138F" w:rsidRDefault="00F0138F" w:rsidP="00F0138F">
      <w:pPr>
        <w:rPr>
          <w:sz w:val="26"/>
          <w:szCs w:val="26"/>
        </w:rPr>
      </w:pPr>
    </w:p>
    <w:p w:rsidR="00F0138F" w:rsidRPr="00F0138F" w:rsidRDefault="00F0138F" w:rsidP="00F0138F">
      <w:pPr>
        <w:rPr>
          <w:sz w:val="26"/>
          <w:szCs w:val="26"/>
        </w:rPr>
      </w:pPr>
      <w:r>
        <w:rPr>
          <w:iCs/>
          <w:sz w:val="26"/>
          <w:szCs w:val="26"/>
        </w:rPr>
        <w:tab/>
      </w:r>
      <w:r w:rsidR="004B1D39">
        <w:rPr>
          <w:iCs/>
          <w:sz w:val="26"/>
          <w:szCs w:val="26"/>
        </w:rPr>
        <w:t>“</w:t>
      </w:r>
      <w:r w:rsidR="00BD7343">
        <w:rPr>
          <w:iCs/>
          <w:sz w:val="26"/>
          <w:szCs w:val="26"/>
        </w:rPr>
        <w:t>The Company makes no</w:t>
      </w:r>
      <w:r w:rsidRPr="00F0138F">
        <w:rPr>
          <w:iCs/>
          <w:sz w:val="26"/>
          <w:szCs w:val="26"/>
        </w:rPr>
        <w:t xml:space="preserve"> </w:t>
      </w:r>
      <w:r w:rsidR="00BD7343">
        <w:rPr>
          <w:iCs/>
          <w:sz w:val="26"/>
          <w:szCs w:val="26"/>
        </w:rPr>
        <w:t>warranty as to merchantability or fitness for a particular purpose</w:t>
      </w:r>
      <w:r w:rsidRPr="00F0138F">
        <w:rPr>
          <w:iCs/>
          <w:sz w:val="26"/>
          <w:szCs w:val="26"/>
        </w:rPr>
        <w:t xml:space="preserve">, express or implied, by operation of law or otherwise.  To the extent applicable under the Uniform Commercial Code or on any theory of contract or products liability, the company </w:t>
      </w:r>
      <w:r w:rsidR="00BB1143">
        <w:rPr>
          <w:iCs/>
          <w:sz w:val="26"/>
          <w:szCs w:val="26"/>
        </w:rPr>
        <w:t>limits its liability in accordance with the previous paragraph</w:t>
      </w:r>
      <w:r w:rsidRPr="00F0138F">
        <w:rPr>
          <w:iCs/>
          <w:sz w:val="26"/>
          <w:szCs w:val="26"/>
        </w:rPr>
        <w:t xml:space="preserve"> to any Customer or third party for claims involving and including, but not limited to, strict products liability, breach of contract, and breach of actual or implied warranties of merchantability or fitness for an intended purpose.</w:t>
      </w:r>
      <w:r>
        <w:rPr>
          <w:iCs/>
          <w:sz w:val="26"/>
          <w:szCs w:val="26"/>
        </w:rPr>
        <w:t>”</w:t>
      </w:r>
    </w:p>
    <w:p w:rsidR="00971600" w:rsidRDefault="00971600" w:rsidP="00971600">
      <w:pPr>
        <w:pStyle w:val="p5"/>
        <w:tabs>
          <w:tab w:val="clear" w:pos="391"/>
          <w:tab w:val="left" w:pos="630"/>
        </w:tabs>
        <w:spacing w:line="276" w:lineRule="auto"/>
        <w:ind w:left="720" w:right="720"/>
        <w:jc w:val="both"/>
        <w:rPr>
          <w:sz w:val="26"/>
          <w:szCs w:val="26"/>
        </w:rPr>
      </w:pPr>
    </w:p>
    <w:p w:rsidR="002136C3" w:rsidRDefault="002136C3" w:rsidP="00971600">
      <w:pPr>
        <w:pStyle w:val="p5"/>
        <w:tabs>
          <w:tab w:val="clear" w:pos="391"/>
          <w:tab w:val="left" w:pos="630"/>
        </w:tabs>
        <w:spacing w:line="276" w:lineRule="auto"/>
        <w:ind w:left="720" w:right="720"/>
        <w:jc w:val="both"/>
        <w:rPr>
          <w:sz w:val="26"/>
          <w:szCs w:val="26"/>
        </w:rPr>
      </w:pPr>
    </w:p>
    <w:p w:rsidR="00767D99" w:rsidRDefault="004B1D39" w:rsidP="000D0AC7">
      <w:pPr>
        <w:spacing w:line="360" w:lineRule="auto"/>
        <w:rPr>
          <w:sz w:val="26"/>
        </w:rPr>
      </w:pPr>
      <w:r>
        <w:rPr>
          <w:sz w:val="26"/>
        </w:rPr>
        <w:tab/>
      </w:r>
      <w:r w:rsidR="002136C3">
        <w:rPr>
          <w:sz w:val="26"/>
        </w:rPr>
        <w:tab/>
      </w:r>
      <w:r w:rsidR="0049256C">
        <w:rPr>
          <w:sz w:val="26"/>
        </w:rPr>
        <w:t xml:space="preserve">We believe that PECO’s </w:t>
      </w:r>
      <w:r w:rsidR="00767D99">
        <w:rPr>
          <w:sz w:val="26"/>
        </w:rPr>
        <w:t>revised</w:t>
      </w:r>
      <w:r w:rsidR="00B3234D">
        <w:rPr>
          <w:sz w:val="26"/>
        </w:rPr>
        <w:t xml:space="preserve"> </w:t>
      </w:r>
      <w:r w:rsidR="0049256C">
        <w:rPr>
          <w:sz w:val="26"/>
        </w:rPr>
        <w:t xml:space="preserve">strict </w:t>
      </w:r>
      <w:r w:rsidR="00B3234D">
        <w:rPr>
          <w:sz w:val="26"/>
        </w:rPr>
        <w:t xml:space="preserve">liability </w:t>
      </w:r>
      <w:r w:rsidR="00767D99">
        <w:rPr>
          <w:sz w:val="26"/>
        </w:rPr>
        <w:t xml:space="preserve">waiver </w:t>
      </w:r>
      <w:r w:rsidR="00B3234D">
        <w:rPr>
          <w:sz w:val="26"/>
        </w:rPr>
        <w:t>language</w:t>
      </w:r>
      <w:r w:rsidR="006B6292">
        <w:rPr>
          <w:sz w:val="26"/>
        </w:rPr>
        <w:t xml:space="preserve"> does not contradict the directions set forth in </w:t>
      </w:r>
      <w:r w:rsidR="006B6292">
        <w:rPr>
          <w:sz w:val="26"/>
          <w:szCs w:val="26"/>
        </w:rPr>
        <w:t>66 Pa. C.S. Section 1501</w:t>
      </w:r>
      <w:r w:rsidR="006B6292">
        <w:rPr>
          <w:sz w:val="26"/>
        </w:rPr>
        <w:t>.</w:t>
      </w:r>
      <w:r w:rsidR="002136C3">
        <w:rPr>
          <w:sz w:val="26"/>
        </w:rPr>
        <w:t xml:space="preserve"> </w:t>
      </w:r>
      <w:r w:rsidR="006B6292">
        <w:rPr>
          <w:sz w:val="26"/>
        </w:rPr>
        <w:t xml:space="preserve"> </w:t>
      </w:r>
      <w:r w:rsidR="000D0AC7">
        <w:rPr>
          <w:sz w:val="26"/>
        </w:rPr>
        <w:t xml:space="preserve">Additionally, the Commission has approved strict liability tariff limitations in the past and there are no </w:t>
      </w:r>
      <w:r w:rsidR="000D0AC7">
        <w:rPr>
          <w:sz w:val="26"/>
        </w:rPr>
        <w:lastRenderedPageBreak/>
        <w:t>valid reasons to deny PECO the same general treatment.</w:t>
      </w:r>
      <w:r w:rsidR="000D0AC7">
        <w:rPr>
          <w:rStyle w:val="FootnoteReference"/>
          <w:sz w:val="26"/>
        </w:rPr>
        <w:footnoteReference w:id="2"/>
      </w:r>
      <w:r w:rsidR="000D0AC7">
        <w:rPr>
          <w:sz w:val="26"/>
        </w:rPr>
        <w:t xml:space="preserve"> </w:t>
      </w:r>
      <w:r w:rsidR="00767D99">
        <w:rPr>
          <w:sz w:val="26"/>
        </w:rPr>
        <w:t xml:space="preserve"> Nevertheless, we note that the revised strict liability waiver does not trump the “reasonableness of service” requirements of 66 Pa. C.S. Section 1501.  In other words, our approval of the proposed strict liability waiver does not alter in any way the statutory mandate that PECO provide safe, adequate, reliable and reasonable service. </w:t>
      </w:r>
    </w:p>
    <w:p w:rsidR="00767D99" w:rsidRDefault="00767D99" w:rsidP="000D0AC7">
      <w:pPr>
        <w:spacing w:line="360" w:lineRule="auto"/>
        <w:rPr>
          <w:sz w:val="26"/>
        </w:rPr>
      </w:pPr>
    </w:p>
    <w:p w:rsidR="0018058B" w:rsidRDefault="00767D99" w:rsidP="000D0AC7">
      <w:pPr>
        <w:spacing w:line="360" w:lineRule="auto"/>
        <w:rPr>
          <w:b/>
          <w:sz w:val="26"/>
          <w:szCs w:val="26"/>
        </w:rPr>
      </w:pPr>
      <w:r>
        <w:rPr>
          <w:sz w:val="26"/>
          <w:szCs w:val="26"/>
        </w:rPr>
        <w:tab/>
      </w:r>
      <w:r>
        <w:rPr>
          <w:sz w:val="26"/>
          <w:szCs w:val="26"/>
        </w:rPr>
        <w:tab/>
      </w:r>
      <w:r w:rsidR="000972D9" w:rsidRPr="00143144">
        <w:rPr>
          <w:sz w:val="26"/>
          <w:szCs w:val="26"/>
        </w:rPr>
        <w:t xml:space="preserve">Upon our review of the proposed tariff filing, </w:t>
      </w:r>
      <w:r w:rsidR="008172E6" w:rsidRPr="00143144">
        <w:rPr>
          <w:sz w:val="26"/>
          <w:szCs w:val="26"/>
        </w:rPr>
        <w:t xml:space="preserve">we find that </w:t>
      </w:r>
      <w:r w:rsidR="000D0AC7">
        <w:rPr>
          <w:sz w:val="26"/>
          <w:szCs w:val="26"/>
        </w:rPr>
        <w:t>it</w:t>
      </w:r>
      <w:r w:rsidR="00462F2B">
        <w:rPr>
          <w:sz w:val="26"/>
          <w:szCs w:val="26"/>
        </w:rPr>
        <w:t xml:space="preserve"> do</w:t>
      </w:r>
      <w:r w:rsidR="000D0AC7">
        <w:rPr>
          <w:sz w:val="26"/>
          <w:szCs w:val="26"/>
        </w:rPr>
        <w:t>es</w:t>
      </w:r>
      <w:r w:rsidR="000972D9" w:rsidRPr="00143144">
        <w:rPr>
          <w:sz w:val="26"/>
          <w:szCs w:val="26"/>
        </w:rPr>
        <w:t xml:space="preserve"> not appear to be unlawful, unjust, unreasonable, or contrary to the public interest.  Therefore, we shall permit the proposed filing to become effective on the date</w:t>
      </w:r>
      <w:r w:rsidR="000D0AC7">
        <w:rPr>
          <w:sz w:val="26"/>
          <w:szCs w:val="26"/>
        </w:rPr>
        <w:t xml:space="preserve"> </w:t>
      </w:r>
      <w:r w:rsidR="000972D9" w:rsidRPr="00143144">
        <w:rPr>
          <w:sz w:val="26"/>
          <w:szCs w:val="26"/>
        </w:rPr>
        <w:t xml:space="preserve">requested.  However, </w:t>
      </w:r>
      <w:r w:rsidR="000D0AC7">
        <w:rPr>
          <w:spacing w:val="-3"/>
          <w:sz w:val="26"/>
          <w:szCs w:val="26"/>
        </w:rPr>
        <w:t>approval of this</w:t>
      </w:r>
      <w:r w:rsidR="000972D9" w:rsidRPr="00143144">
        <w:rPr>
          <w:spacing w:val="-3"/>
          <w:sz w:val="26"/>
          <w:szCs w:val="26"/>
        </w:rPr>
        <w:t xml:space="preserve"> filing does not cons</w:t>
      </w:r>
      <w:r w:rsidR="00363EE2">
        <w:rPr>
          <w:spacing w:val="-3"/>
          <w:sz w:val="26"/>
          <w:szCs w:val="26"/>
        </w:rPr>
        <w:t>titute a determination that the</w:t>
      </w:r>
      <w:r w:rsidR="000972D9" w:rsidRPr="00143144">
        <w:rPr>
          <w:spacing w:val="-3"/>
          <w:sz w:val="26"/>
          <w:szCs w:val="26"/>
        </w:rPr>
        <w:t xml:space="preserve"> filing</w:t>
      </w:r>
      <w:r w:rsidR="000D0AC7">
        <w:rPr>
          <w:spacing w:val="-3"/>
          <w:sz w:val="26"/>
          <w:szCs w:val="26"/>
        </w:rPr>
        <w:t xml:space="preserve"> is</w:t>
      </w:r>
      <w:r w:rsidR="000972D9" w:rsidRPr="00143144">
        <w:rPr>
          <w:spacing w:val="-3"/>
          <w:sz w:val="26"/>
          <w:szCs w:val="26"/>
        </w:rPr>
        <w:t xml:space="preserve"> lawful, just, or reasonable, but only that further investigation or suspension does not appear to be warranted at this time</w:t>
      </w:r>
      <w:r w:rsidR="000972D9" w:rsidRPr="00143144">
        <w:rPr>
          <w:sz w:val="26"/>
          <w:szCs w:val="26"/>
        </w:rPr>
        <w:t xml:space="preserve">; </w:t>
      </w:r>
      <w:r w:rsidR="000972D9" w:rsidRPr="00143144">
        <w:rPr>
          <w:b/>
          <w:sz w:val="26"/>
          <w:szCs w:val="26"/>
        </w:rPr>
        <w:t>THEREFORE,</w:t>
      </w:r>
    </w:p>
    <w:p w:rsidR="007A2843" w:rsidRDefault="007A2843" w:rsidP="000D0AC7">
      <w:pPr>
        <w:spacing w:line="360" w:lineRule="auto"/>
        <w:rPr>
          <w:b/>
          <w:sz w:val="26"/>
        </w:rPr>
      </w:pPr>
    </w:p>
    <w:p w:rsidR="006D57F5" w:rsidRDefault="006D57F5">
      <w:pPr>
        <w:pStyle w:val="p2"/>
        <w:spacing w:line="360" w:lineRule="auto"/>
        <w:rPr>
          <w:b/>
          <w:sz w:val="26"/>
        </w:rPr>
      </w:pPr>
      <w:r>
        <w:rPr>
          <w:b/>
          <w:sz w:val="26"/>
        </w:rPr>
        <w:t>IT IS ORDERED:</w:t>
      </w:r>
    </w:p>
    <w:p w:rsidR="006A505F" w:rsidRPr="00000AD0" w:rsidRDefault="006A505F" w:rsidP="006A505F">
      <w:pPr>
        <w:pStyle w:val="BodyText"/>
        <w:tabs>
          <w:tab w:val="clear" w:pos="-1440"/>
          <w:tab w:val="clear" w:pos="-720"/>
          <w:tab w:val="clear" w:pos="0"/>
          <w:tab w:val="clear" w:pos="432"/>
          <w:tab w:val="clear" w:pos="576"/>
          <w:tab w:val="clear" w:pos="1440"/>
          <w:tab w:val="clear" w:pos="2086"/>
          <w:tab w:val="clear" w:pos="2880"/>
        </w:tabs>
        <w:rPr>
          <w:b/>
          <w:color w:val="000000"/>
          <w:spacing w:val="-3"/>
          <w:kern w:val="1"/>
        </w:rPr>
      </w:pPr>
    </w:p>
    <w:p w:rsidR="006A505F" w:rsidRDefault="006A505F" w:rsidP="006A505F">
      <w:pPr>
        <w:pStyle w:val="BodyText"/>
        <w:tabs>
          <w:tab w:val="clear" w:pos="-1440"/>
          <w:tab w:val="clear" w:pos="-720"/>
          <w:tab w:val="clear" w:pos="0"/>
          <w:tab w:val="clear" w:pos="432"/>
          <w:tab w:val="clear" w:pos="576"/>
          <w:tab w:val="clear" w:pos="1440"/>
          <w:tab w:val="clear" w:pos="2086"/>
          <w:tab w:val="clear" w:pos="2880"/>
        </w:tabs>
        <w:ind w:firstLine="1440"/>
        <w:rPr>
          <w:color w:val="000000"/>
          <w:kern w:val="1"/>
        </w:rPr>
      </w:pPr>
      <w:r w:rsidRPr="00000AD0">
        <w:rPr>
          <w:color w:val="000000"/>
          <w:kern w:val="1"/>
        </w:rPr>
        <w:t>1.</w:t>
      </w:r>
      <w:r w:rsidRPr="00000AD0">
        <w:rPr>
          <w:color w:val="000000"/>
          <w:kern w:val="1"/>
        </w:rPr>
        <w:tab/>
        <w:t xml:space="preserve">That </w:t>
      </w:r>
      <w:r w:rsidR="00747DA8">
        <w:rPr>
          <w:color w:val="000000"/>
          <w:kern w:val="1"/>
        </w:rPr>
        <w:t xml:space="preserve">Supplement No. </w:t>
      </w:r>
      <w:r w:rsidR="009D286F">
        <w:rPr>
          <w:color w:val="000000"/>
          <w:kern w:val="1"/>
        </w:rPr>
        <w:t>75</w:t>
      </w:r>
      <w:r w:rsidR="00363EE2" w:rsidRPr="00363EE2">
        <w:rPr>
          <w:color w:val="000000"/>
          <w:kern w:val="1"/>
        </w:rPr>
        <w:t xml:space="preserve"> to Tariff Electric – Pa PUC No. 4</w:t>
      </w:r>
      <w:r w:rsidR="009D286F">
        <w:rPr>
          <w:color w:val="000000"/>
          <w:kern w:val="1"/>
        </w:rPr>
        <w:t>, as postponed by Supplement No. 82,</w:t>
      </w:r>
      <w:r w:rsidR="00363EE2">
        <w:rPr>
          <w:color w:val="000000"/>
          <w:kern w:val="1"/>
        </w:rPr>
        <w:t xml:space="preserve"> </w:t>
      </w:r>
      <w:r w:rsidRPr="00000AD0">
        <w:rPr>
          <w:color w:val="000000"/>
          <w:kern w:val="1"/>
        </w:rPr>
        <w:t xml:space="preserve">is hereby allowed to become effective on </w:t>
      </w:r>
      <w:r w:rsidR="00B374D9">
        <w:rPr>
          <w:color w:val="000000"/>
          <w:kern w:val="1"/>
        </w:rPr>
        <w:t>July</w:t>
      </w:r>
      <w:r w:rsidR="00363EE2">
        <w:rPr>
          <w:color w:val="000000"/>
          <w:kern w:val="1"/>
        </w:rPr>
        <w:t xml:space="preserve"> 1</w:t>
      </w:r>
      <w:r w:rsidR="00B374D9">
        <w:rPr>
          <w:color w:val="000000"/>
          <w:kern w:val="1"/>
        </w:rPr>
        <w:t>7</w:t>
      </w:r>
      <w:r w:rsidR="00363EE2">
        <w:rPr>
          <w:color w:val="000000"/>
          <w:kern w:val="1"/>
        </w:rPr>
        <w:t>, 2013</w:t>
      </w:r>
      <w:r w:rsidRPr="00000AD0">
        <w:rPr>
          <w:color w:val="000000"/>
          <w:kern w:val="1"/>
        </w:rPr>
        <w:t>.</w:t>
      </w:r>
    </w:p>
    <w:p w:rsidR="002C4AB4" w:rsidRDefault="002C4AB4" w:rsidP="000D0AC7">
      <w:pPr>
        <w:suppressAutoHyphens/>
        <w:spacing w:line="360" w:lineRule="auto"/>
        <w:rPr>
          <w:color w:val="000000"/>
          <w:spacing w:val="-3"/>
          <w:kern w:val="1"/>
          <w:sz w:val="26"/>
        </w:rPr>
      </w:pPr>
    </w:p>
    <w:p w:rsidR="006A505F" w:rsidRDefault="000D0AC7" w:rsidP="006A505F">
      <w:pPr>
        <w:suppressAutoHyphens/>
        <w:spacing w:line="360" w:lineRule="auto"/>
        <w:ind w:firstLine="1440"/>
        <w:rPr>
          <w:color w:val="000000"/>
          <w:spacing w:val="-3"/>
          <w:kern w:val="1"/>
          <w:sz w:val="26"/>
        </w:rPr>
      </w:pPr>
      <w:r>
        <w:rPr>
          <w:color w:val="000000"/>
          <w:spacing w:val="-3"/>
          <w:kern w:val="1"/>
          <w:sz w:val="26"/>
        </w:rPr>
        <w:t>2</w:t>
      </w:r>
      <w:r w:rsidR="006A505F" w:rsidRPr="00000AD0">
        <w:rPr>
          <w:color w:val="000000"/>
          <w:spacing w:val="-3"/>
          <w:kern w:val="1"/>
          <w:sz w:val="26"/>
        </w:rPr>
        <w:t>.</w:t>
      </w:r>
      <w:r w:rsidR="006A505F" w:rsidRPr="00000AD0">
        <w:rPr>
          <w:color w:val="000000"/>
          <w:spacing w:val="-3"/>
          <w:kern w:val="1"/>
          <w:sz w:val="26"/>
        </w:rPr>
        <w:tab/>
        <w:t>That this Order is without prejudice to any formal complaints timely filed against the proposed Tariff</w:t>
      </w:r>
      <w:r w:rsidR="00EB5146">
        <w:rPr>
          <w:color w:val="000000"/>
          <w:spacing w:val="-3"/>
          <w:kern w:val="1"/>
          <w:sz w:val="26"/>
        </w:rPr>
        <w:t xml:space="preserve"> Supplement</w:t>
      </w:r>
      <w:r w:rsidR="002C4AB4">
        <w:rPr>
          <w:color w:val="000000"/>
          <w:spacing w:val="-3"/>
          <w:kern w:val="1"/>
          <w:sz w:val="26"/>
        </w:rPr>
        <w:t>s</w:t>
      </w:r>
      <w:r w:rsidR="006A505F" w:rsidRPr="00000AD0">
        <w:rPr>
          <w:color w:val="000000"/>
          <w:spacing w:val="-3"/>
          <w:kern w:val="1"/>
          <w:sz w:val="26"/>
        </w:rPr>
        <w:t>.</w:t>
      </w:r>
    </w:p>
    <w:p w:rsidR="00C86807" w:rsidRDefault="00C86807" w:rsidP="006A505F">
      <w:pPr>
        <w:suppressAutoHyphens/>
        <w:spacing w:line="360" w:lineRule="auto"/>
        <w:ind w:firstLine="1440"/>
        <w:rPr>
          <w:color w:val="000000"/>
          <w:spacing w:val="-3"/>
          <w:kern w:val="1"/>
          <w:sz w:val="26"/>
        </w:rPr>
      </w:pPr>
    </w:p>
    <w:p w:rsidR="00C86807" w:rsidRDefault="00C9740B" w:rsidP="00C9740B">
      <w:pPr>
        <w:widowControl/>
        <w:autoSpaceDE/>
        <w:autoSpaceDN/>
        <w:adjustRightInd/>
        <w:spacing w:line="360" w:lineRule="auto"/>
        <w:ind w:firstLine="720"/>
        <w:rPr>
          <w:color w:val="000000"/>
          <w:spacing w:val="-3"/>
          <w:kern w:val="1"/>
          <w:sz w:val="26"/>
        </w:rPr>
      </w:pPr>
      <w:r>
        <w:rPr>
          <w:color w:val="000000"/>
          <w:spacing w:val="-3"/>
          <w:kern w:val="1"/>
          <w:sz w:val="26"/>
        </w:rPr>
        <w:tab/>
      </w:r>
      <w:r w:rsidR="000D0AC7">
        <w:rPr>
          <w:color w:val="000000"/>
          <w:spacing w:val="-3"/>
          <w:kern w:val="1"/>
          <w:sz w:val="26"/>
        </w:rPr>
        <w:t>3</w:t>
      </w:r>
      <w:r w:rsidR="00C86807">
        <w:rPr>
          <w:color w:val="000000"/>
          <w:spacing w:val="-3"/>
          <w:kern w:val="1"/>
          <w:sz w:val="26"/>
        </w:rPr>
        <w:t>.</w:t>
      </w:r>
      <w:r w:rsidR="0061143A">
        <w:rPr>
          <w:color w:val="000000"/>
          <w:spacing w:val="-3"/>
          <w:kern w:val="1"/>
          <w:sz w:val="26"/>
        </w:rPr>
        <w:t xml:space="preserve">         </w:t>
      </w:r>
      <w:r w:rsidR="0061143A">
        <w:rPr>
          <w:sz w:val="26"/>
          <w:szCs w:val="26"/>
        </w:rPr>
        <w:t>That a copy of this Order be served on the Office of Consumer Advocate, the Office of Small Business Adv</w:t>
      </w:r>
      <w:r w:rsidR="000D0AC7">
        <w:rPr>
          <w:sz w:val="26"/>
          <w:szCs w:val="26"/>
        </w:rPr>
        <w:t>ocate, and</w:t>
      </w:r>
      <w:r w:rsidR="00363EE2">
        <w:rPr>
          <w:sz w:val="26"/>
          <w:szCs w:val="26"/>
        </w:rPr>
        <w:t xml:space="preserve"> the Bureau of Investigation and Enforcement</w:t>
      </w:r>
      <w:r w:rsidR="004B1D39">
        <w:rPr>
          <w:sz w:val="26"/>
          <w:szCs w:val="26"/>
        </w:rPr>
        <w:t xml:space="preserve">, </w:t>
      </w:r>
      <w:r w:rsidR="003D15F0">
        <w:rPr>
          <w:sz w:val="26"/>
          <w:szCs w:val="26"/>
        </w:rPr>
        <w:t xml:space="preserve">and </w:t>
      </w:r>
      <w:r w:rsidR="004B1D39">
        <w:rPr>
          <w:sz w:val="26"/>
          <w:szCs w:val="26"/>
        </w:rPr>
        <w:t>PECO Energy Company</w:t>
      </w:r>
      <w:r w:rsidR="0061143A">
        <w:rPr>
          <w:sz w:val="26"/>
          <w:szCs w:val="26"/>
        </w:rPr>
        <w:t>.</w:t>
      </w:r>
    </w:p>
    <w:p w:rsidR="00164C24" w:rsidRDefault="00164C24" w:rsidP="001F50AA">
      <w:pPr>
        <w:suppressAutoHyphens/>
        <w:ind w:firstLine="1440"/>
        <w:rPr>
          <w:color w:val="000000"/>
          <w:spacing w:val="-3"/>
          <w:kern w:val="1"/>
          <w:sz w:val="26"/>
        </w:rPr>
      </w:pPr>
    </w:p>
    <w:p w:rsidR="00A2322C" w:rsidRDefault="00A2322C">
      <w:pPr>
        <w:widowControl/>
        <w:autoSpaceDE/>
        <w:autoSpaceDN/>
        <w:adjustRightInd/>
        <w:rPr>
          <w:color w:val="000000"/>
          <w:kern w:val="2"/>
        </w:rPr>
      </w:pPr>
      <w:r>
        <w:rPr>
          <w:color w:val="000000"/>
          <w:kern w:val="2"/>
        </w:rPr>
        <w:br w:type="page"/>
      </w:r>
    </w:p>
    <w:p w:rsidR="006A505F" w:rsidRPr="00000AD0" w:rsidRDefault="004B1D39" w:rsidP="00B374D9">
      <w:pPr>
        <w:pStyle w:val="BodyTextIndent"/>
        <w:ind w:left="720" w:firstLine="720"/>
        <w:rPr>
          <w:color w:val="000000"/>
          <w:kern w:val="2"/>
        </w:rPr>
      </w:pPr>
      <w:r>
        <w:rPr>
          <w:color w:val="000000"/>
          <w:kern w:val="2"/>
        </w:rPr>
        <w:lastRenderedPageBreak/>
        <w:t>4</w:t>
      </w:r>
      <w:r w:rsidR="00C86807">
        <w:rPr>
          <w:color w:val="000000"/>
          <w:kern w:val="2"/>
        </w:rPr>
        <w:t>.</w:t>
      </w:r>
      <w:r w:rsidR="006A505F" w:rsidRPr="00104D48">
        <w:rPr>
          <w:color w:val="000000"/>
          <w:kern w:val="2"/>
          <w:sz w:val="26"/>
          <w:szCs w:val="26"/>
        </w:rPr>
        <w:tab/>
        <w:t xml:space="preserve">That the </w:t>
      </w:r>
      <w:r w:rsidR="00304408">
        <w:rPr>
          <w:color w:val="000000"/>
          <w:kern w:val="2"/>
          <w:sz w:val="26"/>
          <w:szCs w:val="26"/>
        </w:rPr>
        <w:t xml:space="preserve">proceeding at Docket No. </w:t>
      </w:r>
      <w:r w:rsidR="00B374D9">
        <w:rPr>
          <w:sz w:val="26"/>
        </w:rPr>
        <w:t>R-2013-2361111</w:t>
      </w:r>
      <w:r w:rsidR="00363EE2">
        <w:rPr>
          <w:sz w:val="26"/>
        </w:rPr>
        <w:t xml:space="preserve"> </w:t>
      </w:r>
      <w:r>
        <w:rPr>
          <w:color w:val="000000"/>
          <w:kern w:val="2"/>
          <w:sz w:val="26"/>
          <w:szCs w:val="26"/>
        </w:rPr>
        <w:t>be</w:t>
      </w:r>
      <w:r w:rsidR="006A505F" w:rsidRPr="00104D48">
        <w:rPr>
          <w:color w:val="000000"/>
          <w:kern w:val="2"/>
          <w:sz w:val="26"/>
          <w:szCs w:val="26"/>
        </w:rPr>
        <w:t xml:space="preserve"> closed.</w:t>
      </w:r>
    </w:p>
    <w:p w:rsidR="006D57F5" w:rsidRDefault="006D57F5">
      <w:pPr>
        <w:tabs>
          <w:tab w:val="left" w:pos="1491"/>
        </w:tabs>
        <w:spacing w:line="360" w:lineRule="auto"/>
        <w:rPr>
          <w:sz w:val="26"/>
        </w:rPr>
      </w:pPr>
    </w:p>
    <w:p w:rsidR="00C9740B" w:rsidRDefault="00477BBB">
      <w:pPr>
        <w:pStyle w:val="p3"/>
        <w:ind w:left="5119"/>
        <w:rPr>
          <w:b/>
          <w:sz w:val="26"/>
        </w:rPr>
      </w:pPr>
      <w:r>
        <w:rPr>
          <w:noProof/>
        </w:rPr>
        <w:drawing>
          <wp:anchor distT="0" distB="0" distL="114300" distR="114300" simplePos="0" relativeHeight="251658240" behindDoc="1" locked="0" layoutInCell="1" allowOverlap="1" wp14:anchorId="666BD203" wp14:editId="5164A76A">
            <wp:simplePos x="0" y="0"/>
            <wp:positionH relativeFrom="column">
              <wp:posOffset>2832100</wp:posOffset>
            </wp:positionH>
            <wp:positionV relativeFrom="paragraph">
              <wp:posOffset>179705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D57F5" w:rsidRDefault="006D57F5">
      <w:pPr>
        <w:pStyle w:val="p3"/>
        <w:ind w:left="5119"/>
        <w:rPr>
          <w:b/>
          <w:sz w:val="26"/>
        </w:rPr>
      </w:pPr>
      <w:r>
        <w:rPr>
          <w:b/>
          <w:sz w:val="26"/>
        </w:rPr>
        <w:t>BY THE COMMISSION,</w:t>
      </w:r>
    </w:p>
    <w:p w:rsidR="006D57F5" w:rsidRDefault="006D57F5">
      <w:pPr>
        <w:tabs>
          <w:tab w:val="left" w:pos="5119"/>
        </w:tabs>
        <w:rPr>
          <w:b/>
          <w:sz w:val="26"/>
        </w:rPr>
      </w:pPr>
    </w:p>
    <w:p w:rsidR="006D57F5" w:rsidRDefault="006D57F5">
      <w:pPr>
        <w:tabs>
          <w:tab w:val="left" w:pos="5119"/>
        </w:tabs>
        <w:rPr>
          <w:b/>
          <w:sz w:val="26"/>
        </w:rPr>
      </w:pPr>
    </w:p>
    <w:p w:rsidR="006D57F5" w:rsidRDefault="006D57F5">
      <w:pPr>
        <w:tabs>
          <w:tab w:val="left" w:pos="5119"/>
        </w:tabs>
        <w:rPr>
          <w:b/>
          <w:sz w:val="26"/>
        </w:rPr>
      </w:pPr>
    </w:p>
    <w:p w:rsidR="006D57F5" w:rsidRDefault="00CF13DF">
      <w:pPr>
        <w:pStyle w:val="p4"/>
        <w:ind w:left="5130"/>
        <w:rPr>
          <w:sz w:val="26"/>
        </w:rPr>
      </w:pPr>
      <w:r>
        <w:rPr>
          <w:sz w:val="26"/>
        </w:rPr>
        <w:t>Rosemary Chiavetta</w:t>
      </w:r>
    </w:p>
    <w:p w:rsidR="006D57F5" w:rsidRDefault="006D57F5">
      <w:pPr>
        <w:pStyle w:val="p4"/>
        <w:ind w:left="5130"/>
        <w:rPr>
          <w:sz w:val="26"/>
        </w:rPr>
      </w:pPr>
      <w:r>
        <w:rPr>
          <w:sz w:val="26"/>
        </w:rPr>
        <w:t>Secretary</w:t>
      </w:r>
    </w:p>
    <w:p w:rsidR="00CF13DF" w:rsidRDefault="00CF13DF">
      <w:pPr>
        <w:pStyle w:val="p4"/>
        <w:ind w:left="5130"/>
        <w:rPr>
          <w:sz w:val="26"/>
        </w:rPr>
      </w:pPr>
    </w:p>
    <w:p w:rsidR="00CF13DF" w:rsidRDefault="00CF13DF">
      <w:pPr>
        <w:pStyle w:val="p4"/>
        <w:ind w:left="5130"/>
        <w:rPr>
          <w:sz w:val="26"/>
        </w:rPr>
      </w:pPr>
    </w:p>
    <w:p w:rsidR="00CF13DF" w:rsidRDefault="00CF13DF">
      <w:pPr>
        <w:pStyle w:val="p4"/>
        <w:ind w:left="5130"/>
        <w:rPr>
          <w:sz w:val="26"/>
        </w:rPr>
      </w:pPr>
    </w:p>
    <w:p w:rsidR="006D57F5" w:rsidRDefault="006D57F5">
      <w:pPr>
        <w:tabs>
          <w:tab w:val="left" w:pos="5130"/>
        </w:tabs>
        <w:rPr>
          <w:sz w:val="26"/>
        </w:rPr>
      </w:pPr>
    </w:p>
    <w:p w:rsidR="006D57F5" w:rsidRDefault="006D57F5">
      <w:pPr>
        <w:pStyle w:val="p1"/>
        <w:tabs>
          <w:tab w:val="clear" w:pos="691"/>
        </w:tabs>
        <w:ind w:hanging="1054"/>
        <w:rPr>
          <w:sz w:val="26"/>
        </w:rPr>
      </w:pPr>
      <w:r>
        <w:rPr>
          <w:sz w:val="26"/>
        </w:rPr>
        <w:t>(SEAL)</w:t>
      </w:r>
    </w:p>
    <w:p w:rsidR="006D57F5" w:rsidRDefault="006D57F5">
      <w:pPr>
        <w:pStyle w:val="p1"/>
        <w:tabs>
          <w:tab w:val="clear" w:pos="691"/>
        </w:tabs>
        <w:ind w:hanging="1054"/>
        <w:rPr>
          <w:sz w:val="26"/>
        </w:rPr>
      </w:pPr>
    </w:p>
    <w:p w:rsidR="006D57F5" w:rsidRDefault="006D57F5">
      <w:pPr>
        <w:tabs>
          <w:tab w:val="left" w:pos="204"/>
        </w:tabs>
        <w:rPr>
          <w:sz w:val="26"/>
        </w:rPr>
      </w:pPr>
    </w:p>
    <w:p w:rsidR="006D57F5" w:rsidRDefault="006D57F5">
      <w:pPr>
        <w:pStyle w:val="p1"/>
        <w:tabs>
          <w:tab w:val="clear" w:pos="691"/>
        </w:tabs>
        <w:ind w:hanging="1054"/>
        <w:rPr>
          <w:sz w:val="26"/>
        </w:rPr>
      </w:pPr>
      <w:r>
        <w:rPr>
          <w:sz w:val="26"/>
        </w:rPr>
        <w:t xml:space="preserve">ORDER ADOPTED: </w:t>
      </w:r>
      <w:r w:rsidR="004B1D39">
        <w:rPr>
          <w:sz w:val="26"/>
        </w:rPr>
        <w:t xml:space="preserve"> July 16, 2013</w:t>
      </w:r>
    </w:p>
    <w:p w:rsidR="006D57F5" w:rsidRDefault="006D57F5">
      <w:pPr>
        <w:tabs>
          <w:tab w:val="left" w:pos="204"/>
        </w:tabs>
        <w:rPr>
          <w:sz w:val="26"/>
        </w:rPr>
      </w:pPr>
    </w:p>
    <w:p w:rsidR="006D57F5" w:rsidRDefault="006D57F5">
      <w:pPr>
        <w:pStyle w:val="p1"/>
        <w:tabs>
          <w:tab w:val="clear" w:pos="691"/>
        </w:tabs>
        <w:ind w:hanging="1054"/>
        <w:rPr>
          <w:sz w:val="26"/>
        </w:rPr>
      </w:pPr>
      <w:r>
        <w:rPr>
          <w:sz w:val="26"/>
        </w:rPr>
        <w:t xml:space="preserve">ORDER ENTERED: </w:t>
      </w:r>
      <w:r w:rsidR="00477BBB">
        <w:rPr>
          <w:sz w:val="26"/>
        </w:rPr>
        <w:t>July 16, 2013</w:t>
      </w:r>
      <w:bookmarkStart w:id="0" w:name="_GoBack"/>
      <w:bookmarkEnd w:id="0"/>
    </w:p>
    <w:sectPr w:rsidR="006D57F5" w:rsidSect="00975D6C">
      <w:footerReference w:type="even" r:id="rId10"/>
      <w:footerReference w:type="default" r:id="rId11"/>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9" w:rsidRDefault="003C3839">
      <w:r>
        <w:separator/>
      </w:r>
    </w:p>
  </w:endnote>
  <w:endnote w:type="continuationSeparator" w:id="0">
    <w:p w:rsidR="003C3839" w:rsidRDefault="003C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AB" w:rsidRDefault="008F13AB" w:rsidP="006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13AB" w:rsidRDefault="008F1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AB" w:rsidRDefault="008F13AB" w:rsidP="006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BBB">
      <w:rPr>
        <w:rStyle w:val="PageNumber"/>
        <w:noProof/>
      </w:rPr>
      <w:t>5</w:t>
    </w:r>
    <w:r>
      <w:rPr>
        <w:rStyle w:val="PageNumber"/>
      </w:rPr>
      <w:fldChar w:fldCharType="end"/>
    </w:r>
  </w:p>
  <w:p w:rsidR="008F13AB" w:rsidRDefault="008F13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9" w:rsidRDefault="003C3839">
      <w:r>
        <w:separator/>
      </w:r>
    </w:p>
  </w:footnote>
  <w:footnote w:type="continuationSeparator" w:id="0">
    <w:p w:rsidR="003C3839" w:rsidRDefault="003C3839">
      <w:r>
        <w:continuationSeparator/>
      </w:r>
    </w:p>
  </w:footnote>
  <w:footnote w:id="1">
    <w:p w:rsidR="00001777" w:rsidRDefault="00001777" w:rsidP="00001777">
      <w:pPr>
        <w:pStyle w:val="FootnoteText"/>
      </w:pPr>
      <w:r>
        <w:rPr>
          <w:rStyle w:val="FootnoteReference"/>
        </w:rPr>
        <w:footnoteRef/>
      </w:r>
      <w:r>
        <w:t xml:space="preserve"> </w:t>
      </w:r>
      <w:r w:rsidRPr="00240722">
        <w:rPr>
          <w:i/>
          <w:sz w:val="24"/>
          <w:szCs w:val="24"/>
        </w:rPr>
        <w:t>Schiner v. Pa. Power &amp; Light Co</w:t>
      </w:r>
      <w:r w:rsidRPr="00240722">
        <w:rPr>
          <w:sz w:val="24"/>
          <w:szCs w:val="24"/>
        </w:rPr>
        <w:t>. 501 A.2d 1128 (Pa. Super. 1985)</w:t>
      </w:r>
      <w:r>
        <w:rPr>
          <w:sz w:val="24"/>
          <w:szCs w:val="24"/>
        </w:rPr>
        <w:t xml:space="preserve"> (if electricity in a dangerous and defective condition passes into the stream of commerce causing harm strict liability may apply against the electric utility)</w:t>
      </w:r>
      <w:r w:rsidRPr="00240722">
        <w:rPr>
          <w:sz w:val="24"/>
          <w:szCs w:val="24"/>
        </w:rPr>
        <w:t>.</w:t>
      </w:r>
    </w:p>
  </w:footnote>
  <w:footnote w:id="2">
    <w:p w:rsidR="000D0AC7" w:rsidRDefault="000D0AC7">
      <w:pPr>
        <w:pStyle w:val="FootnoteText"/>
      </w:pPr>
      <w:r>
        <w:rPr>
          <w:rStyle w:val="FootnoteReference"/>
        </w:rPr>
        <w:footnoteRef/>
      </w:r>
      <w:r>
        <w:t xml:space="preserve"> Metropolitan Edison Company, Electric Pa. P.U.C. No. 51, First revised Page 62; Pennsylvania Electric Company, Electric Pa. P.U.C No. 80, Original Page 69; Equitable Gas Company, Gas  PA. P.U.C. No. 22, Original Page No. 26.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ECEA5388">
      <w:start w:val="3"/>
      <w:numFmt w:val="lowerRoman"/>
      <w:lvlText w:val="(%1)"/>
      <w:lvlJc w:val="left"/>
      <w:pPr>
        <w:tabs>
          <w:tab w:val="num" w:pos="1257"/>
        </w:tabs>
        <w:ind w:left="1257" w:hanging="720"/>
      </w:pPr>
      <w:rPr>
        <w:rFonts w:cs="Times New Roman" w:hint="default"/>
      </w:rPr>
    </w:lvl>
    <w:lvl w:ilvl="1" w:tplc="04C426FC" w:tentative="1">
      <w:start w:val="1"/>
      <w:numFmt w:val="lowerLetter"/>
      <w:lvlText w:val="%2."/>
      <w:lvlJc w:val="left"/>
      <w:pPr>
        <w:tabs>
          <w:tab w:val="num" w:pos="1617"/>
        </w:tabs>
        <w:ind w:left="1617" w:hanging="360"/>
      </w:pPr>
      <w:rPr>
        <w:rFonts w:cs="Times New Roman"/>
      </w:rPr>
    </w:lvl>
    <w:lvl w:ilvl="2" w:tplc="E0243EBC" w:tentative="1">
      <w:start w:val="1"/>
      <w:numFmt w:val="lowerRoman"/>
      <w:lvlText w:val="%3."/>
      <w:lvlJc w:val="right"/>
      <w:pPr>
        <w:tabs>
          <w:tab w:val="num" w:pos="2337"/>
        </w:tabs>
        <w:ind w:left="2337" w:hanging="180"/>
      </w:pPr>
      <w:rPr>
        <w:rFonts w:cs="Times New Roman"/>
      </w:rPr>
    </w:lvl>
    <w:lvl w:ilvl="3" w:tplc="43825F2C" w:tentative="1">
      <w:start w:val="1"/>
      <w:numFmt w:val="decimal"/>
      <w:lvlText w:val="%4."/>
      <w:lvlJc w:val="left"/>
      <w:pPr>
        <w:tabs>
          <w:tab w:val="num" w:pos="3057"/>
        </w:tabs>
        <w:ind w:left="3057" w:hanging="360"/>
      </w:pPr>
      <w:rPr>
        <w:rFonts w:cs="Times New Roman"/>
      </w:rPr>
    </w:lvl>
    <w:lvl w:ilvl="4" w:tplc="926E23EE" w:tentative="1">
      <w:start w:val="1"/>
      <w:numFmt w:val="lowerLetter"/>
      <w:lvlText w:val="%5."/>
      <w:lvlJc w:val="left"/>
      <w:pPr>
        <w:tabs>
          <w:tab w:val="num" w:pos="3777"/>
        </w:tabs>
        <w:ind w:left="3777" w:hanging="360"/>
      </w:pPr>
      <w:rPr>
        <w:rFonts w:cs="Times New Roman"/>
      </w:rPr>
    </w:lvl>
    <w:lvl w:ilvl="5" w:tplc="C1DCCBCA" w:tentative="1">
      <w:start w:val="1"/>
      <w:numFmt w:val="lowerRoman"/>
      <w:lvlText w:val="%6."/>
      <w:lvlJc w:val="right"/>
      <w:pPr>
        <w:tabs>
          <w:tab w:val="num" w:pos="4497"/>
        </w:tabs>
        <w:ind w:left="4497" w:hanging="180"/>
      </w:pPr>
      <w:rPr>
        <w:rFonts w:cs="Times New Roman"/>
      </w:rPr>
    </w:lvl>
    <w:lvl w:ilvl="6" w:tplc="A7FE4B1A" w:tentative="1">
      <w:start w:val="1"/>
      <w:numFmt w:val="decimal"/>
      <w:lvlText w:val="%7."/>
      <w:lvlJc w:val="left"/>
      <w:pPr>
        <w:tabs>
          <w:tab w:val="num" w:pos="5217"/>
        </w:tabs>
        <w:ind w:left="5217" w:hanging="360"/>
      </w:pPr>
      <w:rPr>
        <w:rFonts w:cs="Times New Roman"/>
      </w:rPr>
    </w:lvl>
    <w:lvl w:ilvl="7" w:tplc="72F2148E" w:tentative="1">
      <w:start w:val="1"/>
      <w:numFmt w:val="lowerLetter"/>
      <w:lvlText w:val="%8."/>
      <w:lvlJc w:val="left"/>
      <w:pPr>
        <w:tabs>
          <w:tab w:val="num" w:pos="5937"/>
        </w:tabs>
        <w:ind w:left="5937" w:hanging="360"/>
      </w:pPr>
      <w:rPr>
        <w:rFonts w:cs="Times New Roman"/>
      </w:rPr>
    </w:lvl>
    <w:lvl w:ilvl="8" w:tplc="0D723846" w:tentative="1">
      <w:start w:val="1"/>
      <w:numFmt w:val="lowerRoman"/>
      <w:lvlText w:val="%9."/>
      <w:lvlJc w:val="right"/>
      <w:pPr>
        <w:tabs>
          <w:tab w:val="num" w:pos="6657"/>
        </w:tabs>
        <w:ind w:left="6657" w:hanging="180"/>
      </w:pPr>
      <w:rPr>
        <w:rFonts w:cs="Times New Roman"/>
      </w:rPr>
    </w:lvl>
  </w:abstractNum>
  <w:abstractNum w:abstractNumId="1">
    <w:nsid w:val="4A38137D"/>
    <w:multiLevelType w:val="hybridMultilevel"/>
    <w:tmpl w:val="48346438"/>
    <w:lvl w:ilvl="0" w:tplc="63FAE56E">
      <w:start w:val="1"/>
      <w:numFmt w:val="lowerRoman"/>
      <w:lvlText w:val="%1)"/>
      <w:lvlJc w:val="left"/>
      <w:pPr>
        <w:tabs>
          <w:tab w:val="num" w:pos="1502"/>
        </w:tabs>
        <w:ind w:left="1502" w:hanging="720"/>
      </w:pPr>
      <w:rPr>
        <w:rFonts w:cs="Times New Roman" w:hint="default"/>
      </w:rPr>
    </w:lvl>
    <w:lvl w:ilvl="1" w:tplc="5A9C9B74" w:tentative="1">
      <w:start w:val="1"/>
      <w:numFmt w:val="lowerLetter"/>
      <w:lvlText w:val="%2."/>
      <w:lvlJc w:val="left"/>
      <w:pPr>
        <w:tabs>
          <w:tab w:val="num" w:pos="1862"/>
        </w:tabs>
        <w:ind w:left="1862" w:hanging="360"/>
      </w:pPr>
      <w:rPr>
        <w:rFonts w:cs="Times New Roman"/>
      </w:rPr>
    </w:lvl>
    <w:lvl w:ilvl="2" w:tplc="4CBACE2A" w:tentative="1">
      <w:start w:val="1"/>
      <w:numFmt w:val="lowerRoman"/>
      <w:lvlText w:val="%3."/>
      <w:lvlJc w:val="right"/>
      <w:pPr>
        <w:tabs>
          <w:tab w:val="num" w:pos="2582"/>
        </w:tabs>
        <w:ind w:left="2582" w:hanging="180"/>
      </w:pPr>
      <w:rPr>
        <w:rFonts w:cs="Times New Roman"/>
      </w:rPr>
    </w:lvl>
    <w:lvl w:ilvl="3" w:tplc="B0F061C8" w:tentative="1">
      <w:start w:val="1"/>
      <w:numFmt w:val="decimal"/>
      <w:lvlText w:val="%4."/>
      <w:lvlJc w:val="left"/>
      <w:pPr>
        <w:tabs>
          <w:tab w:val="num" w:pos="3302"/>
        </w:tabs>
        <w:ind w:left="3302" w:hanging="360"/>
      </w:pPr>
      <w:rPr>
        <w:rFonts w:cs="Times New Roman"/>
      </w:rPr>
    </w:lvl>
    <w:lvl w:ilvl="4" w:tplc="8D1CDF88" w:tentative="1">
      <w:start w:val="1"/>
      <w:numFmt w:val="lowerLetter"/>
      <w:lvlText w:val="%5."/>
      <w:lvlJc w:val="left"/>
      <w:pPr>
        <w:tabs>
          <w:tab w:val="num" w:pos="4022"/>
        </w:tabs>
        <w:ind w:left="4022" w:hanging="360"/>
      </w:pPr>
      <w:rPr>
        <w:rFonts w:cs="Times New Roman"/>
      </w:rPr>
    </w:lvl>
    <w:lvl w:ilvl="5" w:tplc="FF40DAF8" w:tentative="1">
      <w:start w:val="1"/>
      <w:numFmt w:val="lowerRoman"/>
      <w:lvlText w:val="%6."/>
      <w:lvlJc w:val="right"/>
      <w:pPr>
        <w:tabs>
          <w:tab w:val="num" w:pos="4742"/>
        </w:tabs>
        <w:ind w:left="4742" w:hanging="180"/>
      </w:pPr>
      <w:rPr>
        <w:rFonts w:cs="Times New Roman"/>
      </w:rPr>
    </w:lvl>
    <w:lvl w:ilvl="6" w:tplc="0F463160" w:tentative="1">
      <w:start w:val="1"/>
      <w:numFmt w:val="decimal"/>
      <w:lvlText w:val="%7."/>
      <w:lvlJc w:val="left"/>
      <w:pPr>
        <w:tabs>
          <w:tab w:val="num" w:pos="5462"/>
        </w:tabs>
        <w:ind w:left="5462" w:hanging="360"/>
      </w:pPr>
      <w:rPr>
        <w:rFonts w:cs="Times New Roman"/>
      </w:rPr>
    </w:lvl>
    <w:lvl w:ilvl="7" w:tplc="9A76108E" w:tentative="1">
      <w:start w:val="1"/>
      <w:numFmt w:val="lowerLetter"/>
      <w:lvlText w:val="%8."/>
      <w:lvlJc w:val="left"/>
      <w:pPr>
        <w:tabs>
          <w:tab w:val="num" w:pos="6182"/>
        </w:tabs>
        <w:ind w:left="6182" w:hanging="360"/>
      </w:pPr>
      <w:rPr>
        <w:rFonts w:cs="Times New Roman"/>
      </w:rPr>
    </w:lvl>
    <w:lvl w:ilvl="8" w:tplc="83D61EC4" w:tentative="1">
      <w:start w:val="1"/>
      <w:numFmt w:val="lowerRoman"/>
      <w:lvlText w:val="%9."/>
      <w:lvlJc w:val="right"/>
      <w:pPr>
        <w:tabs>
          <w:tab w:val="num" w:pos="6902"/>
        </w:tabs>
        <w:ind w:left="6902" w:hanging="180"/>
      </w:pPr>
      <w:rPr>
        <w:rFonts w:cs="Times New Roman"/>
      </w:rPr>
    </w:lvl>
  </w:abstractNum>
  <w:abstractNum w:abstractNumId="2">
    <w:nsid w:val="634D473B"/>
    <w:multiLevelType w:val="hybridMultilevel"/>
    <w:tmpl w:val="00CC0CD0"/>
    <w:lvl w:ilvl="0" w:tplc="64348138">
      <w:start w:val="1"/>
      <w:numFmt w:val="decimal"/>
      <w:lvlText w:val="%1)"/>
      <w:lvlJc w:val="left"/>
      <w:pPr>
        <w:tabs>
          <w:tab w:val="num" w:pos="1800"/>
        </w:tabs>
        <w:ind w:left="1800" w:hanging="360"/>
      </w:pPr>
      <w:rPr>
        <w:rFonts w:hint="default"/>
      </w:rPr>
    </w:lvl>
    <w:lvl w:ilvl="1" w:tplc="B6F2FDA6" w:tentative="1">
      <w:start w:val="1"/>
      <w:numFmt w:val="lowerLetter"/>
      <w:lvlText w:val="%2."/>
      <w:lvlJc w:val="left"/>
      <w:pPr>
        <w:tabs>
          <w:tab w:val="num" w:pos="2520"/>
        </w:tabs>
        <w:ind w:left="2520" w:hanging="360"/>
      </w:pPr>
    </w:lvl>
    <w:lvl w:ilvl="2" w:tplc="50D8F5B6" w:tentative="1">
      <w:start w:val="1"/>
      <w:numFmt w:val="lowerRoman"/>
      <w:lvlText w:val="%3."/>
      <w:lvlJc w:val="right"/>
      <w:pPr>
        <w:tabs>
          <w:tab w:val="num" w:pos="3240"/>
        </w:tabs>
        <w:ind w:left="3240" w:hanging="180"/>
      </w:pPr>
    </w:lvl>
    <w:lvl w:ilvl="3" w:tplc="E7A42A2A" w:tentative="1">
      <w:start w:val="1"/>
      <w:numFmt w:val="decimal"/>
      <w:lvlText w:val="%4."/>
      <w:lvlJc w:val="left"/>
      <w:pPr>
        <w:tabs>
          <w:tab w:val="num" w:pos="3960"/>
        </w:tabs>
        <w:ind w:left="3960" w:hanging="360"/>
      </w:pPr>
    </w:lvl>
    <w:lvl w:ilvl="4" w:tplc="F06A9B9C" w:tentative="1">
      <w:start w:val="1"/>
      <w:numFmt w:val="lowerLetter"/>
      <w:lvlText w:val="%5."/>
      <w:lvlJc w:val="left"/>
      <w:pPr>
        <w:tabs>
          <w:tab w:val="num" w:pos="4680"/>
        </w:tabs>
        <w:ind w:left="4680" w:hanging="360"/>
      </w:pPr>
    </w:lvl>
    <w:lvl w:ilvl="5" w:tplc="5386D524" w:tentative="1">
      <w:start w:val="1"/>
      <w:numFmt w:val="lowerRoman"/>
      <w:lvlText w:val="%6."/>
      <w:lvlJc w:val="right"/>
      <w:pPr>
        <w:tabs>
          <w:tab w:val="num" w:pos="5400"/>
        </w:tabs>
        <w:ind w:left="5400" w:hanging="180"/>
      </w:pPr>
    </w:lvl>
    <w:lvl w:ilvl="6" w:tplc="7692570A" w:tentative="1">
      <w:start w:val="1"/>
      <w:numFmt w:val="decimal"/>
      <w:lvlText w:val="%7."/>
      <w:lvlJc w:val="left"/>
      <w:pPr>
        <w:tabs>
          <w:tab w:val="num" w:pos="6120"/>
        </w:tabs>
        <w:ind w:left="6120" w:hanging="360"/>
      </w:pPr>
    </w:lvl>
    <w:lvl w:ilvl="7" w:tplc="87CE83CA" w:tentative="1">
      <w:start w:val="1"/>
      <w:numFmt w:val="lowerLetter"/>
      <w:lvlText w:val="%8."/>
      <w:lvlJc w:val="left"/>
      <w:pPr>
        <w:tabs>
          <w:tab w:val="num" w:pos="6840"/>
        </w:tabs>
        <w:ind w:left="6840" w:hanging="360"/>
      </w:pPr>
    </w:lvl>
    <w:lvl w:ilvl="8" w:tplc="782ED978" w:tentative="1">
      <w:start w:val="1"/>
      <w:numFmt w:val="lowerRoman"/>
      <w:lvlText w:val="%9."/>
      <w:lvlJc w:val="right"/>
      <w:pPr>
        <w:tabs>
          <w:tab w:val="num" w:pos="7560"/>
        </w:tabs>
        <w:ind w:left="7560" w:hanging="180"/>
      </w:pPr>
    </w:lvl>
  </w:abstractNum>
  <w:abstractNum w:abstractNumId="3">
    <w:nsid w:val="75C73095"/>
    <w:multiLevelType w:val="hybridMultilevel"/>
    <w:tmpl w:val="0D98FE4A"/>
    <w:lvl w:ilvl="0" w:tplc="2E48E8DE">
      <w:start w:val="3"/>
      <w:numFmt w:val="lowerRoman"/>
      <w:lvlText w:val="(%1)"/>
      <w:lvlJc w:val="left"/>
      <w:pPr>
        <w:tabs>
          <w:tab w:val="num" w:pos="1257"/>
        </w:tabs>
        <w:ind w:left="1257" w:hanging="720"/>
      </w:pPr>
      <w:rPr>
        <w:rFonts w:cs="Times New Roman" w:hint="default"/>
      </w:rPr>
    </w:lvl>
    <w:lvl w:ilvl="1" w:tplc="310CECEA" w:tentative="1">
      <w:start w:val="1"/>
      <w:numFmt w:val="lowerLetter"/>
      <w:lvlText w:val="%2."/>
      <w:lvlJc w:val="left"/>
      <w:pPr>
        <w:tabs>
          <w:tab w:val="num" w:pos="1617"/>
        </w:tabs>
        <w:ind w:left="1617" w:hanging="360"/>
      </w:pPr>
      <w:rPr>
        <w:rFonts w:cs="Times New Roman"/>
      </w:rPr>
    </w:lvl>
    <w:lvl w:ilvl="2" w:tplc="60F619C4" w:tentative="1">
      <w:start w:val="1"/>
      <w:numFmt w:val="lowerRoman"/>
      <w:lvlText w:val="%3."/>
      <w:lvlJc w:val="right"/>
      <w:pPr>
        <w:tabs>
          <w:tab w:val="num" w:pos="2337"/>
        </w:tabs>
        <w:ind w:left="2337" w:hanging="180"/>
      </w:pPr>
      <w:rPr>
        <w:rFonts w:cs="Times New Roman"/>
      </w:rPr>
    </w:lvl>
    <w:lvl w:ilvl="3" w:tplc="F6A49FDA" w:tentative="1">
      <w:start w:val="1"/>
      <w:numFmt w:val="decimal"/>
      <w:lvlText w:val="%4."/>
      <w:lvlJc w:val="left"/>
      <w:pPr>
        <w:tabs>
          <w:tab w:val="num" w:pos="3057"/>
        </w:tabs>
        <w:ind w:left="3057" w:hanging="360"/>
      </w:pPr>
      <w:rPr>
        <w:rFonts w:cs="Times New Roman"/>
      </w:rPr>
    </w:lvl>
    <w:lvl w:ilvl="4" w:tplc="0AA81C30" w:tentative="1">
      <w:start w:val="1"/>
      <w:numFmt w:val="lowerLetter"/>
      <w:lvlText w:val="%5."/>
      <w:lvlJc w:val="left"/>
      <w:pPr>
        <w:tabs>
          <w:tab w:val="num" w:pos="3777"/>
        </w:tabs>
        <w:ind w:left="3777" w:hanging="360"/>
      </w:pPr>
      <w:rPr>
        <w:rFonts w:cs="Times New Roman"/>
      </w:rPr>
    </w:lvl>
    <w:lvl w:ilvl="5" w:tplc="D5048526" w:tentative="1">
      <w:start w:val="1"/>
      <w:numFmt w:val="lowerRoman"/>
      <w:lvlText w:val="%6."/>
      <w:lvlJc w:val="right"/>
      <w:pPr>
        <w:tabs>
          <w:tab w:val="num" w:pos="4497"/>
        </w:tabs>
        <w:ind w:left="4497" w:hanging="180"/>
      </w:pPr>
      <w:rPr>
        <w:rFonts w:cs="Times New Roman"/>
      </w:rPr>
    </w:lvl>
    <w:lvl w:ilvl="6" w:tplc="6A3E2CE0" w:tentative="1">
      <w:start w:val="1"/>
      <w:numFmt w:val="decimal"/>
      <w:lvlText w:val="%7."/>
      <w:lvlJc w:val="left"/>
      <w:pPr>
        <w:tabs>
          <w:tab w:val="num" w:pos="5217"/>
        </w:tabs>
        <w:ind w:left="5217" w:hanging="360"/>
      </w:pPr>
      <w:rPr>
        <w:rFonts w:cs="Times New Roman"/>
      </w:rPr>
    </w:lvl>
    <w:lvl w:ilvl="7" w:tplc="D6CE15B4" w:tentative="1">
      <w:start w:val="1"/>
      <w:numFmt w:val="lowerLetter"/>
      <w:lvlText w:val="%8."/>
      <w:lvlJc w:val="left"/>
      <w:pPr>
        <w:tabs>
          <w:tab w:val="num" w:pos="5937"/>
        </w:tabs>
        <w:ind w:left="5937" w:hanging="360"/>
      </w:pPr>
      <w:rPr>
        <w:rFonts w:cs="Times New Roman"/>
      </w:rPr>
    </w:lvl>
    <w:lvl w:ilvl="8" w:tplc="1D18640A" w:tentative="1">
      <w:start w:val="1"/>
      <w:numFmt w:val="lowerRoman"/>
      <w:lvlText w:val="%9."/>
      <w:lvlJc w:val="right"/>
      <w:pPr>
        <w:tabs>
          <w:tab w:val="num" w:pos="6657"/>
        </w:tabs>
        <w:ind w:left="6657" w:hanging="180"/>
      </w:pPr>
      <w:rPr>
        <w:rFonts w:cs="Times New Roman"/>
      </w:rPr>
    </w:lvl>
  </w:abstractNum>
  <w:abstractNum w:abstractNumId="4">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E1"/>
    <w:rsid w:val="00001777"/>
    <w:rsid w:val="00003002"/>
    <w:rsid w:val="00013CF7"/>
    <w:rsid w:val="00065B61"/>
    <w:rsid w:val="00076950"/>
    <w:rsid w:val="000900E1"/>
    <w:rsid w:val="000972D9"/>
    <w:rsid w:val="000A6DFB"/>
    <w:rsid w:val="000C042F"/>
    <w:rsid w:val="000D0AC7"/>
    <w:rsid w:val="000F77B8"/>
    <w:rsid w:val="00104D48"/>
    <w:rsid w:val="00107A35"/>
    <w:rsid w:val="00115B5B"/>
    <w:rsid w:val="001319F8"/>
    <w:rsid w:val="001345D9"/>
    <w:rsid w:val="001360A1"/>
    <w:rsid w:val="00136B90"/>
    <w:rsid w:val="00143144"/>
    <w:rsid w:val="001524D4"/>
    <w:rsid w:val="00155513"/>
    <w:rsid w:val="00156E1D"/>
    <w:rsid w:val="00164C24"/>
    <w:rsid w:val="0018058B"/>
    <w:rsid w:val="00181DB1"/>
    <w:rsid w:val="00187C03"/>
    <w:rsid w:val="00190A99"/>
    <w:rsid w:val="00193CC2"/>
    <w:rsid w:val="001954E3"/>
    <w:rsid w:val="001A64DB"/>
    <w:rsid w:val="001A6565"/>
    <w:rsid w:val="001A7CD6"/>
    <w:rsid w:val="001B0C40"/>
    <w:rsid w:val="001D1901"/>
    <w:rsid w:val="001D1A76"/>
    <w:rsid w:val="001D656C"/>
    <w:rsid w:val="001F50AA"/>
    <w:rsid w:val="001F5FEE"/>
    <w:rsid w:val="002047B2"/>
    <w:rsid w:val="00206989"/>
    <w:rsid w:val="002136C3"/>
    <w:rsid w:val="00223510"/>
    <w:rsid w:val="002366DA"/>
    <w:rsid w:val="00255485"/>
    <w:rsid w:val="00292940"/>
    <w:rsid w:val="002959D7"/>
    <w:rsid w:val="00295E49"/>
    <w:rsid w:val="002B1F16"/>
    <w:rsid w:val="002C295E"/>
    <w:rsid w:val="002C4AB4"/>
    <w:rsid w:val="002D30FB"/>
    <w:rsid w:val="002F0912"/>
    <w:rsid w:val="00304408"/>
    <w:rsid w:val="003070BF"/>
    <w:rsid w:val="00307659"/>
    <w:rsid w:val="00313C79"/>
    <w:rsid w:val="00346194"/>
    <w:rsid w:val="00352F00"/>
    <w:rsid w:val="003547E3"/>
    <w:rsid w:val="00360A0E"/>
    <w:rsid w:val="00363EE2"/>
    <w:rsid w:val="003678E1"/>
    <w:rsid w:val="00376949"/>
    <w:rsid w:val="0038456F"/>
    <w:rsid w:val="003958C4"/>
    <w:rsid w:val="00396F9A"/>
    <w:rsid w:val="003A4FF4"/>
    <w:rsid w:val="003B249C"/>
    <w:rsid w:val="003C109C"/>
    <w:rsid w:val="003C3839"/>
    <w:rsid w:val="003D15F0"/>
    <w:rsid w:val="003D22FB"/>
    <w:rsid w:val="003D2B02"/>
    <w:rsid w:val="003E1DB3"/>
    <w:rsid w:val="003E51DD"/>
    <w:rsid w:val="003E522B"/>
    <w:rsid w:val="003F76A4"/>
    <w:rsid w:val="004161B1"/>
    <w:rsid w:val="00421F51"/>
    <w:rsid w:val="0043195F"/>
    <w:rsid w:val="00437602"/>
    <w:rsid w:val="0043783B"/>
    <w:rsid w:val="00462F2B"/>
    <w:rsid w:val="00474FF0"/>
    <w:rsid w:val="00475859"/>
    <w:rsid w:val="00477BBB"/>
    <w:rsid w:val="00485C6F"/>
    <w:rsid w:val="0049256C"/>
    <w:rsid w:val="004A7E9E"/>
    <w:rsid w:val="004B1D39"/>
    <w:rsid w:val="005116B9"/>
    <w:rsid w:val="00541F9A"/>
    <w:rsid w:val="00543824"/>
    <w:rsid w:val="00545D44"/>
    <w:rsid w:val="00550762"/>
    <w:rsid w:val="00552600"/>
    <w:rsid w:val="00552D44"/>
    <w:rsid w:val="00555F6D"/>
    <w:rsid w:val="00560C52"/>
    <w:rsid w:val="00571D44"/>
    <w:rsid w:val="0057286A"/>
    <w:rsid w:val="00574093"/>
    <w:rsid w:val="005751D9"/>
    <w:rsid w:val="00582377"/>
    <w:rsid w:val="00590810"/>
    <w:rsid w:val="00592137"/>
    <w:rsid w:val="005A514C"/>
    <w:rsid w:val="005B031E"/>
    <w:rsid w:val="005B3A40"/>
    <w:rsid w:val="005B5C21"/>
    <w:rsid w:val="005E0BE0"/>
    <w:rsid w:val="0060352A"/>
    <w:rsid w:val="00604033"/>
    <w:rsid w:val="00610509"/>
    <w:rsid w:val="00610F38"/>
    <w:rsid w:val="0061143A"/>
    <w:rsid w:val="006162AE"/>
    <w:rsid w:val="0062256F"/>
    <w:rsid w:val="00633EE3"/>
    <w:rsid w:val="00663DB3"/>
    <w:rsid w:val="0067224C"/>
    <w:rsid w:val="00674BD9"/>
    <w:rsid w:val="00684F7C"/>
    <w:rsid w:val="006A505F"/>
    <w:rsid w:val="006B6292"/>
    <w:rsid w:val="006C4013"/>
    <w:rsid w:val="006D57F5"/>
    <w:rsid w:val="006E2896"/>
    <w:rsid w:val="006F19B5"/>
    <w:rsid w:val="006F6E02"/>
    <w:rsid w:val="007003ED"/>
    <w:rsid w:val="00703169"/>
    <w:rsid w:val="00704829"/>
    <w:rsid w:val="00707DB8"/>
    <w:rsid w:val="00720EA4"/>
    <w:rsid w:val="00727A58"/>
    <w:rsid w:val="00741010"/>
    <w:rsid w:val="00747DA8"/>
    <w:rsid w:val="00756BE9"/>
    <w:rsid w:val="00767D99"/>
    <w:rsid w:val="007753D5"/>
    <w:rsid w:val="0079254B"/>
    <w:rsid w:val="007A2843"/>
    <w:rsid w:val="007A7AFA"/>
    <w:rsid w:val="007C6940"/>
    <w:rsid w:val="007C6BC6"/>
    <w:rsid w:val="007D015D"/>
    <w:rsid w:val="007D7ED5"/>
    <w:rsid w:val="007E7F39"/>
    <w:rsid w:val="007F3156"/>
    <w:rsid w:val="007F7523"/>
    <w:rsid w:val="00800C3E"/>
    <w:rsid w:val="00804FB5"/>
    <w:rsid w:val="00816EA7"/>
    <w:rsid w:val="008172E6"/>
    <w:rsid w:val="00822172"/>
    <w:rsid w:val="00844B33"/>
    <w:rsid w:val="008500E3"/>
    <w:rsid w:val="00862D35"/>
    <w:rsid w:val="00874426"/>
    <w:rsid w:val="008774B1"/>
    <w:rsid w:val="00880854"/>
    <w:rsid w:val="008841EF"/>
    <w:rsid w:val="008867E6"/>
    <w:rsid w:val="008A6D26"/>
    <w:rsid w:val="008B3613"/>
    <w:rsid w:val="008D0399"/>
    <w:rsid w:val="008D1225"/>
    <w:rsid w:val="008F13AB"/>
    <w:rsid w:val="00901D73"/>
    <w:rsid w:val="0090663F"/>
    <w:rsid w:val="00913EAD"/>
    <w:rsid w:val="0092332D"/>
    <w:rsid w:val="00941EA2"/>
    <w:rsid w:val="00954856"/>
    <w:rsid w:val="00971600"/>
    <w:rsid w:val="00975D6C"/>
    <w:rsid w:val="009A4EC7"/>
    <w:rsid w:val="009C4A7B"/>
    <w:rsid w:val="009D1796"/>
    <w:rsid w:val="009D286F"/>
    <w:rsid w:val="009D4460"/>
    <w:rsid w:val="009E05C0"/>
    <w:rsid w:val="009F4A12"/>
    <w:rsid w:val="00A007C3"/>
    <w:rsid w:val="00A07576"/>
    <w:rsid w:val="00A2322C"/>
    <w:rsid w:val="00A274DC"/>
    <w:rsid w:val="00A51B60"/>
    <w:rsid w:val="00A77E35"/>
    <w:rsid w:val="00AA055D"/>
    <w:rsid w:val="00AB2A76"/>
    <w:rsid w:val="00AB3BC5"/>
    <w:rsid w:val="00AC3606"/>
    <w:rsid w:val="00AC38FB"/>
    <w:rsid w:val="00AC3B05"/>
    <w:rsid w:val="00AD543C"/>
    <w:rsid w:val="00AF3A73"/>
    <w:rsid w:val="00AF75D6"/>
    <w:rsid w:val="00B14844"/>
    <w:rsid w:val="00B1580D"/>
    <w:rsid w:val="00B2309B"/>
    <w:rsid w:val="00B27B65"/>
    <w:rsid w:val="00B3234D"/>
    <w:rsid w:val="00B374D9"/>
    <w:rsid w:val="00B6550E"/>
    <w:rsid w:val="00BA2B6D"/>
    <w:rsid w:val="00BB1143"/>
    <w:rsid w:val="00BD7343"/>
    <w:rsid w:val="00BF54BA"/>
    <w:rsid w:val="00C11A90"/>
    <w:rsid w:val="00C11FAB"/>
    <w:rsid w:val="00C3518A"/>
    <w:rsid w:val="00C35EC3"/>
    <w:rsid w:val="00C86807"/>
    <w:rsid w:val="00C9740B"/>
    <w:rsid w:val="00CA3ADF"/>
    <w:rsid w:val="00CA59B3"/>
    <w:rsid w:val="00CB172D"/>
    <w:rsid w:val="00CC6E29"/>
    <w:rsid w:val="00CD4DE0"/>
    <w:rsid w:val="00CE21C1"/>
    <w:rsid w:val="00CF13DF"/>
    <w:rsid w:val="00D001BF"/>
    <w:rsid w:val="00D17BB6"/>
    <w:rsid w:val="00D64370"/>
    <w:rsid w:val="00D80123"/>
    <w:rsid w:val="00D91F20"/>
    <w:rsid w:val="00D95111"/>
    <w:rsid w:val="00DB0BB0"/>
    <w:rsid w:val="00DB528B"/>
    <w:rsid w:val="00DC5540"/>
    <w:rsid w:val="00DC598C"/>
    <w:rsid w:val="00DE0F91"/>
    <w:rsid w:val="00DE25B4"/>
    <w:rsid w:val="00DE7710"/>
    <w:rsid w:val="00DF1315"/>
    <w:rsid w:val="00E07CD5"/>
    <w:rsid w:val="00E33C07"/>
    <w:rsid w:val="00E40719"/>
    <w:rsid w:val="00E63BA4"/>
    <w:rsid w:val="00E676FB"/>
    <w:rsid w:val="00E67855"/>
    <w:rsid w:val="00E81013"/>
    <w:rsid w:val="00E86865"/>
    <w:rsid w:val="00EA0497"/>
    <w:rsid w:val="00EA05B5"/>
    <w:rsid w:val="00EA4441"/>
    <w:rsid w:val="00EA643A"/>
    <w:rsid w:val="00EA7E21"/>
    <w:rsid w:val="00EB0234"/>
    <w:rsid w:val="00EB5146"/>
    <w:rsid w:val="00ED194B"/>
    <w:rsid w:val="00EE715C"/>
    <w:rsid w:val="00EF193E"/>
    <w:rsid w:val="00EF515B"/>
    <w:rsid w:val="00EF729A"/>
    <w:rsid w:val="00F005DA"/>
    <w:rsid w:val="00F0066B"/>
    <w:rsid w:val="00F0138F"/>
    <w:rsid w:val="00F037BA"/>
    <w:rsid w:val="00F0450D"/>
    <w:rsid w:val="00F43B47"/>
    <w:rsid w:val="00F57FAD"/>
    <w:rsid w:val="00F60D5F"/>
    <w:rsid w:val="00F660D4"/>
    <w:rsid w:val="00F717F4"/>
    <w:rsid w:val="00F74DA7"/>
    <w:rsid w:val="00F9346D"/>
    <w:rsid w:val="00F941AA"/>
    <w:rsid w:val="00FA00B6"/>
    <w:rsid w:val="00FB35C5"/>
    <w:rsid w:val="00FE3929"/>
    <w:rsid w:val="00FE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474FF0"/>
  </w:style>
  <w:style w:type="paragraph" w:customStyle="1" w:styleId="c2">
    <w:name w:val="c2"/>
    <w:basedOn w:val="Normal"/>
    <w:rsid w:val="00474FF0"/>
    <w:pPr>
      <w:jc w:val="center"/>
    </w:pPr>
  </w:style>
  <w:style w:type="paragraph" w:customStyle="1" w:styleId="p3">
    <w:name w:val="p3"/>
    <w:basedOn w:val="Normal"/>
    <w:rsid w:val="00474FF0"/>
    <w:pPr>
      <w:tabs>
        <w:tab w:val="left" w:pos="4960"/>
      </w:tabs>
      <w:ind w:left="3520"/>
    </w:pPr>
  </w:style>
  <w:style w:type="paragraph" w:customStyle="1" w:styleId="p4">
    <w:name w:val="p4"/>
    <w:basedOn w:val="Normal"/>
    <w:rsid w:val="00474FF0"/>
    <w:pPr>
      <w:tabs>
        <w:tab w:val="left" w:pos="204"/>
      </w:tabs>
    </w:pPr>
  </w:style>
  <w:style w:type="paragraph" w:customStyle="1" w:styleId="p5">
    <w:name w:val="p5"/>
    <w:basedOn w:val="Normal"/>
    <w:rsid w:val="00474FF0"/>
    <w:pPr>
      <w:tabs>
        <w:tab w:val="left" w:pos="391"/>
      </w:tabs>
      <w:ind w:left="1049"/>
    </w:pPr>
  </w:style>
  <w:style w:type="paragraph" w:customStyle="1" w:styleId="p6">
    <w:name w:val="p6"/>
    <w:basedOn w:val="Normal"/>
    <w:rsid w:val="00474FF0"/>
    <w:pPr>
      <w:tabs>
        <w:tab w:val="left" w:pos="1479"/>
      </w:tabs>
      <w:ind w:firstLine="1479"/>
    </w:pPr>
  </w:style>
  <w:style w:type="paragraph" w:customStyle="1" w:styleId="p7">
    <w:name w:val="p7"/>
    <w:basedOn w:val="Normal"/>
    <w:rsid w:val="00474FF0"/>
    <w:pPr>
      <w:tabs>
        <w:tab w:val="left" w:pos="782"/>
        <w:tab w:val="left" w:pos="1133"/>
      </w:tabs>
      <w:ind w:left="1133" w:hanging="351"/>
    </w:pPr>
  </w:style>
  <w:style w:type="paragraph" w:customStyle="1" w:styleId="p1">
    <w:name w:val="p1"/>
    <w:basedOn w:val="Normal"/>
    <w:rsid w:val="00474FF0"/>
    <w:pPr>
      <w:tabs>
        <w:tab w:val="left" w:pos="691"/>
        <w:tab w:val="left" w:pos="1054"/>
      </w:tabs>
      <w:ind w:left="1054" w:hanging="363"/>
    </w:pPr>
  </w:style>
  <w:style w:type="paragraph" w:customStyle="1" w:styleId="p2">
    <w:name w:val="p2"/>
    <w:basedOn w:val="Normal"/>
    <w:rsid w:val="00474FF0"/>
    <w:pPr>
      <w:tabs>
        <w:tab w:val="left" w:pos="1445"/>
      </w:tabs>
      <w:ind w:firstLine="1445"/>
    </w:pPr>
  </w:style>
  <w:style w:type="paragraph" w:styleId="Footer">
    <w:name w:val="footer"/>
    <w:basedOn w:val="Normal"/>
    <w:rsid w:val="00474FF0"/>
    <w:pPr>
      <w:widowControl/>
      <w:tabs>
        <w:tab w:val="center" w:pos="4320"/>
        <w:tab w:val="right" w:pos="8640"/>
      </w:tabs>
      <w:autoSpaceDE/>
      <w:autoSpaceDN/>
      <w:adjustRightInd/>
    </w:pPr>
    <w:rPr>
      <w:color w:val="000000"/>
      <w:sz w:val="26"/>
      <w:szCs w:val="20"/>
    </w:rPr>
  </w:style>
  <w:style w:type="paragraph" w:styleId="Header">
    <w:name w:val="header"/>
    <w:basedOn w:val="Normal"/>
    <w:rsid w:val="00474FF0"/>
    <w:pPr>
      <w:tabs>
        <w:tab w:val="center" w:pos="4320"/>
        <w:tab w:val="right" w:pos="8640"/>
      </w:tabs>
    </w:pPr>
  </w:style>
  <w:style w:type="character" w:styleId="PageNumber">
    <w:name w:val="page number"/>
    <w:basedOn w:val="DefaultParagraphFont"/>
    <w:rsid w:val="00474FF0"/>
  </w:style>
  <w:style w:type="paragraph" w:styleId="NormalWeb">
    <w:name w:val="Normal (Web)"/>
    <w:basedOn w:val="Normal"/>
    <w:rsid w:val="00474FF0"/>
    <w:pPr>
      <w:widowControl/>
      <w:autoSpaceDE/>
      <w:autoSpaceDN/>
      <w:adjustRightInd/>
      <w:spacing w:before="100" w:beforeAutospacing="1" w:after="100" w:afterAutospacing="1"/>
    </w:p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Footnote Text Char"/>
    <w:basedOn w:val="Normal"/>
    <w:semiHidden/>
    <w:rsid w:val="00741010"/>
    <w:rPr>
      <w:sz w:val="20"/>
      <w:szCs w:val="20"/>
    </w:rPr>
  </w:style>
  <w:style w:type="character" w:styleId="FootnoteReference">
    <w:name w:val="footnote reference"/>
    <w:basedOn w:val="DefaultParagraphFont"/>
    <w:semiHidden/>
    <w:rsid w:val="00741010"/>
    <w:rPr>
      <w:vertAlign w:val="superscript"/>
    </w:rPr>
  </w:style>
  <w:style w:type="paragraph" w:styleId="BodyText">
    <w:name w:val="Body Text"/>
    <w:basedOn w:val="Normal"/>
    <w:rsid w:val="005A514C"/>
    <w:pPr>
      <w:widowControl/>
      <w:tabs>
        <w:tab w:val="left" w:pos="-1440"/>
        <w:tab w:val="left" w:pos="-720"/>
        <w:tab w:val="left" w:pos="0"/>
        <w:tab w:val="left" w:pos="432"/>
        <w:tab w:val="left" w:pos="576"/>
        <w:tab w:val="left" w:pos="1440"/>
        <w:tab w:val="left" w:pos="2086"/>
        <w:tab w:val="left" w:pos="2880"/>
      </w:tabs>
      <w:suppressAutoHyphens/>
      <w:autoSpaceDE/>
      <w:autoSpaceDN/>
      <w:adjustRightInd/>
      <w:spacing w:line="360" w:lineRule="auto"/>
    </w:pPr>
    <w:rPr>
      <w:color w:val="0000FF"/>
      <w:kern w:val="2"/>
      <w:sz w:val="26"/>
      <w:szCs w:val="20"/>
    </w:rPr>
  </w:style>
  <w:style w:type="paragraph" w:styleId="BodyTextIndent">
    <w:name w:val="Body Text Indent"/>
    <w:basedOn w:val="Normal"/>
    <w:rsid w:val="006A505F"/>
    <w:pPr>
      <w:spacing w:after="120"/>
      <w:ind w:left="360"/>
    </w:pPr>
  </w:style>
  <w:style w:type="paragraph" w:styleId="BalloonText">
    <w:name w:val="Balloon Text"/>
    <w:basedOn w:val="Normal"/>
    <w:link w:val="BalloonTextChar"/>
    <w:rsid w:val="00462F2B"/>
    <w:rPr>
      <w:rFonts w:ascii="Tahoma" w:hAnsi="Tahoma" w:cs="Tahoma"/>
      <w:sz w:val="16"/>
      <w:szCs w:val="16"/>
    </w:rPr>
  </w:style>
  <w:style w:type="character" w:customStyle="1" w:styleId="BalloonTextChar">
    <w:name w:val="Balloon Text Char"/>
    <w:basedOn w:val="DefaultParagraphFont"/>
    <w:link w:val="BalloonText"/>
    <w:rsid w:val="00462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474FF0"/>
  </w:style>
  <w:style w:type="paragraph" w:customStyle="1" w:styleId="c2">
    <w:name w:val="c2"/>
    <w:basedOn w:val="Normal"/>
    <w:rsid w:val="00474FF0"/>
    <w:pPr>
      <w:jc w:val="center"/>
    </w:pPr>
  </w:style>
  <w:style w:type="paragraph" w:customStyle="1" w:styleId="p3">
    <w:name w:val="p3"/>
    <w:basedOn w:val="Normal"/>
    <w:rsid w:val="00474FF0"/>
    <w:pPr>
      <w:tabs>
        <w:tab w:val="left" w:pos="4960"/>
      </w:tabs>
      <w:ind w:left="3520"/>
    </w:pPr>
  </w:style>
  <w:style w:type="paragraph" w:customStyle="1" w:styleId="p4">
    <w:name w:val="p4"/>
    <w:basedOn w:val="Normal"/>
    <w:rsid w:val="00474FF0"/>
    <w:pPr>
      <w:tabs>
        <w:tab w:val="left" w:pos="204"/>
      </w:tabs>
    </w:pPr>
  </w:style>
  <w:style w:type="paragraph" w:customStyle="1" w:styleId="p5">
    <w:name w:val="p5"/>
    <w:basedOn w:val="Normal"/>
    <w:rsid w:val="00474FF0"/>
    <w:pPr>
      <w:tabs>
        <w:tab w:val="left" w:pos="391"/>
      </w:tabs>
      <w:ind w:left="1049"/>
    </w:pPr>
  </w:style>
  <w:style w:type="paragraph" w:customStyle="1" w:styleId="p6">
    <w:name w:val="p6"/>
    <w:basedOn w:val="Normal"/>
    <w:rsid w:val="00474FF0"/>
    <w:pPr>
      <w:tabs>
        <w:tab w:val="left" w:pos="1479"/>
      </w:tabs>
      <w:ind w:firstLine="1479"/>
    </w:pPr>
  </w:style>
  <w:style w:type="paragraph" w:customStyle="1" w:styleId="p7">
    <w:name w:val="p7"/>
    <w:basedOn w:val="Normal"/>
    <w:rsid w:val="00474FF0"/>
    <w:pPr>
      <w:tabs>
        <w:tab w:val="left" w:pos="782"/>
        <w:tab w:val="left" w:pos="1133"/>
      </w:tabs>
      <w:ind w:left="1133" w:hanging="351"/>
    </w:pPr>
  </w:style>
  <w:style w:type="paragraph" w:customStyle="1" w:styleId="p1">
    <w:name w:val="p1"/>
    <w:basedOn w:val="Normal"/>
    <w:rsid w:val="00474FF0"/>
    <w:pPr>
      <w:tabs>
        <w:tab w:val="left" w:pos="691"/>
        <w:tab w:val="left" w:pos="1054"/>
      </w:tabs>
      <w:ind w:left="1054" w:hanging="363"/>
    </w:pPr>
  </w:style>
  <w:style w:type="paragraph" w:customStyle="1" w:styleId="p2">
    <w:name w:val="p2"/>
    <w:basedOn w:val="Normal"/>
    <w:rsid w:val="00474FF0"/>
    <w:pPr>
      <w:tabs>
        <w:tab w:val="left" w:pos="1445"/>
      </w:tabs>
      <w:ind w:firstLine="1445"/>
    </w:pPr>
  </w:style>
  <w:style w:type="paragraph" w:styleId="Footer">
    <w:name w:val="footer"/>
    <w:basedOn w:val="Normal"/>
    <w:rsid w:val="00474FF0"/>
    <w:pPr>
      <w:widowControl/>
      <w:tabs>
        <w:tab w:val="center" w:pos="4320"/>
        <w:tab w:val="right" w:pos="8640"/>
      </w:tabs>
      <w:autoSpaceDE/>
      <w:autoSpaceDN/>
      <w:adjustRightInd/>
    </w:pPr>
    <w:rPr>
      <w:color w:val="000000"/>
      <w:sz w:val="26"/>
      <w:szCs w:val="20"/>
    </w:rPr>
  </w:style>
  <w:style w:type="paragraph" w:styleId="Header">
    <w:name w:val="header"/>
    <w:basedOn w:val="Normal"/>
    <w:rsid w:val="00474FF0"/>
    <w:pPr>
      <w:tabs>
        <w:tab w:val="center" w:pos="4320"/>
        <w:tab w:val="right" w:pos="8640"/>
      </w:tabs>
    </w:pPr>
  </w:style>
  <w:style w:type="character" w:styleId="PageNumber">
    <w:name w:val="page number"/>
    <w:basedOn w:val="DefaultParagraphFont"/>
    <w:rsid w:val="00474FF0"/>
  </w:style>
  <w:style w:type="paragraph" w:styleId="NormalWeb">
    <w:name w:val="Normal (Web)"/>
    <w:basedOn w:val="Normal"/>
    <w:rsid w:val="00474FF0"/>
    <w:pPr>
      <w:widowControl/>
      <w:autoSpaceDE/>
      <w:autoSpaceDN/>
      <w:adjustRightInd/>
      <w:spacing w:before="100" w:beforeAutospacing="1" w:after="100" w:afterAutospacing="1"/>
    </w:p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Footnote Text Char"/>
    <w:basedOn w:val="Normal"/>
    <w:semiHidden/>
    <w:rsid w:val="00741010"/>
    <w:rPr>
      <w:sz w:val="20"/>
      <w:szCs w:val="20"/>
    </w:rPr>
  </w:style>
  <w:style w:type="character" w:styleId="FootnoteReference">
    <w:name w:val="footnote reference"/>
    <w:basedOn w:val="DefaultParagraphFont"/>
    <w:semiHidden/>
    <w:rsid w:val="00741010"/>
    <w:rPr>
      <w:vertAlign w:val="superscript"/>
    </w:rPr>
  </w:style>
  <w:style w:type="paragraph" w:styleId="BodyText">
    <w:name w:val="Body Text"/>
    <w:basedOn w:val="Normal"/>
    <w:rsid w:val="005A514C"/>
    <w:pPr>
      <w:widowControl/>
      <w:tabs>
        <w:tab w:val="left" w:pos="-1440"/>
        <w:tab w:val="left" w:pos="-720"/>
        <w:tab w:val="left" w:pos="0"/>
        <w:tab w:val="left" w:pos="432"/>
        <w:tab w:val="left" w:pos="576"/>
        <w:tab w:val="left" w:pos="1440"/>
        <w:tab w:val="left" w:pos="2086"/>
        <w:tab w:val="left" w:pos="2880"/>
      </w:tabs>
      <w:suppressAutoHyphens/>
      <w:autoSpaceDE/>
      <w:autoSpaceDN/>
      <w:adjustRightInd/>
      <w:spacing w:line="360" w:lineRule="auto"/>
    </w:pPr>
    <w:rPr>
      <w:color w:val="0000FF"/>
      <w:kern w:val="2"/>
      <w:sz w:val="26"/>
      <w:szCs w:val="20"/>
    </w:rPr>
  </w:style>
  <w:style w:type="paragraph" w:styleId="BodyTextIndent">
    <w:name w:val="Body Text Indent"/>
    <w:basedOn w:val="Normal"/>
    <w:rsid w:val="006A505F"/>
    <w:pPr>
      <w:spacing w:after="120"/>
      <w:ind w:left="360"/>
    </w:pPr>
  </w:style>
  <w:style w:type="paragraph" w:styleId="BalloonText">
    <w:name w:val="Balloon Text"/>
    <w:basedOn w:val="Normal"/>
    <w:link w:val="BalloonTextChar"/>
    <w:rsid w:val="00462F2B"/>
    <w:rPr>
      <w:rFonts w:ascii="Tahoma" w:hAnsi="Tahoma" w:cs="Tahoma"/>
      <w:sz w:val="16"/>
      <w:szCs w:val="16"/>
    </w:rPr>
  </w:style>
  <w:style w:type="character" w:customStyle="1" w:styleId="BalloonTextChar">
    <w:name w:val="Balloon Text Char"/>
    <w:basedOn w:val="DefaultParagraphFont"/>
    <w:link w:val="BalloonText"/>
    <w:rsid w:val="00462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E863-0B16-44B3-88AA-5B180B79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20</cp:revision>
  <cp:lastPrinted>2013-07-15T16:57:00Z</cp:lastPrinted>
  <dcterms:created xsi:type="dcterms:W3CDTF">2013-06-18T15:56:00Z</dcterms:created>
  <dcterms:modified xsi:type="dcterms:W3CDTF">2013-07-15T16:57:00Z</dcterms:modified>
</cp:coreProperties>
</file>