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572D2C">
      <w:pPr>
        <w:widowControl/>
        <w:tabs>
          <w:tab w:val="center" w:pos="4680"/>
        </w:tabs>
        <w:suppressAutoHyphens/>
        <w:jc w:val="center"/>
        <w:rPr>
          <w:b/>
          <w:sz w:val="26"/>
          <w:szCs w:val="26"/>
        </w:rPr>
      </w:pPr>
      <w:r w:rsidRPr="00F514FB">
        <w:rPr>
          <w:b/>
          <w:sz w:val="26"/>
          <w:szCs w:val="26"/>
        </w:rPr>
        <w:t>PENNSYLVANIA</w:t>
      </w:r>
    </w:p>
    <w:p w:rsidR="00F514FB" w:rsidRPr="00F514FB" w:rsidRDefault="00F514FB" w:rsidP="00572D2C">
      <w:pPr>
        <w:widowControl/>
        <w:tabs>
          <w:tab w:val="center" w:pos="4680"/>
        </w:tabs>
        <w:suppressAutoHyphens/>
        <w:jc w:val="center"/>
        <w:rPr>
          <w:sz w:val="26"/>
          <w:szCs w:val="26"/>
        </w:rPr>
      </w:pPr>
      <w:r w:rsidRPr="00F514FB">
        <w:rPr>
          <w:b/>
          <w:sz w:val="26"/>
          <w:szCs w:val="26"/>
        </w:rPr>
        <w:t>PUBLIC UTILITY COMMISSION</w:t>
      </w:r>
    </w:p>
    <w:p w:rsidR="00F514FB" w:rsidRPr="00F514FB" w:rsidRDefault="00F514FB" w:rsidP="00572D2C">
      <w:pPr>
        <w:widowControl/>
        <w:tabs>
          <w:tab w:val="center" w:pos="4680"/>
        </w:tabs>
        <w:suppressAutoHyphens/>
        <w:jc w:val="center"/>
        <w:rPr>
          <w:sz w:val="26"/>
          <w:szCs w:val="26"/>
        </w:rPr>
      </w:pPr>
      <w:r w:rsidRPr="00F514FB">
        <w:rPr>
          <w:b/>
          <w:sz w:val="26"/>
          <w:szCs w:val="26"/>
        </w:rPr>
        <w:t>Harrisburg, PA 17105-3265</w:t>
      </w:r>
    </w:p>
    <w:p w:rsidR="00F514FB" w:rsidRPr="00F514FB" w:rsidRDefault="00F514FB" w:rsidP="00572D2C">
      <w:pPr>
        <w:widowControl/>
        <w:tabs>
          <w:tab w:val="left" w:pos="-720"/>
        </w:tabs>
        <w:suppressAutoHyphens/>
        <w:rPr>
          <w:sz w:val="26"/>
          <w:szCs w:val="26"/>
        </w:rPr>
      </w:pPr>
    </w:p>
    <w:p w:rsidR="00F514FB" w:rsidRPr="00F514FB" w:rsidRDefault="00F514FB" w:rsidP="00572D2C">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F514FB" w:rsidTr="00DE25AC">
        <w:tc>
          <w:tcPr>
            <w:tcW w:w="5058" w:type="dxa"/>
          </w:tcPr>
          <w:p w:rsidR="00F514FB" w:rsidRPr="00F514FB" w:rsidRDefault="00F514FB" w:rsidP="00572D2C">
            <w:pPr>
              <w:widowControl/>
              <w:rPr>
                <w:sz w:val="26"/>
                <w:szCs w:val="26"/>
              </w:rPr>
            </w:pPr>
          </w:p>
        </w:tc>
        <w:tc>
          <w:tcPr>
            <w:tcW w:w="4428" w:type="dxa"/>
          </w:tcPr>
          <w:p w:rsidR="00F514FB" w:rsidRPr="00F514FB" w:rsidRDefault="00F514FB" w:rsidP="00572D2C">
            <w:pPr>
              <w:widowControl/>
              <w:jc w:val="right"/>
              <w:rPr>
                <w:sz w:val="26"/>
                <w:szCs w:val="26"/>
              </w:rPr>
            </w:pPr>
            <w:r w:rsidRPr="00F514FB">
              <w:rPr>
                <w:sz w:val="26"/>
                <w:szCs w:val="26"/>
              </w:rPr>
              <w:t xml:space="preserve">Public Meeting held </w:t>
            </w:r>
            <w:r w:rsidR="003F794C">
              <w:rPr>
                <w:sz w:val="26"/>
                <w:szCs w:val="26"/>
              </w:rPr>
              <w:t>July 16</w:t>
            </w:r>
            <w:r w:rsidR="00F15D06">
              <w:rPr>
                <w:sz w:val="26"/>
                <w:szCs w:val="26"/>
              </w:rPr>
              <w:t xml:space="preserve">, </w:t>
            </w:r>
            <w:r w:rsidR="00C6050E">
              <w:rPr>
                <w:sz w:val="26"/>
                <w:szCs w:val="26"/>
              </w:rPr>
              <w:t>2013</w:t>
            </w:r>
          </w:p>
          <w:p w:rsidR="00F514FB" w:rsidRPr="00F514FB" w:rsidRDefault="00F514FB" w:rsidP="00572D2C">
            <w:pPr>
              <w:widowControl/>
              <w:jc w:val="right"/>
              <w:rPr>
                <w:sz w:val="26"/>
                <w:szCs w:val="26"/>
              </w:rPr>
            </w:pPr>
          </w:p>
          <w:p w:rsidR="00F514FB" w:rsidRPr="00F514FB" w:rsidRDefault="00F514FB" w:rsidP="00572D2C">
            <w:pPr>
              <w:widowControl/>
              <w:jc w:val="right"/>
              <w:rPr>
                <w:sz w:val="26"/>
                <w:szCs w:val="26"/>
              </w:rPr>
            </w:pPr>
          </w:p>
        </w:tc>
      </w:tr>
      <w:tr w:rsidR="00F514FB" w:rsidRPr="00F514FB" w:rsidTr="00E871F2">
        <w:tc>
          <w:tcPr>
            <w:tcW w:w="5058" w:type="dxa"/>
          </w:tcPr>
          <w:p w:rsidR="00F514FB" w:rsidRPr="00F514FB" w:rsidRDefault="00F514FB" w:rsidP="00572D2C">
            <w:pPr>
              <w:widowControl/>
              <w:rPr>
                <w:sz w:val="26"/>
                <w:szCs w:val="26"/>
              </w:rPr>
            </w:pPr>
            <w:r w:rsidRPr="00F514FB">
              <w:rPr>
                <w:sz w:val="26"/>
                <w:szCs w:val="26"/>
              </w:rPr>
              <w:t>Commissioners Present:</w:t>
            </w:r>
          </w:p>
          <w:p w:rsidR="00F514FB" w:rsidRPr="00F514FB" w:rsidRDefault="00F514FB" w:rsidP="00572D2C">
            <w:pPr>
              <w:widowControl/>
              <w:rPr>
                <w:sz w:val="26"/>
                <w:szCs w:val="26"/>
              </w:rPr>
            </w:pPr>
          </w:p>
          <w:p w:rsidR="00F514FB" w:rsidRPr="00F514FB" w:rsidRDefault="00F514FB" w:rsidP="00572D2C">
            <w:pPr>
              <w:widowControl/>
              <w:tabs>
                <w:tab w:val="left" w:pos="705"/>
              </w:tabs>
              <w:ind w:firstLine="720"/>
              <w:rPr>
                <w:sz w:val="26"/>
                <w:szCs w:val="26"/>
              </w:rPr>
            </w:pPr>
            <w:r w:rsidRPr="00F514FB">
              <w:rPr>
                <w:sz w:val="26"/>
                <w:szCs w:val="26"/>
              </w:rPr>
              <w:t>Robert F. Powelson, Chairman</w:t>
            </w:r>
          </w:p>
          <w:p w:rsidR="00F514FB" w:rsidRPr="00F514FB" w:rsidRDefault="00F514FB" w:rsidP="00572D2C">
            <w:pPr>
              <w:widowControl/>
              <w:tabs>
                <w:tab w:val="left" w:pos="705"/>
              </w:tabs>
              <w:ind w:firstLine="720"/>
              <w:rPr>
                <w:sz w:val="26"/>
                <w:szCs w:val="26"/>
              </w:rPr>
            </w:pPr>
            <w:r w:rsidRPr="00F514FB">
              <w:rPr>
                <w:sz w:val="26"/>
                <w:szCs w:val="26"/>
              </w:rPr>
              <w:t>John F. Coleman, Jr., Vice Chairman</w:t>
            </w:r>
          </w:p>
          <w:p w:rsidR="00F514FB" w:rsidRPr="00F514FB" w:rsidRDefault="00F514FB" w:rsidP="00572D2C">
            <w:pPr>
              <w:widowControl/>
              <w:tabs>
                <w:tab w:val="left" w:pos="705"/>
              </w:tabs>
              <w:ind w:firstLine="720"/>
              <w:rPr>
                <w:sz w:val="26"/>
                <w:szCs w:val="26"/>
              </w:rPr>
            </w:pPr>
            <w:r w:rsidRPr="00F514FB">
              <w:rPr>
                <w:sz w:val="26"/>
                <w:szCs w:val="26"/>
              </w:rPr>
              <w:t>Wayne E. Gardner</w:t>
            </w:r>
          </w:p>
          <w:p w:rsidR="00F514FB" w:rsidRPr="00F514FB" w:rsidRDefault="00F514FB" w:rsidP="00572D2C">
            <w:pPr>
              <w:widowControl/>
              <w:tabs>
                <w:tab w:val="left" w:pos="705"/>
              </w:tabs>
              <w:ind w:firstLine="720"/>
              <w:rPr>
                <w:sz w:val="26"/>
                <w:szCs w:val="26"/>
              </w:rPr>
            </w:pPr>
            <w:r w:rsidRPr="00F514FB">
              <w:rPr>
                <w:sz w:val="26"/>
                <w:szCs w:val="26"/>
              </w:rPr>
              <w:t>James H. Cawley</w:t>
            </w:r>
          </w:p>
          <w:p w:rsidR="00F514FB" w:rsidRPr="00F514FB" w:rsidRDefault="00F514FB" w:rsidP="00572D2C">
            <w:pPr>
              <w:widowControl/>
              <w:tabs>
                <w:tab w:val="left" w:pos="705"/>
              </w:tabs>
              <w:ind w:firstLine="720"/>
              <w:rPr>
                <w:sz w:val="26"/>
                <w:szCs w:val="26"/>
              </w:rPr>
            </w:pPr>
            <w:r w:rsidRPr="00F514FB">
              <w:rPr>
                <w:sz w:val="26"/>
                <w:szCs w:val="26"/>
              </w:rPr>
              <w:t>Pamela A. Witmer</w:t>
            </w:r>
          </w:p>
          <w:p w:rsidR="00F514FB" w:rsidRPr="00F514FB" w:rsidRDefault="00F514FB" w:rsidP="00572D2C">
            <w:pPr>
              <w:widowControl/>
              <w:rPr>
                <w:sz w:val="26"/>
                <w:szCs w:val="26"/>
              </w:rPr>
            </w:pPr>
          </w:p>
          <w:p w:rsidR="00F514FB" w:rsidRPr="00F514FB" w:rsidRDefault="00F514FB" w:rsidP="00572D2C">
            <w:pPr>
              <w:widowControl/>
              <w:rPr>
                <w:sz w:val="26"/>
                <w:szCs w:val="26"/>
              </w:rPr>
            </w:pPr>
          </w:p>
        </w:tc>
        <w:tc>
          <w:tcPr>
            <w:tcW w:w="4428" w:type="dxa"/>
          </w:tcPr>
          <w:p w:rsidR="00F514FB" w:rsidRPr="00F514FB" w:rsidRDefault="00F514FB" w:rsidP="00572D2C">
            <w:pPr>
              <w:widowControl/>
              <w:jc w:val="right"/>
              <w:rPr>
                <w:sz w:val="26"/>
                <w:szCs w:val="26"/>
              </w:rPr>
            </w:pPr>
          </w:p>
          <w:p w:rsidR="00F514FB" w:rsidRPr="00F514FB" w:rsidRDefault="00F514FB" w:rsidP="00572D2C">
            <w:pPr>
              <w:widowControl/>
              <w:jc w:val="right"/>
              <w:rPr>
                <w:sz w:val="26"/>
                <w:szCs w:val="26"/>
              </w:rPr>
            </w:pPr>
          </w:p>
        </w:tc>
      </w:tr>
      <w:tr w:rsidR="00F514FB" w:rsidRPr="00F514FB" w:rsidTr="00DE25AC">
        <w:tc>
          <w:tcPr>
            <w:tcW w:w="5058" w:type="dxa"/>
          </w:tcPr>
          <w:p w:rsidR="00F514FB" w:rsidRPr="00F514FB" w:rsidRDefault="00C6050E" w:rsidP="00572D2C">
            <w:pPr>
              <w:widowControl/>
              <w:rPr>
                <w:sz w:val="26"/>
                <w:szCs w:val="26"/>
              </w:rPr>
            </w:pPr>
            <w:r>
              <w:rPr>
                <w:sz w:val="26"/>
                <w:szCs w:val="26"/>
              </w:rPr>
              <w:t>Robin Beaty and James Bloom</w:t>
            </w:r>
          </w:p>
          <w:p w:rsidR="00F514FB" w:rsidRPr="00F514FB" w:rsidRDefault="00F514FB" w:rsidP="00572D2C">
            <w:pPr>
              <w:widowControl/>
              <w:rPr>
                <w:sz w:val="26"/>
                <w:szCs w:val="26"/>
              </w:rPr>
            </w:pPr>
          </w:p>
        </w:tc>
        <w:tc>
          <w:tcPr>
            <w:tcW w:w="4428" w:type="dxa"/>
          </w:tcPr>
          <w:p w:rsidR="00F514FB" w:rsidRPr="00F514FB" w:rsidRDefault="00667578" w:rsidP="00572D2C">
            <w:pPr>
              <w:widowControl/>
              <w:jc w:val="right"/>
              <w:rPr>
                <w:sz w:val="26"/>
                <w:szCs w:val="26"/>
              </w:rPr>
            </w:pPr>
            <w:r>
              <w:rPr>
                <w:sz w:val="26"/>
                <w:szCs w:val="26"/>
              </w:rPr>
              <w:t>C-2012-2300642</w:t>
            </w:r>
          </w:p>
        </w:tc>
      </w:tr>
      <w:tr w:rsidR="00F514FB" w:rsidRPr="00F514FB" w:rsidTr="00DE25AC">
        <w:tc>
          <w:tcPr>
            <w:tcW w:w="5058" w:type="dxa"/>
          </w:tcPr>
          <w:p w:rsidR="00F514FB" w:rsidRPr="00F514FB" w:rsidRDefault="00F514FB" w:rsidP="00572D2C">
            <w:pPr>
              <w:widowControl/>
              <w:ind w:firstLine="1440"/>
              <w:rPr>
                <w:sz w:val="26"/>
                <w:szCs w:val="26"/>
              </w:rPr>
            </w:pPr>
            <w:r w:rsidRPr="00F514FB">
              <w:rPr>
                <w:sz w:val="26"/>
                <w:szCs w:val="26"/>
              </w:rPr>
              <w:t>v.</w:t>
            </w:r>
          </w:p>
          <w:p w:rsidR="00F514FB" w:rsidRPr="00F514FB" w:rsidRDefault="00F514FB" w:rsidP="00572D2C">
            <w:pPr>
              <w:widowControl/>
              <w:ind w:firstLine="1440"/>
              <w:rPr>
                <w:sz w:val="26"/>
                <w:szCs w:val="26"/>
              </w:rPr>
            </w:pPr>
          </w:p>
        </w:tc>
        <w:tc>
          <w:tcPr>
            <w:tcW w:w="4428" w:type="dxa"/>
          </w:tcPr>
          <w:p w:rsidR="00F514FB" w:rsidRPr="00F514FB" w:rsidRDefault="00F514FB" w:rsidP="00572D2C">
            <w:pPr>
              <w:widowControl/>
              <w:rPr>
                <w:sz w:val="26"/>
                <w:szCs w:val="26"/>
              </w:rPr>
            </w:pPr>
          </w:p>
        </w:tc>
      </w:tr>
      <w:tr w:rsidR="00F514FB" w:rsidRPr="00F514FB" w:rsidTr="00E871F2">
        <w:tc>
          <w:tcPr>
            <w:tcW w:w="5058" w:type="dxa"/>
          </w:tcPr>
          <w:p w:rsidR="00CE37C8" w:rsidRPr="00937472" w:rsidRDefault="00CE37C8" w:rsidP="00572D2C">
            <w:pPr>
              <w:widowControl/>
              <w:tabs>
                <w:tab w:val="left" w:pos="-720"/>
                <w:tab w:val="left" w:pos="0"/>
              </w:tabs>
              <w:suppressAutoHyphens/>
              <w:rPr>
                <w:sz w:val="26"/>
                <w:szCs w:val="26"/>
              </w:rPr>
            </w:pPr>
            <w:r w:rsidRPr="00937472">
              <w:rPr>
                <w:sz w:val="26"/>
                <w:szCs w:val="26"/>
              </w:rPr>
              <w:t>Verizon Pennsylvania Inc.</w:t>
            </w:r>
          </w:p>
          <w:p w:rsidR="00F514FB" w:rsidRPr="00F514FB" w:rsidRDefault="00F514FB" w:rsidP="00572D2C">
            <w:pPr>
              <w:widowControl/>
              <w:rPr>
                <w:sz w:val="26"/>
                <w:szCs w:val="26"/>
              </w:rPr>
            </w:pPr>
          </w:p>
        </w:tc>
        <w:tc>
          <w:tcPr>
            <w:tcW w:w="4428" w:type="dxa"/>
          </w:tcPr>
          <w:p w:rsidR="00F514FB" w:rsidRPr="00F514FB" w:rsidRDefault="00F514FB" w:rsidP="00572D2C">
            <w:pPr>
              <w:widowControl/>
              <w:rPr>
                <w:sz w:val="26"/>
                <w:szCs w:val="26"/>
              </w:rPr>
            </w:pPr>
          </w:p>
        </w:tc>
      </w:tr>
    </w:tbl>
    <w:p w:rsidR="00F514FB" w:rsidRPr="00F514FB" w:rsidRDefault="00F514FB" w:rsidP="00572D2C">
      <w:pPr>
        <w:widowControl/>
        <w:rPr>
          <w:sz w:val="26"/>
          <w:szCs w:val="26"/>
        </w:rPr>
      </w:pPr>
    </w:p>
    <w:p w:rsidR="00F514FB" w:rsidRPr="00F514FB" w:rsidRDefault="00F514FB" w:rsidP="00572D2C">
      <w:pPr>
        <w:widowControl/>
        <w:jc w:val="center"/>
        <w:rPr>
          <w:b/>
          <w:sz w:val="26"/>
          <w:szCs w:val="26"/>
        </w:rPr>
      </w:pPr>
      <w:r w:rsidRPr="00F514FB">
        <w:rPr>
          <w:b/>
          <w:sz w:val="26"/>
          <w:szCs w:val="26"/>
        </w:rPr>
        <w:t xml:space="preserve">OPINION </w:t>
      </w:r>
      <w:smartTag w:uri="urn:schemas-microsoft-com:office:smarttags" w:element="stockticker">
        <w:r w:rsidRPr="00F514FB">
          <w:rPr>
            <w:b/>
            <w:sz w:val="26"/>
            <w:szCs w:val="26"/>
          </w:rPr>
          <w:t>AND</w:t>
        </w:r>
      </w:smartTag>
      <w:r w:rsidRPr="00F514FB">
        <w:rPr>
          <w:b/>
          <w:sz w:val="26"/>
          <w:szCs w:val="26"/>
        </w:rPr>
        <w:t xml:space="preserve"> ORDER</w:t>
      </w:r>
    </w:p>
    <w:p w:rsidR="00F514FB" w:rsidRPr="00F514FB" w:rsidRDefault="00F514FB" w:rsidP="00572D2C">
      <w:pPr>
        <w:widowControl/>
        <w:jc w:val="center"/>
        <w:rPr>
          <w:b/>
          <w:sz w:val="26"/>
          <w:szCs w:val="26"/>
        </w:rPr>
      </w:pPr>
    </w:p>
    <w:p w:rsidR="00F514FB" w:rsidRPr="00F514FB" w:rsidRDefault="00F514FB" w:rsidP="00572D2C">
      <w:pPr>
        <w:widowControl/>
        <w:jc w:val="center"/>
        <w:rPr>
          <w:b/>
          <w:sz w:val="26"/>
          <w:szCs w:val="26"/>
        </w:rPr>
      </w:pPr>
    </w:p>
    <w:p w:rsidR="00F514FB" w:rsidRPr="00F514FB" w:rsidRDefault="00F514FB" w:rsidP="00572D2C">
      <w:pPr>
        <w:widowControl/>
        <w:rPr>
          <w:b/>
          <w:sz w:val="26"/>
          <w:szCs w:val="26"/>
        </w:rPr>
      </w:pPr>
      <w:r w:rsidRPr="00F514FB">
        <w:rPr>
          <w:b/>
          <w:sz w:val="26"/>
          <w:szCs w:val="26"/>
        </w:rPr>
        <w:t>BY THE COMMISSION:</w:t>
      </w:r>
    </w:p>
    <w:p w:rsidR="00F514FB" w:rsidRPr="00F514FB" w:rsidRDefault="00F514FB" w:rsidP="00572D2C">
      <w:pPr>
        <w:widowControl/>
        <w:rPr>
          <w:sz w:val="26"/>
          <w:szCs w:val="26"/>
        </w:rPr>
      </w:pPr>
    </w:p>
    <w:p w:rsidR="00CA43A5" w:rsidRPr="00CA43A5" w:rsidRDefault="00CA43A5" w:rsidP="00572D2C">
      <w:pPr>
        <w:widowControl/>
        <w:spacing w:line="360" w:lineRule="auto"/>
        <w:ind w:firstLine="1440"/>
        <w:rPr>
          <w:sz w:val="26"/>
          <w:szCs w:val="26"/>
        </w:rPr>
      </w:pPr>
      <w:r w:rsidRPr="00CA43A5">
        <w:rPr>
          <w:sz w:val="26"/>
          <w:szCs w:val="26"/>
        </w:rPr>
        <w:t xml:space="preserve">Before the Pennsylvania Public Utility Commission (Commission) for consideration and disposition </w:t>
      </w:r>
      <w:r w:rsidR="00C6050E">
        <w:rPr>
          <w:color w:val="000000"/>
          <w:sz w:val="26"/>
        </w:rPr>
        <w:t xml:space="preserve">are the Exceptions </w:t>
      </w:r>
      <w:r w:rsidR="00671E4C">
        <w:rPr>
          <w:color w:val="000000"/>
          <w:sz w:val="26"/>
        </w:rPr>
        <w:t xml:space="preserve">of </w:t>
      </w:r>
      <w:r w:rsidR="00C6050E">
        <w:rPr>
          <w:color w:val="000000"/>
          <w:sz w:val="26"/>
        </w:rPr>
        <w:t>Robin Beaty and James Bloom</w:t>
      </w:r>
      <w:r w:rsidR="00671E4C">
        <w:rPr>
          <w:color w:val="000000"/>
          <w:sz w:val="26"/>
        </w:rPr>
        <w:t xml:space="preserve"> (</w:t>
      </w:r>
      <w:r w:rsidR="00C6050E">
        <w:rPr>
          <w:color w:val="000000"/>
          <w:sz w:val="26"/>
        </w:rPr>
        <w:t>Complainants</w:t>
      </w:r>
      <w:r w:rsidR="00671E4C">
        <w:rPr>
          <w:color w:val="000000"/>
          <w:sz w:val="26"/>
        </w:rPr>
        <w:t xml:space="preserve">) filed on </w:t>
      </w:r>
      <w:r w:rsidR="00C6050E">
        <w:rPr>
          <w:color w:val="000000"/>
          <w:sz w:val="26"/>
        </w:rPr>
        <w:t>January 7, 2013</w:t>
      </w:r>
      <w:r w:rsidR="00671E4C">
        <w:rPr>
          <w:color w:val="000000"/>
          <w:sz w:val="26"/>
        </w:rPr>
        <w:t xml:space="preserve">, to the Initial Decision (I.D.) of Administrative Law Judge (ALJ) </w:t>
      </w:r>
      <w:r w:rsidR="00C6050E">
        <w:rPr>
          <w:color w:val="000000"/>
          <w:sz w:val="26"/>
        </w:rPr>
        <w:t xml:space="preserve">Elizabeth H. Barnes, </w:t>
      </w:r>
      <w:r w:rsidR="00671E4C">
        <w:rPr>
          <w:color w:val="000000"/>
          <w:sz w:val="26"/>
        </w:rPr>
        <w:t xml:space="preserve">issued on </w:t>
      </w:r>
      <w:r w:rsidR="00C6050E">
        <w:rPr>
          <w:color w:val="000000"/>
          <w:sz w:val="26"/>
        </w:rPr>
        <w:t>December 31, 2012</w:t>
      </w:r>
      <w:r w:rsidR="00671E4C">
        <w:rPr>
          <w:color w:val="000000"/>
          <w:sz w:val="26"/>
        </w:rPr>
        <w:t xml:space="preserve">.  Replies to Exceptions were filed by </w:t>
      </w:r>
      <w:r w:rsidR="00C6050E">
        <w:rPr>
          <w:color w:val="000000"/>
          <w:sz w:val="26"/>
        </w:rPr>
        <w:t>Verizon Pennsylvania LLC</w:t>
      </w:r>
      <w:r w:rsidR="00CE37C8">
        <w:rPr>
          <w:rStyle w:val="FootnoteReference"/>
          <w:sz w:val="26"/>
          <w:szCs w:val="26"/>
        </w:rPr>
        <w:footnoteReference w:id="1"/>
      </w:r>
      <w:r w:rsidR="00671E4C">
        <w:rPr>
          <w:color w:val="000000"/>
          <w:sz w:val="26"/>
        </w:rPr>
        <w:t xml:space="preserve"> (</w:t>
      </w:r>
      <w:r w:rsidR="00C6050E">
        <w:rPr>
          <w:color w:val="000000"/>
          <w:sz w:val="26"/>
        </w:rPr>
        <w:t>Verizon PA</w:t>
      </w:r>
      <w:r w:rsidR="00671E4C">
        <w:rPr>
          <w:color w:val="000000"/>
          <w:sz w:val="26"/>
        </w:rPr>
        <w:t xml:space="preserve">) on </w:t>
      </w:r>
      <w:r w:rsidR="00C6050E">
        <w:rPr>
          <w:color w:val="000000"/>
          <w:sz w:val="26"/>
        </w:rPr>
        <w:t>February 1, 2013</w:t>
      </w:r>
      <w:r w:rsidR="00671E4C">
        <w:rPr>
          <w:color w:val="000000"/>
          <w:sz w:val="26"/>
        </w:rPr>
        <w:t xml:space="preserve">.  </w:t>
      </w:r>
      <w:r w:rsidRPr="00CA43A5">
        <w:rPr>
          <w:sz w:val="26"/>
          <w:szCs w:val="26"/>
        </w:rPr>
        <w:t xml:space="preserve">For the reasons stated below, we </w:t>
      </w:r>
      <w:r w:rsidR="00C6050E">
        <w:rPr>
          <w:sz w:val="26"/>
          <w:szCs w:val="26"/>
        </w:rPr>
        <w:t xml:space="preserve">shall </w:t>
      </w:r>
      <w:r w:rsidR="00BC09C7">
        <w:rPr>
          <w:sz w:val="26"/>
          <w:szCs w:val="26"/>
        </w:rPr>
        <w:t xml:space="preserve">deny the </w:t>
      </w:r>
      <w:r w:rsidR="00C16F4B">
        <w:rPr>
          <w:sz w:val="26"/>
          <w:szCs w:val="26"/>
        </w:rPr>
        <w:t xml:space="preserve">Complainants’ </w:t>
      </w:r>
      <w:r w:rsidR="00BC09C7">
        <w:rPr>
          <w:sz w:val="26"/>
          <w:szCs w:val="26"/>
        </w:rPr>
        <w:t>Exceptions and dismiss the Complaint</w:t>
      </w:r>
      <w:r w:rsidRPr="00CA43A5">
        <w:rPr>
          <w:sz w:val="26"/>
          <w:szCs w:val="26"/>
        </w:rPr>
        <w:t>.</w:t>
      </w:r>
    </w:p>
    <w:p w:rsidR="00CA43A5" w:rsidRDefault="00CA43A5" w:rsidP="00572D2C">
      <w:pPr>
        <w:widowControl/>
        <w:spacing w:line="360" w:lineRule="auto"/>
        <w:jc w:val="center"/>
        <w:rPr>
          <w:b/>
          <w:sz w:val="26"/>
          <w:szCs w:val="26"/>
        </w:rPr>
      </w:pPr>
      <w:bookmarkStart w:id="0" w:name="OLE_LINK1"/>
      <w:bookmarkStart w:id="1" w:name="OLE_LINK2"/>
      <w:r w:rsidRPr="00CA43A5">
        <w:rPr>
          <w:b/>
          <w:sz w:val="26"/>
          <w:szCs w:val="26"/>
        </w:rPr>
        <w:lastRenderedPageBreak/>
        <w:t>History of the Proceeding</w:t>
      </w:r>
    </w:p>
    <w:p w:rsidR="00A41BF7" w:rsidRDefault="00A41BF7" w:rsidP="00572D2C">
      <w:pPr>
        <w:widowControl/>
        <w:spacing w:line="360" w:lineRule="auto"/>
        <w:jc w:val="center"/>
        <w:rPr>
          <w:b/>
          <w:sz w:val="26"/>
          <w:szCs w:val="26"/>
        </w:rPr>
      </w:pPr>
    </w:p>
    <w:p w:rsidR="00293A6E" w:rsidRDefault="001274B4" w:rsidP="00572D2C">
      <w:pPr>
        <w:widowControl/>
        <w:spacing w:line="360" w:lineRule="auto"/>
        <w:rPr>
          <w:sz w:val="26"/>
          <w:szCs w:val="26"/>
        </w:rPr>
      </w:pPr>
      <w:r>
        <w:rPr>
          <w:sz w:val="26"/>
          <w:szCs w:val="26"/>
        </w:rPr>
        <w:tab/>
      </w:r>
      <w:r>
        <w:rPr>
          <w:sz w:val="26"/>
          <w:szCs w:val="26"/>
        </w:rPr>
        <w:tab/>
        <w:t xml:space="preserve">On </w:t>
      </w:r>
      <w:r w:rsidR="00A41BF7">
        <w:rPr>
          <w:sz w:val="26"/>
          <w:szCs w:val="26"/>
        </w:rPr>
        <w:t xml:space="preserve">April 20, 2012, the Complainants filed a </w:t>
      </w:r>
      <w:r w:rsidR="00A41BF7" w:rsidRPr="001744BC">
        <w:rPr>
          <w:sz w:val="26"/>
          <w:szCs w:val="26"/>
        </w:rPr>
        <w:t>Formal Complaint (Complaint)</w:t>
      </w:r>
      <w:r w:rsidR="00A41BF7">
        <w:rPr>
          <w:sz w:val="26"/>
          <w:szCs w:val="26"/>
        </w:rPr>
        <w:t xml:space="preserve"> against Verizon PA alleging that the Company </w:t>
      </w:r>
      <w:r w:rsidR="00C16F4B">
        <w:rPr>
          <w:sz w:val="26"/>
          <w:szCs w:val="26"/>
        </w:rPr>
        <w:t xml:space="preserve">erroneously </w:t>
      </w:r>
      <w:r w:rsidR="00A41BF7">
        <w:rPr>
          <w:sz w:val="26"/>
          <w:szCs w:val="26"/>
        </w:rPr>
        <w:t>charged them for a second telephone line since August 2002</w:t>
      </w:r>
      <w:r w:rsidR="00B7518B">
        <w:rPr>
          <w:sz w:val="26"/>
          <w:szCs w:val="26"/>
        </w:rPr>
        <w:t xml:space="preserve">.  The Complainants averred that the telephone number for this second telephone line did not appear on any of their telephone bills until 2012.  Complaint at 6.  </w:t>
      </w:r>
      <w:r w:rsidR="00C43AEB">
        <w:rPr>
          <w:sz w:val="26"/>
          <w:szCs w:val="26"/>
        </w:rPr>
        <w:t xml:space="preserve">The Complainants </w:t>
      </w:r>
      <w:r w:rsidR="00FC7443">
        <w:rPr>
          <w:sz w:val="26"/>
          <w:szCs w:val="26"/>
        </w:rPr>
        <w:t xml:space="preserve">also </w:t>
      </w:r>
      <w:r w:rsidR="00C43AEB">
        <w:rPr>
          <w:sz w:val="26"/>
          <w:szCs w:val="26"/>
        </w:rPr>
        <w:t xml:space="preserve">averred </w:t>
      </w:r>
      <w:r w:rsidR="007203E9">
        <w:rPr>
          <w:sz w:val="26"/>
          <w:szCs w:val="26"/>
        </w:rPr>
        <w:t>that Verizon</w:t>
      </w:r>
      <w:r w:rsidR="00965A4C">
        <w:rPr>
          <w:sz w:val="26"/>
          <w:szCs w:val="26"/>
        </w:rPr>
        <w:t xml:space="preserve"> PA provided them with poor c</w:t>
      </w:r>
      <w:r w:rsidR="00D552D4">
        <w:rPr>
          <w:sz w:val="26"/>
          <w:szCs w:val="26"/>
        </w:rPr>
        <w:t xml:space="preserve">ustomer </w:t>
      </w:r>
      <w:r w:rsidR="00965A4C">
        <w:rPr>
          <w:sz w:val="26"/>
          <w:szCs w:val="26"/>
        </w:rPr>
        <w:t>s</w:t>
      </w:r>
      <w:r w:rsidR="00D552D4">
        <w:rPr>
          <w:sz w:val="26"/>
          <w:szCs w:val="26"/>
        </w:rPr>
        <w:t xml:space="preserve">ervice </w:t>
      </w:r>
      <w:r w:rsidR="00892BEC">
        <w:rPr>
          <w:sz w:val="26"/>
          <w:szCs w:val="26"/>
        </w:rPr>
        <w:t>by failing to remove charges related to an aborted attempt to install DSL Service at the Complainants’ home in 2002</w:t>
      </w:r>
      <w:r w:rsidR="00965A4C">
        <w:rPr>
          <w:sz w:val="26"/>
          <w:szCs w:val="26"/>
        </w:rPr>
        <w:t>,</w:t>
      </w:r>
      <w:r w:rsidR="00892BEC">
        <w:rPr>
          <w:sz w:val="26"/>
          <w:szCs w:val="26"/>
        </w:rPr>
        <w:t xml:space="preserve"> despite being assured by Verizo</w:t>
      </w:r>
      <w:r w:rsidR="00965A4C">
        <w:rPr>
          <w:sz w:val="26"/>
          <w:szCs w:val="26"/>
        </w:rPr>
        <w:t>n PA’s r</w:t>
      </w:r>
      <w:r w:rsidR="00892BEC">
        <w:rPr>
          <w:sz w:val="26"/>
          <w:szCs w:val="26"/>
        </w:rPr>
        <w:t>epresentatives on two separate occasions that the charges were cancelled.  The Complainants further averred that Verizon PA attempted to freeze their telephone number when they ported out to another carrier in April 2012</w:t>
      </w:r>
      <w:r w:rsidR="007203E9">
        <w:rPr>
          <w:sz w:val="26"/>
          <w:szCs w:val="26"/>
        </w:rPr>
        <w:t>.  Complaint at 7</w:t>
      </w:r>
      <w:r w:rsidR="00D552D4">
        <w:rPr>
          <w:sz w:val="26"/>
          <w:szCs w:val="26"/>
        </w:rPr>
        <w:t xml:space="preserve">.  </w:t>
      </w:r>
      <w:r w:rsidR="007F4A0D">
        <w:rPr>
          <w:sz w:val="26"/>
          <w:szCs w:val="26"/>
        </w:rPr>
        <w:t>As relief, the Complainants requested a full refund of the charges associated with the second line for the past ten years.</w:t>
      </w:r>
      <w:r w:rsidR="00D552D4">
        <w:rPr>
          <w:sz w:val="26"/>
          <w:szCs w:val="26"/>
        </w:rPr>
        <w:t xml:space="preserve">  Complaint at 8</w:t>
      </w:r>
      <w:r w:rsidR="00892BEC">
        <w:rPr>
          <w:sz w:val="26"/>
          <w:szCs w:val="26"/>
        </w:rPr>
        <w:t>.</w:t>
      </w:r>
    </w:p>
    <w:p w:rsidR="007F4A0D" w:rsidRDefault="007F4A0D" w:rsidP="00572D2C">
      <w:pPr>
        <w:widowControl/>
        <w:spacing w:line="360" w:lineRule="auto"/>
        <w:rPr>
          <w:sz w:val="26"/>
          <w:szCs w:val="26"/>
        </w:rPr>
      </w:pPr>
    </w:p>
    <w:p w:rsidR="007F4A0D" w:rsidRDefault="007F4A0D" w:rsidP="00572D2C">
      <w:pPr>
        <w:widowControl/>
        <w:spacing w:line="360" w:lineRule="auto"/>
        <w:rPr>
          <w:sz w:val="26"/>
          <w:szCs w:val="26"/>
        </w:rPr>
      </w:pPr>
      <w:r>
        <w:rPr>
          <w:sz w:val="26"/>
          <w:szCs w:val="26"/>
        </w:rPr>
        <w:tab/>
      </w:r>
      <w:r>
        <w:rPr>
          <w:sz w:val="26"/>
          <w:szCs w:val="26"/>
        </w:rPr>
        <w:tab/>
        <w:t xml:space="preserve">On May 18, 2012, </w:t>
      </w:r>
      <w:r w:rsidR="00AA3A6B">
        <w:rPr>
          <w:sz w:val="26"/>
          <w:szCs w:val="26"/>
        </w:rPr>
        <w:t xml:space="preserve">Verizon PA filed an Answer and New Matter in response to the Complaint and Preliminary Objections seeking partial dismissal of the Complaint for lack of Commission jurisdiction.  In its Answer, Verizon PA admitted and denied various material facts in the Complaint.  Verizon PA admitted that it had provided telephone services to the Complainants until </w:t>
      </w:r>
      <w:r w:rsidR="00DE5C51">
        <w:rPr>
          <w:sz w:val="26"/>
          <w:szCs w:val="26"/>
        </w:rPr>
        <w:t xml:space="preserve">they ported out to another </w:t>
      </w:r>
      <w:r w:rsidR="00810A6D">
        <w:rPr>
          <w:sz w:val="26"/>
          <w:szCs w:val="26"/>
        </w:rPr>
        <w:t>c</w:t>
      </w:r>
      <w:r w:rsidR="00DE5C51">
        <w:rPr>
          <w:sz w:val="26"/>
          <w:szCs w:val="26"/>
        </w:rPr>
        <w:t>arrier in April of 2012.  Answer at 1.  However, Verizon PA a</w:t>
      </w:r>
      <w:r w:rsidR="003940E6">
        <w:rPr>
          <w:sz w:val="26"/>
          <w:szCs w:val="26"/>
        </w:rPr>
        <w:t>ssert</w:t>
      </w:r>
      <w:r w:rsidR="00DE5C51">
        <w:rPr>
          <w:sz w:val="26"/>
          <w:szCs w:val="26"/>
        </w:rPr>
        <w:t xml:space="preserve">ed that it </w:t>
      </w:r>
      <w:r w:rsidR="003940E6">
        <w:rPr>
          <w:sz w:val="26"/>
          <w:szCs w:val="26"/>
        </w:rPr>
        <w:t xml:space="preserve">had </w:t>
      </w:r>
      <w:r w:rsidR="00DE5C51">
        <w:rPr>
          <w:sz w:val="26"/>
          <w:szCs w:val="26"/>
        </w:rPr>
        <w:t>correctly billed the Complainants for a second telephone line since 2002</w:t>
      </w:r>
      <w:r w:rsidR="0069663D">
        <w:rPr>
          <w:sz w:val="26"/>
          <w:szCs w:val="26"/>
        </w:rPr>
        <w:t xml:space="preserve">.  Verizon </w:t>
      </w:r>
      <w:r w:rsidR="00965A4C">
        <w:rPr>
          <w:sz w:val="26"/>
          <w:szCs w:val="26"/>
        </w:rPr>
        <w:t xml:space="preserve">PA </w:t>
      </w:r>
      <w:r w:rsidR="0069663D">
        <w:rPr>
          <w:sz w:val="26"/>
          <w:szCs w:val="26"/>
        </w:rPr>
        <w:t>a</w:t>
      </w:r>
      <w:r w:rsidR="00FC7443">
        <w:rPr>
          <w:sz w:val="26"/>
          <w:szCs w:val="26"/>
        </w:rPr>
        <w:t>lso averred</w:t>
      </w:r>
      <w:r w:rsidR="00DE5C51">
        <w:rPr>
          <w:sz w:val="26"/>
          <w:szCs w:val="26"/>
        </w:rPr>
        <w:t xml:space="preserve"> that the Complainants never called to question or cancel the line until March 2012.  Answer at 3.  In its New Matter, Verizon PA alleged that</w:t>
      </w:r>
      <w:r w:rsidR="00965A4C">
        <w:rPr>
          <w:sz w:val="26"/>
          <w:szCs w:val="26"/>
        </w:rPr>
        <w:t>,</w:t>
      </w:r>
      <w:r w:rsidR="00DE5C51">
        <w:rPr>
          <w:sz w:val="26"/>
          <w:szCs w:val="26"/>
        </w:rPr>
        <w:t xml:space="preserve"> even if it had billed the Complainants in error, the Commission should dismiss the portion of the Co</w:t>
      </w:r>
      <w:r w:rsidR="00B40790">
        <w:rPr>
          <w:sz w:val="26"/>
          <w:szCs w:val="26"/>
        </w:rPr>
        <w:t>mplaint that was prior to April </w:t>
      </w:r>
      <w:r w:rsidR="00DE5C51">
        <w:rPr>
          <w:sz w:val="26"/>
          <w:szCs w:val="26"/>
        </w:rPr>
        <w:t>2008</w:t>
      </w:r>
      <w:r w:rsidR="00C16F4B">
        <w:rPr>
          <w:sz w:val="26"/>
          <w:szCs w:val="26"/>
        </w:rPr>
        <w:t>,</w:t>
      </w:r>
      <w:r w:rsidR="00641176">
        <w:rPr>
          <w:sz w:val="26"/>
          <w:szCs w:val="26"/>
        </w:rPr>
        <w:t xml:space="preserve"> because the statute of limitations contained in the Public Utility Code (Code) at 66 Pa. C.S. § 1312 precludes </w:t>
      </w:r>
      <w:r w:rsidR="00965A4C">
        <w:rPr>
          <w:sz w:val="26"/>
          <w:szCs w:val="26"/>
        </w:rPr>
        <w:t xml:space="preserve">the </w:t>
      </w:r>
      <w:r w:rsidR="00641176">
        <w:rPr>
          <w:sz w:val="26"/>
          <w:szCs w:val="26"/>
        </w:rPr>
        <w:t xml:space="preserve">Complainants from recovering refunds for erroneous charges occurring more than four years prior to the date of filing of the Complaint.  </w:t>
      </w:r>
      <w:r w:rsidR="00FC7443">
        <w:rPr>
          <w:sz w:val="26"/>
          <w:szCs w:val="26"/>
        </w:rPr>
        <w:t xml:space="preserve">Verizon PA requested that the Complaint be dismissed in its entirety.  </w:t>
      </w:r>
      <w:r w:rsidR="00641176">
        <w:rPr>
          <w:sz w:val="26"/>
          <w:szCs w:val="26"/>
        </w:rPr>
        <w:t>Answer at 4.</w:t>
      </w:r>
    </w:p>
    <w:p w:rsidR="00641176" w:rsidRDefault="00641176" w:rsidP="00572D2C">
      <w:pPr>
        <w:widowControl/>
        <w:spacing w:line="360" w:lineRule="auto"/>
        <w:rPr>
          <w:sz w:val="26"/>
          <w:szCs w:val="26"/>
        </w:rPr>
      </w:pPr>
      <w:r>
        <w:rPr>
          <w:sz w:val="26"/>
          <w:szCs w:val="26"/>
        </w:rPr>
        <w:lastRenderedPageBreak/>
        <w:tab/>
      </w:r>
      <w:r>
        <w:rPr>
          <w:sz w:val="26"/>
          <w:szCs w:val="26"/>
        </w:rPr>
        <w:tab/>
        <w:t>On May 26, 2012, the Complainants filed an Answer to Verizon PA’s New Matter and Preliminary Objections.</w:t>
      </w:r>
    </w:p>
    <w:p w:rsidR="00641176" w:rsidRDefault="00641176" w:rsidP="00572D2C">
      <w:pPr>
        <w:widowControl/>
        <w:spacing w:line="360" w:lineRule="auto"/>
        <w:rPr>
          <w:sz w:val="26"/>
          <w:szCs w:val="26"/>
        </w:rPr>
      </w:pPr>
    </w:p>
    <w:p w:rsidR="00641176" w:rsidRDefault="00641176" w:rsidP="00572D2C">
      <w:pPr>
        <w:widowControl/>
        <w:spacing w:line="360" w:lineRule="auto"/>
        <w:rPr>
          <w:sz w:val="26"/>
          <w:szCs w:val="26"/>
        </w:rPr>
      </w:pPr>
      <w:r>
        <w:rPr>
          <w:sz w:val="26"/>
          <w:szCs w:val="26"/>
        </w:rPr>
        <w:tab/>
      </w:r>
      <w:r>
        <w:rPr>
          <w:sz w:val="26"/>
          <w:szCs w:val="26"/>
        </w:rPr>
        <w:tab/>
        <w:t>On July 6, 2012, the ALJ issued an Order Granting, in Part, and Denying, in Part, Verizon PA’s Preliminary Objections, dismissing the portion of the Complaint that requested a refund for alleged erroneous billing for telecommunications services prior to April 2008, pursuant to the statute of limitations at 66 Pa. C.S. § 1312(a).</w:t>
      </w:r>
    </w:p>
    <w:p w:rsidR="00641176" w:rsidRDefault="00641176" w:rsidP="00572D2C">
      <w:pPr>
        <w:widowControl/>
        <w:spacing w:line="360" w:lineRule="auto"/>
        <w:rPr>
          <w:sz w:val="26"/>
          <w:szCs w:val="26"/>
        </w:rPr>
      </w:pPr>
    </w:p>
    <w:p w:rsidR="00641176" w:rsidRDefault="00641176" w:rsidP="00572D2C">
      <w:pPr>
        <w:widowControl/>
        <w:spacing w:line="360" w:lineRule="auto"/>
        <w:rPr>
          <w:sz w:val="26"/>
          <w:szCs w:val="26"/>
        </w:rPr>
      </w:pPr>
      <w:r>
        <w:rPr>
          <w:sz w:val="26"/>
          <w:szCs w:val="26"/>
        </w:rPr>
        <w:tab/>
      </w:r>
      <w:r>
        <w:rPr>
          <w:sz w:val="26"/>
          <w:szCs w:val="26"/>
        </w:rPr>
        <w:tab/>
        <w:t xml:space="preserve">On July 16, 2012, a hearing was held.  The Complainants appeared </w:t>
      </w:r>
      <w:r>
        <w:rPr>
          <w:i/>
          <w:sz w:val="26"/>
          <w:szCs w:val="26"/>
        </w:rPr>
        <w:t>pro se</w:t>
      </w:r>
      <w:r>
        <w:rPr>
          <w:sz w:val="26"/>
          <w:szCs w:val="26"/>
        </w:rPr>
        <w:t xml:space="preserve"> and testified on their own behalf.  </w:t>
      </w:r>
      <w:r w:rsidR="003D7F96">
        <w:rPr>
          <w:sz w:val="26"/>
          <w:szCs w:val="26"/>
        </w:rPr>
        <w:t>Verizon PA was represented by counsel and presented the testimony of one witness.  The transcript of this hearing contains ninety-one pages.  The record was closed on August 2, 2012.</w:t>
      </w:r>
    </w:p>
    <w:p w:rsidR="003D7F96" w:rsidRDefault="003D7F96" w:rsidP="00572D2C">
      <w:pPr>
        <w:widowControl/>
        <w:spacing w:line="360" w:lineRule="auto"/>
        <w:rPr>
          <w:sz w:val="26"/>
          <w:szCs w:val="26"/>
        </w:rPr>
      </w:pPr>
    </w:p>
    <w:p w:rsidR="003D7F96" w:rsidRDefault="003D7F96" w:rsidP="00572D2C">
      <w:pPr>
        <w:widowControl/>
        <w:spacing w:line="360" w:lineRule="auto"/>
        <w:rPr>
          <w:sz w:val="26"/>
          <w:szCs w:val="26"/>
        </w:rPr>
      </w:pPr>
      <w:r>
        <w:rPr>
          <w:sz w:val="26"/>
          <w:szCs w:val="26"/>
        </w:rPr>
        <w:tab/>
      </w:r>
      <w:r>
        <w:rPr>
          <w:sz w:val="26"/>
          <w:szCs w:val="26"/>
        </w:rPr>
        <w:tab/>
        <w:t xml:space="preserve">In </w:t>
      </w:r>
      <w:r w:rsidR="003940E6">
        <w:rPr>
          <w:sz w:val="26"/>
          <w:szCs w:val="26"/>
        </w:rPr>
        <w:t>her</w:t>
      </w:r>
      <w:r>
        <w:rPr>
          <w:sz w:val="26"/>
          <w:szCs w:val="26"/>
        </w:rPr>
        <w:t xml:space="preserve"> Initial Decision, the ALJ denied the Complainants</w:t>
      </w:r>
      <w:r w:rsidR="00965A4C">
        <w:rPr>
          <w:sz w:val="26"/>
          <w:szCs w:val="26"/>
        </w:rPr>
        <w:t>’</w:t>
      </w:r>
      <w:r>
        <w:rPr>
          <w:sz w:val="26"/>
          <w:szCs w:val="26"/>
        </w:rPr>
        <w:t xml:space="preserve"> request for a refund and dismissed the Complaint.  As noted, </w:t>
      </w:r>
      <w:r>
        <w:rPr>
          <w:i/>
          <w:sz w:val="26"/>
          <w:szCs w:val="26"/>
        </w:rPr>
        <w:t>supra</w:t>
      </w:r>
      <w:r>
        <w:rPr>
          <w:sz w:val="26"/>
          <w:szCs w:val="26"/>
        </w:rPr>
        <w:t xml:space="preserve">, the Complainants filed </w:t>
      </w:r>
      <w:r w:rsidRPr="001744BC">
        <w:rPr>
          <w:sz w:val="26"/>
          <w:szCs w:val="26"/>
        </w:rPr>
        <w:t xml:space="preserve">Exceptions on </w:t>
      </w:r>
      <w:r>
        <w:rPr>
          <w:sz w:val="26"/>
          <w:szCs w:val="26"/>
        </w:rPr>
        <w:t>January 7, 2013</w:t>
      </w:r>
      <w:r w:rsidRPr="001744BC">
        <w:rPr>
          <w:sz w:val="26"/>
          <w:szCs w:val="26"/>
        </w:rPr>
        <w:t xml:space="preserve">.  </w:t>
      </w:r>
      <w:r>
        <w:rPr>
          <w:sz w:val="26"/>
          <w:szCs w:val="26"/>
        </w:rPr>
        <w:t>Verizon PA</w:t>
      </w:r>
      <w:r w:rsidRPr="001744BC">
        <w:rPr>
          <w:sz w:val="26"/>
          <w:szCs w:val="26"/>
        </w:rPr>
        <w:t xml:space="preserve"> filed Replies to Exceptions on </w:t>
      </w:r>
      <w:r>
        <w:rPr>
          <w:sz w:val="26"/>
          <w:szCs w:val="26"/>
        </w:rPr>
        <w:t>February 1, 2013</w:t>
      </w:r>
      <w:r w:rsidRPr="001744BC">
        <w:rPr>
          <w:sz w:val="26"/>
          <w:szCs w:val="26"/>
        </w:rPr>
        <w:t>.</w:t>
      </w:r>
    </w:p>
    <w:p w:rsidR="003D7F96" w:rsidRDefault="003D7F96" w:rsidP="00572D2C">
      <w:pPr>
        <w:widowControl/>
        <w:spacing w:line="360" w:lineRule="auto"/>
        <w:rPr>
          <w:sz w:val="26"/>
          <w:szCs w:val="26"/>
        </w:rPr>
      </w:pPr>
    </w:p>
    <w:p w:rsidR="003D7F96" w:rsidRDefault="003D7F96" w:rsidP="00572D2C">
      <w:pPr>
        <w:widowControl/>
        <w:spacing w:line="360" w:lineRule="auto"/>
        <w:rPr>
          <w:sz w:val="26"/>
          <w:szCs w:val="26"/>
        </w:rPr>
      </w:pPr>
      <w:r>
        <w:rPr>
          <w:sz w:val="26"/>
          <w:szCs w:val="26"/>
        </w:rPr>
        <w:tab/>
      </w:r>
      <w:r>
        <w:rPr>
          <w:sz w:val="26"/>
          <w:szCs w:val="26"/>
        </w:rPr>
        <w:tab/>
        <w:t xml:space="preserve">On </w:t>
      </w:r>
      <w:r w:rsidR="00047599">
        <w:rPr>
          <w:sz w:val="26"/>
          <w:szCs w:val="26"/>
        </w:rPr>
        <w:t xml:space="preserve">February </w:t>
      </w:r>
      <w:r w:rsidR="00760437">
        <w:rPr>
          <w:sz w:val="26"/>
          <w:szCs w:val="26"/>
        </w:rPr>
        <w:t>13</w:t>
      </w:r>
      <w:r w:rsidR="00047599">
        <w:rPr>
          <w:sz w:val="26"/>
          <w:szCs w:val="26"/>
        </w:rPr>
        <w:t>, 2013, the Complainants filed a Response to Verizon PA’s Replies to Exceptions.</w:t>
      </w:r>
      <w:r w:rsidR="008B41F3">
        <w:rPr>
          <w:rStyle w:val="FootnoteReference"/>
          <w:sz w:val="26"/>
          <w:szCs w:val="26"/>
        </w:rPr>
        <w:footnoteReference w:id="2"/>
      </w:r>
    </w:p>
    <w:bookmarkEnd w:id="0"/>
    <w:bookmarkEnd w:id="1"/>
    <w:p w:rsidR="003940E6" w:rsidRDefault="003940E6" w:rsidP="00572D2C">
      <w:pPr>
        <w:widowControl/>
        <w:spacing w:line="360" w:lineRule="auto"/>
        <w:jc w:val="center"/>
        <w:rPr>
          <w:b/>
          <w:sz w:val="26"/>
          <w:szCs w:val="26"/>
        </w:rPr>
      </w:pPr>
    </w:p>
    <w:p w:rsidR="00CA43A5" w:rsidRPr="00CA43A5" w:rsidRDefault="00CA43A5" w:rsidP="00B40790">
      <w:pPr>
        <w:keepNext/>
        <w:widowControl/>
        <w:spacing w:line="360" w:lineRule="auto"/>
        <w:jc w:val="center"/>
        <w:rPr>
          <w:sz w:val="26"/>
          <w:szCs w:val="26"/>
        </w:rPr>
      </w:pPr>
      <w:r w:rsidRPr="00CA43A5">
        <w:rPr>
          <w:b/>
          <w:sz w:val="26"/>
          <w:szCs w:val="26"/>
        </w:rPr>
        <w:lastRenderedPageBreak/>
        <w:t>Discussion</w:t>
      </w:r>
    </w:p>
    <w:p w:rsidR="003940E6" w:rsidRDefault="00760437" w:rsidP="00B40790">
      <w:pPr>
        <w:keepNext/>
        <w:widowControl/>
        <w:spacing w:line="360" w:lineRule="auto"/>
        <w:rPr>
          <w:sz w:val="26"/>
          <w:szCs w:val="26"/>
        </w:rPr>
      </w:pPr>
      <w:r>
        <w:rPr>
          <w:sz w:val="26"/>
          <w:szCs w:val="26"/>
        </w:rPr>
        <w:tab/>
      </w:r>
      <w:r>
        <w:rPr>
          <w:sz w:val="26"/>
          <w:szCs w:val="26"/>
        </w:rPr>
        <w:tab/>
      </w:r>
    </w:p>
    <w:p w:rsidR="0043592C" w:rsidRDefault="003940E6" w:rsidP="00B40790">
      <w:pPr>
        <w:keepNext/>
        <w:widowControl/>
        <w:spacing w:line="360" w:lineRule="auto"/>
        <w:rPr>
          <w:b/>
          <w:sz w:val="26"/>
          <w:szCs w:val="26"/>
        </w:rPr>
      </w:pPr>
      <w:r>
        <w:rPr>
          <w:b/>
          <w:sz w:val="26"/>
          <w:szCs w:val="26"/>
        </w:rPr>
        <w:t>Legal Standards</w:t>
      </w:r>
    </w:p>
    <w:p w:rsidR="003940E6" w:rsidRPr="00760437" w:rsidRDefault="003940E6" w:rsidP="00B40790">
      <w:pPr>
        <w:keepNext/>
        <w:widowControl/>
        <w:spacing w:line="360" w:lineRule="auto"/>
        <w:rPr>
          <w:b/>
          <w:sz w:val="26"/>
          <w:szCs w:val="26"/>
        </w:rPr>
      </w:pPr>
    </w:p>
    <w:p w:rsidR="0043592C" w:rsidRDefault="0043592C" w:rsidP="00572D2C">
      <w:pPr>
        <w:widowControl/>
        <w:spacing w:line="360" w:lineRule="auto"/>
        <w:ind w:firstLine="1440"/>
        <w:rPr>
          <w:sz w:val="26"/>
          <w:szCs w:val="26"/>
        </w:rPr>
      </w:pPr>
      <w:r w:rsidRPr="00CA43A5">
        <w:rPr>
          <w:sz w:val="26"/>
          <w:szCs w:val="26"/>
        </w:rPr>
        <w:t>As the proponent of a rule or order, the Complainant</w:t>
      </w:r>
      <w:r w:rsidR="005F581C">
        <w:rPr>
          <w:sz w:val="26"/>
          <w:szCs w:val="26"/>
        </w:rPr>
        <w:t>s</w:t>
      </w:r>
      <w:r w:rsidRPr="00CA43A5">
        <w:rPr>
          <w:sz w:val="26"/>
          <w:szCs w:val="26"/>
        </w:rPr>
        <w:t xml:space="preserve"> in this proceeding bear the burden of proof pursuant to Section 332(a) of the Code.  66 Pa. C.S. § 332(a).  To establish a sufficient case and satisfy the burden of proof, the Complainant must show that the </w:t>
      </w:r>
      <w:r w:rsidR="00D55191">
        <w:rPr>
          <w:sz w:val="26"/>
          <w:szCs w:val="26"/>
        </w:rPr>
        <w:t>Respondent</w:t>
      </w:r>
      <w:r w:rsidRPr="00CA43A5">
        <w:rPr>
          <w:sz w:val="26"/>
          <w:szCs w:val="26"/>
        </w:rPr>
        <w:t xml:space="preserve"> is responsible or accountable for the problem described in the Complaint.  </w:t>
      </w:r>
      <w:r w:rsidRPr="00CA43A5">
        <w:rPr>
          <w:i/>
          <w:sz w:val="26"/>
          <w:szCs w:val="26"/>
        </w:rPr>
        <w:t xml:space="preserve">Patterson v. </w:t>
      </w:r>
      <w:r w:rsidR="00D55191">
        <w:rPr>
          <w:i/>
          <w:sz w:val="26"/>
          <w:szCs w:val="26"/>
        </w:rPr>
        <w:t xml:space="preserve">The </w:t>
      </w:r>
      <w:r w:rsidRPr="00CA43A5">
        <w:rPr>
          <w:i/>
          <w:sz w:val="26"/>
          <w:szCs w:val="26"/>
        </w:rPr>
        <w:t>Bell Telephone Company of Pennsylvania</w:t>
      </w:r>
      <w:r w:rsidRPr="00CA43A5">
        <w:rPr>
          <w:sz w:val="26"/>
          <w:szCs w:val="26"/>
        </w:rPr>
        <w:t xml:space="preserve">, 72 Pa. P.U.C. 196 (1990).  Such a showing must be by a preponderance of the evidence.  </w:t>
      </w:r>
      <w:r w:rsidRPr="00CA43A5">
        <w:rPr>
          <w:i/>
          <w:iCs/>
          <w:sz w:val="26"/>
          <w:szCs w:val="26"/>
        </w:rPr>
        <w:t>Samuel J. Lansberry, Inc. v. Pa. PUC</w:t>
      </w:r>
      <w:r w:rsidRPr="00CA43A5">
        <w:rPr>
          <w:sz w:val="26"/>
          <w:szCs w:val="26"/>
        </w:rPr>
        <w:t xml:space="preserve">, 578 A.2d 600 (Pa. Cmwlth. 1990), </w:t>
      </w:r>
      <w:r w:rsidRPr="00CA43A5">
        <w:rPr>
          <w:i/>
          <w:sz w:val="26"/>
          <w:szCs w:val="26"/>
        </w:rPr>
        <w:t>alloc. denied,</w:t>
      </w:r>
      <w:r w:rsidRPr="00CA43A5">
        <w:rPr>
          <w:sz w:val="26"/>
          <w:szCs w:val="26"/>
        </w:rPr>
        <w:t xml:space="preserve"> 529 Pa. 654, 602 A.2d 863 (1992).  That is, the Complainant</w:t>
      </w:r>
      <w:r w:rsidR="005F581C">
        <w:rPr>
          <w:sz w:val="26"/>
          <w:szCs w:val="26"/>
        </w:rPr>
        <w:t>s</w:t>
      </w:r>
      <w:r w:rsidRPr="00CA43A5">
        <w:rPr>
          <w:sz w:val="26"/>
          <w:szCs w:val="26"/>
        </w:rPr>
        <w:t>’ evidence must be more convincing, by even the smallest amount, th</w:t>
      </w:r>
      <w:r w:rsidR="00D55191">
        <w:rPr>
          <w:sz w:val="26"/>
          <w:szCs w:val="26"/>
        </w:rPr>
        <w:t>an that presented by the Respondent</w:t>
      </w:r>
      <w:r w:rsidRPr="00CA43A5">
        <w:rPr>
          <w:sz w:val="26"/>
          <w:szCs w:val="26"/>
        </w:rPr>
        <w:t xml:space="preserve">.  </w:t>
      </w:r>
      <w:r w:rsidRPr="00CA43A5">
        <w:rPr>
          <w:i/>
          <w:sz w:val="26"/>
          <w:szCs w:val="26"/>
        </w:rPr>
        <w:t>Se-Ling Hosiery</w:t>
      </w:r>
      <w:r w:rsidR="00D55191">
        <w:rPr>
          <w:i/>
          <w:sz w:val="26"/>
          <w:szCs w:val="26"/>
        </w:rPr>
        <w:t>, Inc.</w:t>
      </w:r>
      <w:r w:rsidRPr="00CA43A5">
        <w:rPr>
          <w:i/>
          <w:sz w:val="26"/>
          <w:szCs w:val="26"/>
        </w:rPr>
        <w:t xml:space="preserve"> v. Margulies</w:t>
      </w:r>
      <w:r w:rsidRPr="00CA43A5">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CA43A5">
        <w:rPr>
          <w:i/>
          <w:sz w:val="26"/>
          <w:szCs w:val="26"/>
        </w:rPr>
        <w:t xml:space="preserve">Norfolk &amp; Western Ry. Co. v. Pa. PUC, </w:t>
      </w:r>
      <w:r w:rsidRPr="00CA43A5">
        <w:rPr>
          <w:sz w:val="26"/>
          <w:szCs w:val="26"/>
        </w:rPr>
        <w:t>489 Pa. 109, 413 A.2d 1037 (1980).</w:t>
      </w:r>
    </w:p>
    <w:p w:rsidR="00CA43A5" w:rsidRPr="00CA43A5" w:rsidRDefault="00CA43A5" w:rsidP="00572D2C">
      <w:pPr>
        <w:widowControl/>
        <w:spacing w:line="360" w:lineRule="auto"/>
        <w:rPr>
          <w:sz w:val="26"/>
          <w:szCs w:val="26"/>
        </w:rPr>
      </w:pPr>
    </w:p>
    <w:p w:rsidR="00195F2E" w:rsidRPr="00CC1FD7" w:rsidRDefault="00670BFD" w:rsidP="00572D2C">
      <w:pPr>
        <w:widowControl/>
        <w:spacing w:line="360" w:lineRule="auto"/>
        <w:ind w:firstLine="1440"/>
        <w:rPr>
          <w:rFonts w:ascii="Times New (W1)" w:hAnsi="Times New (W1)"/>
          <w:i/>
          <w:sz w:val="26"/>
        </w:rPr>
      </w:pPr>
      <w:r w:rsidRPr="00472547">
        <w:rPr>
          <w:sz w:val="26"/>
        </w:rPr>
        <w:t>Upon the presentation by</w:t>
      </w:r>
      <w:r w:rsidR="005F581C">
        <w:rPr>
          <w:sz w:val="26"/>
        </w:rPr>
        <w:t xml:space="preserve"> the Complainants</w:t>
      </w:r>
      <w:r w:rsidRPr="00472547">
        <w:rPr>
          <w:sz w:val="26"/>
        </w:rPr>
        <w:t xml:space="preserve"> of evidence sufficient to initially satisfy the</w:t>
      </w:r>
      <w:r>
        <w:rPr>
          <w:sz w:val="26"/>
        </w:rPr>
        <w:t xml:space="preserve"> burden of proof, the burden </w:t>
      </w:r>
      <w:r w:rsidRPr="00472547">
        <w:rPr>
          <w:sz w:val="26"/>
        </w:rPr>
        <w:t>of g</w:t>
      </w:r>
      <w:r w:rsidR="00957BC0">
        <w:rPr>
          <w:sz w:val="26"/>
        </w:rPr>
        <w:t xml:space="preserve">oing forward with the evidence </w:t>
      </w:r>
      <w:r w:rsidRPr="00472547">
        <w:rPr>
          <w:sz w:val="26"/>
        </w:rPr>
        <w:t xml:space="preserve">to rebut the evidence of the </w:t>
      </w:r>
      <w:r w:rsidR="005F581C">
        <w:rPr>
          <w:sz w:val="26"/>
        </w:rPr>
        <w:t>Complainants</w:t>
      </w:r>
      <w:r>
        <w:rPr>
          <w:sz w:val="26"/>
        </w:rPr>
        <w:t xml:space="preserve"> shifts</w:t>
      </w:r>
      <w:r w:rsidR="005F581C">
        <w:rPr>
          <w:sz w:val="26"/>
        </w:rPr>
        <w:t xml:space="preserve"> to the R</w:t>
      </w:r>
      <w:r w:rsidRPr="00472547">
        <w:rPr>
          <w:sz w:val="26"/>
        </w:rPr>
        <w:t>espondent. If</w:t>
      </w:r>
      <w:r w:rsidR="005F581C">
        <w:rPr>
          <w:sz w:val="26"/>
        </w:rPr>
        <w:t xml:space="preserve"> the evidence presented by the R</w:t>
      </w:r>
      <w:r w:rsidRPr="00472547">
        <w:rPr>
          <w:sz w:val="26"/>
        </w:rPr>
        <w:t>esp</w:t>
      </w:r>
      <w:r>
        <w:rPr>
          <w:sz w:val="26"/>
        </w:rPr>
        <w:t>ondent is of co-equal value or “</w:t>
      </w:r>
      <w:r w:rsidRPr="00472547">
        <w:rPr>
          <w:sz w:val="26"/>
        </w:rPr>
        <w:t>weight,</w:t>
      </w:r>
      <w:r>
        <w:rPr>
          <w:sz w:val="26"/>
        </w:rPr>
        <w:t>”</w:t>
      </w:r>
      <w:r w:rsidRPr="00472547">
        <w:rPr>
          <w:sz w:val="26"/>
        </w:rPr>
        <w:t xml:space="preserve"> the</w:t>
      </w:r>
      <w:r>
        <w:rPr>
          <w:sz w:val="26"/>
        </w:rPr>
        <w:t xml:space="preserve"> burden of proof </w:t>
      </w:r>
      <w:r w:rsidR="005F581C">
        <w:rPr>
          <w:sz w:val="26"/>
        </w:rPr>
        <w:t>has not been satisfied. The C</w:t>
      </w:r>
      <w:r w:rsidRPr="00472547">
        <w:rPr>
          <w:sz w:val="26"/>
        </w:rPr>
        <w:t>omplainant</w:t>
      </w:r>
      <w:r w:rsidR="005F581C">
        <w:rPr>
          <w:sz w:val="26"/>
        </w:rPr>
        <w:t>s</w:t>
      </w:r>
      <w:r w:rsidRPr="00472547">
        <w:rPr>
          <w:sz w:val="26"/>
        </w:rPr>
        <w:t xml:space="preserve"> now ha</w:t>
      </w:r>
      <w:r w:rsidR="005F581C">
        <w:rPr>
          <w:sz w:val="26"/>
        </w:rPr>
        <w:t>ve</w:t>
      </w:r>
      <w:r w:rsidRPr="00472547">
        <w:rPr>
          <w:sz w:val="26"/>
        </w:rPr>
        <w:t xml:space="preserve"> to provide some additional</w:t>
      </w:r>
      <w:r w:rsidR="005F581C">
        <w:rPr>
          <w:sz w:val="26"/>
        </w:rPr>
        <w:t xml:space="preserve"> evidence to rebut that of the R</w:t>
      </w:r>
      <w:r w:rsidRPr="00472547">
        <w:rPr>
          <w:sz w:val="26"/>
        </w:rPr>
        <w:t>espondent</w:t>
      </w:r>
      <w:r>
        <w:rPr>
          <w:sz w:val="26"/>
        </w:rPr>
        <w:t xml:space="preserve">. </w:t>
      </w:r>
      <w:r w:rsidRPr="00195F2E">
        <w:rPr>
          <w:iCs/>
          <w:sz w:val="26"/>
        </w:rPr>
        <w:t xml:space="preserve"> </w:t>
      </w:r>
      <w:hyperlink r:id="rId9" w:history="1">
        <w:r w:rsidR="00195F2E" w:rsidRPr="00154CB6">
          <w:rPr>
            <w:rStyle w:val="Hyperlink"/>
            <w:rFonts w:ascii="Times New (W1)" w:hAnsi="Times New (W1)"/>
            <w:i/>
            <w:iCs/>
            <w:color w:val="auto"/>
            <w:sz w:val="26"/>
            <w:u w:val="none"/>
          </w:rPr>
          <w:t>Burleson v. Pa. PUC,</w:t>
        </w:r>
        <w:r w:rsidR="00195F2E" w:rsidRPr="00154CB6">
          <w:rPr>
            <w:rStyle w:val="Hyperlink"/>
            <w:rFonts w:ascii="Times New (W1)" w:hAnsi="Times New (W1)"/>
            <w:iCs/>
            <w:color w:val="auto"/>
            <w:sz w:val="26"/>
            <w:u w:val="none"/>
          </w:rPr>
          <w:t xml:space="preserve"> 443 A.2d 1373 (Pa. Cmwlth. 1982), </w:t>
        </w:r>
        <w:r w:rsidR="00195F2E" w:rsidRPr="00154CB6">
          <w:rPr>
            <w:rStyle w:val="Hyperlink"/>
            <w:rFonts w:ascii="Times New (W1)" w:hAnsi="Times New (W1)"/>
            <w:i/>
            <w:iCs/>
            <w:color w:val="auto"/>
            <w:sz w:val="26"/>
            <w:u w:val="none"/>
          </w:rPr>
          <w:t>aff’d,</w:t>
        </w:r>
        <w:r w:rsidR="00195F2E" w:rsidRPr="00154CB6">
          <w:rPr>
            <w:rStyle w:val="Hyperlink"/>
            <w:rFonts w:ascii="Times New (W1)" w:hAnsi="Times New (W1)"/>
            <w:iCs/>
            <w:color w:val="auto"/>
            <w:sz w:val="26"/>
            <w:u w:val="none"/>
          </w:rPr>
          <w:t xml:space="preserve"> 501 Pa. 433, 461 A.2d 1234 (1983).</w:t>
        </w:r>
      </w:hyperlink>
    </w:p>
    <w:p w:rsidR="00670BFD" w:rsidRPr="00182752" w:rsidRDefault="00670BFD" w:rsidP="00572D2C">
      <w:pPr>
        <w:widowControl/>
        <w:spacing w:line="360" w:lineRule="auto"/>
        <w:ind w:firstLine="1440"/>
        <w:rPr>
          <w:sz w:val="26"/>
        </w:rPr>
      </w:pPr>
    </w:p>
    <w:p w:rsidR="00154CB6" w:rsidRDefault="00670BFD" w:rsidP="00572D2C">
      <w:pPr>
        <w:widowControl/>
        <w:spacing w:line="360" w:lineRule="auto"/>
        <w:ind w:firstLine="1440"/>
        <w:rPr>
          <w:sz w:val="26"/>
        </w:rPr>
      </w:pPr>
      <w:r w:rsidRPr="00182752">
        <w:rPr>
          <w:sz w:val="26"/>
        </w:rPr>
        <w:t xml:space="preserve">While the burden of </w:t>
      </w:r>
      <w:r w:rsidR="00957BC0">
        <w:rPr>
          <w:sz w:val="26"/>
        </w:rPr>
        <w:t>going forward with the evidence</w:t>
      </w:r>
      <w:r w:rsidRPr="00182752">
        <w:rPr>
          <w:sz w:val="26"/>
        </w:rPr>
        <w:t xml:space="preserve"> may </w:t>
      </w:r>
      <w:r w:rsidRPr="008F16A1">
        <w:rPr>
          <w:rStyle w:val="term1"/>
          <w:b w:val="0"/>
          <w:bCs w:val="0"/>
          <w:sz w:val="26"/>
        </w:rPr>
        <w:t>shift</w:t>
      </w:r>
      <w:r w:rsidRPr="008F16A1">
        <w:rPr>
          <w:sz w:val="26"/>
        </w:rPr>
        <w:t xml:space="preserve"> back and forth during a proceeding, the </w:t>
      </w:r>
      <w:r w:rsidRPr="008F16A1">
        <w:rPr>
          <w:rStyle w:val="term1"/>
          <w:b w:val="0"/>
          <w:bCs w:val="0"/>
          <w:sz w:val="26"/>
        </w:rPr>
        <w:t>burden of proof</w:t>
      </w:r>
      <w:r w:rsidRPr="008F16A1">
        <w:rPr>
          <w:sz w:val="26"/>
        </w:rPr>
        <w:t xml:space="preserve"> never </w:t>
      </w:r>
      <w:r w:rsidRPr="008F16A1">
        <w:rPr>
          <w:rStyle w:val="term1"/>
          <w:b w:val="0"/>
          <w:bCs w:val="0"/>
          <w:sz w:val="26"/>
        </w:rPr>
        <w:t>shifts. The burden of proof</w:t>
      </w:r>
      <w:r w:rsidRPr="008F16A1">
        <w:rPr>
          <w:sz w:val="26"/>
        </w:rPr>
        <w:t xml:space="preserve"> always </w:t>
      </w:r>
      <w:r w:rsidRPr="008F16A1">
        <w:rPr>
          <w:sz w:val="26"/>
        </w:rPr>
        <w:lastRenderedPageBreak/>
        <w:t>remains on the party seeking affirmative relief from the Commission.</w:t>
      </w:r>
      <w:r w:rsidR="00885263">
        <w:rPr>
          <w:sz w:val="26"/>
        </w:rPr>
        <w:t xml:space="preserve"> </w:t>
      </w:r>
      <w:r w:rsidRPr="008F16A1">
        <w:rPr>
          <w:sz w:val="26"/>
        </w:rPr>
        <w:t xml:space="preserve"> </w:t>
      </w:r>
      <w:r w:rsidR="00154CB6">
        <w:rPr>
          <w:i/>
          <w:sz w:val="26"/>
        </w:rPr>
        <w:t xml:space="preserve">Milkie v. Pa. PUC, </w:t>
      </w:r>
      <w:r w:rsidR="00154CB6">
        <w:rPr>
          <w:sz w:val="26"/>
        </w:rPr>
        <w:t>768 A.2d 1217 (Pa. Cmwlth. 2001).</w:t>
      </w:r>
    </w:p>
    <w:p w:rsidR="00760437" w:rsidRDefault="00760437" w:rsidP="00572D2C">
      <w:pPr>
        <w:widowControl/>
        <w:spacing w:line="360" w:lineRule="auto"/>
        <w:ind w:firstLine="1440"/>
        <w:rPr>
          <w:sz w:val="26"/>
        </w:rPr>
      </w:pPr>
    </w:p>
    <w:p w:rsidR="00006F35" w:rsidRDefault="003940E6" w:rsidP="00572D2C">
      <w:pPr>
        <w:widowControl/>
        <w:spacing w:line="360" w:lineRule="auto"/>
        <w:rPr>
          <w:sz w:val="26"/>
          <w:szCs w:val="26"/>
        </w:rPr>
      </w:pPr>
      <w:r>
        <w:rPr>
          <w:sz w:val="26"/>
          <w:szCs w:val="26"/>
        </w:rPr>
        <w:tab/>
      </w:r>
      <w:r>
        <w:rPr>
          <w:sz w:val="26"/>
          <w:szCs w:val="26"/>
        </w:rPr>
        <w:tab/>
      </w:r>
      <w:r w:rsidR="00957BDC" w:rsidRPr="00CB10E4">
        <w:rPr>
          <w:color w:val="000000"/>
          <w:sz w:val="26"/>
          <w:szCs w:val="26"/>
        </w:rPr>
        <w:t xml:space="preserve">Any issue or Exception that we do not specifically address has been duly considered and will be denied without further discussion.  It is well settled that we are not required to consider, expressly or at length, each contention or argument raised by the parties.  </w:t>
      </w:r>
      <w:r w:rsidR="00957BDC" w:rsidRPr="00843DF5">
        <w:rPr>
          <w:i/>
          <w:color w:val="000000"/>
          <w:sz w:val="26"/>
          <w:szCs w:val="26"/>
        </w:rPr>
        <w:t>Consolidated Rail Corporation v. Pa. PUC</w:t>
      </w:r>
      <w:r w:rsidR="00957BDC" w:rsidRPr="00CB10E4">
        <w:rPr>
          <w:color w:val="000000"/>
          <w:sz w:val="26"/>
          <w:szCs w:val="26"/>
        </w:rPr>
        <w:t xml:space="preserve">, 625 A.2d 741 (Pa. Cmwlth. 1993); see also, generally, </w:t>
      </w:r>
      <w:r w:rsidR="00957BDC" w:rsidRPr="00843DF5">
        <w:rPr>
          <w:i/>
          <w:color w:val="000000"/>
          <w:sz w:val="26"/>
          <w:szCs w:val="26"/>
        </w:rPr>
        <w:t>University of Pennsylvania v. Pa. PUC</w:t>
      </w:r>
      <w:r w:rsidR="00957BDC" w:rsidRPr="00CB10E4">
        <w:rPr>
          <w:color w:val="000000"/>
          <w:sz w:val="26"/>
          <w:szCs w:val="26"/>
        </w:rPr>
        <w:t>, 485 A.2d 1217 (Pa. Cmwlth. 1984).</w:t>
      </w:r>
    </w:p>
    <w:p w:rsidR="00957BDC" w:rsidRDefault="00957BDC" w:rsidP="00572D2C">
      <w:pPr>
        <w:widowControl/>
        <w:spacing w:line="360" w:lineRule="auto"/>
        <w:rPr>
          <w:sz w:val="26"/>
          <w:szCs w:val="26"/>
        </w:rPr>
      </w:pPr>
    </w:p>
    <w:p w:rsidR="00D57FA0" w:rsidRDefault="00D57FA0" w:rsidP="00572D2C">
      <w:pPr>
        <w:widowControl/>
        <w:spacing w:line="360" w:lineRule="auto"/>
        <w:ind w:firstLine="1440"/>
        <w:rPr>
          <w:color w:val="000000"/>
          <w:sz w:val="26"/>
          <w:szCs w:val="26"/>
        </w:rPr>
      </w:pPr>
      <w:r w:rsidRPr="009E2DEF">
        <w:rPr>
          <w:color w:val="000000"/>
          <w:sz w:val="26"/>
          <w:szCs w:val="26"/>
        </w:rPr>
        <w:t>We note at the outset that the Exceptions of the Complainant</w:t>
      </w:r>
      <w:r w:rsidR="005F581C">
        <w:rPr>
          <w:color w:val="000000"/>
          <w:sz w:val="26"/>
          <w:szCs w:val="26"/>
        </w:rPr>
        <w:t>s</w:t>
      </w:r>
      <w:r w:rsidRPr="009E2DEF">
        <w:rPr>
          <w:color w:val="000000"/>
          <w:sz w:val="26"/>
          <w:szCs w:val="26"/>
        </w:rPr>
        <w:t xml:space="preserve"> are not in strict compliance with Section 5.533(b) of our Rules of Administrative Practice and Procedure, 52 Pa. Code §</w:t>
      </w:r>
      <w:r>
        <w:rPr>
          <w:color w:val="000000"/>
          <w:sz w:val="26"/>
          <w:szCs w:val="26"/>
        </w:rPr>
        <w:t xml:space="preserve"> 5.533(b), which provides that:</w:t>
      </w:r>
    </w:p>
    <w:p w:rsidR="00D57FA0" w:rsidRDefault="00D57FA0" w:rsidP="00572D2C">
      <w:pPr>
        <w:widowControl/>
        <w:spacing w:line="360" w:lineRule="auto"/>
        <w:ind w:firstLine="1440"/>
        <w:rPr>
          <w:color w:val="000000"/>
          <w:sz w:val="26"/>
          <w:szCs w:val="26"/>
        </w:rPr>
      </w:pPr>
    </w:p>
    <w:p w:rsidR="00D57FA0" w:rsidRDefault="00D57FA0" w:rsidP="00572D2C">
      <w:pPr>
        <w:widowControl/>
        <w:ind w:left="1440" w:right="1440"/>
        <w:rPr>
          <w:color w:val="000000"/>
          <w:sz w:val="26"/>
          <w:szCs w:val="26"/>
        </w:rPr>
      </w:pPr>
      <w:r w:rsidRPr="009E2DEF">
        <w:rPr>
          <w:color w:val="000000"/>
          <w:sz w:val="26"/>
          <w:szCs w:val="26"/>
        </w:rPr>
        <w:t xml:space="preserve">(b) An exception shall be stated in specific, numbered paragraphs, identify the finding of fact or conclusion of law to which exception is taken and cite relevant pages of the decision. Supporting reasons for the exception shall follow a </w:t>
      </w:r>
      <w:r>
        <w:rPr>
          <w:color w:val="000000"/>
          <w:sz w:val="26"/>
          <w:szCs w:val="26"/>
        </w:rPr>
        <w:t>specific exception.</w:t>
      </w:r>
    </w:p>
    <w:p w:rsidR="00D57FA0" w:rsidRPr="009E2DEF" w:rsidRDefault="00D57FA0" w:rsidP="00572D2C">
      <w:pPr>
        <w:widowControl/>
        <w:spacing w:line="360" w:lineRule="auto"/>
        <w:ind w:left="1440" w:right="1440"/>
        <w:rPr>
          <w:color w:val="000000"/>
          <w:sz w:val="26"/>
          <w:szCs w:val="26"/>
        </w:rPr>
      </w:pPr>
    </w:p>
    <w:p w:rsidR="003940E6" w:rsidRDefault="00D57FA0" w:rsidP="00572D2C">
      <w:pPr>
        <w:widowControl/>
        <w:spacing w:line="360" w:lineRule="auto"/>
        <w:rPr>
          <w:sz w:val="26"/>
          <w:szCs w:val="26"/>
        </w:rPr>
      </w:pPr>
      <w:r w:rsidRPr="009E2DEF">
        <w:rPr>
          <w:color w:val="000000"/>
          <w:sz w:val="26"/>
          <w:szCs w:val="26"/>
        </w:rPr>
        <w:t>We recognize, however, that the Complainant</w:t>
      </w:r>
      <w:r w:rsidR="00067179">
        <w:rPr>
          <w:color w:val="000000"/>
          <w:sz w:val="26"/>
          <w:szCs w:val="26"/>
        </w:rPr>
        <w:t>s</w:t>
      </w:r>
      <w:r>
        <w:rPr>
          <w:color w:val="000000"/>
          <w:sz w:val="26"/>
          <w:szCs w:val="26"/>
        </w:rPr>
        <w:t xml:space="preserve"> </w:t>
      </w:r>
      <w:r w:rsidR="00067179">
        <w:rPr>
          <w:color w:val="000000"/>
          <w:sz w:val="26"/>
          <w:szCs w:val="26"/>
        </w:rPr>
        <w:t>are</w:t>
      </w:r>
      <w:r w:rsidRPr="009E2DEF">
        <w:rPr>
          <w:color w:val="000000"/>
          <w:sz w:val="26"/>
          <w:szCs w:val="26"/>
        </w:rPr>
        <w:t xml:space="preserve"> appearing </w:t>
      </w:r>
      <w:r w:rsidRPr="00A71158">
        <w:rPr>
          <w:i/>
          <w:color w:val="000000"/>
          <w:sz w:val="26"/>
          <w:szCs w:val="26"/>
        </w:rPr>
        <w:t>pro se</w:t>
      </w:r>
      <w:r w:rsidRPr="009E2DEF">
        <w:rPr>
          <w:color w:val="000000"/>
          <w:sz w:val="26"/>
          <w:szCs w:val="26"/>
        </w:rPr>
        <w:t xml:space="preserve"> in this proceeding. </w:t>
      </w:r>
      <w:r>
        <w:rPr>
          <w:color w:val="000000"/>
          <w:sz w:val="26"/>
          <w:szCs w:val="26"/>
        </w:rPr>
        <w:t xml:space="preserve"> </w:t>
      </w:r>
      <w:r w:rsidRPr="009E2DEF">
        <w:rPr>
          <w:color w:val="000000"/>
          <w:sz w:val="26"/>
          <w:szCs w:val="26"/>
        </w:rPr>
        <w:t xml:space="preserve">Traditionally, we have been hesitant to rule unfavorably against </w:t>
      </w:r>
      <w:r w:rsidRPr="00A71158">
        <w:rPr>
          <w:bCs/>
          <w:i/>
          <w:color w:val="000000"/>
          <w:sz w:val="26"/>
          <w:szCs w:val="26"/>
        </w:rPr>
        <w:t>pro se</w:t>
      </w:r>
      <w:r w:rsidRPr="009E2DEF">
        <w:rPr>
          <w:bCs/>
          <w:color w:val="000000"/>
          <w:sz w:val="26"/>
          <w:szCs w:val="26"/>
        </w:rPr>
        <w:t xml:space="preserve"> litigants</w:t>
      </w:r>
      <w:r w:rsidRPr="009E2DEF">
        <w:rPr>
          <w:color w:val="000000"/>
          <w:sz w:val="26"/>
          <w:szCs w:val="26"/>
        </w:rPr>
        <w:t xml:space="preserve"> based on technical grounds.</w:t>
      </w:r>
      <w:r w:rsidR="00F31CB8">
        <w:rPr>
          <w:color w:val="000000"/>
          <w:sz w:val="26"/>
          <w:szCs w:val="26"/>
        </w:rPr>
        <w:t xml:space="preserve"> </w:t>
      </w:r>
      <w:r w:rsidRPr="009E2DEF">
        <w:rPr>
          <w:color w:val="000000"/>
          <w:sz w:val="26"/>
          <w:szCs w:val="26"/>
        </w:rPr>
        <w:t xml:space="preserve"> See, </w:t>
      </w:r>
      <w:r w:rsidRPr="007346E4">
        <w:rPr>
          <w:i/>
          <w:color w:val="000000"/>
          <w:sz w:val="26"/>
          <w:szCs w:val="26"/>
        </w:rPr>
        <w:t>e.g.</w:t>
      </w:r>
      <w:r w:rsidRPr="009E2DEF">
        <w:rPr>
          <w:color w:val="000000"/>
          <w:sz w:val="26"/>
          <w:szCs w:val="26"/>
        </w:rPr>
        <w:t xml:space="preserve">, </w:t>
      </w:r>
      <w:r w:rsidRPr="00A71158">
        <w:rPr>
          <w:i/>
          <w:color w:val="000000"/>
          <w:sz w:val="26"/>
          <w:szCs w:val="26"/>
        </w:rPr>
        <w:t>Destefano v. Peoples Natural Gas Company</w:t>
      </w:r>
      <w:r>
        <w:rPr>
          <w:color w:val="000000"/>
          <w:sz w:val="26"/>
          <w:szCs w:val="26"/>
        </w:rPr>
        <w:t>, 56 Pa. P.U.C. 489 (1982).  We typically apply the liberal construction pr</w:t>
      </w:r>
      <w:r w:rsidR="00F31CB8">
        <w:rPr>
          <w:color w:val="000000"/>
          <w:sz w:val="26"/>
          <w:szCs w:val="26"/>
        </w:rPr>
        <w:t>ovisions of our Regulations, 52 </w:t>
      </w:r>
      <w:r>
        <w:rPr>
          <w:color w:val="000000"/>
          <w:sz w:val="26"/>
          <w:szCs w:val="26"/>
        </w:rPr>
        <w:t xml:space="preserve">Pa. Code § 1.2(a), to </w:t>
      </w:r>
      <w:r>
        <w:rPr>
          <w:i/>
          <w:color w:val="000000"/>
          <w:sz w:val="26"/>
          <w:szCs w:val="26"/>
        </w:rPr>
        <w:t xml:space="preserve">pro </w:t>
      </w:r>
      <w:r w:rsidRPr="00BC6750">
        <w:rPr>
          <w:color w:val="000000"/>
          <w:sz w:val="26"/>
          <w:szCs w:val="26"/>
        </w:rPr>
        <w:t>se</w:t>
      </w:r>
      <w:r>
        <w:rPr>
          <w:color w:val="000000"/>
          <w:sz w:val="26"/>
          <w:szCs w:val="26"/>
        </w:rPr>
        <w:t xml:space="preserve"> litigants to ensure just, speedy, and inexpensive determinations of proceedings before the Commission.  See, </w:t>
      </w:r>
      <w:r>
        <w:rPr>
          <w:i/>
          <w:color w:val="000000"/>
          <w:sz w:val="26"/>
          <w:szCs w:val="26"/>
        </w:rPr>
        <w:t xml:space="preserve">e.g., Ditsious v. Pennsylvania Electric Co., </w:t>
      </w:r>
      <w:r>
        <w:rPr>
          <w:color w:val="000000"/>
          <w:sz w:val="26"/>
          <w:szCs w:val="26"/>
        </w:rPr>
        <w:t xml:space="preserve">Docket No. F-2011-2274306 (Order entered March 14, 2013).  </w:t>
      </w:r>
      <w:r w:rsidRPr="00BC6750">
        <w:rPr>
          <w:color w:val="000000"/>
          <w:sz w:val="26"/>
          <w:szCs w:val="26"/>
        </w:rPr>
        <w:t>In</w:t>
      </w:r>
      <w:r w:rsidRPr="009E2DEF">
        <w:rPr>
          <w:color w:val="000000"/>
          <w:sz w:val="26"/>
          <w:szCs w:val="26"/>
        </w:rPr>
        <w:t xml:space="preserve"> our view, it is in the public interest that all litigants, particularly </w:t>
      </w:r>
      <w:r w:rsidRPr="00A71158">
        <w:rPr>
          <w:bCs/>
          <w:i/>
          <w:color w:val="000000"/>
          <w:sz w:val="26"/>
          <w:szCs w:val="26"/>
        </w:rPr>
        <w:t>pro se</w:t>
      </w:r>
      <w:r w:rsidRPr="009E2DEF">
        <w:rPr>
          <w:bCs/>
          <w:color w:val="000000"/>
          <w:sz w:val="26"/>
          <w:szCs w:val="26"/>
        </w:rPr>
        <w:t xml:space="preserve"> litigants</w:t>
      </w:r>
      <w:r w:rsidRPr="009E2DEF">
        <w:rPr>
          <w:b/>
          <w:bCs/>
          <w:color w:val="000000"/>
          <w:sz w:val="26"/>
          <w:szCs w:val="26"/>
        </w:rPr>
        <w:t>,</w:t>
      </w:r>
      <w:r w:rsidRPr="009E2DEF">
        <w:rPr>
          <w:color w:val="000000"/>
          <w:sz w:val="26"/>
          <w:szCs w:val="26"/>
        </w:rPr>
        <w:t xml:space="preserve"> be afforded a meaningful opportunity to be heard. </w:t>
      </w:r>
      <w:r>
        <w:rPr>
          <w:color w:val="000000"/>
          <w:sz w:val="26"/>
          <w:szCs w:val="26"/>
        </w:rPr>
        <w:t xml:space="preserve"> Therefore, we will</w:t>
      </w:r>
      <w:r w:rsidRPr="009E2DEF">
        <w:rPr>
          <w:color w:val="000000"/>
          <w:sz w:val="26"/>
          <w:szCs w:val="26"/>
        </w:rPr>
        <w:t xml:space="preserve"> consider the merits of the Complainants</w:t>
      </w:r>
      <w:r>
        <w:rPr>
          <w:color w:val="000000"/>
          <w:sz w:val="26"/>
          <w:szCs w:val="26"/>
        </w:rPr>
        <w:t>’</w:t>
      </w:r>
      <w:r w:rsidRPr="009E2DEF">
        <w:rPr>
          <w:color w:val="000000"/>
          <w:sz w:val="26"/>
          <w:szCs w:val="26"/>
        </w:rPr>
        <w:t xml:space="preserve"> Exceptions.</w:t>
      </w:r>
    </w:p>
    <w:p w:rsidR="003940E6" w:rsidRPr="00957BDC" w:rsidRDefault="003940E6" w:rsidP="00572D2C">
      <w:pPr>
        <w:widowControl/>
        <w:spacing w:line="360" w:lineRule="auto"/>
        <w:rPr>
          <w:b/>
          <w:sz w:val="26"/>
        </w:rPr>
      </w:pPr>
      <w:r>
        <w:rPr>
          <w:b/>
          <w:sz w:val="26"/>
        </w:rPr>
        <w:lastRenderedPageBreak/>
        <w:t>ALJ’s Initial Decision</w:t>
      </w:r>
    </w:p>
    <w:p w:rsidR="003940E6" w:rsidRDefault="003940E6" w:rsidP="00572D2C">
      <w:pPr>
        <w:widowControl/>
        <w:spacing w:line="360" w:lineRule="auto"/>
        <w:rPr>
          <w:sz w:val="26"/>
          <w:szCs w:val="26"/>
        </w:rPr>
      </w:pPr>
    </w:p>
    <w:p w:rsidR="003940E6" w:rsidRDefault="003940E6" w:rsidP="00572D2C">
      <w:pPr>
        <w:widowControl/>
        <w:spacing w:line="360" w:lineRule="auto"/>
        <w:rPr>
          <w:b/>
          <w:sz w:val="26"/>
          <w:szCs w:val="26"/>
        </w:rPr>
      </w:pPr>
      <w:r>
        <w:rPr>
          <w:sz w:val="26"/>
          <w:szCs w:val="26"/>
        </w:rPr>
        <w:tab/>
      </w:r>
      <w:r>
        <w:rPr>
          <w:sz w:val="26"/>
          <w:szCs w:val="26"/>
        </w:rPr>
        <w:tab/>
        <w:t>ALJ Barnes</w:t>
      </w:r>
      <w:r w:rsidRPr="00CA43A5">
        <w:rPr>
          <w:sz w:val="26"/>
          <w:szCs w:val="26"/>
        </w:rPr>
        <w:t xml:space="preserve"> made </w:t>
      </w:r>
      <w:r w:rsidR="001236B1">
        <w:rPr>
          <w:sz w:val="26"/>
          <w:szCs w:val="26"/>
        </w:rPr>
        <w:t>twenty-three</w:t>
      </w:r>
      <w:r w:rsidRPr="00CA43A5">
        <w:rPr>
          <w:sz w:val="26"/>
          <w:szCs w:val="26"/>
        </w:rPr>
        <w:t xml:space="preserve"> Findings of Fact and reached </w:t>
      </w:r>
      <w:r w:rsidR="001236B1">
        <w:rPr>
          <w:sz w:val="26"/>
          <w:szCs w:val="26"/>
        </w:rPr>
        <w:t>three</w:t>
      </w:r>
      <w:r w:rsidRPr="00CA43A5">
        <w:rPr>
          <w:sz w:val="26"/>
          <w:szCs w:val="26"/>
        </w:rPr>
        <w:t xml:space="preserve"> Conclusions of Law.</w:t>
      </w:r>
      <w:r>
        <w:rPr>
          <w:sz w:val="26"/>
          <w:szCs w:val="26"/>
        </w:rPr>
        <w:t xml:space="preserve">  I</w:t>
      </w:r>
      <w:r w:rsidR="005F581C">
        <w:rPr>
          <w:sz w:val="26"/>
          <w:szCs w:val="26"/>
        </w:rPr>
        <w:t>.</w:t>
      </w:r>
      <w:r>
        <w:rPr>
          <w:sz w:val="26"/>
          <w:szCs w:val="26"/>
        </w:rPr>
        <w:t>D</w:t>
      </w:r>
      <w:r w:rsidR="005F581C">
        <w:rPr>
          <w:sz w:val="26"/>
          <w:szCs w:val="26"/>
        </w:rPr>
        <w:t>.</w:t>
      </w:r>
      <w:r>
        <w:rPr>
          <w:sz w:val="26"/>
          <w:szCs w:val="26"/>
        </w:rPr>
        <w:t xml:space="preserve"> at 2-5, 8-9.</w:t>
      </w:r>
      <w:r w:rsidRPr="00CA43A5">
        <w:rPr>
          <w:sz w:val="26"/>
          <w:szCs w:val="26"/>
        </w:rPr>
        <w:t xml:space="preserve">  </w:t>
      </w:r>
      <w:r w:rsidRPr="0016497B">
        <w:rPr>
          <w:sz w:val="26"/>
          <w:szCs w:val="26"/>
        </w:rPr>
        <w:t>We shall adopt and incorporate herein by reference the ALJ’s Findings of Fact and Conclusions of Law, unless they are reversed or modified by this Opinion and Order, either expressly or by necessary implication.</w:t>
      </w:r>
    </w:p>
    <w:p w:rsidR="003940E6" w:rsidRDefault="003940E6" w:rsidP="00572D2C">
      <w:pPr>
        <w:widowControl/>
        <w:spacing w:line="360" w:lineRule="auto"/>
        <w:ind w:firstLine="1440"/>
        <w:rPr>
          <w:sz w:val="26"/>
        </w:rPr>
      </w:pPr>
    </w:p>
    <w:p w:rsidR="00B33C5D" w:rsidRDefault="003940E6" w:rsidP="00572D2C">
      <w:pPr>
        <w:widowControl/>
        <w:spacing w:line="360" w:lineRule="auto"/>
        <w:rPr>
          <w:sz w:val="26"/>
          <w:szCs w:val="26"/>
        </w:rPr>
      </w:pPr>
      <w:r>
        <w:rPr>
          <w:sz w:val="26"/>
        </w:rPr>
        <w:tab/>
      </w:r>
      <w:r>
        <w:rPr>
          <w:sz w:val="26"/>
        </w:rPr>
        <w:tab/>
      </w:r>
      <w:r w:rsidR="00025130">
        <w:rPr>
          <w:sz w:val="26"/>
        </w:rPr>
        <w:t>As noted</w:t>
      </w:r>
      <w:r w:rsidR="00634714">
        <w:rPr>
          <w:sz w:val="26"/>
        </w:rPr>
        <w:t xml:space="preserve">, </w:t>
      </w:r>
      <w:r w:rsidR="00634714">
        <w:rPr>
          <w:i/>
          <w:sz w:val="26"/>
        </w:rPr>
        <w:t>supra</w:t>
      </w:r>
      <w:r w:rsidR="00634714">
        <w:rPr>
          <w:sz w:val="26"/>
        </w:rPr>
        <w:t xml:space="preserve">, </w:t>
      </w:r>
      <w:r w:rsidR="00025130">
        <w:rPr>
          <w:sz w:val="26"/>
        </w:rPr>
        <w:t xml:space="preserve">the ALJ dismissed the Complaint. </w:t>
      </w:r>
      <w:r w:rsidR="00572D2C">
        <w:rPr>
          <w:sz w:val="26"/>
        </w:rPr>
        <w:t xml:space="preserve"> </w:t>
      </w:r>
      <w:r w:rsidR="00025130">
        <w:rPr>
          <w:sz w:val="26"/>
          <w:szCs w:val="26"/>
        </w:rPr>
        <w:t>T</w:t>
      </w:r>
      <w:r w:rsidR="00C43AEB">
        <w:rPr>
          <w:sz w:val="26"/>
          <w:szCs w:val="26"/>
        </w:rPr>
        <w:t xml:space="preserve">he ALJ </w:t>
      </w:r>
      <w:r w:rsidR="00D552D4">
        <w:rPr>
          <w:sz w:val="26"/>
          <w:szCs w:val="26"/>
        </w:rPr>
        <w:t>found</w:t>
      </w:r>
      <w:r w:rsidR="00C43AEB">
        <w:rPr>
          <w:sz w:val="26"/>
          <w:szCs w:val="26"/>
        </w:rPr>
        <w:t xml:space="preserve"> that the </w:t>
      </w:r>
      <w:r w:rsidR="00E53AD1">
        <w:rPr>
          <w:sz w:val="26"/>
          <w:szCs w:val="26"/>
        </w:rPr>
        <w:t xml:space="preserve">Complainants did not meet their burden of proving that Verizon PA erroneously billed them for telecommunications services.  </w:t>
      </w:r>
      <w:r w:rsidR="00B33C5D">
        <w:rPr>
          <w:sz w:val="26"/>
          <w:szCs w:val="26"/>
        </w:rPr>
        <w:t xml:space="preserve">The ALJ </w:t>
      </w:r>
      <w:r w:rsidR="00925754">
        <w:rPr>
          <w:sz w:val="26"/>
          <w:szCs w:val="26"/>
        </w:rPr>
        <w:t>concluded</w:t>
      </w:r>
      <w:r w:rsidR="00B33C5D">
        <w:rPr>
          <w:sz w:val="26"/>
          <w:szCs w:val="26"/>
        </w:rPr>
        <w:t xml:space="preserve"> that</w:t>
      </w:r>
      <w:r w:rsidR="005F581C">
        <w:rPr>
          <w:sz w:val="26"/>
          <w:szCs w:val="26"/>
        </w:rPr>
        <w:t>,</w:t>
      </w:r>
      <w:r w:rsidR="00B33C5D">
        <w:rPr>
          <w:sz w:val="26"/>
          <w:szCs w:val="26"/>
        </w:rPr>
        <w:t xml:space="preserve"> although the Complainants averred that they contacted Verizon PA approximately two to three times between November 2002 and February 2003 to question the high charges on their bill, the portions of the bills the Complainants submitted as Exhibits at the hearing do not alone support the claim that they contacted the Company.  </w:t>
      </w:r>
      <w:r w:rsidR="00E97DCA">
        <w:rPr>
          <w:sz w:val="26"/>
          <w:szCs w:val="26"/>
        </w:rPr>
        <w:t>I</w:t>
      </w:r>
      <w:r w:rsidR="005F581C">
        <w:rPr>
          <w:sz w:val="26"/>
          <w:szCs w:val="26"/>
        </w:rPr>
        <w:t>.</w:t>
      </w:r>
      <w:r w:rsidR="00E97DCA">
        <w:rPr>
          <w:sz w:val="26"/>
          <w:szCs w:val="26"/>
        </w:rPr>
        <w:t>D</w:t>
      </w:r>
      <w:r w:rsidR="005F581C">
        <w:rPr>
          <w:sz w:val="26"/>
          <w:szCs w:val="26"/>
        </w:rPr>
        <w:t>.</w:t>
      </w:r>
      <w:r w:rsidR="00E97DCA">
        <w:rPr>
          <w:sz w:val="26"/>
          <w:szCs w:val="26"/>
        </w:rPr>
        <w:t xml:space="preserve"> at 5-6.  </w:t>
      </w:r>
      <w:r w:rsidR="00816A61">
        <w:rPr>
          <w:sz w:val="26"/>
          <w:szCs w:val="26"/>
        </w:rPr>
        <w:t xml:space="preserve">The ALJ also noted that the Complainants’ allegation that </w:t>
      </w:r>
      <w:r w:rsidR="00DB14CB">
        <w:rPr>
          <w:sz w:val="26"/>
          <w:szCs w:val="26"/>
        </w:rPr>
        <w:t xml:space="preserve">they </w:t>
      </w:r>
      <w:r w:rsidR="00816A61">
        <w:rPr>
          <w:sz w:val="26"/>
          <w:szCs w:val="26"/>
        </w:rPr>
        <w:t xml:space="preserve">contacted Verizon PA is irrelevant because it occurred before April of 2008.  </w:t>
      </w:r>
      <w:r w:rsidR="005F581C">
        <w:rPr>
          <w:i/>
          <w:sz w:val="26"/>
          <w:szCs w:val="26"/>
        </w:rPr>
        <w:t>Id.</w:t>
      </w:r>
      <w:r w:rsidR="00816A61">
        <w:rPr>
          <w:sz w:val="26"/>
          <w:szCs w:val="26"/>
        </w:rPr>
        <w:t xml:space="preserve"> at 7.  </w:t>
      </w:r>
      <w:r w:rsidR="004D233C">
        <w:rPr>
          <w:sz w:val="26"/>
          <w:szCs w:val="26"/>
        </w:rPr>
        <w:t>T</w:t>
      </w:r>
      <w:r w:rsidR="0069663D">
        <w:rPr>
          <w:sz w:val="26"/>
          <w:szCs w:val="26"/>
        </w:rPr>
        <w:t>he ALJ o</w:t>
      </w:r>
      <w:r w:rsidR="00E53AD1">
        <w:rPr>
          <w:sz w:val="26"/>
          <w:szCs w:val="26"/>
        </w:rPr>
        <w:t>pined that the Complainants’ assertions</w:t>
      </w:r>
      <w:r w:rsidR="004D233C">
        <w:rPr>
          <w:sz w:val="26"/>
          <w:szCs w:val="26"/>
        </w:rPr>
        <w:t>,</w:t>
      </w:r>
      <w:r w:rsidR="00E53AD1">
        <w:rPr>
          <w:sz w:val="26"/>
          <w:szCs w:val="26"/>
        </w:rPr>
        <w:t xml:space="preserve"> that they were misled by the bills and </w:t>
      </w:r>
      <w:r w:rsidR="00816A61">
        <w:rPr>
          <w:sz w:val="26"/>
          <w:szCs w:val="26"/>
        </w:rPr>
        <w:t xml:space="preserve">the </w:t>
      </w:r>
      <w:r w:rsidR="00E53AD1">
        <w:rPr>
          <w:sz w:val="26"/>
          <w:szCs w:val="26"/>
        </w:rPr>
        <w:t>statements</w:t>
      </w:r>
      <w:r w:rsidR="004D233C">
        <w:rPr>
          <w:sz w:val="26"/>
          <w:szCs w:val="26"/>
        </w:rPr>
        <w:t>,</w:t>
      </w:r>
      <w:r w:rsidR="00E53AD1">
        <w:rPr>
          <w:sz w:val="26"/>
          <w:szCs w:val="26"/>
        </w:rPr>
        <w:t xml:space="preserve"> </w:t>
      </w:r>
      <w:r w:rsidR="0069663D">
        <w:rPr>
          <w:sz w:val="26"/>
          <w:szCs w:val="26"/>
        </w:rPr>
        <w:t>cannot constitute a finding in the Complainants’ favor, as assertions, personal opinions, or perceptions do not constitute evidence.</w:t>
      </w:r>
      <w:r w:rsidR="005F581C">
        <w:rPr>
          <w:sz w:val="26"/>
          <w:szCs w:val="26"/>
        </w:rPr>
        <w:t xml:space="preserve"> </w:t>
      </w:r>
      <w:r w:rsidR="0069663D">
        <w:rPr>
          <w:sz w:val="26"/>
          <w:szCs w:val="26"/>
        </w:rPr>
        <w:t xml:space="preserve"> </w:t>
      </w:r>
      <w:r w:rsidR="0069663D">
        <w:rPr>
          <w:i/>
          <w:sz w:val="26"/>
          <w:szCs w:val="26"/>
        </w:rPr>
        <w:t>Id.</w:t>
      </w:r>
    </w:p>
    <w:p w:rsidR="0069663D" w:rsidRDefault="0069663D" w:rsidP="00572D2C">
      <w:pPr>
        <w:widowControl/>
        <w:spacing w:line="360" w:lineRule="auto"/>
        <w:ind w:firstLine="1440"/>
        <w:rPr>
          <w:sz w:val="26"/>
          <w:szCs w:val="26"/>
        </w:rPr>
      </w:pPr>
    </w:p>
    <w:p w:rsidR="0069663D" w:rsidRDefault="0069663D" w:rsidP="00572D2C">
      <w:pPr>
        <w:widowControl/>
        <w:spacing w:line="360" w:lineRule="auto"/>
        <w:ind w:firstLine="1440"/>
        <w:rPr>
          <w:sz w:val="26"/>
          <w:szCs w:val="26"/>
        </w:rPr>
      </w:pPr>
      <w:r>
        <w:rPr>
          <w:sz w:val="26"/>
          <w:szCs w:val="26"/>
        </w:rPr>
        <w:t>The ALJ also found that</w:t>
      </w:r>
      <w:r w:rsidR="00C4167E">
        <w:rPr>
          <w:sz w:val="26"/>
          <w:szCs w:val="26"/>
        </w:rPr>
        <w:t>,</w:t>
      </w:r>
      <w:r>
        <w:rPr>
          <w:sz w:val="26"/>
          <w:szCs w:val="26"/>
        </w:rPr>
        <w:t xml:space="preserve"> </w:t>
      </w:r>
      <w:r w:rsidR="00925754">
        <w:rPr>
          <w:sz w:val="26"/>
          <w:szCs w:val="26"/>
        </w:rPr>
        <w:t>in accordance with 52 Pa. Code §</w:t>
      </w:r>
      <w:r w:rsidR="00C4167E">
        <w:rPr>
          <w:sz w:val="26"/>
          <w:szCs w:val="26"/>
        </w:rPr>
        <w:t xml:space="preserve"> </w:t>
      </w:r>
      <w:r w:rsidR="00925754">
        <w:rPr>
          <w:sz w:val="26"/>
          <w:szCs w:val="26"/>
        </w:rPr>
        <w:t xml:space="preserve">64.14 regarding billing information, </w:t>
      </w:r>
      <w:r w:rsidR="00AE2F0E">
        <w:rPr>
          <w:sz w:val="26"/>
          <w:szCs w:val="26"/>
        </w:rPr>
        <w:t xml:space="preserve">each of </w:t>
      </w:r>
      <w:r>
        <w:rPr>
          <w:sz w:val="26"/>
          <w:szCs w:val="26"/>
        </w:rPr>
        <w:t>the Complainants’ bills</w:t>
      </w:r>
      <w:r w:rsidR="004D233C">
        <w:rPr>
          <w:sz w:val="26"/>
          <w:szCs w:val="26"/>
        </w:rPr>
        <w:t>,</w:t>
      </w:r>
      <w:r>
        <w:rPr>
          <w:sz w:val="26"/>
          <w:szCs w:val="26"/>
        </w:rPr>
        <w:t xml:space="preserve"> </w:t>
      </w:r>
      <w:r w:rsidR="00925754">
        <w:rPr>
          <w:sz w:val="26"/>
          <w:szCs w:val="26"/>
        </w:rPr>
        <w:t>f</w:t>
      </w:r>
      <w:r w:rsidR="004D233C">
        <w:rPr>
          <w:sz w:val="26"/>
          <w:szCs w:val="26"/>
        </w:rPr>
        <w:t>r</w:t>
      </w:r>
      <w:r w:rsidR="00925754">
        <w:rPr>
          <w:sz w:val="26"/>
          <w:szCs w:val="26"/>
        </w:rPr>
        <w:t>o</w:t>
      </w:r>
      <w:r w:rsidR="004D233C">
        <w:rPr>
          <w:sz w:val="26"/>
          <w:szCs w:val="26"/>
        </w:rPr>
        <w:t>m</w:t>
      </w:r>
      <w:r w:rsidR="00925754">
        <w:rPr>
          <w:sz w:val="26"/>
          <w:szCs w:val="26"/>
        </w:rPr>
        <w:t xml:space="preserve"> April</w:t>
      </w:r>
      <w:r>
        <w:rPr>
          <w:sz w:val="26"/>
          <w:szCs w:val="26"/>
        </w:rPr>
        <w:t xml:space="preserve"> 200</w:t>
      </w:r>
      <w:r w:rsidR="00925754">
        <w:rPr>
          <w:sz w:val="26"/>
          <w:szCs w:val="26"/>
        </w:rPr>
        <w:t>8 through May 2012</w:t>
      </w:r>
      <w:r w:rsidR="004D233C">
        <w:rPr>
          <w:sz w:val="26"/>
          <w:szCs w:val="26"/>
        </w:rPr>
        <w:t>,</w:t>
      </w:r>
      <w:r w:rsidR="00925754">
        <w:rPr>
          <w:sz w:val="26"/>
          <w:szCs w:val="26"/>
        </w:rPr>
        <w:t xml:space="preserve"> broke down the charges attributable to each telephone number, clearly indicating that the Complainants were being charged for a second telephone line.  </w:t>
      </w:r>
      <w:r w:rsidR="00C4167E">
        <w:rPr>
          <w:sz w:val="26"/>
          <w:szCs w:val="26"/>
        </w:rPr>
        <w:t xml:space="preserve">The ALJ found no error in </w:t>
      </w:r>
      <w:r w:rsidR="00CD7972">
        <w:rPr>
          <w:sz w:val="26"/>
          <w:szCs w:val="26"/>
        </w:rPr>
        <w:t xml:space="preserve">Verizon PA’s bill format for the Complainants’ bills during this time period.  </w:t>
      </w:r>
      <w:r w:rsidR="00925754">
        <w:rPr>
          <w:sz w:val="26"/>
          <w:szCs w:val="26"/>
        </w:rPr>
        <w:t>The ALJ noted that the bills</w:t>
      </w:r>
      <w:r w:rsidR="00B33DDA">
        <w:rPr>
          <w:sz w:val="26"/>
          <w:szCs w:val="26"/>
        </w:rPr>
        <w:t xml:space="preserve"> the Complainants submitted as e</w:t>
      </w:r>
      <w:r w:rsidR="00925754">
        <w:rPr>
          <w:sz w:val="26"/>
          <w:szCs w:val="26"/>
        </w:rPr>
        <w:t>xhibits for this time period also contain</w:t>
      </w:r>
      <w:r w:rsidR="00AE2F0E">
        <w:rPr>
          <w:sz w:val="26"/>
          <w:szCs w:val="26"/>
        </w:rPr>
        <w:t>ed</w:t>
      </w:r>
      <w:r w:rsidR="00925754">
        <w:rPr>
          <w:sz w:val="26"/>
          <w:szCs w:val="26"/>
        </w:rPr>
        <w:t xml:space="preserve"> a statement that customers are to contact Verizon PA prior to the due date of the bill in the event that they have a question or complaint about their bill.  Based on these statements on the bills, the ALJ concluded that the Complainants had the </w:t>
      </w:r>
      <w:r w:rsidR="00925754">
        <w:rPr>
          <w:sz w:val="26"/>
          <w:szCs w:val="26"/>
        </w:rPr>
        <w:lastRenderedPageBreak/>
        <w:t xml:space="preserve">responsibility to question their bills and file </w:t>
      </w:r>
      <w:r w:rsidR="00EA7B93">
        <w:rPr>
          <w:sz w:val="26"/>
          <w:szCs w:val="26"/>
        </w:rPr>
        <w:t xml:space="preserve">an </w:t>
      </w:r>
      <w:r w:rsidR="00D667CA">
        <w:rPr>
          <w:sz w:val="26"/>
          <w:szCs w:val="26"/>
        </w:rPr>
        <w:t>informal complaint or a formal c</w:t>
      </w:r>
      <w:r w:rsidR="00EA7B93">
        <w:rPr>
          <w:sz w:val="26"/>
          <w:szCs w:val="26"/>
        </w:rPr>
        <w:t xml:space="preserve">omplaint if Verizon PA did not adequately address their concerns.  </w:t>
      </w:r>
      <w:r w:rsidR="007848F9">
        <w:rPr>
          <w:i/>
          <w:sz w:val="26"/>
          <w:szCs w:val="26"/>
        </w:rPr>
        <w:t>Id.</w:t>
      </w:r>
      <w:r w:rsidR="00EA7B93">
        <w:rPr>
          <w:sz w:val="26"/>
          <w:szCs w:val="26"/>
        </w:rPr>
        <w:t xml:space="preserve"> at 6.</w:t>
      </w:r>
    </w:p>
    <w:p w:rsidR="00B96F25" w:rsidRDefault="00B96F25" w:rsidP="00572D2C">
      <w:pPr>
        <w:widowControl/>
        <w:spacing w:line="360" w:lineRule="auto"/>
        <w:ind w:firstLine="1440"/>
        <w:rPr>
          <w:sz w:val="26"/>
          <w:szCs w:val="26"/>
        </w:rPr>
      </w:pPr>
    </w:p>
    <w:p w:rsidR="00851E81" w:rsidRDefault="00F41E88" w:rsidP="00572D2C">
      <w:pPr>
        <w:widowControl/>
        <w:spacing w:line="360" w:lineRule="auto"/>
        <w:ind w:firstLine="1440"/>
        <w:rPr>
          <w:sz w:val="26"/>
          <w:szCs w:val="26"/>
        </w:rPr>
      </w:pPr>
      <w:r>
        <w:rPr>
          <w:sz w:val="26"/>
          <w:szCs w:val="26"/>
        </w:rPr>
        <w:t xml:space="preserve">The ALJ also addressed the Complainants’ allegation that Verizon PA provided them with inadequate service.  As noted, </w:t>
      </w:r>
      <w:r>
        <w:rPr>
          <w:i/>
          <w:sz w:val="26"/>
          <w:szCs w:val="26"/>
        </w:rPr>
        <w:t>supra</w:t>
      </w:r>
      <w:r>
        <w:rPr>
          <w:sz w:val="26"/>
          <w:szCs w:val="26"/>
        </w:rPr>
        <w:t>, the Complainants averred that a Verizon technician installed a second phone line at their service address in 2002</w:t>
      </w:r>
      <w:r w:rsidR="00AE2F0E">
        <w:rPr>
          <w:sz w:val="26"/>
          <w:szCs w:val="26"/>
        </w:rPr>
        <w:t>,</w:t>
      </w:r>
      <w:r>
        <w:rPr>
          <w:sz w:val="26"/>
          <w:szCs w:val="26"/>
        </w:rPr>
        <w:t xml:space="preserve"> and refused to terminate this line despite the Complainants’ repeated requests in 2002, 2003, and 2012</w:t>
      </w:r>
      <w:r w:rsidR="00AE2F0E">
        <w:rPr>
          <w:sz w:val="26"/>
          <w:szCs w:val="26"/>
        </w:rPr>
        <w:t>,</w:t>
      </w:r>
      <w:r>
        <w:rPr>
          <w:sz w:val="26"/>
          <w:szCs w:val="26"/>
        </w:rPr>
        <w:t xml:space="preserve"> to do so</w:t>
      </w:r>
      <w:r w:rsidR="008E2CE3">
        <w:rPr>
          <w:sz w:val="26"/>
          <w:szCs w:val="26"/>
        </w:rPr>
        <w:t>.  The ALJ found that the Complainants’ claim</w:t>
      </w:r>
      <w:r w:rsidR="00C4167E">
        <w:rPr>
          <w:sz w:val="26"/>
          <w:szCs w:val="26"/>
        </w:rPr>
        <w:t>s</w:t>
      </w:r>
      <w:r w:rsidR="001B3B0E">
        <w:rPr>
          <w:sz w:val="26"/>
          <w:szCs w:val="26"/>
        </w:rPr>
        <w:t>,</w:t>
      </w:r>
      <w:r w:rsidR="00C4167E">
        <w:rPr>
          <w:sz w:val="26"/>
          <w:szCs w:val="26"/>
        </w:rPr>
        <w:t xml:space="preserve"> dating from 2002 and 2003</w:t>
      </w:r>
      <w:r w:rsidR="00AE2F0E">
        <w:rPr>
          <w:sz w:val="26"/>
          <w:szCs w:val="26"/>
        </w:rPr>
        <w:t>,</w:t>
      </w:r>
      <w:r w:rsidR="008E2CE3">
        <w:rPr>
          <w:sz w:val="26"/>
          <w:szCs w:val="26"/>
        </w:rPr>
        <w:t xml:space="preserve"> against Verizon PA for inadequate service is an issue regarding service that occurred more than four years prior to the Complainants filing the Complaint.  Therefore, in accordance with 66 Pa. C.S. § 1312(a), the ALJ ruled that this claim is barred by the statute of limitations.  Further, </w:t>
      </w:r>
      <w:r w:rsidR="00D667CA">
        <w:rPr>
          <w:sz w:val="26"/>
          <w:szCs w:val="26"/>
        </w:rPr>
        <w:t xml:space="preserve">in examining Verizon PA’s handling of the Complainants’ request to terminate their second telephone line, </w:t>
      </w:r>
      <w:r w:rsidR="008E2CE3">
        <w:rPr>
          <w:sz w:val="26"/>
          <w:szCs w:val="26"/>
        </w:rPr>
        <w:t xml:space="preserve">the ALJ noted that when the Complainants contacted Verizon PA in </w:t>
      </w:r>
      <w:r w:rsidR="00FB7430">
        <w:rPr>
          <w:sz w:val="26"/>
          <w:szCs w:val="26"/>
        </w:rPr>
        <w:t>March and April</w:t>
      </w:r>
      <w:r w:rsidR="008E2CE3">
        <w:rPr>
          <w:sz w:val="26"/>
          <w:szCs w:val="26"/>
        </w:rPr>
        <w:t xml:space="preserve"> of 2012</w:t>
      </w:r>
      <w:r w:rsidR="001B3B0E">
        <w:rPr>
          <w:sz w:val="26"/>
          <w:szCs w:val="26"/>
        </w:rPr>
        <w:t>,</w:t>
      </w:r>
      <w:r w:rsidR="008E2CE3">
        <w:rPr>
          <w:sz w:val="26"/>
          <w:szCs w:val="26"/>
        </w:rPr>
        <w:t xml:space="preserve"> to terminate service to the second line, Verizon PA promptly handled this request and issued the Complainants a courtesy refund totaling $165.98.  The ALJ</w:t>
      </w:r>
      <w:r>
        <w:rPr>
          <w:sz w:val="26"/>
          <w:szCs w:val="26"/>
        </w:rPr>
        <w:t xml:space="preserve"> </w:t>
      </w:r>
      <w:r w:rsidR="008E2CE3">
        <w:rPr>
          <w:sz w:val="26"/>
          <w:szCs w:val="26"/>
        </w:rPr>
        <w:t xml:space="preserve">found these credits to be courtesy measures as opposed to required measures.  </w:t>
      </w:r>
      <w:r w:rsidR="007848F9">
        <w:rPr>
          <w:i/>
          <w:sz w:val="26"/>
          <w:szCs w:val="26"/>
        </w:rPr>
        <w:t xml:space="preserve">Id. </w:t>
      </w:r>
      <w:r w:rsidR="008E2CE3">
        <w:rPr>
          <w:sz w:val="26"/>
          <w:szCs w:val="26"/>
        </w:rPr>
        <w:t>at 7-8.</w:t>
      </w:r>
    </w:p>
    <w:p w:rsidR="00DB14CB" w:rsidRDefault="00DB14CB" w:rsidP="00572D2C">
      <w:pPr>
        <w:widowControl/>
        <w:spacing w:line="360" w:lineRule="auto"/>
        <w:rPr>
          <w:sz w:val="26"/>
          <w:szCs w:val="26"/>
        </w:rPr>
      </w:pPr>
    </w:p>
    <w:p w:rsidR="00DB14CB" w:rsidRPr="007F4181" w:rsidRDefault="008E2CE3" w:rsidP="00572D2C">
      <w:pPr>
        <w:widowControl/>
        <w:spacing w:line="360" w:lineRule="auto"/>
        <w:rPr>
          <w:b/>
          <w:sz w:val="26"/>
          <w:szCs w:val="26"/>
        </w:rPr>
      </w:pPr>
      <w:r>
        <w:rPr>
          <w:b/>
          <w:sz w:val="26"/>
          <w:szCs w:val="26"/>
        </w:rPr>
        <w:t>Exceptions and Replies to Exceptions</w:t>
      </w:r>
    </w:p>
    <w:p w:rsidR="00DB14CB" w:rsidRDefault="00DB14CB" w:rsidP="00572D2C">
      <w:pPr>
        <w:widowControl/>
        <w:spacing w:line="360" w:lineRule="auto"/>
        <w:rPr>
          <w:sz w:val="26"/>
          <w:szCs w:val="26"/>
        </w:rPr>
      </w:pPr>
    </w:p>
    <w:p w:rsidR="00BC0988" w:rsidRDefault="00851E81" w:rsidP="00572D2C">
      <w:pPr>
        <w:widowControl/>
        <w:spacing w:line="360" w:lineRule="auto"/>
        <w:ind w:firstLine="1440"/>
        <w:rPr>
          <w:sz w:val="26"/>
          <w:szCs w:val="26"/>
        </w:rPr>
      </w:pPr>
      <w:r>
        <w:rPr>
          <w:sz w:val="26"/>
          <w:szCs w:val="26"/>
        </w:rPr>
        <w:t>In their Exceptions, the Complainants a</w:t>
      </w:r>
      <w:r w:rsidR="005651B5">
        <w:rPr>
          <w:sz w:val="26"/>
          <w:szCs w:val="26"/>
        </w:rPr>
        <w:t>rgue</w:t>
      </w:r>
      <w:r>
        <w:rPr>
          <w:sz w:val="26"/>
          <w:szCs w:val="26"/>
        </w:rPr>
        <w:t xml:space="preserve"> that the ALJ’s Initial Decision is based on a misreading of the date of the Complainants’ Exhibit 10 and a</w:t>
      </w:r>
      <w:r w:rsidR="00C5203A">
        <w:rPr>
          <w:sz w:val="26"/>
          <w:szCs w:val="26"/>
        </w:rPr>
        <w:t>n error in the summary of the Complainants’ testimony regarding the date when the Complainants first realized that they were being charged for two separate telephone numbers.  Exc</w:t>
      </w:r>
      <w:r w:rsidR="007848F9">
        <w:rPr>
          <w:sz w:val="26"/>
          <w:szCs w:val="26"/>
        </w:rPr>
        <w:t>.</w:t>
      </w:r>
      <w:r w:rsidR="00C5203A">
        <w:rPr>
          <w:sz w:val="26"/>
          <w:szCs w:val="26"/>
        </w:rPr>
        <w:t xml:space="preserve"> at 1.  Specifically, the Complainants take issue with the ALJ’s Finding of Fact </w:t>
      </w:r>
      <w:r w:rsidR="00911608">
        <w:rPr>
          <w:sz w:val="26"/>
          <w:szCs w:val="26"/>
        </w:rPr>
        <w:t>No. 11</w:t>
      </w:r>
      <w:r w:rsidR="00C5203A">
        <w:rPr>
          <w:sz w:val="26"/>
          <w:szCs w:val="26"/>
        </w:rPr>
        <w:t xml:space="preserve">, which states as follows: </w:t>
      </w:r>
    </w:p>
    <w:p w:rsidR="00634714" w:rsidRDefault="00634714" w:rsidP="00572D2C">
      <w:pPr>
        <w:widowControl/>
        <w:spacing w:line="360" w:lineRule="auto"/>
        <w:ind w:firstLine="1440"/>
        <w:rPr>
          <w:sz w:val="26"/>
          <w:szCs w:val="26"/>
        </w:rPr>
      </w:pPr>
    </w:p>
    <w:p w:rsidR="00C5203A" w:rsidRDefault="00C5203A" w:rsidP="001B3B0E">
      <w:pPr>
        <w:keepNext/>
        <w:keepLines/>
        <w:widowControl/>
        <w:ind w:left="1440" w:right="1440"/>
        <w:rPr>
          <w:sz w:val="26"/>
          <w:szCs w:val="26"/>
        </w:rPr>
      </w:pPr>
      <w:r>
        <w:rPr>
          <w:sz w:val="26"/>
          <w:szCs w:val="26"/>
        </w:rPr>
        <w:lastRenderedPageBreak/>
        <w:t>Complainants first noticed on the phone bill for the period of February through March, 2008 that they were also being charged for a second phone line because the bill contained a breakdown of charges and listed a second phone line number (610)</w:t>
      </w:r>
      <w:r w:rsidR="001B3B0E">
        <w:rPr>
          <w:sz w:val="26"/>
          <w:szCs w:val="26"/>
        </w:rPr>
        <w:t xml:space="preserve"> </w:t>
      </w:r>
      <w:r>
        <w:rPr>
          <w:sz w:val="26"/>
          <w:szCs w:val="26"/>
        </w:rPr>
        <w:t>867-1756 with charges attributable to that number.</w:t>
      </w:r>
    </w:p>
    <w:p w:rsidR="00C5203A" w:rsidRDefault="00C5203A" w:rsidP="00572D2C">
      <w:pPr>
        <w:widowControl/>
        <w:spacing w:line="360" w:lineRule="auto"/>
        <w:rPr>
          <w:sz w:val="26"/>
          <w:szCs w:val="26"/>
        </w:rPr>
      </w:pPr>
    </w:p>
    <w:p w:rsidR="00C5203A" w:rsidRDefault="00C5203A" w:rsidP="00572D2C">
      <w:pPr>
        <w:widowControl/>
        <w:spacing w:line="360" w:lineRule="auto"/>
        <w:rPr>
          <w:sz w:val="26"/>
          <w:szCs w:val="26"/>
        </w:rPr>
      </w:pPr>
      <w:r>
        <w:rPr>
          <w:sz w:val="26"/>
          <w:szCs w:val="26"/>
        </w:rPr>
        <w:t xml:space="preserve">Exc. at 1 (citing I.D. at 3).  The Complainants aver that their Exhibit 10 clearly indicates </w:t>
      </w:r>
      <w:r w:rsidR="005651B5">
        <w:rPr>
          <w:sz w:val="26"/>
          <w:szCs w:val="26"/>
        </w:rPr>
        <w:t xml:space="preserve">a </w:t>
      </w:r>
      <w:r>
        <w:rPr>
          <w:sz w:val="26"/>
          <w:szCs w:val="26"/>
        </w:rPr>
        <w:t xml:space="preserve">date </w:t>
      </w:r>
      <w:r w:rsidR="005651B5">
        <w:rPr>
          <w:sz w:val="26"/>
          <w:szCs w:val="26"/>
        </w:rPr>
        <w:t>of</w:t>
      </w:r>
      <w:r>
        <w:rPr>
          <w:sz w:val="26"/>
          <w:szCs w:val="26"/>
        </w:rPr>
        <w:t xml:space="preserve"> 2012, not 2008.  </w:t>
      </w:r>
      <w:r w:rsidR="005651B5">
        <w:rPr>
          <w:sz w:val="26"/>
          <w:szCs w:val="26"/>
        </w:rPr>
        <w:t xml:space="preserve">The Complainants assert that it was not until March of 2012 that they first noticed the charges for the second telephone line and that they then immediately contacted Verizon PA to have this second line removed.  </w:t>
      </w:r>
      <w:r w:rsidR="005651B5">
        <w:rPr>
          <w:i/>
          <w:sz w:val="26"/>
          <w:szCs w:val="26"/>
        </w:rPr>
        <w:t>Id.</w:t>
      </w:r>
      <w:r w:rsidR="005651B5">
        <w:rPr>
          <w:sz w:val="26"/>
          <w:szCs w:val="26"/>
        </w:rPr>
        <w:t xml:space="preserve"> at 2.</w:t>
      </w:r>
    </w:p>
    <w:p w:rsidR="005651B5" w:rsidRDefault="005651B5" w:rsidP="00572D2C">
      <w:pPr>
        <w:widowControl/>
        <w:spacing w:line="360" w:lineRule="auto"/>
        <w:rPr>
          <w:sz w:val="26"/>
          <w:szCs w:val="26"/>
        </w:rPr>
      </w:pPr>
    </w:p>
    <w:p w:rsidR="005651B5" w:rsidRPr="00EA492D" w:rsidRDefault="006503E2" w:rsidP="00572D2C">
      <w:pPr>
        <w:widowControl/>
        <w:spacing w:line="360" w:lineRule="auto"/>
        <w:rPr>
          <w:sz w:val="26"/>
          <w:szCs w:val="26"/>
        </w:rPr>
      </w:pPr>
      <w:r>
        <w:rPr>
          <w:sz w:val="26"/>
          <w:szCs w:val="26"/>
        </w:rPr>
        <w:tab/>
      </w:r>
      <w:r>
        <w:rPr>
          <w:sz w:val="26"/>
          <w:szCs w:val="26"/>
        </w:rPr>
        <w:tab/>
        <w:t xml:space="preserve">The Complainants </w:t>
      </w:r>
      <w:r w:rsidR="005651B5">
        <w:rPr>
          <w:sz w:val="26"/>
          <w:szCs w:val="26"/>
        </w:rPr>
        <w:t xml:space="preserve">also take issue </w:t>
      </w:r>
      <w:r>
        <w:rPr>
          <w:sz w:val="26"/>
          <w:szCs w:val="26"/>
        </w:rPr>
        <w:t xml:space="preserve">in their Exceptions </w:t>
      </w:r>
      <w:r w:rsidR="005651B5">
        <w:rPr>
          <w:sz w:val="26"/>
          <w:szCs w:val="26"/>
        </w:rPr>
        <w:t>with the ALJ</w:t>
      </w:r>
      <w:r w:rsidR="00FB7430">
        <w:rPr>
          <w:sz w:val="26"/>
          <w:szCs w:val="26"/>
        </w:rPr>
        <w:t xml:space="preserve">’s discussion </w:t>
      </w:r>
      <w:r>
        <w:rPr>
          <w:sz w:val="26"/>
          <w:szCs w:val="26"/>
        </w:rPr>
        <w:t xml:space="preserve">with regard to how </w:t>
      </w:r>
      <w:r w:rsidR="00BB6C50">
        <w:rPr>
          <w:sz w:val="26"/>
          <w:szCs w:val="26"/>
        </w:rPr>
        <w:t>Verizon PA handl</w:t>
      </w:r>
      <w:r>
        <w:rPr>
          <w:sz w:val="26"/>
          <w:szCs w:val="26"/>
        </w:rPr>
        <w:t>ed</w:t>
      </w:r>
      <w:r w:rsidR="00BB6C50">
        <w:rPr>
          <w:sz w:val="26"/>
          <w:szCs w:val="26"/>
        </w:rPr>
        <w:t xml:space="preserve"> the Complainants’ request to terminate their second line.  </w:t>
      </w:r>
      <w:r>
        <w:rPr>
          <w:sz w:val="26"/>
          <w:szCs w:val="26"/>
        </w:rPr>
        <w:t>More s</w:t>
      </w:r>
      <w:r w:rsidR="00BB6C50">
        <w:rPr>
          <w:sz w:val="26"/>
          <w:szCs w:val="26"/>
        </w:rPr>
        <w:t xml:space="preserve">pecifically, the Complainants take issue with the ALJ’s </w:t>
      </w:r>
      <w:r w:rsidR="00FB7430">
        <w:rPr>
          <w:sz w:val="26"/>
          <w:szCs w:val="26"/>
        </w:rPr>
        <w:t xml:space="preserve">finding that </w:t>
      </w:r>
      <w:r w:rsidR="00BB6C50">
        <w:rPr>
          <w:sz w:val="26"/>
          <w:szCs w:val="26"/>
        </w:rPr>
        <w:t>“. . . when [the</w:t>
      </w:r>
      <w:r w:rsidR="00BB6C50" w:rsidRPr="00EA492D">
        <w:rPr>
          <w:sz w:val="26"/>
          <w:szCs w:val="26"/>
        </w:rPr>
        <w:t xml:space="preserve">] Complainants did request to terminate service to the second line, it was promptly handled and the Respondent gave [the] Complainants a courtesy refund totaling $165.98.”  Exc. at 3 (citing I.D. at 6-7).  The Complainants argue </w:t>
      </w:r>
      <w:r w:rsidR="000247D9">
        <w:rPr>
          <w:sz w:val="26"/>
          <w:szCs w:val="26"/>
        </w:rPr>
        <w:t xml:space="preserve">that </w:t>
      </w:r>
      <w:r w:rsidR="00BB6C50" w:rsidRPr="00EA492D">
        <w:rPr>
          <w:sz w:val="26"/>
          <w:szCs w:val="26"/>
        </w:rPr>
        <w:t>th</w:t>
      </w:r>
      <w:r w:rsidR="00EA492D">
        <w:rPr>
          <w:sz w:val="26"/>
          <w:szCs w:val="26"/>
        </w:rPr>
        <w:t xml:space="preserve">eir request was not promptly handled because they waited </w:t>
      </w:r>
      <w:r w:rsidR="00BB6C50" w:rsidRPr="00EA492D">
        <w:rPr>
          <w:sz w:val="26"/>
          <w:szCs w:val="26"/>
        </w:rPr>
        <w:t>three months for their second line to be disconnected and because Verizon PA’s customer representatives provided them with conflicting information.  Exc. at 3.</w:t>
      </w:r>
    </w:p>
    <w:p w:rsidR="00740717" w:rsidRDefault="00740717" w:rsidP="00572D2C">
      <w:pPr>
        <w:widowControl/>
        <w:spacing w:line="360" w:lineRule="auto"/>
        <w:rPr>
          <w:sz w:val="26"/>
          <w:szCs w:val="26"/>
        </w:rPr>
      </w:pPr>
    </w:p>
    <w:p w:rsidR="00BC0988" w:rsidRDefault="00BC0988" w:rsidP="00572D2C">
      <w:pPr>
        <w:widowControl/>
        <w:spacing w:line="360" w:lineRule="auto"/>
        <w:ind w:firstLine="1440"/>
        <w:rPr>
          <w:sz w:val="26"/>
          <w:szCs w:val="26"/>
        </w:rPr>
      </w:pPr>
      <w:r>
        <w:rPr>
          <w:sz w:val="26"/>
          <w:szCs w:val="26"/>
        </w:rPr>
        <w:t>In its Reply Exceptions, Verizon PA</w:t>
      </w:r>
      <w:r w:rsidR="0020150C">
        <w:rPr>
          <w:sz w:val="26"/>
          <w:szCs w:val="26"/>
        </w:rPr>
        <w:t xml:space="preserve"> </w:t>
      </w:r>
      <w:r w:rsidR="000247D9">
        <w:rPr>
          <w:sz w:val="26"/>
          <w:szCs w:val="26"/>
        </w:rPr>
        <w:t>submits</w:t>
      </w:r>
      <w:r w:rsidR="007848F9">
        <w:rPr>
          <w:sz w:val="26"/>
          <w:szCs w:val="26"/>
        </w:rPr>
        <w:t xml:space="preserve"> that the Complainant</w:t>
      </w:r>
      <w:r w:rsidR="0020150C">
        <w:rPr>
          <w:sz w:val="26"/>
          <w:szCs w:val="26"/>
        </w:rPr>
        <w:t>s</w:t>
      </w:r>
      <w:r w:rsidR="007848F9">
        <w:rPr>
          <w:sz w:val="26"/>
          <w:szCs w:val="26"/>
        </w:rPr>
        <w:t>’</w:t>
      </w:r>
      <w:r w:rsidR="0020150C">
        <w:rPr>
          <w:sz w:val="26"/>
          <w:szCs w:val="26"/>
        </w:rPr>
        <w:t xml:space="preserve"> Exceptions merely restate the testimony </w:t>
      </w:r>
      <w:r w:rsidR="00B33DDA">
        <w:rPr>
          <w:sz w:val="26"/>
          <w:szCs w:val="26"/>
        </w:rPr>
        <w:t xml:space="preserve">they </w:t>
      </w:r>
      <w:r w:rsidR="0020150C">
        <w:rPr>
          <w:sz w:val="26"/>
          <w:szCs w:val="26"/>
        </w:rPr>
        <w:t>provided at the hearing and do not support a conclusion that the ALJ’s Initial Decision should be reversed.  R.Exc</w:t>
      </w:r>
      <w:r w:rsidR="000247D9">
        <w:rPr>
          <w:sz w:val="26"/>
          <w:szCs w:val="26"/>
        </w:rPr>
        <w:t>.</w:t>
      </w:r>
      <w:r w:rsidR="0020150C">
        <w:rPr>
          <w:sz w:val="26"/>
          <w:szCs w:val="26"/>
        </w:rPr>
        <w:t xml:space="preserve"> at 2.</w:t>
      </w:r>
      <w:r w:rsidR="00911608">
        <w:rPr>
          <w:sz w:val="26"/>
          <w:szCs w:val="26"/>
        </w:rPr>
        <w:t xml:space="preserve">  In response to the Complainants’ Exception to the ALJ’s Finding of Fact No. 11, Verizon PA acknowledges that the ALJ </w:t>
      </w:r>
      <w:r w:rsidR="006659A7">
        <w:rPr>
          <w:sz w:val="26"/>
          <w:szCs w:val="26"/>
        </w:rPr>
        <w:t>erroneous</w:t>
      </w:r>
      <w:r w:rsidR="00911608">
        <w:rPr>
          <w:sz w:val="26"/>
          <w:szCs w:val="26"/>
        </w:rPr>
        <w:t>ly stated that the Complainants first noticed that they were being charged for a second telephone line in 2008 and not 2012.  However, Verizon PA avers that this is a trivial error rather than one that voids the entire Initial Decision.  Instead, Verizon PA argues that the</w:t>
      </w:r>
      <w:r w:rsidR="005067FF">
        <w:rPr>
          <w:sz w:val="26"/>
          <w:szCs w:val="26"/>
        </w:rPr>
        <w:t xml:space="preserve"> record clearly indicates that the</w:t>
      </w:r>
      <w:r w:rsidR="000247D9">
        <w:rPr>
          <w:sz w:val="26"/>
          <w:szCs w:val="26"/>
        </w:rPr>
        <w:t xml:space="preserve"> Complainants were </w:t>
      </w:r>
      <w:r w:rsidR="005067FF">
        <w:rPr>
          <w:sz w:val="26"/>
          <w:szCs w:val="26"/>
        </w:rPr>
        <w:t xml:space="preserve">properly billed between 2008 and 2012, that Verizon PA’s bills for </w:t>
      </w:r>
      <w:r w:rsidR="005067FF">
        <w:rPr>
          <w:sz w:val="26"/>
          <w:szCs w:val="26"/>
        </w:rPr>
        <w:lastRenderedPageBreak/>
        <w:t>this time period did not violate the Commission’</w:t>
      </w:r>
      <w:r w:rsidR="00B33DDA">
        <w:rPr>
          <w:sz w:val="26"/>
          <w:szCs w:val="26"/>
        </w:rPr>
        <w:t xml:space="preserve">s Regulations regarding </w:t>
      </w:r>
      <w:r w:rsidR="005067FF">
        <w:rPr>
          <w:sz w:val="26"/>
          <w:szCs w:val="26"/>
        </w:rPr>
        <w:t>billing information at 52 Pa. Code § 64.14, and that the</w:t>
      </w:r>
      <w:r w:rsidR="00911608">
        <w:rPr>
          <w:sz w:val="26"/>
          <w:szCs w:val="26"/>
        </w:rPr>
        <w:t xml:space="preserve"> Complainants have not provided any evidence to </w:t>
      </w:r>
      <w:r w:rsidR="005067FF">
        <w:rPr>
          <w:sz w:val="26"/>
          <w:szCs w:val="26"/>
        </w:rPr>
        <w:t xml:space="preserve">indicate otherwise.  </w:t>
      </w:r>
      <w:r w:rsidR="005067FF">
        <w:rPr>
          <w:i/>
          <w:sz w:val="26"/>
          <w:szCs w:val="26"/>
        </w:rPr>
        <w:t>Id.</w:t>
      </w:r>
      <w:r w:rsidR="005067FF">
        <w:rPr>
          <w:sz w:val="26"/>
          <w:szCs w:val="26"/>
        </w:rPr>
        <w:t xml:space="preserve"> at 3-4. </w:t>
      </w:r>
      <w:r w:rsidR="003D16BC">
        <w:rPr>
          <w:sz w:val="26"/>
          <w:szCs w:val="26"/>
        </w:rPr>
        <w:t xml:space="preserve"> </w:t>
      </w:r>
      <w:r w:rsidR="005067FF">
        <w:rPr>
          <w:sz w:val="26"/>
          <w:szCs w:val="26"/>
        </w:rPr>
        <w:t>Verizon PA a</w:t>
      </w:r>
      <w:r w:rsidR="003D16BC">
        <w:rPr>
          <w:sz w:val="26"/>
          <w:szCs w:val="26"/>
        </w:rPr>
        <w:t>ssert</w:t>
      </w:r>
      <w:r w:rsidR="005067FF">
        <w:rPr>
          <w:sz w:val="26"/>
          <w:szCs w:val="26"/>
        </w:rPr>
        <w:t>s that</w:t>
      </w:r>
      <w:r w:rsidR="00FA6751">
        <w:rPr>
          <w:sz w:val="26"/>
          <w:szCs w:val="26"/>
        </w:rPr>
        <w:t>,</w:t>
      </w:r>
      <w:r w:rsidR="005067FF">
        <w:rPr>
          <w:sz w:val="26"/>
          <w:szCs w:val="26"/>
        </w:rPr>
        <w:t xml:space="preserve"> based on the record, the Complainants knew or should have known that they were being billed and receiving service for two separate telephone lines</w:t>
      </w:r>
      <w:r w:rsidR="003D16BC">
        <w:rPr>
          <w:sz w:val="26"/>
          <w:szCs w:val="26"/>
        </w:rPr>
        <w:t xml:space="preserve"> and that the Complainants had the responsibility to check these bills and to contact Verizon PA regarding any discrepancies</w:t>
      </w:r>
      <w:r w:rsidR="005067FF">
        <w:rPr>
          <w:sz w:val="26"/>
          <w:szCs w:val="26"/>
        </w:rPr>
        <w:t>.</w:t>
      </w:r>
      <w:r w:rsidR="003D16BC">
        <w:rPr>
          <w:sz w:val="26"/>
          <w:szCs w:val="26"/>
        </w:rPr>
        <w:t xml:space="preserve">  </w:t>
      </w:r>
      <w:r w:rsidR="003D16BC">
        <w:rPr>
          <w:i/>
          <w:sz w:val="26"/>
          <w:szCs w:val="26"/>
        </w:rPr>
        <w:t>Id.</w:t>
      </w:r>
      <w:r w:rsidR="003D16BC">
        <w:rPr>
          <w:sz w:val="26"/>
          <w:szCs w:val="26"/>
        </w:rPr>
        <w:t xml:space="preserve"> at 5.</w:t>
      </w:r>
    </w:p>
    <w:p w:rsidR="003D16BC" w:rsidRDefault="003D16BC" w:rsidP="00572D2C">
      <w:pPr>
        <w:widowControl/>
        <w:spacing w:line="360" w:lineRule="auto"/>
        <w:ind w:firstLine="1440"/>
        <w:rPr>
          <w:sz w:val="26"/>
          <w:szCs w:val="26"/>
        </w:rPr>
      </w:pPr>
    </w:p>
    <w:p w:rsidR="00FB7430" w:rsidRDefault="00CD7F9F" w:rsidP="00572D2C">
      <w:pPr>
        <w:widowControl/>
        <w:spacing w:line="360" w:lineRule="auto"/>
        <w:ind w:firstLine="1440"/>
        <w:rPr>
          <w:sz w:val="26"/>
          <w:szCs w:val="26"/>
        </w:rPr>
      </w:pPr>
      <w:r>
        <w:rPr>
          <w:sz w:val="26"/>
          <w:szCs w:val="26"/>
        </w:rPr>
        <w:t>In response to the Complainants’ Exception regarding Verizon PA’s handling of the disconnection of their second telephone line, Verizon PA avers that its witness testified that a Verizon PA representative contacted the Complainants on April</w:t>
      </w:r>
      <w:r w:rsidR="00EC6E02">
        <w:rPr>
          <w:sz w:val="26"/>
          <w:szCs w:val="26"/>
        </w:rPr>
        <w:t> </w:t>
      </w:r>
      <w:r>
        <w:rPr>
          <w:sz w:val="26"/>
          <w:szCs w:val="26"/>
        </w:rPr>
        <w:t>13, 2012</w:t>
      </w:r>
      <w:r w:rsidR="00EC6E02">
        <w:rPr>
          <w:sz w:val="26"/>
          <w:szCs w:val="26"/>
        </w:rPr>
        <w:t>,</w:t>
      </w:r>
      <w:r>
        <w:rPr>
          <w:sz w:val="26"/>
          <w:szCs w:val="26"/>
        </w:rPr>
        <w:t xml:space="preserve"> and offered to disconnect the second line at that time but the Complainants refused.  Verizon PA asserts that the $165.98 provided to the Complainants was a courtesy measure representing a full three-month credit.</w:t>
      </w:r>
      <w:r w:rsidR="00FA6751">
        <w:rPr>
          <w:sz w:val="26"/>
          <w:szCs w:val="26"/>
        </w:rPr>
        <w:t xml:space="preserve"> </w:t>
      </w:r>
      <w:r>
        <w:rPr>
          <w:sz w:val="26"/>
          <w:szCs w:val="26"/>
        </w:rPr>
        <w:t xml:space="preserve"> R. Exc at 6-7. </w:t>
      </w:r>
    </w:p>
    <w:p w:rsidR="003D16BC" w:rsidRDefault="003D16BC" w:rsidP="00572D2C">
      <w:pPr>
        <w:widowControl/>
        <w:spacing w:line="360" w:lineRule="auto"/>
        <w:ind w:firstLine="1440"/>
        <w:rPr>
          <w:sz w:val="26"/>
          <w:szCs w:val="26"/>
        </w:rPr>
      </w:pPr>
    </w:p>
    <w:p w:rsidR="001F0C64" w:rsidRPr="00006F35" w:rsidRDefault="001F0C64" w:rsidP="00572D2C">
      <w:pPr>
        <w:widowControl/>
        <w:spacing w:line="360" w:lineRule="auto"/>
        <w:rPr>
          <w:b/>
          <w:sz w:val="26"/>
          <w:szCs w:val="26"/>
        </w:rPr>
      </w:pPr>
      <w:r w:rsidRPr="00006F35">
        <w:rPr>
          <w:b/>
          <w:sz w:val="26"/>
          <w:szCs w:val="26"/>
        </w:rPr>
        <w:t>Disposition</w:t>
      </w:r>
    </w:p>
    <w:p w:rsidR="00006F35" w:rsidRDefault="00006F35" w:rsidP="00572D2C">
      <w:pPr>
        <w:widowControl/>
        <w:spacing w:line="360" w:lineRule="auto"/>
        <w:rPr>
          <w:b/>
          <w:sz w:val="26"/>
          <w:szCs w:val="26"/>
        </w:rPr>
      </w:pPr>
    </w:p>
    <w:p w:rsidR="00B33DDA" w:rsidRDefault="00B33DDA" w:rsidP="00572D2C">
      <w:pPr>
        <w:widowControl/>
        <w:spacing w:line="360" w:lineRule="auto"/>
        <w:ind w:firstLine="1440"/>
        <w:rPr>
          <w:sz w:val="26"/>
          <w:szCs w:val="26"/>
        </w:rPr>
      </w:pPr>
      <w:r>
        <w:rPr>
          <w:sz w:val="26"/>
          <w:szCs w:val="26"/>
        </w:rPr>
        <w:t xml:space="preserve">Upon </w:t>
      </w:r>
      <w:r w:rsidR="00EC6E02">
        <w:rPr>
          <w:sz w:val="26"/>
          <w:szCs w:val="26"/>
        </w:rPr>
        <w:t xml:space="preserve">our </w:t>
      </w:r>
      <w:r>
        <w:rPr>
          <w:sz w:val="26"/>
          <w:szCs w:val="26"/>
        </w:rPr>
        <w:t xml:space="preserve">review of the record and the Complainants’ Exceptions, we are of the opinion that Complainants have failed to meet their burden of proving that Verizon PA incorrectly billed them for two telephone lines.  </w:t>
      </w:r>
      <w:r w:rsidR="0081380F">
        <w:rPr>
          <w:sz w:val="26"/>
          <w:szCs w:val="26"/>
        </w:rPr>
        <w:t>Our review of the</w:t>
      </w:r>
      <w:r w:rsidR="00FA4F11">
        <w:rPr>
          <w:sz w:val="26"/>
          <w:szCs w:val="26"/>
        </w:rPr>
        <w:t xml:space="preserve"> Complainants’ testimony indicates that, aside from </w:t>
      </w:r>
      <w:r w:rsidR="00FA6751">
        <w:rPr>
          <w:sz w:val="26"/>
          <w:szCs w:val="26"/>
        </w:rPr>
        <w:t>assertions</w:t>
      </w:r>
      <w:r w:rsidR="00FA4F11">
        <w:rPr>
          <w:sz w:val="26"/>
          <w:szCs w:val="26"/>
        </w:rPr>
        <w:t xml:space="preserve"> consistent with their C</w:t>
      </w:r>
      <w:r w:rsidR="00FA6751">
        <w:rPr>
          <w:sz w:val="26"/>
          <w:szCs w:val="26"/>
        </w:rPr>
        <w:t xml:space="preserve">omplaint, the Complainants </w:t>
      </w:r>
      <w:r w:rsidR="00FA4F11">
        <w:rPr>
          <w:sz w:val="26"/>
          <w:szCs w:val="26"/>
        </w:rPr>
        <w:t>failed to provide any evidence to prove that Verizon PA incorrectly billed them for two telephone lines.  As noted by the ALJ in her Initial Decision, the Complainants’ personal opinions cannot form the basis of a finding in their favor.</w:t>
      </w:r>
    </w:p>
    <w:p w:rsidR="00D115D1" w:rsidRDefault="00D115D1" w:rsidP="00572D2C">
      <w:pPr>
        <w:widowControl/>
        <w:spacing w:line="360" w:lineRule="auto"/>
        <w:ind w:firstLine="1440"/>
        <w:rPr>
          <w:sz w:val="26"/>
          <w:szCs w:val="26"/>
        </w:rPr>
      </w:pPr>
    </w:p>
    <w:p w:rsidR="00D115D1" w:rsidRDefault="00D115D1" w:rsidP="00572D2C">
      <w:pPr>
        <w:widowControl/>
        <w:spacing w:line="360" w:lineRule="auto"/>
        <w:ind w:firstLine="1440"/>
        <w:rPr>
          <w:sz w:val="26"/>
          <w:szCs w:val="26"/>
        </w:rPr>
      </w:pPr>
      <w:r>
        <w:rPr>
          <w:sz w:val="26"/>
          <w:szCs w:val="26"/>
        </w:rPr>
        <w:t xml:space="preserve">As noted, </w:t>
      </w:r>
      <w:r>
        <w:rPr>
          <w:i/>
          <w:sz w:val="26"/>
          <w:szCs w:val="26"/>
        </w:rPr>
        <w:t>supra</w:t>
      </w:r>
      <w:r>
        <w:rPr>
          <w:sz w:val="26"/>
          <w:szCs w:val="26"/>
        </w:rPr>
        <w:t xml:space="preserve">, the Complainants’ Exceptions challenge the date contained in the ALJ’s Finding of Fact No. 11.  While this Finding of Fact indicates that the Complainants first noticed that they were being charged for two telephone lines on their </w:t>
      </w:r>
      <w:r w:rsidR="00FA6751">
        <w:rPr>
          <w:sz w:val="26"/>
          <w:szCs w:val="26"/>
        </w:rPr>
        <w:t xml:space="preserve">March 2008 </w:t>
      </w:r>
      <w:r>
        <w:rPr>
          <w:sz w:val="26"/>
          <w:szCs w:val="26"/>
        </w:rPr>
        <w:t>bill, the Complainants aver that they</w:t>
      </w:r>
      <w:r w:rsidR="00DD196B">
        <w:rPr>
          <w:sz w:val="26"/>
          <w:szCs w:val="26"/>
        </w:rPr>
        <w:t xml:space="preserve"> first noticed that they were being charged for two telephone lines on their</w:t>
      </w:r>
      <w:r w:rsidR="00FA6751">
        <w:rPr>
          <w:sz w:val="26"/>
          <w:szCs w:val="26"/>
        </w:rPr>
        <w:t xml:space="preserve"> March 2012</w:t>
      </w:r>
      <w:r w:rsidR="00DD196B">
        <w:rPr>
          <w:sz w:val="26"/>
          <w:szCs w:val="26"/>
        </w:rPr>
        <w:t xml:space="preserve"> bill</w:t>
      </w:r>
      <w:r w:rsidR="00644B34">
        <w:rPr>
          <w:sz w:val="26"/>
          <w:szCs w:val="26"/>
        </w:rPr>
        <w:t>.</w:t>
      </w:r>
      <w:r w:rsidR="00DD196B">
        <w:rPr>
          <w:sz w:val="26"/>
          <w:szCs w:val="26"/>
        </w:rPr>
        <w:t xml:space="preserve">  After review</w:t>
      </w:r>
      <w:r w:rsidR="007552DD">
        <w:rPr>
          <w:sz w:val="26"/>
          <w:szCs w:val="26"/>
        </w:rPr>
        <w:t>ing</w:t>
      </w:r>
      <w:r w:rsidR="00DD196B">
        <w:rPr>
          <w:sz w:val="26"/>
          <w:szCs w:val="26"/>
        </w:rPr>
        <w:t xml:space="preserve"> the record, we </w:t>
      </w:r>
      <w:r w:rsidR="00DD196B">
        <w:rPr>
          <w:sz w:val="26"/>
          <w:szCs w:val="26"/>
        </w:rPr>
        <w:lastRenderedPageBreak/>
        <w:t xml:space="preserve">agree with the </w:t>
      </w:r>
      <w:r w:rsidR="00C73976">
        <w:rPr>
          <w:sz w:val="26"/>
          <w:szCs w:val="26"/>
        </w:rPr>
        <w:t xml:space="preserve">Complainants.  It appears, based on the record that the ALJ’s Initial Decision contained a typographical error in light of the fact that </w:t>
      </w:r>
      <w:r w:rsidR="00C73976" w:rsidRPr="00C73976">
        <w:rPr>
          <w:sz w:val="26"/>
          <w:szCs w:val="26"/>
        </w:rPr>
        <w:t>Exhibit 10 pertains to the period from February through March 2012, rather than from February through March 2008.</w:t>
      </w:r>
      <w:r w:rsidR="00C73976">
        <w:rPr>
          <w:sz w:val="26"/>
          <w:szCs w:val="26"/>
        </w:rPr>
        <w:t xml:space="preserve">  </w:t>
      </w:r>
      <w:r w:rsidR="00DD196B">
        <w:rPr>
          <w:sz w:val="26"/>
          <w:szCs w:val="26"/>
        </w:rPr>
        <w:t>As such, we shall modify Finding of Fact No. 11 on page three of the ALJ’s Initial Decision to read as follows:</w:t>
      </w:r>
    </w:p>
    <w:p w:rsidR="00DD196B" w:rsidRDefault="00DD196B" w:rsidP="00572D2C">
      <w:pPr>
        <w:widowControl/>
        <w:spacing w:line="360" w:lineRule="auto"/>
        <w:ind w:firstLine="1440"/>
        <w:rPr>
          <w:sz w:val="26"/>
          <w:szCs w:val="26"/>
        </w:rPr>
      </w:pPr>
    </w:p>
    <w:p w:rsidR="00DD196B" w:rsidRDefault="00DD196B" w:rsidP="00572D2C">
      <w:pPr>
        <w:keepNext/>
        <w:widowControl/>
        <w:ind w:left="1440" w:right="1440"/>
        <w:rPr>
          <w:sz w:val="26"/>
          <w:szCs w:val="26"/>
        </w:rPr>
      </w:pPr>
      <w:r>
        <w:rPr>
          <w:sz w:val="26"/>
          <w:szCs w:val="26"/>
        </w:rPr>
        <w:t>Complainants first noticed on the phone bill for the p</w:t>
      </w:r>
      <w:r w:rsidR="007552DD">
        <w:rPr>
          <w:sz w:val="26"/>
          <w:szCs w:val="26"/>
        </w:rPr>
        <w:t>eriod of February through March</w:t>
      </w:r>
      <w:r>
        <w:rPr>
          <w:sz w:val="26"/>
          <w:szCs w:val="26"/>
        </w:rPr>
        <w:t xml:space="preserve"> 2012</w:t>
      </w:r>
      <w:r w:rsidR="007552DD">
        <w:rPr>
          <w:sz w:val="26"/>
          <w:szCs w:val="26"/>
        </w:rPr>
        <w:t>,</w:t>
      </w:r>
      <w:r>
        <w:rPr>
          <w:sz w:val="26"/>
          <w:szCs w:val="26"/>
        </w:rPr>
        <w:t xml:space="preserve"> that they were also being charged for a second phone line because the bill contained a breakdown of charges and listed a second phone line number (610)</w:t>
      </w:r>
      <w:r w:rsidR="007552DD">
        <w:rPr>
          <w:sz w:val="26"/>
          <w:szCs w:val="26"/>
        </w:rPr>
        <w:t xml:space="preserve"> </w:t>
      </w:r>
      <w:r>
        <w:rPr>
          <w:sz w:val="26"/>
          <w:szCs w:val="26"/>
        </w:rPr>
        <w:t>867-1756 with charges attributable to that number.</w:t>
      </w:r>
      <w:r w:rsidR="007552DD">
        <w:rPr>
          <w:sz w:val="26"/>
          <w:szCs w:val="26"/>
        </w:rPr>
        <w:t xml:space="preserve">  </w:t>
      </w:r>
      <w:r w:rsidR="007552DD" w:rsidRPr="007552DD">
        <w:rPr>
          <w:sz w:val="26"/>
          <w:szCs w:val="26"/>
        </w:rPr>
        <w:t>N.T. at 32; Complainants Exhibit 10.</w:t>
      </w:r>
    </w:p>
    <w:p w:rsidR="00DD196B" w:rsidRDefault="00DD196B" w:rsidP="00572D2C">
      <w:pPr>
        <w:widowControl/>
        <w:spacing w:line="360" w:lineRule="auto"/>
        <w:rPr>
          <w:sz w:val="26"/>
          <w:szCs w:val="26"/>
        </w:rPr>
      </w:pPr>
    </w:p>
    <w:p w:rsidR="00DD196B" w:rsidRDefault="00DD196B" w:rsidP="00572D2C">
      <w:pPr>
        <w:widowControl/>
        <w:spacing w:line="360" w:lineRule="auto"/>
        <w:rPr>
          <w:sz w:val="26"/>
          <w:szCs w:val="26"/>
        </w:rPr>
      </w:pPr>
      <w:r>
        <w:rPr>
          <w:sz w:val="26"/>
          <w:szCs w:val="26"/>
        </w:rPr>
        <w:t xml:space="preserve">Notwithstanding our modification of this Finding of Fact, </w:t>
      </w:r>
      <w:r w:rsidR="00C73976">
        <w:rPr>
          <w:sz w:val="26"/>
          <w:szCs w:val="26"/>
        </w:rPr>
        <w:t xml:space="preserve">we agree with </w:t>
      </w:r>
      <w:r>
        <w:rPr>
          <w:sz w:val="26"/>
          <w:szCs w:val="26"/>
        </w:rPr>
        <w:t xml:space="preserve">Verizon PA in its Replies to Exceptions, </w:t>
      </w:r>
      <w:r w:rsidR="00C73976">
        <w:rPr>
          <w:sz w:val="26"/>
          <w:szCs w:val="26"/>
        </w:rPr>
        <w:t xml:space="preserve">that the typographical </w:t>
      </w:r>
      <w:r w:rsidR="008B2237">
        <w:rPr>
          <w:sz w:val="26"/>
          <w:szCs w:val="26"/>
        </w:rPr>
        <w:t>error cannot form the basis for overturning the ALJ’s conclusions in her Initial Decision that the Complainants failed to meet their burden of proving that Verizon PA incorrectly billed them for two telephone lines.</w:t>
      </w:r>
    </w:p>
    <w:p w:rsidR="008B2237" w:rsidRDefault="008B2237" w:rsidP="00572D2C">
      <w:pPr>
        <w:widowControl/>
        <w:spacing w:line="360" w:lineRule="auto"/>
        <w:rPr>
          <w:sz w:val="26"/>
          <w:szCs w:val="26"/>
        </w:rPr>
      </w:pPr>
    </w:p>
    <w:p w:rsidR="008B2237" w:rsidRDefault="008B2237" w:rsidP="00572D2C">
      <w:pPr>
        <w:widowControl/>
        <w:spacing w:line="360" w:lineRule="auto"/>
        <w:rPr>
          <w:sz w:val="26"/>
          <w:szCs w:val="26"/>
        </w:rPr>
      </w:pPr>
      <w:r>
        <w:rPr>
          <w:sz w:val="26"/>
          <w:szCs w:val="26"/>
        </w:rPr>
        <w:tab/>
      </w:r>
      <w:r>
        <w:rPr>
          <w:sz w:val="26"/>
          <w:szCs w:val="26"/>
        </w:rPr>
        <w:tab/>
      </w:r>
      <w:r w:rsidR="00C73976">
        <w:rPr>
          <w:sz w:val="26"/>
          <w:szCs w:val="26"/>
        </w:rPr>
        <w:t xml:space="preserve">We further </w:t>
      </w:r>
      <w:r w:rsidR="00F340F9">
        <w:rPr>
          <w:sz w:val="26"/>
          <w:szCs w:val="26"/>
        </w:rPr>
        <w:t xml:space="preserve">note that our Regulations </w:t>
      </w:r>
      <w:r w:rsidR="003D0482">
        <w:rPr>
          <w:sz w:val="26"/>
          <w:szCs w:val="26"/>
        </w:rPr>
        <w:t xml:space="preserve">outline the following with regard to </w:t>
      </w:r>
      <w:r w:rsidR="00634714">
        <w:rPr>
          <w:sz w:val="26"/>
          <w:szCs w:val="26"/>
        </w:rPr>
        <w:t xml:space="preserve">information </w:t>
      </w:r>
      <w:r w:rsidR="008A585C">
        <w:rPr>
          <w:sz w:val="26"/>
          <w:szCs w:val="26"/>
        </w:rPr>
        <w:t>contained on a telephone bill</w:t>
      </w:r>
      <w:r w:rsidR="003D0482">
        <w:rPr>
          <w:sz w:val="26"/>
          <w:szCs w:val="26"/>
        </w:rPr>
        <w:t>:</w:t>
      </w:r>
    </w:p>
    <w:p w:rsidR="003D0482" w:rsidRDefault="003D0482" w:rsidP="00572D2C">
      <w:pPr>
        <w:widowControl/>
        <w:spacing w:line="360" w:lineRule="auto"/>
        <w:rPr>
          <w:sz w:val="26"/>
          <w:szCs w:val="26"/>
        </w:rPr>
      </w:pPr>
    </w:p>
    <w:p w:rsidR="003D0482" w:rsidRPr="003D0482" w:rsidRDefault="003D0482" w:rsidP="00572D2C">
      <w:pPr>
        <w:widowControl/>
        <w:autoSpaceDE w:val="0"/>
        <w:autoSpaceDN w:val="0"/>
        <w:ind w:left="1440" w:right="1440"/>
        <w:rPr>
          <w:rFonts w:eastAsia="Calibri"/>
          <w:b/>
          <w:sz w:val="26"/>
          <w:szCs w:val="26"/>
        </w:rPr>
      </w:pPr>
      <w:r w:rsidRPr="003D0482">
        <w:rPr>
          <w:rFonts w:eastAsia="Calibri"/>
          <w:b/>
          <w:sz w:val="26"/>
          <w:szCs w:val="26"/>
        </w:rPr>
        <w:t xml:space="preserve">§ </w:t>
      </w:r>
      <w:r>
        <w:rPr>
          <w:rFonts w:eastAsia="Calibri"/>
          <w:b/>
          <w:sz w:val="26"/>
          <w:szCs w:val="26"/>
        </w:rPr>
        <w:t>64.14</w:t>
      </w:r>
      <w:r w:rsidRPr="003D0482">
        <w:rPr>
          <w:rFonts w:eastAsia="Calibri"/>
          <w:b/>
          <w:sz w:val="26"/>
          <w:szCs w:val="26"/>
        </w:rPr>
        <w:t xml:space="preserve">. </w:t>
      </w:r>
      <w:r>
        <w:rPr>
          <w:rFonts w:eastAsia="Calibri"/>
          <w:b/>
          <w:sz w:val="26"/>
          <w:szCs w:val="26"/>
        </w:rPr>
        <w:t>Billing information</w:t>
      </w:r>
    </w:p>
    <w:p w:rsidR="003D0482" w:rsidRPr="00C63F97" w:rsidRDefault="003D0482" w:rsidP="00572D2C">
      <w:pPr>
        <w:widowControl/>
        <w:autoSpaceDE w:val="0"/>
        <w:autoSpaceDN w:val="0"/>
        <w:ind w:left="1440" w:right="1440"/>
        <w:rPr>
          <w:rFonts w:eastAsia="Calibri"/>
          <w:sz w:val="26"/>
          <w:szCs w:val="26"/>
        </w:rPr>
      </w:pPr>
    </w:p>
    <w:p w:rsidR="003D0482" w:rsidRPr="003D0482" w:rsidRDefault="003D0482" w:rsidP="00572D2C">
      <w:pPr>
        <w:widowControl/>
        <w:autoSpaceDE w:val="0"/>
        <w:autoSpaceDN w:val="0"/>
        <w:ind w:left="1440" w:right="1440"/>
        <w:rPr>
          <w:rFonts w:eastAsia="Calibri"/>
          <w:sz w:val="26"/>
          <w:szCs w:val="26"/>
        </w:rPr>
      </w:pPr>
      <w:r w:rsidRPr="00C63F97">
        <w:rPr>
          <w:rFonts w:eastAsia="Calibri"/>
          <w:sz w:val="26"/>
          <w:szCs w:val="26"/>
        </w:rPr>
        <w:t>(</w:t>
      </w:r>
      <w:r>
        <w:rPr>
          <w:rFonts w:eastAsia="Calibri"/>
          <w:sz w:val="26"/>
          <w:szCs w:val="26"/>
        </w:rPr>
        <w:t>a</w:t>
      </w:r>
      <w:r w:rsidRPr="00C63F97">
        <w:rPr>
          <w:rFonts w:eastAsia="Calibri"/>
          <w:sz w:val="26"/>
          <w:szCs w:val="26"/>
        </w:rPr>
        <w:t xml:space="preserve">) </w:t>
      </w:r>
      <w:r>
        <w:rPr>
          <w:rFonts w:eastAsia="Calibri"/>
          <w:sz w:val="26"/>
          <w:szCs w:val="26"/>
        </w:rPr>
        <w:t>Every bill rendered must state clearly the following information:</w:t>
      </w:r>
    </w:p>
    <w:p w:rsidR="003D0482" w:rsidRPr="00C63F97" w:rsidRDefault="003D0482" w:rsidP="00572D2C">
      <w:pPr>
        <w:widowControl/>
        <w:autoSpaceDE w:val="0"/>
        <w:autoSpaceDN w:val="0"/>
        <w:ind w:left="1440" w:right="1440"/>
        <w:rPr>
          <w:rFonts w:eastAsia="Calibri"/>
          <w:sz w:val="26"/>
          <w:szCs w:val="26"/>
        </w:rPr>
      </w:pPr>
    </w:p>
    <w:p w:rsidR="003D0482" w:rsidRDefault="003D0482" w:rsidP="00572D2C">
      <w:pPr>
        <w:widowControl/>
        <w:autoSpaceDE w:val="0"/>
        <w:autoSpaceDN w:val="0"/>
        <w:ind w:left="1440" w:right="1440"/>
        <w:rPr>
          <w:rFonts w:eastAsia="Calibri"/>
          <w:sz w:val="26"/>
          <w:szCs w:val="26"/>
        </w:rPr>
      </w:pPr>
      <w:r w:rsidRPr="00C63F97">
        <w:rPr>
          <w:rFonts w:eastAsia="Calibri"/>
          <w:sz w:val="26"/>
          <w:szCs w:val="26"/>
        </w:rPr>
        <w:t xml:space="preserve">   (1) </w:t>
      </w:r>
      <w:r>
        <w:rPr>
          <w:rFonts w:eastAsia="Calibri"/>
          <w:sz w:val="26"/>
          <w:szCs w:val="26"/>
        </w:rPr>
        <w:t>The date of the bill</w:t>
      </w:r>
    </w:p>
    <w:p w:rsidR="003D0482" w:rsidRDefault="003D0482" w:rsidP="00572D2C">
      <w:pPr>
        <w:widowControl/>
        <w:autoSpaceDE w:val="0"/>
        <w:autoSpaceDN w:val="0"/>
        <w:ind w:left="1440" w:right="1440"/>
        <w:rPr>
          <w:rFonts w:eastAsia="Calibri"/>
          <w:sz w:val="26"/>
          <w:szCs w:val="26"/>
        </w:rPr>
      </w:pPr>
    </w:p>
    <w:p w:rsidR="003D0482" w:rsidRPr="00A7194B" w:rsidRDefault="003D0482" w:rsidP="00572D2C">
      <w:pPr>
        <w:widowControl/>
        <w:autoSpaceDE w:val="0"/>
        <w:autoSpaceDN w:val="0"/>
        <w:ind w:left="1440" w:right="1440"/>
        <w:jc w:val="center"/>
        <w:rPr>
          <w:rFonts w:eastAsia="Calibri"/>
          <w:sz w:val="26"/>
          <w:szCs w:val="26"/>
        </w:rPr>
      </w:pPr>
      <w:r w:rsidRPr="00A7194B">
        <w:rPr>
          <w:rFonts w:eastAsia="Calibri"/>
          <w:sz w:val="26"/>
          <w:szCs w:val="26"/>
        </w:rPr>
        <w:t>*</w:t>
      </w:r>
      <w:r w:rsidRPr="00A7194B">
        <w:rPr>
          <w:rFonts w:eastAsia="Calibri"/>
          <w:sz w:val="26"/>
          <w:szCs w:val="26"/>
        </w:rPr>
        <w:tab/>
        <w:t>*</w:t>
      </w:r>
      <w:r w:rsidRPr="00A7194B">
        <w:rPr>
          <w:rFonts w:eastAsia="Calibri"/>
          <w:sz w:val="26"/>
          <w:szCs w:val="26"/>
        </w:rPr>
        <w:tab/>
        <w:t>*</w:t>
      </w:r>
    </w:p>
    <w:p w:rsidR="003D0482" w:rsidRDefault="003D0482" w:rsidP="00572D2C">
      <w:pPr>
        <w:widowControl/>
        <w:autoSpaceDE w:val="0"/>
        <w:autoSpaceDN w:val="0"/>
        <w:ind w:left="1440" w:right="1440"/>
        <w:rPr>
          <w:rFonts w:eastAsia="Calibri"/>
          <w:sz w:val="26"/>
          <w:szCs w:val="26"/>
        </w:rPr>
      </w:pPr>
    </w:p>
    <w:p w:rsidR="003D0482" w:rsidRDefault="003D0482" w:rsidP="00572D2C">
      <w:pPr>
        <w:widowControl/>
        <w:autoSpaceDE w:val="0"/>
        <w:autoSpaceDN w:val="0"/>
        <w:ind w:left="1440" w:right="1440"/>
        <w:rPr>
          <w:rFonts w:eastAsia="Calibri"/>
          <w:sz w:val="26"/>
          <w:szCs w:val="26"/>
        </w:rPr>
      </w:pPr>
      <w:r>
        <w:rPr>
          <w:rFonts w:eastAsia="Calibri"/>
          <w:sz w:val="26"/>
          <w:szCs w:val="26"/>
        </w:rPr>
        <w:t xml:space="preserve">   (3) The beginning and ending dates of the billing period for service</w:t>
      </w:r>
    </w:p>
    <w:p w:rsidR="003D0482" w:rsidRDefault="003D0482" w:rsidP="00572D2C">
      <w:pPr>
        <w:widowControl/>
        <w:autoSpaceDE w:val="0"/>
        <w:autoSpaceDN w:val="0"/>
        <w:ind w:left="1440" w:right="1440"/>
        <w:rPr>
          <w:rFonts w:eastAsia="Calibri"/>
          <w:sz w:val="26"/>
          <w:szCs w:val="26"/>
        </w:rPr>
      </w:pPr>
    </w:p>
    <w:p w:rsidR="003D0482" w:rsidRDefault="003D0482" w:rsidP="00572D2C">
      <w:pPr>
        <w:widowControl/>
        <w:autoSpaceDE w:val="0"/>
        <w:autoSpaceDN w:val="0"/>
        <w:ind w:left="1440" w:right="1440"/>
        <w:rPr>
          <w:rFonts w:eastAsia="Calibri"/>
          <w:sz w:val="26"/>
          <w:szCs w:val="26"/>
        </w:rPr>
      </w:pPr>
    </w:p>
    <w:p w:rsidR="003D0482" w:rsidRPr="003D0482" w:rsidRDefault="00917E65" w:rsidP="00572D2C">
      <w:pPr>
        <w:widowControl/>
        <w:autoSpaceDE w:val="0"/>
        <w:autoSpaceDN w:val="0"/>
        <w:ind w:left="1440" w:right="1440"/>
        <w:rPr>
          <w:rFonts w:eastAsia="Calibri"/>
          <w:b/>
          <w:sz w:val="26"/>
          <w:szCs w:val="26"/>
        </w:rPr>
      </w:pPr>
      <w:r>
        <w:rPr>
          <w:rFonts w:eastAsia="Calibri"/>
          <w:b/>
          <w:sz w:val="26"/>
          <w:szCs w:val="26"/>
        </w:rPr>
        <w:lastRenderedPageBreak/>
        <w:t xml:space="preserve"> </w:t>
      </w:r>
      <w:r w:rsidR="003D0482" w:rsidRPr="003D0482">
        <w:rPr>
          <w:rFonts w:eastAsia="Calibri"/>
          <w:b/>
          <w:sz w:val="26"/>
          <w:szCs w:val="26"/>
        </w:rPr>
        <w:t xml:space="preserve">  (4) The amount due for basic service, nonbasic service, and taxes and applicable surcharges, during the current billing period.</w:t>
      </w:r>
    </w:p>
    <w:p w:rsidR="003D0482" w:rsidRDefault="003D0482" w:rsidP="00572D2C">
      <w:pPr>
        <w:widowControl/>
        <w:autoSpaceDE w:val="0"/>
        <w:autoSpaceDN w:val="0"/>
        <w:ind w:left="1440" w:right="1440"/>
        <w:rPr>
          <w:rFonts w:eastAsia="Calibri"/>
          <w:sz w:val="26"/>
          <w:szCs w:val="26"/>
        </w:rPr>
      </w:pPr>
    </w:p>
    <w:p w:rsidR="003D0482" w:rsidRPr="00A7194B" w:rsidRDefault="003D0482" w:rsidP="00572D2C">
      <w:pPr>
        <w:widowControl/>
        <w:autoSpaceDE w:val="0"/>
        <w:autoSpaceDN w:val="0"/>
        <w:ind w:left="1440" w:right="1440"/>
        <w:jc w:val="center"/>
        <w:rPr>
          <w:rFonts w:eastAsia="Calibri"/>
          <w:sz w:val="26"/>
          <w:szCs w:val="26"/>
        </w:rPr>
      </w:pPr>
      <w:r w:rsidRPr="00A7194B">
        <w:rPr>
          <w:rFonts w:eastAsia="Calibri"/>
          <w:sz w:val="26"/>
          <w:szCs w:val="26"/>
        </w:rPr>
        <w:t>*</w:t>
      </w:r>
      <w:r w:rsidRPr="00A7194B">
        <w:rPr>
          <w:rFonts w:eastAsia="Calibri"/>
          <w:sz w:val="26"/>
          <w:szCs w:val="26"/>
        </w:rPr>
        <w:tab/>
        <w:t>*</w:t>
      </w:r>
      <w:r w:rsidRPr="00A7194B">
        <w:rPr>
          <w:rFonts w:eastAsia="Calibri"/>
          <w:sz w:val="26"/>
          <w:szCs w:val="26"/>
        </w:rPr>
        <w:tab/>
        <w:t>*</w:t>
      </w:r>
    </w:p>
    <w:p w:rsidR="003D0482" w:rsidRDefault="003D0482" w:rsidP="00572D2C">
      <w:pPr>
        <w:widowControl/>
        <w:autoSpaceDE w:val="0"/>
        <w:autoSpaceDN w:val="0"/>
        <w:ind w:left="1440" w:right="1440"/>
        <w:rPr>
          <w:rFonts w:eastAsia="Calibri"/>
          <w:sz w:val="26"/>
          <w:szCs w:val="26"/>
        </w:rPr>
      </w:pPr>
    </w:p>
    <w:p w:rsidR="003D0482" w:rsidRDefault="00917E65" w:rsidP="00572D2C">
      <w:pPr>
        <w:widowControl/>
        <w:autoSpaceDE w:val="0"/>
        <w:autoSpaceDN w:val="0"/>
        <w:ind w:left="1440" w:right="1440"/>
        <w:rPr>
          <w:rFonts w:eastAsia="Calibri"/>
          <w:sz w:val="26"/>
          <w:szCs w:val="26"/>
        </w:rPr>
      </w:pPr>
      <w:r>
        <w:rPr>
          <w:rFonts w:eastAsia="Calibri"/>
          <w:sz w:val="26"/>
          <w:szCs w:val="26"/>
        </w:rPr>
        <w:t xml:space="preserve">   (7)</w:t>
      </w:r>
      <w:r w:rsidR="003D0482">
        <w:rPr>
          <w:rFonts w:eastAsia="Calibri"/>
          <w:sz w:val="26"/>
          <w:szCs w:val="26"/>
        </w:rPr>
        <w:t xml:space="preserve"> The total amount of payments and other credits made to the account during the current billing period.</w:t>
      </w:r>
    </w:p>
    <w:p w:rsidR="003D0482" w:rsidRDefault="003D0482" w:rsidP="00572D2C">
      <w:pPr>
        <w:widowControl/>
        <w:autoSpaceDE w:val="0"/>
        <w:autoSpaceDN w:val="0"/>
        <w:ind w:left="1440" w:right="1440"/>
        <w:rPr>
          <w:rFonts w:eastAsia="Calibri"/>
          <w:sz w:val="26"/>
          <w:szCs w:val="26"/>
        </w:rPr>
      </w:pPr>
    </w:p>
    <w:p w:rsidR="003D0482" w:rsidRPr="00A7194B" w:rsidRDefault="003D0482" w:rsidP="00572D2C">
      <w:pPr>
        <w:widowControl/>
        <w:autoSpaceDE w:val="0"/>
        <w:autoSpaceDN w:val="0"/>
        <w:ind w:left="1440" w:right="1440"/>
        <w:jc w:val="center"/>
        <w:rPr>
          <w:rFonts w:eastAsia="Calibri"/>
          <w:sz w:val="26"/>
          <w:szCs w:val="26"/>
        </w:rPr>
      </w:pPr>
      <w:r w:rsidRPr="00A7194B">
        <w:rPr>
          <w:rFonts w:eastAsia="Calibri"/>
          <w:sz w:val="26"/>
          <w:szCs w:val="26"/>
        </w:rPr>
        <w:t>*</w:t>
      </w:r>
      <w:r w:rsidRPr="00A7194B">
        <w:rPr>
          <w:rFonts w:eastAsia="Calibri"/>
          <w:sz w:val="26"/>
          <w:szCs w:val="26"/>
        </w:rPr>
        <w:tab/>
        <w:t>*</w:t>
      </w:r>
      <w:r w:rsidRPr="00A7194B">
        <w:rPr>
          <w:rFonts w:eastAsia="Calibri"/>
          <w:sz w:val="26"/>
          <w:szCs w:val="26"/>
        </w:rPr>
        <w:tab/>
        <w:t>*</w:t>
      </w:r>
    </w:p>
    <w:p w:rsidR="003D0482" w:rsidRDefault="003D0482" w:rsidP="00572D2C">
      <w:pPr>
        <w:widowControl/>
        <w:autoSpaceDE w:val="0"/>
        <w:autoSpaceDN w:val="0"/>
        <w:ind w:left="1440" w:right="1440"/>
        <w:rPr>
          <w:rFonts w:eastAsia="Calibri"/>
          <w:sz w:val="26"/>
          <w:szCs w:val="26"/>
        </w:rPr>
      </w:pPr>
    </w:p>
    <w:p w:rsidR="003D0482" w:rsidRDefault="003D0482" w:rsidP="00572D2C">
      <w:pPr>
        <w:widowControl/>
        <w:autoSpaceDE w:val="0"/>
        <w:autoSpaceDN w:val="0"/>
        <w:ind w:left="1440" w:right="1440"/>
        <w:rPr>
          <w:rFonts w:eastAsia="Calibri"/>
          <w:sz w:val="26"/>
          <w:szCs w:val="26"/>
        </w:rPr>
      </w:pPr>
      <w:r>
        <w:rPr>
          <w:rFonts w:eastAsia="Calibri"/>
          <w:sz w:val="26"/>
          <w:szCs w:val="26"/>
        </w:rPr>
        <w:t>(9) The total amount due.</w:t>
      </w:r>
    </w:p>
    <w:p w:rsidR="003D0482" w:rsidRDefault="003D0482" w:rsidP="00572D2C">
      <w:pPr>
        <w:widowControl/>
        <w:autoSpaceDE w:val="0"/>
        <w:autoSpaceDN w:val="0"/>
        <w:ind w:left="1440" w:right="1440"/>
        <w:rPr>
          <w:rFonts w:eastAsia="Calibri"/>
          <w:sz w:val="26"/>
          <w:szCs w:val="26"/>
        </w:rPr>
      </w:pPr>
    </w:p>
    <w:p w:rsidR="003D0482" w:rsidRPr="008A585C" w:rsidRDefault="00917E65" w:rsidP="00572D2C">
      <w:pPr>
        <w:widowControl/>
        <w:autoSpaceDE w:val="0"/>
        <w:autoSpaceDN w:val="0"/>
        <w:ind w:left="1440" w:right="1440"/>
        <w:rPr>
          <w:rFonts w:eastAsia="Calibri"/>
          <w:b/>
          <w:sz w:val="26"/>
          <w:szCs w:val="26"/>
        </w:rPr>
      </w:pPr>
      <w:r>
        <w:rPr>
          <w:rFonts w:eastAsia="Calibri"/>
          <w:b/>
          <w:sz w:val="26"/>
          <w:szCs w:val="26"/>
        </w:rPr>
        <w:t xml:space="preserve">   </w:t>
      </w:r>
      <w:r w:rsidR="003D0482" w:rsidRPr="008A585C">
        <w:rPr>
          <w:rFonts w:eastAsia="Calibri"/>
          <w:b/>
          <w:sz w:val="26"/>
          <w:szCs w:val="26"/>
        </w:rPr>
        <w:t>(10) A statement directing the customer to register a question or complaint about the bill prior to the due date, with the address and telephone number where the customer may direct questions or complaints.</w:t>
      </w:r>
    </w:p>
    <w:p w:rsidR="003D0482" w:rsidRDefault="003D0482" w:rsidP="00572D2C">
      <w:pPr>
        <w:widowControl/>
        <w:autoSpaceDE w:val="0"/>
        <w:autoSpaceDN w:val="0"/>
        <w:ind w:left="1440" w:right="1440"/>
        <w:rPr>
          <w:rFonts w:eastAsia="Calibri"/>
          <w:sz w:val="26"/>
          <w:szCs w:val="26"/>
        </w:rPr>
      </w:pPr>
    </w:p>
    <w:p w:rsidR="003D0482" w:rsidRPr="008A585C" w:rsidRDefault="00917E65" w:rsidP="00572D2C">
      <w:pPr>
        <w:widowControl/>
        <w:autoSpaceDE w:val="0"/>
        <w:autoSpaceDN w:val="0"/>
        <w:ind w:left="1440" w:right="1440"/>
        <w:rPr>
          <w:rFonts w:eastAsia="Calibri"/>
          <w:b/>
          <w:sz w:val="26"/>
          <w:szCs w:val="26"/>
        </w:rPr>
      </w:pPr>
      <w:r>
        <w:rPr>
          <w:rFonts w:eastAsia="Calibri"/>
          <w:b/>
          <w:sz w:val="26"/>
          <w:szCs w:val="26"/>
        </w:rPr>
        <w:t xml:space="preserve">   </w:t>
      </w:r>
      <w:r w:rsidR="003D0482" w:rsidRPr="008A585C">
        <w:rPr>
          <w:rFonts w:eastAsia="Calibri"/>
          <w:b/>
          <w:sz w:val="26"/>
          <w:szCs w:val="26"/>
        </w:rPr>
        <w:t>(11) A statement that a rate schedule, an explanation of how to verify the accuracy of a bill, and an explanation of various charges, if applicable, can be obtained by contacting the business office of the LEC</w:t>
      </w:r>
      <w:r w:rsidR="008A585C">
        <w:rPr>
          <w:rFonts w:eastAsia="Calibri"/>
          <w:b/>
          <w:sz w:val="26"/>
          <w:szCs w:val="26"/>
        </w:rPr>
        <w:t>.</w:t>
      </w:r>
    </w:p>
    <w:p w:rsidR="003D0482" w:rsidRDefault="003D0482" w:rsidP="00572D2C">
      <w:pPr>
        <w:widowControl/>
        <w:spacing w:line="360" w:lineRule="auto"/>
        <w:rPr>
          <w:sz w:val="26"/>
          <w:szCs w:val="26"/>
        </w:rPr>
      </w:pPr>
    </w:p>
    <w:p w:rsidR="00F340F9" w:rsidRDefault="003D0482" w:rsidP="00572D2C">
      <w:pPr>
        <w:widowControl/>
        <w:spacing w:line="360" w:lineRule="auto"/>
        <w:rPr>
          <w:color w:val="000000"/>
          <w:sz w:val="26"/>
          <w:szCs w:val="26"/>
        </w:rPr>
      </w:pPr>
      <w:r>
        <w:rPr>
          <w:sz w:val="26"/>
          <w:szCs w:val="26"/>
        </w:rPr>
        <w:t xml:space="preserve">52 Pa. Code § 64.14 (emphasis added).  </w:t>
      </w:r>
      <w:r w:rsidR="00F340F9">
        <w:rPr>
          <w:sz w:val="26"/>
          <w:szCs w:val="26"/>
        </w:rPr>
        <w:t xml:space="preserve">After reviewing the </w:t>
      </w:r>
      <w:r w:rsidR="00C73976">
        <w:rPr>
          <w:sz w:val="26"/>
          <w:szCs w:val="26"/>
        </w:rPr>
        <w:t>E</w:t>
      </w:r>
      <w:r w:rsidR="00F340F9">
        <w:rPr>
          <w:sz w:val="26"/>
          <w:szCs w:val="26"/>
        </w:rPr>
        <w:t>xhibits provided by Verizon PA pertaining to the Complainants’ bills f</w:t>
      </w:r>
      <w:r w:rsidR="00C73976">
        <w:rPr>
          <w:sz w:val="26"/>
          <w:szCs w:val="26"/>
        </w:rPr>
        <w:t xml:space="preserve">rom </w:t>
      </w:r>
      <w:r w:rsidR="00F340F9">
        <w:rPr>
          <w:sz w:val="26"/>
          <w:szCs w:val="26"/>
        </w:rPr>
        <w:t xml:space="preserve">2008 through 2012, we agree with the ALJ that the </w:t>
      </w:r>
      <w:r w:rsidR="006C0204">
        <w:rPr>
          <w:sz w:val="26"/>
          <w:szCs w:val="26"/>
        </w:rPr>
        <w:t xml:space="preserve">billing </w:t>
      </w:r>
      <w:r w:rsidR="00F340F9">
        <w:rPr>
          <w:sz w:val="26"/>
          <w:szCs w:val="26"/>
        </w:rPr>
        <w:t xml:space="preserve">format </w:t>
      </w:r>
      <w:r w:rsidR="006C0204">
        <w:rPr>
          <w:sz w:val="26"/>
          <w:szCs w:val="26"/>
        </w:rPr>
        <w:t xml:space="preserve">and information on the bills comply with </w:t>
      </w:r>
      <w:r w:rsidR="00F340F9">
        <w:rPr>
          <w:sz w:val="26"/>
          <w:szCs w:val="26"/>
        </w:rPr>
        <w:t>our Regulations</w:t>
      </w:r>
      <w:r w:rsidR="006C0204">
        <w:rPr>
          <w:sz w:val="26"/>
          <w:szCs w:val="26"/>
        </w:rPr>
        <w:t>.</w:t>
      </w:r>
      <w:r w:rsidR="00F340F9">
        <w:rPr>
          <w:sz w:val="26"/>
          <w:szCs w:val="26"/>
        </w:rPr>
        <w:t xml:space="preserve">  </w:t>
      </w:r>
      <w:r w:rsidR="008A585C">
        <w:rPr>
          <w:sz w:val="26"/>
          <w:szCs w:val="26"/>
        </w:rPr>
        <w:t>As the ALJ state</w:t>
      </w:r>
      <w:r w:rsidR="006C0204">
        <w:rPr>
          <w:sz w:val="26"/>
          <w:szCs w:val="26"/>
        </w:rPr>
        <w:t>d</w:t>
      </w:r>
      <w:r w:rsidR="008A585C">
        <w:rPr>
          <w:sz w:val="26"/>
          <w:szCs w:val="26"/>
        </w:rPr>
        <w:t xml:space="preserve"> in her Initial Decision, these bills clearly break down the charges applicable to each telephone number.  </w:t>
      </w:r>
      <w:r w:rsidR="00F340F9">
        <w:rPr>
          <w:sz w:val="26"/>
          <w:szCs w:val="26"/>
        </w:rPr>
        <w:t xml:space="preserve">We also agree with the ALJ and Verizon PA that it </w:t>
      </w:r>
      <w:r w:rsidR="006C0204">
        <w:rPr>
          <w:sz w:val="26"/>
          <w:szCs w:val="26"/>
        </w:rPr>
        <w:t>is</w:t>
      </w:r>
      <w:r w:rsidR="00F340F9">
        <w:rPr>
          <w:sz w:val="26"/>
          <w:szCs w:val="26"/>
        </w:rPr>
        <w:t xml:space="preserve"> the Complainants’ responsibility to review their bills and to notify Verizon PA of any discrepancies</w:t>
      </w:r>
      <w:r w:rsidR="006C0204">
        <w:rPr>
          <w:sz w:val="26"/>
          <w:szCs w:val="26"/>
        </w:rPr>
        <w:t xml:space="preserve"> in a timely matter</w:t>
      </w:r>
      <w:r w:rsidR="00F340F9">
        <w:rPr>
          <w:sz w:val="26"/>
          <w:szCs w:val="26"/>
        </w:rPr>
        <w:t xml:space="preserve">.  </w:t>
      </w:r>
      <w:r w:rsidR="00ED5072">
        <w:rPr>
          <w:color w:val="000000"/>
          <w:sz w:val="26"/>
          <w:szCs w:val="26"/>
        </w:rPr>
        <w:t xml:space="preserve">See, </w:t>
      </w:r>
      <w:r w:rsidR="00ED5072">
        <w:rPr>
          <w:i/>
          <w:color w:val="000000"/>
          <w:sz w:val="26"/>
          <w:szCs w:val="26"/>
        </w:rPr>
        <w:t xml:space="preserve">e.g., </w:t>
      </w:r>
      <w:r w:rsidR="003E3713">
        <w:rPr>
          <w:i/>
          <w:color w:val="000000"/>
          <w:sz w:val="26"/>
          <w:szCs w:val="26"/>
        </w:rPr>
        <w:t xml:space="preserve">Tracy Lynnette </w:t>
      </w:r>
      <w:r w:rsidR="00ED5072">
        <w:rPr>
          <w:i/>
          <w:color w:val="000000"/>
          <w:sz w:val="26"/>
          <w:szCs w:val="26"/>
        </w:rPr>
        <w:t xml:space="preserve">Harrison v. Verizon Pennsylvania Inc., </w:t>
      </w:r>
      <w:r w:rsidR="00ED5072">
        <w:rPr>
          <w:color w:val="000000"/>
          <w:sz w:val="26"/>
          <w:szCs w:val="26"/>
        </w:rPr>
        <w:t xml:space="preserve">Docket No. C-20015861 (Order entered May 22, 2002); </w:t>
      </w:r>
      <w:r w:rsidR="003E3713" w:rsidRPr="003E3713">
        <w:rPr>
          <w:i/>
          <w:color w:val="000000"/>
          <w:sz w:val="26"/>
          <w:szCs w:val="26"/>
        </w:rPr>
        <w:t xml:space="preserve">John P. </w:t>
      </w:r>
      <w:r w:rsidR="00ED5072" w:rsidRPr="003E3713">
        <w:rPr>
          <w:i/>
          <w:color w:val="000000"/>
          <w:sz w:val="26"/>
          <w:szCs w:val="26"/>
        </w:rPr>
        <w:t>Murray</w:t>
      </w:r>
      <w:r w:rsidR="00ED5072">
        <w:rPr>
          <w:i/>
          <w:color w:val="000000"/>
          <w:sz w:val="26"/>
          <w:szCs w:val="26"/>
        </w:rPr>
        <w:t xml:space="preserve"> v. Verizon Pennsylvania Inc., </w:t>
      </w:r>
      <w:r w:rsidR="00ED5072">
        <w:rPr>
          <w:color w:val="000000"/>
          <w:sz w:val="26"/>
          <w:szCs w:val="26"/>
        </w:rPr>
        <w:t>Docket No. F-00979085 (Order entered January 3, 2003).</w:t>
      </w:r>
    </w:p>
    <w:p w:rsidR="0035260C" w:rsidRDefault="0035260C" w:rsidP="00572D2C">
      <w:pPr>
        <w:widowControl/>
        <w:spacing w:line="360" w:lineRule="auto"/>
        <w:rPr>
          <w:color w:val="000000"/>
          <w:sz w:val="26"/>
          <w:szCs w:val="26"/>
        </w:rPr>
      </w:pPr>
    </w:p>
    <w:p w:rsidR="0035260C" w:rsidRDefault="0035260C" w:rsidP="00572D2C">
      <w:pPr>
        <w:widowControl/>
        <w:spacing w:line="360" w:lineRule="auto"/>
        <w:rPr>
          <w:sz w:val="26"/>
          <w:szCs w:val="26"/>
        </w:rPr>
      </w:pPr>
      <w:r>
        <w:rPr>
          <w:color w:val="000000"/>
          <w:sz w:val="26"/>
          <w:szCs w:val="26"/>
        </w:rPr>
        <w:tab/>
      </w:r>
      <w:r>
        <w:rPr>
          <w:color w:val="000000"/>
          <w:sz w:val="26"/>
          <w:szCs w:val="26"/>
        </w:rPr>
        <w:tab/>
        <w:t xml:space="preserve">Finally, </w:t>
      </w:r>
      <w:r w:rsidR="00802F27">
        <w:rPr>
          <w:color w:val="000000"/>
          <w:sz w:val="26"/>
          <w:szCs w:val="26"/>
        </w:rPr>
        <w:t xml:space="preserve">although </w:t>
      </w:r>
      <w:r w:rsidR="006C0204">
        <w:rPr>
          <w:color w:val="000000"/>
          <w:sz w:val="26"/>
          <w:szCs w:val="26"/>
        </w:rPr>
        <w:t xml:space="preserve">we understand </w:t>
      </w:r>
      <w:r w:rsidR="00802F27">
        <w:rPr>
          <w:color w:val="000000"/>
          <w:sz w:val="26"/>
          <w:szCs w:val="26"/>
        </w:rPr>
        <w:t xml:space="preserve">the Complainants’ frustration in </w:t>
      </w:r>
      <w:r w:rsidR="006C0204">
        <w:rPr>
          <w:color w:val="000000"/>
          <w:sz w:val="26"/>
          <w:szCs w:val="26"/>
        </w:rPr>
        <w:t xml:space="preserve">their </w:t>
      </w:r>
      <w:r w:rsidR="00802F27">
        <w:rPr>
          <w:color w:val="000000"/>
          <w:sz w:val="26"/>
          <w:szCs w:val="26"/>
        </w:rPr>
        <w:t>attempt to have their second line terminated</w:t>
      </w:r>
      <w:r w:rsidR="006C0204">
        <w:rPr>
          <w:color w:val="000000"/>
          <w:sz w:val="26"/>
          <w:szCs w:val="26"/>
        </w:rPr>
        <w:t xml:space="preserve">, </w:t>
      </w:r>
      <w:r w:rsidR="00802F27">
        <w:rPr>
          <w:color w:val="000000"/>
          <w:sz w:val="26"/>
          <w:szCs w:val="26"/>
        </w:rPr>
        <w:t xml:space="preserve">the record evidence </w:t>
      </w:r>
      <w:r w:rsidR="00A64E5B">
        <w:rPr>
          <w:color w:val="000000"/>
          <w:sz w:val="26"/>
          <w:szCs w:val="26"/>
        </w:rPr>
        <w:t xml:space="preserve">indicates that Verizon </w:t>
      </w:r>
      <w:r w:rsidR="00A64E5B">
        <w:rPr>
          <w:color w:val="000000"/>
          <w:sz w:val="26"/>
          <w:szCs w:val="26"/>
        </w:rPr>
        <w:lastRenderedPageBreak/>
        <w:t xml:space="preserve">PA provided the Complainants with three separate credit amounts after the second telephone line was disconnected.  We agree with the ALJ that </w:t>
      </w:r>
      <w:r w:rsidR="006C0204">
        <w:rPr>
          <w:color w:val="000000"/>
          <w:sz w:val="26"/>
          <w:szCs w:val="26"/>
        </w:rPr>
        <w:t xml:space="preserve">Verizon provided </w:t>
      </w:r>
      <w:r w:rsidR="00A64E5B">
        <w:rPr>
          <w:color w:val="000000"/>
          <w:sz w:val="26"/>
          <w:szCs w:val="26"/>
        </w:rPr>
        <w:t>these credits as a courtesy measure</w:t>
      </w:r>
      <w:r w:rsidR="00FA6751">
        <w:rPr>
          <w:color w:val="000000"/>
          <w:sz w:val="26"/>
          <w:szCs w:val="26"/>
        </w:rPr>
        <w:t>.</w:t>
      </w:r>
      <w:r w:rsidR="00A64E5B">
        <w:rPr>
          <w:color w:val="000000"/>
          <w:sz w:val="26"/>
          <w:szCs w:val="26"/>
        </w:rPr>
        <w:t xml:space="preserve"> </w:t>
      </w:r>
      <w:r w:rsidR="00FA6751">
        <w:rPr>
          <w:color w:val="000000"/>
          <w:sz w:val="26"/>
          <w:szCs w:val="26"/>
        </w:rPr>
        <w:t xml:space="preserve"> We also are of the opinion that this is not indicative of unreasonable service</w:t>
      </w:r>
      <w:r w:rsidR="00A64E5B">
        <w:rPr>
          <w:color w:val="000000"/>
          <w:sz w:val="26"/>
          <w:szCs w:val="26"/>
        </w:rPr>
        <w:t>.</w:t>
      </w:r>
    </w:p>
    <w:p w:rsidR="00FA6751" w:rsidRDefault="00FA6751" w:rsidP="00572D2C">
      <w:pPr>
        <w:widowControl/>
        <w:spacing w:line="360" w:lineRule="auto"/>
        <w:jc w:val="center"/>
        <w:rPr>
          <w:b/>
          <w:sz w:val="26"/>
          <w:szCs w:val="26"/>
        </w:rPr>
      </w:pPr>
    </w:p>
    <w:p w:rsidR="00CA43A5" w:rsidRPr="00CA43A5" w:rsidRDefault="00CA43A5" w:rsidP="00572D2C">
      <w:pPr>
        <w:widowControl/>
        <w:spacing w:line="360" w:lineRule="auto"/>
        <w:jc w:val="center"/>
        <w:rPr>
          <w:b/>
          <w:sz w:val="26"/>
          <w:szCs w:val="26"/>
        </w:rPr>
      </w:pPr>
      <w:r w:rsidRPr="00CA43A5">
        <w:rPr>
          <w:b/>
          <w:sz w:val="26"/>
          <w:szCs w:val="26"/>
        </w:rPr>
        <w:t>Conclusion</w:t>
      </w:r>
    </w:p>
    <w:p w:rsidR="00CA43A5" w:rsidRPr="00CA43A5" w:rsidRDefault="00CA43A5" w:rsidP="00572D2C">
      <w:pPr>
        <w:widowControl/>
        <w:spacing w:line="360" w:lineRule="auto"/>
        <w:ind w:firstLine="1440"/>
        <w:rPr>
          <w:sz w:val="26"/>
          <w:szCs w:val="26"/>
        </w:rPr>
      </w:pPr>
    </w:p>
    <w:p w:rsidR="00CA43A5" w:rsidRPr="00312DB9" w:rsidRDefault="00312DB9" w:rsidP="00572D2C">
      <w:pPr>
        <w:widowControl/>
        <w:spacing w:line="360" w:lineRule="auto"/>
        <w:ind w:firstLine="1440"/>
        <w:rPr>
          <w:sz w:val="26"/>
          <w:szCs w:val="26"/>
        </w:rPr>
      </w:pPr>
      <w:r w:rsidRPr="008B11D3">
        <w:rPr>
          <w:sz w:val="26"/>
          <w:szCs w:val="26"/>
        </w:rPr>
        <w:t>Based upon our review of the Exceptions, the Initial Decision, and the record in this proceeding, we shall grant the Complainants</w:t>
      </w:r>
      <w:r w:rsidR="00FA6751">
        <w:rPr>
          <w:sz w:val="26"/>
          <w:szCs w:val="26"/>
        </w:rPr>
        <w:t>’</w:t>
      </w:r>
      <w:r w:rsidRPr="008B11D3">
        <w:rPr>
          <w:sz w:val="26"/>
          <w:szCs w:val="26"/>
        </w:rPr>
        <w:t xml:space="preserve"> Exceptions, in part, deny the Complainants</w:t>
      </w:r>
      <w:r w:rsidR="00FA6751">
        <w:rPr>
          <w:sz w:val="26"/>
          <w:szCs w:val="26"/>
        </w:rPr>
        <w:t>’</w:t>
      </w:r>
      <w:r w:rsidRPr="008B11D3">
        <w:rPr>
          <w:sz w:val="26"/>
          <w:szCs w:val="26"/>
        </w:rPr>
        <w:t xml:space="preserve"> Exceptions, in part, and </w:t>
      </w:r>
      <w:r w:rsidR="007A6C27">
        <w:rPr>
          <w:sz w:val="26"/>
          <w:szCs w:val="26"/>
        </w:rPr>
        <w:t>adopt the Initial Decision, as modified</w:t>
      </w:r>
      <w:r w:rsidRPr="008B11D3">
        <w:rPr>
          <w:sz w:val="26"/>
          <w:szCs w:val="26"/>
        </w:rPr>
        <w:t xml:space="preserve">, consistent with this Opinion and Order; </w:t>
      </w:r>
      <w:r w:rsidRPr="008B11D3">
        <w:rPr>
          <w:b/>
          <w:sz w:val="26"/>
          <w:szCs w:val="26"/>
        </w:rPr>
        <w:t>THEREFORE,</w:t>
      </w:r>
      <w:r w:rsidRPr="008B11D3">
        <w:rPr>
          <w:sz w:val="26"/>
          <w:szCs w:val="26"/>
        </w:rPr>
        <w:t xml:space="preserve"> </w:t>
      </w:r>
    </w:p>
    <w:p w:rsidR="00CA43A5" w:rsidRPr="00CA43A5" w:rsidRDefault="00CA43A5" w:rsidP="00572D2C">
      <w:pPr>
        <w:widowControl/>
        <w:rPr>
          <w:sz w:val="26"/>
          <w:szCs w:val="26"/>
        </w:rPr>
      </w:pPr>
    </w:p>
    <w:p w:rsidR="00CA43A5" w:rsidRPr="00CA43A5" w:rsidRDefault="00CA43A5" w:rsidP="00572D2C">
      <w:pPr>
        <w:widowControl/>
        <w:ind w:firstLine="1440"/>
        <w:rPr>
          <w:b/>
          <w:sz w:val="26"/>
          <w:szCs w:val="26"/>
        </w:rPr>
      </w:pPr>
      <w:r w:rsidRPr="00CA43A5">
        <w:rPr>
          <w:b/>
          <w:sz w:val="26"/>
          <w:szCs w:val="26"/>
        </w:rPr>
        <w:t>IT IS ORDERED:</w:t>
      </w:r>
    </w:p>
    <w:p w:rsidR="00CA43A5" w:rsidRPr="00CA43A5" w:rsidRDefault="00CA43A5" w:rsidP="00572D2C">
      <w:pPr>
        <w:widowControl/>
        <w:rPr>
          <w:sz w:val="26"/>
          <w:szCs w:val="26"/>
        </w:rPr>
      </w:pPr>
    </w:p>
    <w:p w:rsidR="009E7E25" w:rsidRPr="000F6D8B" w:rsidRDefault="009E7E25" w:rsidP="00572D2C">
      <w:pPr>
        <w:widowControl/>
        <w:spacing w:line="360" w:lineRule="auto"/>
        <w:rPr>
          <w:sz w:val="26"/>
          <w:szCs w:val="26"/>
        </w:rPr>
      </w:pPr>
      <w:r>
        <w:rPr>
          <w:sz w:val="26"/>
          <w:szCs w:val="26"/>
        </w:rPr>
        <w:tab/>
      </w:r>
      <w:r>
        <w:rPr>
          <w:sz w:val="26"/>
          <w:szCs w:val="26"/>
        </w:rPr>
        <w:tab/>
      </w:r>
      <w:r w:rsidRPr="000F6D8B">
        <w:rPr>
          <w:sz w:val="26"/>
          <w:szCs w:val="26"/>
        </w:rPr>
        <w:t>1.</w:t>
      </w:r>
      <w:r w:rsidRPr="000F6D8B">
        <w:rPr>
          <w:sz w:val="26"/>
          <w:szCs w:val="26"/>
        </w:rPr>
        <w:tab/>
        <w:t xml:space="preserve">That the Exceptions of </w:t>
      </w:r>
      <w:r>
        <w:rPr>
          <w:sz w:val="26"/>
          <w:szCs w:val="26"/>
        </w:rPr>
        <w:t>Robin Beaty and James Bloom</w:t>
      </w:r>
      <w:r w:rsidRPr="000F6D8B">
        <w:rPr>
          <w:sz w:val="26"/>
          <w:szCs w:val="26"/>
        </w:rPr>
        <w:t xml:space="preserve">, filed on </w:t>
      </w:r>
      <w:r>
        <w:rPr>
          <w:sz w:val="26"/>
          <w:szCs w:val="26"/>
        </w:rPr>
        <w:t>January 5, 2013</w:t>
      </w:r>
      <w:r w:rsidRPr="000F6D8B">
        <w:rPr>
          <w:sz w:val="26"/>
          <w:szCs w:val="26"/>
        </w:rPr>
        <w:t xml:space="preserve">, to the Initial Decision of </w:t>
      </w:r>
      <w:r>
        <w:rPr>
          <w:sz w:val="26"/>
          <w:szCs w:val="26"/>
        </w:rPr>
        <w:t>Administrative Law Judge Elizabeth H. Barnes</w:t>
      </w:r>
      <w:r w:rsidRPr="000F6D8B">
        <w:rPr>
          <w:sz w:val="26"/>
          <w:szCs w:val="26"/>
        </w:rPr>
        <w:t xml:space="preserve"> </w:t>
      </w:r>
      <w:r w:rsidR="005B4A2E" w:rsidRPr="008B11D3">
        <w:rPr>
          <w:sz w:val="26"/>
          <w:szCs w:val="26"/>
        </w:rPr>
        <w:t>are granted, in part, and denied, in part</w:t>
      </w:r>
      <w:r>
        <w:rPr>
          <w:sz w:val="26"/>
          <w:szCs w:val="26"/>
        </w:rPr>
        <w:t>, consistent with this Opinion and Order</w:t>
      </w:r>
      <w:r w:rsidRPr="000F6D8B">
        <w:rPr>
          <w:sz w:val="26"/>
          <w:szCs w:val="26"/>
        </w:rPr>
        <w:t>.</w:t>
      </w:r>
    </w:p>
    <w:p w:rsidR="009E7E25" w:rsidRPr="000F6D8B" w:rsidRDefault="009E7E25" w:rsidP="00572D2C">
      <w:pPr>
        <w:widowControl/>
        <w:spacing w:line="360" w:lineRule="auto"/>
        <w:ind w:firstLine="1440"/>
        <w:rPr>
          <w:sz w:val="26"/>
          <w:szCs w:val="26"/>
        </w:rPr>
      </w:pPr>
    </w:p>
    <w:p w:rsidR="009E7E25" w:rsidRPr="000F6D8B" w:rsidRDefault="009E7E25" w:rsidP="00572D2C">
      <w:pPr>
        <w:widowControl/>
        <w:spacing w:line="360" w:lineRule="auto"/>
        <w:ind w:firstLine="1440"/>
        <w:rPr>
          <w:sz w:val="26"/>
          <w:szCs w:val="26"/>
        </w:rPr>
      </w:pPr>
      <w:r w:rsidRPr="000F6D8B">
        <w:rPr>
          <w:sz w:val="26"/>
          <w:szCs w:val="26"/>
        </w:rPr>
        <w:t>2.</w:t>
      </w:r>
      <w:r w:rsidRPr="000F6D8B">
        <w:rPr>
          <w:sz w:val="26"/>
          <w:szCs w:val="26"/>
        </w:rPr>
        <w:tab/>
        <w:t xml:space="preserve">That the Initial Decision of </w:t>
      </w:r>
      <w:r>
        <w:rPr>
          <w:sz w:val="26"/>
          <w:szCs w:val="26"/>
        </w:rPr>
        <w:t>Administrative Law Judge Elizabeth H. Barnes</w:t>
      </w:r>
      <w:r w:rsidRPr="000F6D8B">
        <w:rPr>
          <w:sz w:val="26"/>
          <w:szCs w:val="26"/>
        </w:rPr>
        <w:t xml:space="preserve">, issued </w:t>
      </w:r>
      <w:r>
        <w:rPr>
          <w:sz w:val="26"/>
          <w:szCs w:val="26"/>
        </w:rPr>
        <w:t>on December 31</w:t>
      </w:r>
      <w:r w:rsidRPr="000F6D8B">
        <w:rPr>
          <w:sz w:val="26"/>
          <w:szCs w:val="26"/>
        </w:rPr>
        <w:t>, 2012, is adopted</w:t>
      </w:r>
      <w:r w:rsidR="005B4A2E">
        <w:rPr>
          <w:sz w:val="26"/>
          <w:szCs w:val="26"/>
        </w:rPr>
        <w:t xml:space="preserve">, as modified by </w:t>
      </w:r>
      <w:r w:rsidRPr="000F6D8B">
        <w:rPr>
          <w:sz w:val="26"/>
          <w:szCs w:val="26"/>
        </w:rPr>
        <w:t>this Opinion and Order.</w:t>
      </w:r>
    </w:p>
    <w:p w:rsidR="009E7E25" w:rsidRPr="000F6D8B" w:rsidRDefault="009E7E25" w:rsidP="00572D2C">
      <w:pPr>
        <w:widowControl/>
        <w:spacing w:line="360" w:lineRule="auto"/>
        <w:rPr>
          <w:sz w:val="26"/>
          <w:szCs w:val="26"/>
        </w:rPr>
      </w:pPr>
    </w:p>
    <w:p w:rsidR="005B4A2E" w:rsidRPr="008B11D3" w:rsidRDefault="009E7E25" w:rsidP="00572D2C">
      <w:pPr>
        <w:widowControl/>
        <w:spacing w:line="360" w:lineRule="auto"/>
        <w:ind w:firstLine="1440"/>
        <w:rPr>
          <w:sz w:val="26"/>
          <w:szCs w:val="26"/>
        </w:rPr>
      </w:pPr>
      <w:r w:rsidRPr="000F6D8B">
        <w:rPr>
          <w:sz w:val="26"/>
          <w:szCs w:val="26"/>
        </w:rPr>
        <w:t>3.</w:t>
      </w:r>
      <w:r w:rsidRPr="000F6D8B">
        <w:rPr>
          <w:b/>
          <w:sz w:val="26"/>
          <w:szCs w:val="26"/>
        </w:rPr>
        <w:tab/>
      </w:r>
      <w:r w:rsidR="00FA6751" w:rsidRPr="00FA6751">
        <w:rPr>
          <w:sz w:val="26"/>
          <w:szCs w:val="26"/>
        </w:rPr>
        <w:t>That t</w:t>
      </w:r>
      <w:r w:rsidR="005B4A2E" w:rsidRPr="00FA6751">
        <w:rPr>
          <w:sz w:val="26"/>
          <w:szCs w:val="26"/>
        </w:rPr>
        <w:t>he</w:t>
      </w:r>
      <w:r w:rsidR="005B4A2E" w:rsidRPr="008B11D3">
        <w:rPr>
          <w:sz w:val="26"/>
          <w:szCs w:val="26"/>
        </w:rPr>
        <w:t xml:space="preserve"> ALJ’s </w:t>
      </w:r>
      <w:r w:rsidR="005B4A2E" w:rsidRPr="005B4A2E">
        <w:rPr>
          <w:sz w:val="26"/>
          <w:szCs w:val="26"/>
        </w:rPr>
        <w:t xml:space="preserve">Finding of Fact No. 11 is modified, consistent with this Opinion and Order. </w:t>
      </w:r>
    </w:p>
    <w:p w:rsidR="005B4A2E" w:rsidRDefault="005B4A2E" w:rsidP="00572D2C">
      <w:pPr>
        <w:widowControl/>
        <w:spacing w:line="360" w:lineRule="auto"/>
        <w:ind w:firstLine="1440"/>
        <w:rPr>
          <w:b/>
          <w:sz w:val="26"/>
          <w:szCs w:val="26"/>
        </w:rPr>
      </w:pPr>
    </w:p>
    <w:p w:rsidR="009E7E25" w:rsidRDefault="005B4A2E" w:rsidP="00572D2C">
      <w:pPr>
        <w:widowControl/>
        <w:spacing w:line="360" w:lineRule="auto"/>
        <w:ind w:firstLine="1440"/>
        <w:rPr>
          <w:sz w:val="26"/>
          <w:szCs w:val="26"/>
        </w:rPr>
      </w:pPr>
      <w:r w:rsidRPr="008B11D3">
        <w:rPr>
          <w:sz w:val="26"/>
          <w:szCs w:val="26"/>
        </w:rPr>
        <w:t>4.</w:t>
      </w:r>
      <w:r>
        <w:rPr>
          <w:b/>
          <w:sz w:val="26"/>
          <w:szCs w:val="26"/>
        </w:rPr>
        <w:tab/>
      </w:r>
      <w:r w:rsidR="009E7E25" w:rsidRPr="000F6D8B">
        <w:rPr>
          <w:sz w:val="26"/>
          <w:szCs w:val="26"/>
        </w:rPr>
        <w:t xml:space="preserve">That the Formal Complaint filed by </w:t>
      </w:r>
      <w:r w:rsidR="009E7E25">
        <w:rPr>
          <w:sz w:val="26"/>
          <w:szCs w:val="26"/>
        </w:rPr>
        <w:t>Robin Beaty and James Bloom</w:t>
      </w:r>
      <w:r w:rsidR="009E7E25" w:rsidRPr="000F6D8B">
        <w:rPr>
          <w:sz w:val="26"/>
          <w:szCs w:val="26"/>
        </w:rPr>
        <w:t xml:space="preserve"> against </w:t>
      </w:r>
      <w:r w:rsidR="009E7E25">
        <w:rPr>
          <w:sz w:val="26"/>
          <w:szCs w:val="26"/>
        </w:rPr>
        <w:t>Verizon Pennsylvania LLC</w:t>
      </w:r>
      <w:r w:rsidR="009E7E25" w:rsidRPr="000F6D8B">
        <w:rPr>
          <w:sz w:val="26"/>
          <w:szCs w:val="26"/>
        </w:rPr>
        <w:t xml:space="preserve"> at Docket No. </w:t>
      </w:r>
      <w:r w:rsidR="009E7E25">
        <w:rPr>
          <w:sz w:val="26"/>
          <w:szCs w:val="26"/>
        </w:rPr>
        <w:t>C-2012-2300642</w:t>
      </w:r>
      <w:r w:rsidR="009E7E25" w:rsidRPr="000F6D8B">
        <w:rPr>
          <w:sz w:val="26"/>
          <w:szCs w:val="26"/>
        </w:rPr>
        <w:t xml:space="preserve"> is d</w:t>
      </w:r>
      <w:r w:rsidR="009E7E25">
        <w:rPr>
          <w:sz w:val="26"/>
          <w:szCs w:val="26"/>
        </w:rPr>
        <w:t>ismissed, consistent with this Opinion and Order</w:t>
      </w:r>
      <w:r w:rsidR="009E7E25" w:rsidRPr="000F6D8B">
        <w:rPr>
          <w:sz w:val="26"/>
          <w:szCs w:val="26"/>
        </w:rPr>
        <w:t>.</w:t>
      </w:r>
    </w:p>
    <w:p w:rsidR="009E7E25" w:rsidRPr="0024046A" w:rsidRDefault="009E7E25" w:rsidP="00EA178E">
      <w:pPr>
        <w:keepNext/>
        <w:widowControl/>
        <w:spacing w:line="360" w:lineRule="auto"/>
        <w:rPr>
          <w:spacing w:val="-3"/>
          <w:sz w:val="26"/>
        </w:rPr>
      </w:pPr>
      <w:r>
        <w:rPr>
          <w:spacing w:val="-3"/>
          <w:sz w:val="26"/>
        </w:rPr>
        <w:lastRenderedPageBreak/>
        <w:tab/>
      </w:r>
      <w:r>
        <w:rPr>
          <w:spacing w:val="-3"/>
          <w:sz w:val="26"/>
        </w:rPr>
        <w:tab/>
      </w:r>
      <w:r w:rsidR="005B4A2E">
        <w:rPr>
          <w:spacing w:val="-3"/>
          <w:sz w:val="26"/>
        </w:rPr>
        <w:t>5</w:t>
      </w:r>
      <w:r>
        <w:rPr>
          <w:spacing w:val="-3"/>
          <w:sz w:val="26"/>
        </w:rPr>
        <w:t>.</w:t>
      </w:r>
      <w:r>
        <w:rPr>
          <w:spacing w:val="-3"/>
          <w:sz w:val="26"/>
        </w:rPr>
        <w:tab/>
      </w:r>
      <w:r>
        <w:rPr>
          <w:sz w:val="26"/>
          <w:szCs w:val="26"/>
        </w:rPr>
        <w:t>That the proceeding docketed at C-2012-2300642</w:t>
      </w:r>
      <w:r w:rsidRPr="000F6D8B">
        <w:rPr>
          <w:sz w:val="26"/>
          <w:szCs w:val="26"/>
        </w:rPr>
        <w:t xml:space="preserve"> </w:t>
      </w:r>
      <w:r>
        <w:rPr>
          <w:sz w:val="26"/>
          <w:szCs w:val="26"/>
        </w:rPr>
        <w:t>be marked closed.</w:t>
      </w:r>
    </w:p>
    <w:p w:rsidR="00CA43A5" w:rsidRPr="00CA43A5" w:rsidRDefault="00CA43A5" w:rsidP="00EA178E">
      <w:pPr>
        <w:keepNext/>
        <w:widowControl/>
        <w:rPr>
          <w:sz w:val="26"/>
          <w:szCs w:val="26"/>
        </w:rPr>
      </w:pPr>
    </w:p>
    <w:p w:rsidR="00CA43A5" w:rsidRPr="00CA43A5" w:rsidRDefault="00CA43A5" w:rsidP="00EA178E">
      <w:pPr>
        <w:keepNext/>
        <w:widowControl/>
        <w:rPr>
          <w:sz w:val="26"/>
          <w:szCs w:val="26"/>
        </w:rPr>
      </w:pPr>
    </w:p>
    <w:p w:rsidR="008B11D3" w:rsidRDefault="008B11D3" w:rsidP="00EA178E">
      <w:pPr>
        <w:keepNext/>
        <w:widowControl/>
        <w:tabs>
          <w:tab w:val="left" w:pos="-720"/>
        </w:tabs>
        <w:ind w:firstLine="5040"/>
        <w:rPr>
          <w:b/>
          <w:sz w:val="26"/>
          <w:szCs w:val="26"/>
        </w:rPr>
      </w:pPr>
    </w:p>
    <w:p w:rsidR="008B11D3" w:rsidRDefault="003A0B19" w:rsidP="00EA178E">
      <w:pPr>
        <w:keepNext/>
        <w:widowControl/>
        <w:tabs>
          <w:tab w:val="left" w:pos="-720"/>
        </w:tabs>
        <w:ind w:firstLine="5040"/>
        <w:rPr>
          <w:b/>
          <w:sz w:val="26"/>
          <w:szCs w:val="26"/>
        </w:rPr>
      </w:pPr>
      <w:r>
        <w:rPr>
          <w:noProof/>
        </w:rPr>
        <w:drawing>
          <wp:anchor distT="0" distB="0" distL="114300" distR="114300" simplePos="0" relativeHeight="251658240" behindDoc="1" locked="0" layoutInCell="1" allowOverlap="1" wp14:anchorId="1A2D4B40" wp14:editId="56AC9424">
            <wp:simplePos x="0" y="0"/>
            <wp:positionH relativeFrom="column">
              <wp:posOffset>2711450</wp:posOffset>
            </wp:positionH>
            <wp:positionV relativeFrom="paragraph">
              <wp:posOffset>170180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CA43A5" w:rsidRPr="00CA43A5" w:rsidRDefault="00CA43A5" w:rsidP="00EA178E">
      <w:pPr>
        <w:keepNext/>
        <w:widowControl/>
        <w:tabs>
          <w:tab w:val="left" w:pos="-720"/>
        </w:tabs>
        <w:ind w:firstLine="5040"/>
        <w:rPr>
          <w:sz w:val="26"/>
          <w:szCs w:val="26"/>
        </w:rPr>
      </w:pPr>
      <w:r w:rsidRPr="00CA43A5">
        <w:rPr>
          <w:b/>
          <w:sz w:val="26"/>
          <w:szCs w:val="26"/>
        </w:rPr>
        <w:t>BY THE COMMISSION,</w:t>
      </w:r>
    </w:p>
    <w:p w:rsidR="00CA43A5" w:rsidRPr="00CA43A5" w:rsidRDefault="00CA43A5" w:rsidP="00572D2C">
      <w:pPr>
        <w:widowControl/>
        <w:tabs>
          <w:tab w:val="left" w:pos="-720"/>
        </w:tabs>
        <w:rPr>
          <w:sz w:val="26"/>
          <w:szCs w:val="26"/>
        </w:rPr>
      </w:pPr>
    </w:p>
    <w:p w:rsidR="00CA43A5" w:rsidRPr="00CA43A5" w:rsidRDefault="00CA43A5" w:rsidP="00572D2C">
      <w:pPr>
        <w:widowControl/>
        <w:tabs>
          <w:tab w:val="left" w:pos="-720"/>
        </w:tabs>
        <w:rPr>
          <w:sz w:val="26"/>
          <w:szCs w:val="26"/>
        </w:rPr>
      </w:pPr>
    </w:p>
    <w:p w:rsidR="00CA43A5" w:rsidRPr="00CA43A5" w:rsidRDefault="00CA43A5" w:rsidP="00572D2C">
      <w:pPr>
        <w:widowControl/>
        <w:tabs>
          <w:tab w:val="left" w:pos="-720"/>
        </w:tabs>
        <w:rPr>
          <w:sz w:val="26"/>
          <w:szCs w:val="26"/>
        </w:rPr>
      </w:pPr>
    </w:p>
    <w:p w:rsidR="00CA43A5" w:rsidRPr="00CA43A5" w:rsidRDefault="00564565" w:rsidP="00572D2C">
      <w:pPr>
        <w:widowControl/>
        <w:tabs>
          <w:tab w:val="left" w:pos="-720"/>
        </w:tabs>
        <w:ind w:firstLine="5040"/>
        <w:rPr>
          <w:b/>
          <w:sz w:val="26"/>
          <w:szCs w:val="26"/>
        </w:rPr>
      </w:pPr>
      <w:r>
        <w:rPr>
          <w:sz w:val="26"/>
          <w:szCs w:val="26"/>
        </w:rPr>
        <w:t>Rosemary Chiavetta</w:t>
      </w:r>
    </w:p>
    <w:p w:rsidR="00CA43A5" w:rsidRPr="00CA43A5" w:rsidRDefault="00CA43A5" w:rsidP="00572D2C">
      <w:pPr>
        <w:widowControl/>
        <w:tabs>
          <w:tab w:val="left" w:pos="-720"/>
        </w:tabs>
        <w:ind w:firstLine="5040"/>
        <w:rPr>
          <w:sz w:val="26"/>
          <w:szCs w:val="26"/>
        </w:rPr>
      </w:pPr>
      <w:r w:rsidRPr="00CA43A5">
        <w:rPr>
          <w:sz w:val="26"/>
          <w:szCs w:val="26"/>
        </w:rPr>
        <w:t>Secretary</w:t>
      </w:r>
    </w:p>
    <w:p w:rsidR="00CA43A5" w:rsidRDefault="00CA43A5" w:rsidP="00572D2C">
      <w:pPr>
        <w:widowControl/>
        <w:tabs>
          <w:tab w:val="left" w:pos="-720"/>
        </w:tabs>
        <w:rPr>
          <w:sz w:val="26"/>
          <w:szCs w:val="26"/>
        </w:rPr>
      </w:pPr>
    </w:p>
    <w:p w:rsidR="00EA178E" w:rsidRDefault="00EA178E" w:rsidP="00572D2C">
      <w:pPr>
        <w:widowControl/>
        <w:tabs>
          <w:tab w:val="left" w:pos="-720"/>
        </w:tabs>
        <w:rPr>
          <w:sz w:val="26"/>
          <w:szCs w:val="26"/>
        </w:rPr>
      </w:pPr>
    </w:p>
    <w:p w:rsidR="00EA178E" w:rsidRDefault="00EA178E" w:rsidP="00572D2C">
      <w:pPr>
        <w:widowControl/>
        <w:tabs>
          <w:tab w:val="left" w:pos="-720"/>
        </w:tabs>
        <w:rPr>
          <w:sz w:val="26"/>
          <w:szCs w:val="26"/>
        </w:rPr>
      </w:pPr>
    </w:p>
    <w:p w:rsidR="00EA178E" w:rsidRPr="00CA43A5" w:rsidRDefault="00EA178E" w:rsidP="00572D2C">
      <w:pPr>
        <w:widowControl/>
        <w:tabs>
          <w:tab w:val="left" w:pos="-720"/>
        </w:tabs>
        <w:rPr>
          <w:sz w:val="26"/>
          <w:szCs w:val="26"/>
        </w:rPr>
      </w:pPr>
    </w:p>
    <w:p w:rsidR="00CA43A5" w:rsidRPr="00CA43A5" w:rsidRDefault="00CA43A5" w:rsidP="00572D2C">
      <w:pPr>
        <w:widowControl/>
        <w:tabs>
          <w:tab w:val="left" w:pos="-720"/>
        </w:tabs>
        <w:rPr>
          <w:sz w:val="26"/>
          <w:szCs w:val="26"/>
        </w:rPr>
      </w:pPr>
      <w:r w:rsidRPr="00CA43A5">
        <w:rPr>
          <w:sz w:val="26"/>
          <w:szCs w:val="26"/>
        </w:rPr>
        <w:t>(SEAL)</w:t>
      </w:r>
    </w:p>
    <w:p w:rsidR="00CA43A5" w:rsidRPr="00CA43A5" w:rsidRDefault="00CA43A5" w:rsidP="00572D2C">
      <w:pPr>
        <w:widowControl/>
        <w:tabs>
          <w:tab w:val="left" w:pos="-720"/>
        </w:tabs>
        <w:rPr>
          <w:sz w:val="26"/>
          <w:szCs w:val="26"/>
        </w:rPr>
      </w:pPr>
    </w:p>
    <w:p w:rsidR="00CA43A5" w:rsidRPr="00CA43A5" w:rsidRDefault="00CA43A5" w:rsidP="00572D2C">
      <w:pPr>
        <w:widowControl/>
        <w:tabs>
          <w:tab w:val="left" w:pos="-720"/>
        </w:tabs>
        <w:rPr>
          <w:sz w:val="26"/>
          <w:szCs w:val="26"/>
        </w:rPr>
      </w:pPr>
      <w:r w:rsidRPr="00CA43A5">
        <w:rPr>
          <w:sz w:val="26"/>
          <w:szCs w:val="26"/>
        </w:rPr>
        <w:t xml:space="preserve">ORDER ADOPTED: </w:t>
      </w:r>
      <w:r w:rsidR="003F794C">
        <w:rPr>
          <w:sz w:val="26"/>
          <w:szCs w:val="26"/>
        </w:rPr>
        <w:t>July 16</w:t>
      </w:r>
      <w:r w:rsidR="000958AD">
        <w:rPr>
          <w:sz w:val="26"/>
          <w:szCs w:val="26"/>
        </w:rPr>
        <w:t>, 2013</w:t>
      </w:r>
    </w:p>
    <w:p w:rsidR="00857172" w:rsidRDefault="00857172" w:rsidP="00572D2C">
      <w:pPr>
        <w:widowControl/>
        <w:tabs>
          <w:tab w:val="left" w:pos="-720"/>
        </w:tabs>
        <w:rPr>
          <w:sz w:val="26"/>
          <w:szCs w:val="26"/>
        </w:rPr>
      </w:pPr>
    </w:p>
    <w:p w:rsidR="00CA43A5" w:rsidRPr="00CA43A5" w:rsidRDefault="00CA43A5" w:rsidP="00572D2C">
      <w:pPr>
        <w:widowControl/>
        <w:tabs>
          <w:tab w:val="left" w:pos="-720"/>
        </w:tabs>
        <w:rPr>
          <w:sz w:val="26"/>
          <w:szCs w:val="26"/>
        </w:rPr>
      </w:pPr>
      <w:r w:rsidRPr="00CA43A5">
        <w:rPr>
          <w:sz w:val="26"/>
          <w:szCs w:val="26"/>
        </w:rPr>
        <w:t xml:space="preserve">ORDER ENTERED:  </w:t>
      </w:r>
      <w:r w:rsidR="003A0B19">
        <w:rPr>
          <w:sz w:val="26"/>
          <w:szCs w:val="26"/>
        </w:rPr>
        <w:t>July 16, 2013</w:t>
      </w:r>
      <w:bookmarkStart w:id="2" w:name="_GoBack"/>
      <w:bookmarkEnd w:id="2"/>
    </w:p>
    <w:p w:rsidR="00344804" w:rsidRPr="00CA43A5" w:rsidRDefault="00344804" w:rsidP="00572D2C">
      <w:pPr>
        <w:widowControl/>
        <w:ind w:right="360"/>
        <w:rPr>
          <w:sz w:val="26"/>
          <w:szCs w:val="26"/>
        </w:rPr>
      </w:pPr>
    </w:p>
    <w:sectPr w:rsidR="00344804" w:rsidRPr="00CA43A5" w:rsidSect="00E705B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9FC" w:rsidRDefault="00A729FC" w:rsidP="00293A6E">
      <w:r>
        <w:separator/>
      </w:r>
    </w:p>
  </w:endnote>
  <w:endnote w:type="continuationSeparator" w:id="0">
    <w:p w:rsidR="00A729FC" w:rsidRDefault="00A729FC" w:rsidP="00293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2132729"/>
      <w:docPartObj>
        <w:docPartGallery w:val="Page Numbers (Bottom of Page)"/>
        <w:docPartUnique/>
      </w:docPartObj>
    </w:sdtPr>
    <w:sdtEndPr>
      <w:rPr>
        <w:noProof/>
        <w:sz w:val="26"/>
        <w:szCs w:val="26"/>
      </w:rPr>
    </w:sdtEndPr>
    <w:sdtContent>
      <w:p w:rsidR="00067179" w:rsidRPr="00067179" w:rsidRDefault="00067179">
        <w:pPr>
          <w:pStyle w:val="Footer"/>
          <w:jc w:val="center"/>
          <w:rPr>
            <w:sz w:val="26"/>
            <w:szCs w:val="26"/>
          </w:rPr>
        </w:pPr>
        <w:r w:rsidRPr="00067179">
          <w:rPr>
            <w:sz w:val="26"/>
            <w:szCs w:val="26"/>
          </w:rPr>
          <w:fldChar w:fldCharType="begin"/>
        </w:r>
        <w:r w:rsidRPr="00067179">
          <w:rPr>
            <w:sz w:val="26"/>
            <w:szCs w:val="26"/>
          </w:rPr>
          <w:instrText xml:space="preserve"> PAGE   \* MERGEFORMAT </w:instrText>
        </w:r>
        <w:r w:rsidRPr="00067179">
          <w:rPr>
            <w:sz w:val="26"/>
            <w:szCs w:val="26"/>
          </w:rPr>
          <w:fldChar w:fldCharType="separate"/>
        </w:r>
        <w:r w:rsidR="003A0B19">
          <w:rPr>
            <w:noProof/>
            <w:sz w:val="26"/>
            <w:szCs w:val="26"/>
          </w:rPr>
          <w:t>13</w:t>
        </w:r>
        <w:r w:rsidRPr="00067179">
          <w:rPr>
            <w:noProof/>
            <w:sz w:val="26"/>
            <w:szCs w:val="26"/>
          </w:rPr>
          <w:fldChar w:fldCharType="end"/>
        </w:r>
      </w:p>
    </w:sdtContent>
  </w:sdt>
  <w:p w:rsidR="00067179" w:rsidRDefault="000671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9FC" w:rsidRDefault="00A729FC" w:rsidP="00293A6E">
      <w:r>
        <w:separator/>
      </w:r>
    </w:p>
  </w:footnote>
  <w:footnote w:type="continuationSeparator" w:id="0">
    <w:p w:rsidR="00A729FC" w:rsidRDefault="00A729FC" w:rsidP="00293A6E">
      <w:r>
        <w:continuationSeparator/>
      </w:r>
    </w:p>
  </w:footnote>
  <w:footnote w:id="1">
    <w:p w:rsidR="00CE37C8" w:rsidRPr="00634714" w:rsidRDefault="00CE37C8" w:rsidP="00CE37C8">
      <w:pPr>
        <w:pStyle w:val="FootnoteText"/>
        <w:ind w:firstLine="720"/>
        <w:rPr>
          <w:sz w:val="26"/>
          <w:szCs w:val="26"/>
        </w:rPr>
      </w:pPr>
      <w:r w:rsidRPr="00634714">
        <w:rPr>
          <w:rStyle w:val="FootnoteReference"/>
          <w:sz w:val="26"/>
          <w:szCs w:val="26"/>
        </w:rPr>
        <w:footnoteRef/>
      </w:r>
      <w:r w:rsidRPr="00634714">
        <w:rPr>
          <w:sz w:val="26"/>
          <w:szCs w:val="26"/>
        </w:rPr>
        <w:tab/>
        <w:t>At the time the Complaint was filed, the Company was known as Verizon Pennsylvania Inc.  However, the Company has since changed its name to Verizon Pennsylvania LLC, pursuant to a corporate restructuring at Docket No. A-2012-2295106.</w:t>
      </w:r>
    </w:p>
  </w:footnote>
  <w:footnote w:id="2">
    <w:p w:rsidR="008B41F3" w:rsidRPr="00457940" w:rsidRDefault="008B41F3" w:rsidP="008B41F3">
      <w:pPr>
        <w:pStyle w:val="FootnoteText"/>
        <w:ind w:firstLine="720"/>
        <w:rPr>
          <w:sz w:val="26"/>
        </w:rPr>
      </w:pPr>
      <w:r w:rsidRPr="008B41F3">
        <w:rPr>
          <w:rStyle w:val="FootnoteReference"/>
          <w:sz w:val="26"/>
          <w:szCs w:val="26"/>
        </w:rPr>
        <w:footnoteRef/>
      </w:r>
      <w:r>
        <w:t xml:space="preserve"> </w:t>
      </w:r>
      <w:r>
        <w:tab/>
      </w:r>
      <w:r w:rsidRPr="00457940">
        <w:rPr>
          <w:sz w:val="26"/>
          <w:szCs w:val="26"/>
        </w:rPr>
        <w:t xml:space="preserve">In regard to Formal Proceedings, our Regulations at 52 Pa. Code </w:t>
      </w:r>
      <w:r w:rsidRPr="00457940">
        <w:rPr>
          <w:sz w:val="26"/>
        </w:rPr>
        <w:t>§§ 5.533 and 5.535 allow for the filing of Exceptions and Replies to Exceptions when an ALJ issues a</w:t>
      </w:r>
      <w:r w:rsidR="00965A4C">
        <w:rPr>
          <w:sz w:val="26"/>
        </w:rPr>
        <w:t>n</w:t>
      </w:r>
      <w:r w:rsidRPr="00457940">
        <w:rPr>
          <w:sz w:val="26"/>
        </w:rPr>
        <w:t xml:space="preserve"> </w:t>
      </w:r>
      <w:r w:rsidR="00965A4C">
        <w:rPr>
          <w:sz w:val="26"/>
        </w:rPr>
        <w:t>Initial</w:t>
      </w:r>
      <w:r w:rsidRPr="00457940">
        <w:rPr>
          <w:sz w:val="26"/>
        </w:rPr>
        <w:t xml:space="preserve"> Decision.  However, there is no provision in our Regulations that allows a party to file a Response to Replies to Exceptions.  Consequently, we will not consider </w:t>
      </w:r>
      <w:r>
        <w:rPr>
          <w:sz w:val="26"/>
        </w:rPr>
        <w:t>the Complainants’</w:t>
      </w:r>
      <w:r w:rsidRPr="00457940">
        <w:rPr>
          <w:sz w:val="26"/>
        </w:rPr>
        <w:t xml:space="preserve"> Response to </w:t>
      </w:r>
      <w:r>
        <w:rPr>
          <w:sz w:val="26"/>
        </w:rPr>
        <w:t>Verizon PA</w:t>
      </w:r>
      <w:r w:rsidRPr="00457940">
        <w:rPr>
          <w:sz w:val="26"/>
        </w:rPr>
        <w:t>’s Replies to Exceptions.</w:t>
      </w:r>
    </w:p>
    <w:p w:rsidR="008B41F3" w:rsidRDefault="008B41F3" w:rsidP="008B41F3">
      <w:pPr>
        <w:pStyle w:val="FootnoteText"/>
        <w:ind w:firstLine="72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6685"/>
    <w:rsid w:val="00006F35"/>
    <w:rsid w:val="00016D57"/>
    <w:rsid w:val="00017852"/>
    <w:rsid w:val="00021E46"/>
    <w:rsid w:val="00022B74"/>
    <w:rsid w:val="000247D9"/>
    <w:rsid w:val="00025130"/>
    <w:rsid w:val="0002524C"/>
    <w:rsid w:val="00025F3F"/>
    <w:rsid w:val="00026CD2"/>
    <w:rsid w:val="00040A8E"/>
    <w:rsid w:val="00040AEA"/>
    <w:rsid w:val="00047599"/>
    <w:rsid w:val="00047874"/>
    <w:rsid w:val="00047F4A"/>
    <w:rsid w:val="000523D1"/>
    <w:rsid w:val="00052B8F"/>
    <w:rsid w:val="00054612"/>
    <w:rsid w:val="0005572E"/>
    <w:rsid w:val="00056286"/>
    <w:rsid w:val="000612FD"/>
    <w:rsid w:val="000642AA"/>
    <w:rsid w:val="000649EC"/>
    <w:rsid w:val="00066EE5"/>
    <w:rsid w:val="00067179"/>
    <w:rsid w:val="00067260"/>
    <w:rsid w:val="00072808"/>
    <w:rsid w:val="00076F35"/>
    <w:rsid w:val="00084573"/>
    <w:rsid w:val="00084AF9"/>
    <w:rsid w:val="000902C2"/>
    <w:rsid w:val="000918D4"/>
    <w:rsid w:val="00091D9E"/>
    <w:rsid w:val="00093164"/>
    <w:rsid w:val="000958AD"/>
    <w:rsid w:val="0009612D"/>
    <w:rsid w:val="00097504"/>
    <w:rsid w:val="000A365D"/>
    <w:rsid w:val="000B216D"/>
    <w:rsid w:val="000B2755"/>
    <w:rsid w:val="000B4EAE"/>
    <w:rsid w:val="000B5238"/>
    <w:rsid w:val="000B607A"/>
    <w:rsid w:val="000B6B15"/>
    <w:rsid w:val="000C2AE3"/>
    <w:rsid w:val="000C709A"/>
    <w:rsid w:val="000F179E"/>
    <w:rsid w:val="000F4307"/>
    <w:rsid w:val="0010158F"/>
    <w:rsid w:val="00101F51"/>
    <w:rsid w:val="001026CA"/>
    <w:rsid w:val="00104D9B"/>
    <w:rsid w:val="00117CB2"/>
    <w:rsid w:val="00120B39"/>
    <w:rsid w:val="001236B1"/>
    <w:rsid w:val="001238E5"/>
    <w:rsid w:val="00123A2E"/>
    <w:rsid w:val="00124071"/>
    <w:rsid w:val="00126089"/>
    <w:rsid w:val="001267D4"/>
    <w:rsid w:val="001274B4"/>
    <w:rsid w:val="00135972"/>
    <w:rsid w:val="001360FC"/>
    <w:rsid w:val="001447A0"/>
    <w:rsid w:val="0014497F"/>
    <w:rsid w:val="00146DDD"/>
    <w:rsid w:val="00146E58"/>
    <w:rsid w:val="00147145"/>
    <w:rsid w:val="00150096"/>
    <w:rsid w:val="001508E4"/>
    <w:rsid w:val="0015380A"/>
    <w:rsid w:val="00154CB6"/>
    <w:rsid w:val="00164DA4"/>
    <w:rsid w:val="00166298"/>
    <w:rsid w:val="001663C8"/>
    <w:rsid w:val="00174D3D"/>
    <w:rsid w:val="00182478"/>
    <w:rsid w:val="00186A97"/>
    <w:rsid w:val="0019530E"/>
    <w:rsid w:val="00195F2E"/>
    <w:rsid w:val="00196840"/>
    <w:rsid w:val="001A1719"/>
    <w:rsid w:val="001B1DB4"/>
    <w:rsid w:val="001B3B0E"/>
    <w:rsid w:val="001C4978"/>
    <w:rsid w:val="001D0ED2"/>
    <w:rsid w:val="001E0B61"/>
    <w:rsid w:val="001E1276"/>
    <w:rsid w:val="001E33FA"/>
    <w:rsid w:val="001E42DB"/>
    <w:rsid w:val="001F0C64"/>
    <w:rsid w:val="001F285E"/>
    <w:rsid w:val="0020150C"/>
    <w:rsid w:val="00202524"/>
    <w:rsid w:val="00210736"/>
    <w:rsid w:val="00210F81"/>
    <w:rsid w:val="00211622"/>
    <w:rsid w:val="00214B3E"/>
    <w:rsid w:val="0022698E"/>
    <w:rsid w:val="00227912"/>
    <w:rsid w:val="002311EE"/>
    <w:rsid w:val="002370F5"/>
    <w:rsid w:val="00237D22"/>
    <w:rsid w:val="00240ACA"/>
    <w:rsid w:val="00240D7B"/>
    <w:rsid w:val="00241299"/>
    <w:rsid w:val="0025189D"/>
    <w:rsid w:val="00255462"/>
    <w:rsid w:val="00260957"/>
    <w:rsid w:val="00264646"/>
    <w:rsid w:val="002672E1"/>
    <w:rsid w:val="0027232D"/>
    <w:rsid w:val="00274D0F"/>
    <w:rsid w:val="00277500"/>
    <w:rsid w:val="00281A5F"/>
    <w:rsid w:val="002873D7"/>
    <w:rsid w:val="00291F68"/>
    <w:rsid w:val="00293A6E"/>
    <w:rsid w:val="0029704E"/>
    <w:rsid w:val="002A060A"/>
    <w:rsid w:val="002A4450"/>
    <w:rsid w:val="002A6750"/>
    <w:rsid w:val="002B2296"/>
    <w:rsid w:val="002B4407"/>
    <w:rsid w:val="002B67B7"/>
    <w:rsid w:val="002C0429"/>
    <w:rsid w:val="002C19E4"/>
    <w:rsid w:val="002C6CC4"/>
    <w:rsid w:val="002D13C4"/>
    <w:rsid w:val="002D275E"/>
    <w:rsid w:val="002D6357"/>
    <w:rsid w:val="002D7584"/>
    <w:rsid w:val="002E3026"/>
    <w:rsid w:val="002E3F06"/>
    <w:rsid w:val="002E6FFA"/>
    <w:rsid w:val="002E7F8F"/>
    <w:rsid w:val="002F3F04"/>
    <w:rsid w:val="002F41BA"/>
    <w:rsid w:val="003018AA"/>
    <w:rsid w:val="00303B99"/>
    <w:rsid w:val="00306EC8"/>
    <w:rsid w:val="0030714F"/>
    <w:rsid w:val="003073E2"/>
    <w:rsid w:val="00307DDF"/>
    <w:rsid w:val="00312DB9"/>
    <w:rsid w:val="00314A43"/>
    <w:rsid w:val="00322040"/>
    <w:rsid w:val="003240B8"/>
    <w:rsid w:val="00325422"/>
    <w:rsid w:val="00333FDA"/>
    <w:rsid w:val="003340DE"/>
    <w:rsid w:val="00334861"/>
    <w:rsid w:val="00340D19"/>
    <w:rsid w:val="00344804"/>
    <w:rsid w:val="003518C8"/>
    <w:rsid w:val="0035260C"/>
    <w:rsid w:val="003533B5"/>
    <w:rsid w:val="003622CA"/>
    <w:rsid w:val="00363030"/>
    <w:rsid w:val="0036462C"/>
    <w:rsid w:val="00364A42"/>
    <w:rsid w:val="00374472"/>
    <w:rsid w:val="003755FB"/>
    <w:rsid w:val="0037577C"/>
    <w:rsid w:val="0038421C"/>
    <w:rsid w:val="00385502"/>
    <w:rsid w:val="0039055D"/>
    <w:rsid w:val="00391A43"/>
    <w:rsid w:val="00392704"/>
    <w:rsid w:val="003940E6"/>
    <w:rsid w:val="003A0B19"/>
    <w:rsid w:val="003B0611"/>
    <w:rsid w:val="003B42D9"/>
    <w:rsid w:val="003C3140"/>
    <w:rsid w:val="003C3E02"/>
    <w:rsid w:val="003C3FE8"/>
    <w:rsid w:val="003C73F9"/>
    <w:rsid w:val="003D0482"/>
    <w:rsid w:val="003D16BC"/>
    <w:rsid w:val="003D4CFD"/>
    <w:rsid w:val="003D5F07"/>
    <w:rsid w:val="003D6AB5"/>
    <w:rsid w:val="003D7F96"/>
    <w:rsid w:val="003E3713"/>
    <w:rsid w:val="003E3FF5"/>
    <w:rsid w:val="003E5354"/>
    <w:rsid w:val="003F51F4"/>
    <w:rsid w:val="003F52C6"/>
    <w:rsid w:val="003F558E"/>
    <w:rsid w:val="003F794C"/>
    <w:rsid w:val="00403D6E"/>
    <w:rsid w:val="00407AC0"/>
    <w:rsid w:val="00412E30"/>
    <w:rsid w:val="004170AF"/>
    <w:rsid w:val="00430816"/>
    <w:rsid w:val="00432BB7"/>
    <w:rsid w:val="004331E9"/>
    <w:rsid w:val="00433E8D"/>
    <w:rsid w:val="0043592C"/>
    <w:rsid w:val="004411B9"/>
    <w:rsid w:val="00441207"/>
    <w:rsid w:val="004422CA"/>
    <w:rsid w:val="00443807"/>
    <w:rsid w:val="004462F7"/>
    <w:rsid w:val="0046019D"/>
    <w:rsid w:val="00464536"/>
    <w:rsid w:val="0046514E"/>
    <w:rsid w:val="0046623C"/>
    <w:rsid w:val="00467739"/>
    <w:rsid w:val="00470D0C"/>
    <w:rsid w:val="00474E22"/>
    <w:rsid w:val="0047608F"/>
    <w:rsid w:val="00476554"/>
    <w:rsid w:val="004813D4"/>
    <w:rsid w:val="00482170"/>
    <w:rsid w:val="00491D91"/>
    <w:rsid w:val="0049580C"/>
    <w:rsid w:val="0049768F"/>
    <w:rsid w:val="004A04E5"/>
    <w:rsid w:val="004A1495"/>
    <w:rsid w:val="004A2165"/>
    <w:rsid w:val="004A5F74"/>
    <w:rsid w:val="004B1052"/>
    <w:rsid w:val="004B6B14"/>
    <w:rsid w:val="004C493B"/>
    <w:rsid w:val="004D1C65"/>
    <w:rsid w:val="004D233C"/>
    <w:rsid w:val="004E47EC"/>
    <w:rsid w:val="004E514F"/>
    <w:rsid w:val="004E737F"/>
    <w:rsid w:val="004F03DE"/>
    <w:rsid w:val="004F22DA"/>
    <w:rsid w:val="00502165"/>
    <w:rsid w:val="00504834"/>
    <w:rsid w:val="00504C7A"/>
    <w:rsid w:val="00505AEE"/>
    <w:rsid w:val="0050632E"/>
    <w:rsid w:val="005067FF"/>
    <w:rsid w:val="0050752D"/>
    <w:rsid w:val="00511EF3"/>
    <w:rsid w:val="00514507"/>
    <w:rsid w:val="00521350"/>
    <w:rsid w:val="005351B9"/>
    <w:rsid w:val="00536011"/>
    <w:rsid w:val="00550B79"/>
    <w:rsid w:val="0055150B"/>
    <w:rsid w:val="005532F9"/>
    <w:rsid w:val="0055440B"/>
    <w:rsid w:val="0055708D"/>
    <w:rsid w:val="00561CA6"/>
    <w:rsid w:val="00564565"/>
    <w:rsid w:val="005647BE"/>
    <w:rsid w:val="005651B5"/>
    <w:rsid w:val="00566299"/>
    <w:rsid w:val="005725F6"/>
    <w:rsid w:val="00572D2C"/>
    <w:rsid w:val="00586817"/>
    <w:rsid w:val="00586D92"/>
    <w:rsid w:val="00587507"/>
    <w:rsid w:val="00596A0B"/>
    <w:rsid w:val="00596E05"/>
    <w:rsid w:val="00596F85"/>
    <w:rsid w:val="005970FA"/>
    <w:rsid w:val="005A0176"/>
    <w:rsid w:val="005A088E"/>
    <w:rsid w:val="005A2298"/>
    <w:rsid w:val="005A28C1"/>
    <w:rsid w:val="005A72FC"/>
    <w:rsid w:val="005B0388"/>
    <w:rsid w:val="005B109A"/>
    <w:rsid w:val="005B4A2E"/>
    <w:rsid w:val="005C2FD5"/>
    <w:rsid w:val="005C5378"/>
    <w:rsid w:val="005D2AB9"/>
    <w:rsid w:val="005D34E2"/>
    <w:rsid w:val="005D496E"/>
    <w:rsid w:val="005D7C20"/>
    <w:rsid w:val="005E6960"/>
    <w:rsid w:val="005E7EB8"/>
    <w:rsid w:val="005F18D6"/>
    <w:rsid w:val="005F581C"/>
    <w:rsid w:val="005F7428"/>
    <w:rsid w:val="00603024"/>
    <w:rsid w:val="006116E3"/>
    <w:rsid w:val="00624400"/>
    <w:rsid w:val="00624E51"/>
    <w:rsid w:val="00626162"/>
    <w:rsid w:val="00634714"/>
    <w:rsid w:val="00634719"/>
    <w:rsid w:val="00641176"/>
    <w:rsid w:val="00644B34"/>
    <w:rsid w:val="006503E2"/>
    <w:rsid w:val="006503E8"/>
    <w:rsid w:val="00654A4A"/>
    <w:rsid w:val="0065545A"/>
    <w:rsid w:val="006659A7"/>
    <w:rsid w:val="006661CF"/>
    <w:rsid w:val="00667578"/>
    <w:rsid w:val="00670BFD"/>
    <w:rsid w:val="00671792"/>
    <w:rsid w:val="00671E4C"/>
    <w:rsid w:val="00674295"/>
    <w:rsid w:val="006818A8"/>
    <w:rsid w:val="00681A51"/>
    <w:rsid w:val="00682469"/>
    <w:rsid w:val="00683D97"/>
    <w:rsid w:val="00684FCA"/>
    <w:rsid w:val="00686B5C"/>
    <w:rsid w:val="0069663D"/>
    <w:rsid w:val="00696997"/>
    <w:rsid w:val="006A758C"/>
    <w:rsid w:val="006B5CCD"/>
    <w:rsid w:val="006C0204"/>
    <w:rsid w:val="006C1EEC"/>
    <w:rsid w:val="006C3FEA"/>
    <w:rsid w:val="006C69E7"/>
    <w:rsid w:val="006D10AE"/>
    <w:rsid w:val="006D29F2"/>
    <w:rsid w:val="006D7CA2"/>
    <w:rsid w:val="006E065B"/>
    <w:rsid w:val="006E09D3"/>
    <w:rsid w:val="006E1E6C"/>
    <w:rsid w:val="006E5505"/>
    <w:rsid w:val="006F240A"/>
    <w:rsid w:val="006F2FB3"/>
    <w:rsid w:val="006F531B"/>
    <w:rsid w:val="006F62BC"/>
    <w:rsid w:val="00702493"/>
    <w:rsid w:val="00714F3B"/>
    <w:rsid w:val="007166F7"/>
    <w:rsid w:val="00716AEF"/>
    <w:rsid w:val="00717076"/>
    <w:rsid w:val="00717296"/>
    <w:rsid w:val="007203E9"/>
    <w:rsid w:val="00727370"/>
    <w:rsid w:val="00735D9E"/>
    <w:rsid w:val="00740717"/>
    <w:rsid w:val="0074109C"/>
    <w:rsid w:val="00742335"/>
    <w:rsid w:val="00742842"/>
    <w:rsid w:val="00753376"/>
    <w:rsid w:val="007543B0"/>
    <w:rsid w:val="007552DD"/>
    <w:rsid w:val="007568A9"/>
    <w:rsid w:val="00760437"/>
    <w:rsid w:val="00761514"/>
    <w:rsid w:val="00763CE7"/>
    <w:rsid w:val="00772177"/>
    <w:rsid w:val="00775C65"/>
    <w:rsid w:val="0077639A"/>
    <w:rsid w:val="0078100C"/>
    <w:rsid w:val="0078157F"/>
    <w:rsid w:val="007848F9"/>
    <w:rsid w:val="00786F48"/>
    <w:rsid w:val="0078772C"/>
    <w:rsid w:val="007878E4"/>
    <w:rsid w:val="007963BD"/>
    <w:rsid w:val="007A4783"/>
    <w:rsid w:val="007A5191"/>
    <w:rsid w:val="007A6C27"/>
    <w:rsid w:val="007B0500"/>
    <w:rsid w:val="007B111B"/>
    <w:rsid w:val="007B3AE8"/>
    <w:rsid w:val="007B4418"/>
    <w:rsid w:val="007B5F62"/>
    <w:rsid w:val="007B66B3"/>
    <w:rsid w:val="007B7077"/>
    <w:rsid w:val="007C3003"/>
    <w:rsid w:val="007C6B60"/>
    <w:rsid w:val="007C6F85"/>
    <w:rsid w:val="007D3AA0"/>
    <w:rsid w:val="007D3FE2"/>
    <w:rsid w:val="007D5690"/>
    <w:rsid w:val="007D69FA"/>
    <w:rsid w:val="007E1600"/>
    <w:rsid w:val="007F4A0D"/>
    <w:rsid w:val="00802F27"/>
    <w:rsid w:val="008074E7"/>
    <w:rsid w:val="00810603"/>
    <w:rsid w:val="00810A6D"/>
    <w:rsid w:val="0081380F"/>
    <w:rsid w:val="00814283"/>
    <w:rsid w:val="00816A61"/>
    <w:rsid w:val="00820209"/>
    <w:rsid w:val="00820F35"/>
    <w:rsid w:val="00820FEC"/>
    <w:rsid w:val="0082393D"/>
    <w:rsid w:val="0083324D"/>
    <w:rsid w:val="00841733"/>
    <w:rsid w:val="00844D38"/>
    <w:rsid w:val="00844D85"/>
    <w:rsid w:val="00846C40"/>
    <w:rsid w:val="00851E81"/>
    <w:rsid w:val="008524BE"/>
    <w:rsid w:val="00853BC2"/>
    <w:rsid w:val="00854278"/>
    <w:rsid w:val="00856063"/>
    <w:rsid w:val="00857172"/>
    <w:rsid w:val="00861768"/>
    <w:rsid w:val="0086236A"/>
    <w:rsid w:val="0087035A"/>
    <w:rsid w:val="00871DA8"/>
    <w:rsid w:val="0087347D"/>
    <w:rsid w:val="00882DAD"/>
    <w:rsid w:val="00885263"/>
    <w:rsid w:val="00892BEC"/>
    <w:rsid w:val="00892DA5"/>
    <w:rsid w:val="008949B1"/>
    <w:rsid w:val="0089713E"/>
    <w:rsid w:val="008A10F3"/>
    <w:rsid w:val="008A585C"/>
    <w:rsid w:val="008A5C0F"/>
    <w:rsid w:val="008B11D3"/>
    <w:rsid w:val="008B1596"/>
    <w:rsid w:val="008B2237"/>
    <w:rsid w:val="008B41F3"/>
    <w:rsid w:val="008C09C4"/>
    <w:rsid w:val="008C1F44"/>
    <w:rsid w:val="008C646F"/>
    <w:rsid w:val="008E2CE3"/>
    <w:rsid w:val="008E3E4B"/>
    <w:rsid w:val="008E4EF9"/>
    <w:rsid w:val="008E6DFC"/>
    <w:rsid w:val="008E7710"/>
    <w:rsid w:val="00900D4D"/>
    <w:rsid w:val="00903F34"/>
    <w:rsid w:val="00905C0A"/>
    <w:rsid w:val="00911608"/>
    <w:rsid w:val="009122F8"/>
    <w:rsid w:val="00915520"/>
    <w:rsid w:val="009155F7"/>
    <w:rsid w:val="00917E65"/>
    <w:rsid w:val="00921131"/>
    <w:rsid w:val="009247F5"/>
    <w:rsid w:val="00925754"/>
    <w:rsid w:val="00926AB2"/>
    <w:rsid w:val="009407FE"/>
    <w:rsid w:val="00940BD4"/>
    <w:rsid w:val="00942436"/>
    <w:rsid w:val="00957603"/>
    <w:rsid w:val="00957A1D"/>
    <w:rsid w:val="00957BC0"/>
    <w:rsid w:val="00957BDC"/>
    <w:rsid w:val="0096487B"/>
    <w:rsid w:val="00965A4C"/>
    <w:rsid w:val="009757D1"/>
    <w:rsid w:val="00980754"/>
    <w:rsid w:val="00981535"/>
    <w:rsid w:val="009825C8"/>
    <w:rsid w:val="0098409F"/>
    <w:rsid w:val="00985537"/>
    <w:rsid w:val="00991698"/>
    <w:rsid w:val="00991C17"/>
    <w:rsid w:val="00992D1E"/>
    <w:rsid w:val="00997EB2"/>
    <w:rsid w:val="009A06F5"/>
    <w:rsid w:val="009A0788"/>
    <w:rsid w:val="009A0E92"/>
    <w:rsid w:val="009A17EC"/>
    <w:rsid w:val="009B03DF"/>
    <w:rsid w:val="009B6AF0"/>
    <w:rsid w:val="009C292D"/>
    <w:rsid w:val="009C5F0C"/>
    <w:rsid w:val="009C67C0"/>
    <w:rsid w:val="009D1035"/>
    <w:rsid w:val="009D13D0"/>
    <w:rsid w:val="009D2068"/>
    <w:rsid w:val="009D7D33"/>
    <w:rsid w:val="009E4DD4"/>
    <w:rsid w:val="009E4E3F"/>
    <w:rsid w:val="009E698B"/>
    <w:rsid w:val="009E7E25"/>
    <w:rsid w:val="009F1547"/>
    <w:rsid w:val="009F4ABA"/>
    <w:rsid w:val="00A01B7C"/>
    <w:rsid w:val="00A066AE"/>
    <w:rsid w:val="00A10DD9"/>
    <w:rsid w:val="00A12C6B"/>
    <w:rsid w:val="00A14117"/>
    <w:rsid w:val="00A149FA"/>
    <w:rsid w:val="00A17DF0"/>
    <w:rsid w:val="00A20F78"/>
    <w:rsid w:val="00A218F1"/>
    <w:rsid w:val="00A27DEE"/>
    <w:rsid w:val="00A31B93"/>
    <w:rsid w:val="00A375EF"/>
    <w:rsid w:val="00A41BF7"/>
    <w:rsid w:val="00A528C2"/>
    <w:rsid w:val="00A54AFD"/>
    <w:rsid w:val="00A54E69"/>
    <w:rsid w:val="00A60B16"/>
    <w:rsid w:val="00A61B06"/>
    <w:rsid w:val="00A62113"/>
    <w:rsid w:val="00A64E5B"/>
    <w:rsid w:val="00A6759C"/>
    <w:rsid w:val="00A67923"/>
    <w:rsid w:val="00A713ED"/>
    <w:rsid w:val="00A714B8"/>
    <w:rsid w:val="00A729FC"/>
    <w:rsid w:val="00A74901"/>
    <w:rsid w:val="00A75733"/>
    <w:rsid w:val="00A76308"/>
    <w:rsid w:val="00A77C08"/>
    <w:rsid w:val="00A81527"/>
    <w:rsid w:val="00A82058"/>
    <w:rsid w:val="00A84AE7"/>
    <w:rsid w:val="00A869B0"/>
    <w:rsid w:val="00A9289F"/>
    <w:rsid w:val="00A92C1D"/>
    <w:rsid w:val="00AA0C77"/>
    <w:rsid w:val="00AA1D27"/>
    <w:rsid w:val="00AA204C"/>
    <w:rsid w:val="00AA2D57"/>
    <w:rsid w:val="00AA3941"/>
    <w:rsid w:val="00AA3A6B"/>
    <w:rsid w:val="00AA56D0"/>
    <w:rsid w:val="00AB0C9F"/>
    <w:rsid w:val="00AB143A"/>
    <w:rsid w:val="00AC003C"/>
    <w:rsid w:val="00AC0103"/>
    <w:rsid w:val="00AC1404"/>
    <w:rsid w:val="00AD039F"/>
    <w:rsid w:val="00AD3902"/>
    <w:rsid w:val="00AD537A"/>
    <w:rsid w:val="00AD6010"/>
    <w:rsid w:val="00AE2F0E"/>
    <w:rsid w:val="00AE33FF"/>
    <w:rsid w:val="00AE4480"/>
    <w:rsid w:val="00AF06D5"/>
    <w:rsid w:val="00AF09DD"/>
    <w:rsid w:val="00B02655"/>
    <w:rsid w:val="00B05102"/>
    <w:rsid w:val="00B16A34"/>
    <w:rsid w:val="00B25453"/>
    <w:rsid w:val="00B31B9C"/>
    <w:rsid w:val="00B33C5D"/>
    <w:rsid w:val="00B33DDA"/>
    <w:rsid w:val="00B34D6C"/>
    <w:rsid w:val="00B37015"/>
    <w:rsid w:val="00B40790"/>
    <w:rsid w:val="00B5544F"/>
    <w:rsid w:val="00B55E5D"/>
    <w:rsid w:val="00B60A36"/>
    <w:rsid w:val="00B66867"/>
    <w:rsid w:val="00B66994"/>
    <w:rsid w:val="00B71AFB"/>
    <w:rsid w:val="00B71F3A"/>
    <w:rsid w:val="00B73C97"/>
    <w:rsid w:val="00B7518B"/>
    <w:rsid w:val="00B76340"/>
    <w:rsid w:val="00B80C43"/>
    <w:rsid w:val="00B94382"/>
    <w:rsid w:val="00B94786"/>
    <w:rsid w:val="00B96F25"/>
    <w:rsid w:val="00BA78B6"/>
    <w:rsid w:val="00BB26AD"/>
    <w:rsid w:val="00BB6C50"/>
    <w:rsid w:val="00BB79BD"/>
    <w:rsid w:val="00BC0988"/>
    <w:rsid w:val="00BC09C7"/>
    <w:rsid w:val="00BC7208"/>
    <w:rsid w:val="00BD0B48"/>
    <w:rsid w:val="00BD1997"/>
    <w:rsid w:val="00BD2A0A"/>
    <w:rsid w:val="00BD5D0F"/>
    <w:rsid w:val="00BD7C68"/>
    <w:rsid w:val="00BE1CBC"/>
    <w:rsid w:val="00BE29DC"/>
    <w:rsid w:val="00BF697A"/>
    <w:rsid w:val="00BF6ADB"/>
    <w:rsid w:val="00C03776"/>
    <w:rsid w:val="00C13821"/>
    <w:rsid w:val="00C14051"/>
    <w:rsid w:val="00C15F73"/>
    <w:rsid w:val="00C16F4B"/>
    <w:rsid w:val="00C2037B"/>
    <w:rsid w:val="00C22FF7"/>
    <w:rsid w:val="00C27F76"/>
    <w:rsid w:val="00C30DA4"/>
    <w:rsid w:val="00C31526"/>
    <w:rsid w:val="00C4167E"/>
    <w:rsid w:val="00C43AEB"/>
    <w:rsid w:val="00C44719"/>
    <w:rsid w:val="00C50108"/>
    <w:rsid w:val="00C5203A"/>
    <w:rsid w:val="00C6050E"/>
    <w:rsid w:val="00C6572C"/>
    <w:rsid w:val="00C70CFF"/>
    <w:rsid w:val="00C73976"/>
    <w:rsid w:val="00C75655"/>
    <w:rsid w:val="00C837C3"/>
    <w:rsid w:val="00C84497"/>
    <w:rsid w:val="00C868F6"/>
    <w:rsid w:val="00C9137C"/>
    <w:rsid w:val="00C91644"/>
    <w:rsid w:val="00C9663B"/>
    <w:rsid w:val="00CA43A5"/>
    <w:rsid w:val="00CA7C0B"/>
    <w:rsid w:val="00CB22C2"/>
    <w:rsid w:val="00CB6E2B"/>
    <w:rsid w:val="00CB6FF7"/>
    <w:rsid w:val="00CB7302"/>
    <w:rsid w:val="00CC1E9F"/>
    <w:rsid w:val="00CC5896"/>
    <w:rsid w:val="00CD7972"/>
    <w:rsid w:val="00CD7F9F"/>
    <w:rsid w:val="00CE0C35"/>
    <w:rsid w:val="00CE37C8"/>
    <w:rsid w:val="00CE3810"/>
    <w:rsid w:val="00CE4B02"/>
    <w:rsid w:val="00CE52B4"/>
    <w:rsid w:val="00CE5DCD"/>
    <w:rsid w:val="00CE701C"/>
    <w:rsid w:val="00CE7599"/>
    <w:rsid w:val="00CF414A"/>
    <w:rsid w:val="00CF4FF0"/>
    <w:rsid w:val="00CF5B47"/>
    <w:rsid w:val="00D104F9"/>
    <w:rsid w:val="00D115D1"/>
    <w:rsid w:val="00D14323"/>
    <w:rsid w:val="00D16008"/>
    <w:rsid w:val="00D166D4"/>
    <w:rsid w:val="00D2564A"/>
    <w:rsid w:val="00D30254"/>
    <w:rsid w:val="00D33768"/>
    <w:rsid w:val="00D33D87"/>
    <w:rsid w:val="00D35077"/>
    <w:rsid w:val="00D35A6E"/>
    <w:rsid w:val="00D408A8"/>
    <w:rsid w:val="00D46DAE"/>
    <w:rsid w:val="00D51C8F"/>
    <w:rsid w:val="00D5204B"/>
    <w:rsid w:val="00D54C10"/>
    <w:rsid w:val="00D55191"/>
    <w:rsid w:val="00D552D4"/>
    <w:rsid w:val="00D55CD0"/>
    <w:rsid w:val="00D57544"/>
    <w:rsid w:val="00D57973"/>
    <w:rsid w:val="00D57FA0"/>
    <w:rsid w:val="00D60CE2"/>
    <w:rsid w:val="00D612EC"/>
    <w:rsid w:val="00D6153E"/>
    <w:rsid w:val="00D623C4"/>
    <w:rsid w:val="00D667CA"/>
    <w:rsid w:val="00D722DF"/>
    <w:rsid w:val="00D84675"/>
    <w:rsid w:val="00D8526A"/>
    <w:rsid w:val="00D86252"/>
    <w:rsid w:val="00D917F3"/>
    <w:rsid w:val="00D97BAA"/>
    <w:rsid w:val="00DA3AF3"/>
    <w:rsid w:val="00DA5455"/>
    <w:rsid w:val="00DA5C2B"/>
    <w:rsid w:val="00DB14CB"/>
    <w:rsid w:val="00DB5EFB"/>
    <w:rsid w:val="00DB6EF1"/>
    <w:rsid w:val="00DC19BB"/>
    <w:rsid w:val="00DC6404"/>
    <w:rsid w:val="00DD196B"/>
    <w:rsid w:val="00DD7FDF"/>
    <w:rsid w:val="00DE1703"/>
    <w:rsid w:val="00DE25AC"/>
    <w:rsid w:val="00DE5781"/>
    <w:rsid w:val="00DE5C51"/>
    <w:rsid w:val="00DF568D"/>
    <w:rsid w:val="00E00CCB"/>
    <w:rsid w:val="00E040B6"/>
    <w:rsid w:val="00E042C7"/>
    <w:rsid w:val="00E0781A"/>
    <w:rsid w:val="00E11475"/>
    <w:rsid w:val="00E1497D"/>
    <w:rsid w:val="00E175A7"/>
    <w:rsid w:val="00E20168"/>
    <w:rsid w:val="00E20740"/>
    <w:rsid w:val="00E20E92"/>
    <w:rsid w:val="00E245DA"/>
    <w:rsid w:val="00E24645"/>
    <w:rsid w:val="00E31BCB"/>
    <w:rsid w:val="00E32963"/>
    <w:rsid w:val="00E337BC"/>
    <w:rsid w:val="00E350CD"/>
    <w:rsid w:val="00E372A9"/>
    <w:rsid w:val="00E4001B"/>
    <w:rsid w:val="00E51FDE"/>
    <w:rsid w:val="00E534B2"/>
    <w:rsid w:val="00E53AD1"/>
    <w:rsid w:val="00E56B66"/>
    <w:rsid w:val="00E579AF"/>
    <w:rsid w:val="00E705B7"/>
    <w:rsid w:val="00E7086E"/>
    <w:rsid w:val="00E70ECC"/>
    <w:rsid w:val="00E71A89"/>
    <w:rsid w:val="00E77197"/>
    <w:rsid w:val="00E81AA7"/>
    <w:rsid w:val="00E81B1A"/>
    <w:rsid w:val="00E84FB3"/>
    <w:rsid w:val="00E87037"/>
    <w:rsid w:val="00E97DCA"/>
    <w:rsid w:val="00EA0F03"/>
    <w:rsid w:val="00EA178E"/>
    <w:rsid w:val="00EA1EF9"/>
    <w:rsid w:val="00EA2CA0"/>
    <w:rsid w:val="00EA492D"/>
    <w:rsid w:val="00EA7237"/>
    <w:rsid w:val="00EA7B93"/>
    <w:rsid w:val="00EB055B"/>
    <w:rsid w:val="00EB112A"/>
    <w:rsid w:val="00EB5002"/>
    <w:rsid w:val="00EC1212"/>
    <w:rsid w:val="00EC1D3D"/>
    <w:rsid w:val="00EC3331"/>
    <w:rsid w:val="00EC5BE0"/>
    <w:rsid w:val="00EC677E"/>
    <w:rsid w:val="00EC6E02"/>
    <w:rsid w:val="00EC7E67"/>
    <w:rsid w:val="00ED1588"/>
    <w:rsid w:val="00ED5072"/>
    <w:rsid w:val="00ED5B5C"/>
    <w:rsid w:val="00ED70BD"/>
    <w:rsid w:val="00EE0B3E"/>
    <w:rsid w:val="00EE37BB"/>
    <w:rsid w:val="00EF4099"/>
    <w:rsid w:val="00EF6BDC"/>
    <w:rsid w:val="00F01C4C"/>
    <w:rsid w:val="00F02786"/>
    <w:rsid w:val="00F0434F"/>
    <w:rsid w:val="00F0670F"/>
    <w:rsid w:val="00F07FA6"/>
    <w:rsid w:val="00F11BB3"/>
    <w:rsid w:val="00F13036"/>
    <w:rsid w:val="00F14236"/>
    <w:rsid w:val="00F15D06"/>
    <w:rsid w:val="00F21D1A"/>
    <w:rsid w:val="00F22865"/>
    <w:rsid w:val="00F24D75"/>
    <w:rsid w:val="00F261E3"/>
    <w:rsid w:val="00F31CB8"/>
    <w:rsid w:val="00F340F9"/>
    <w:rsid w:val="00F34B2F"/>
    <w:rsid w:val="00F34F33"/>
    <w:rsid w:val="00F357E6"/>
    <w:rsid w:val="00F36D1F"/>
    <w:rsid w:val="00F3769E"/>
    <w:rsid w:val="00F40F06"/>
    <w:rsid w:val="00F41E88"/>
    <w:rsid w:val="00F42669"/>
    <w:rsid w:val="00F456F9"/>
    <w:rsid w:val="00F4749B"/>
    <w:rsid w:val="00F514FB"/>
    <w:rsid w:val="00F56CE9"/>
    <w:rsid w:val="00F61151"/>
    <w:rsid w:val="00F64ECE"/>
    <w:rsid w:val="00F67B6E"/>
    <w:rsid w:val="00F77765"/>
    <w:rsid w:val="00F77EC3"/>
    <w:rsid w:val="00F80C30"/>
    <w:rsid w:val="00F85E98"/>
    <w:rsid w:val="00FA4F11"/>
    <w:rsid w:val="00FA6751"/>
    <w:rsid w:val="00FA7C8B"/>
    <w:rsid w:val="00FB0249"/>
    <w:rsid w:val="00FB7430"/>
    <w:rsid w:val="00FB793A"/>
    <w:rsid w:val="00FC5915"/>
    <w:rsid w:val="00FC5D6D"/>
    <w:rsid w:val="00FC7443"/>
    <w:rsid w:val="00FD6657"/>
    <w:rsid w:val="00FF1A54"/>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nhideWhenUsed/>
    <w:qFormat/>
    <w:rsid w:val="00293A6E"/>
  </w:style>
  <w:style w:type="character" w:customStyle="1" w:styleId="FootnoteTextChar">
    <w:name w:val="Footnote Text Char"/>
    <w:basedOn w:val="DefaultParagraphFont"/>
    <w:link w:val="FootnoteText"/>
    <w:rsid w:val="00293A6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67179"/>
    <w:pPr>
      <w:tabs>
        <w:tab w:val="center" w:pos="4680"/>
        <w:tab w:val="right" w:pos="9360"/>
      </w:tabs>
    </w:pPr>
  </w:style>
  <w:style w:type="character" w:customStyle="1" w:styleId="HeaderChar">
    <w:name w:val="Header Char"/>
    <w:basedOn w:val="DefaultParagraphFont"/>
    <w:link w:val="Header"/>
    <w:uiPriority w:val="99"/>
    <w:rsid w:val="0006717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67179"/>
    <w:pPr>
      <w:tabs>
        <w:tab w:val="center" w:pos="4680"/>
        <w:tab w:val="right" w:pos="9360"/>
      </w:tabs>
    </w:pPr>
  </w:style>
  <w:style w:type="character" w:customStyle="1" w:styleId="FooterChar">
    <w:name w:val="Footer Char"/>
    <w:basedOn w:val="DefaultParagraphFont"/>
    <w:link w:val="Footer"/>
    <w:uiPriority w:val="99"/>
    <w:rsid w:val="00067179"/>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nhideWhenUsed/>
    <w:qFormat/>
    <w:rsid w:val="00293A6E"/>
  </w:style>
  <w:style w:type="character" w:customStyle="1" w:styleId="FootnoteTextChar">
    <w:name w:val="Footnote Text Char"/>
    <w:basedOn w:val="DefaultParagraphFont"/>
    <w:link w:val="FootnoteText"/>
    <w:rsid w:val="00293A6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67179"/>
    <w:pPr>
      <w:tabs>
        <w:tab w:val="center" w:pos="4680"/>
        <w:tab w:val="right" w:pos="9360"/>
      </w:tabs>
    </w:pPr>
  </w:style>
  <w:style w:type="character" w:customStyle="1" w:styleId="HeaderChar">
    <w:name w:val="Header Char"/>
    <w:basedOn w:val="DefaultParagraphFont"/>
    <w:link w:val="Header"/>
    <w:uiPriority w:val="99"/>
    <w:rsid w:val="0006717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67179"/>
    <w:pPr>
      <w:tabs>
        <w:tab w:val="center" w:pos="4680"/>
        <w:tab w:val="right" w:pos="9360"/>
      </w:tabs>
    </w:pPr>
  </w:style>
  <w:style w:type="character" w:customStyle="1" w:styleId="FooterChar">
    <w:name w:val="Footer Char"/>
    <w:basedOn w:val="DefaultParagraphFont"/>
    <w:link w:val="Footer"/>
    <w:uiPriority w:val="99"/>
    <w:rsid w:val="0006717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F161A-DE18-451D-8862-590B77EC7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13</Pages>
  <Words>3103</Words>
  <Characters>17693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Hinds, Margaret</cp:lastModifiedBy>
  <cp:revision>5</cp:revision>
  <cp:lastPrinted>2013-07-16T16:41:00Z</cp:lastPrinted>
  <dcterms:created xsi:type="dcterms:W3CDTF">2013-06-18T15:51:00Z</dcterms:created>
  <dcterms:modified xsi:type="dcterms:W3CDTF">2013-07-16T16:41:00Z</dcterms:modified>
</cp:coreProperties>
</file>