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992D66" w:rsidRDefault="00F514FB" w:rsidP="00F514FB">
      <w:pPr>
        <w:tabs>
          <w:tab w:val="center" w:pos="4680"/>
        </w:tabs>
        <w:suppressAutoHyphens/>
        <w:jc w:val="center"/>
        <w:rPr>
          <w:b/>
          <w:sz w:val="26"/>
          <w:szCs w:val="26"/>
        </w:rPr>
      </w:pPr>
      <w:r w:rsidRPr="00992D66">
        <w:rPr>
          <w:b/>
          <w:sz w:val="26"/>
          <w:szCs w:val="26"/>
        </w:rPr>
        <w:t>PENNSYLVANIA</w:t>
      </w:r>
    </w:p>
    <w:p w:rsidR="00F514FB" w:rsidRPr="00992D66" w:rsidRDefault="00F514FB" w:rsidP="00F514FB">
      <w:pPr>
        <w:tabs>
          <w:tab w:val="center" w:pos="4680"/>
        </w:tabs>
        <w:suppressAutoHyphens/>
        <w:jc w:val="center"/>
        <w:rPr>
          <w:sz w:val="26"/>
          <w:szCs w:val="26"/>
        </w:rPr>
      </w:pPr>
      <w:r w:rsidRPr="00992D66">
        <w:rPr>
          <w:b/>
          <w:sz w:val="26"/>
          <w:szCs w:val="26"/>
        </w:rPr>
        <w:t>PUBLIC UTILITY COMMISSION</w:t>
      </w:r>
    </w:p>
    <w:p w:rsidR="00F514FB" w:rsidRPr="00992D66" w:rsidRDefault="00F514FB" w:rsidP="00F514FB">
      <w:pPr>
        <w:tabs>
          <w:tab w:val="center" w:pos="4680"/>
        </w:tabs>
        <w:suppressAutoHyphens/>
        <w:jc w:val="center"/>
        <w:rPr>
          <w:sz w:val="26"/>
          <w:szCs w:val="26"/>
        </w:rPr>
      </w:pPr>
      <w:r w:rsidRPr="00992D66">
        <w:rPr>
          <w:b/>
          <w:sz w:val="26"/>
          <w:szCs w:val="26"/>
        </w:rPr>
        <w:t>Harrisburg, PA 17105-3265</w:t>
      </w:r>
    </w:p>
    <w:p w:rsidR="00F514FB" w:rsidRPr="00992D66" w:rsidRDefault="00F514FB" w:rsidP="00F514FB">
      <w:pPr>
        <w:tabs>
          <w:tab w:val="left" w:pos="-720"/>
        </w:tabs>
        <w:suppressAutoHyphens/>
        <w:rPr>
          <w:sz w:val="26"/>
          <w:szCs w:val="26"/>
        </w:rPr>
      </w:pPr>
    </w:p>
    <w:p w:rsidR="00F514FB" w:rsidRPr="00992D66" w:rsidRDefault="00F514FB" w:rsidP="00F514FB">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992D66" w:rsidTr="00DE25AC">
        <w:tc>
          <w:tcPr>
            <w:tcW w:w="5058" w:type="dxa"/>
          </w:tcPr>
          <w:p w:rsidR="00F514FB" w:rsidRPr="00992D66" w:rsidRDefault="00F514FB" w:rsidP="00E871F2">
            <w:pPr>
              <w:rPr>
                <w:sz w:val="26"/>
                <w:szCs w:val="26"/>
              </w:rPr>
            </w:pPr>
          </w:p>
        </w:tc>
        <w:tc>
          <w:tcPr>
            <w:tcW w:w="4428" w:type="dxa"/>
          </w:tcPr>
          <w:p w:rsidR="00F514FB" w:rsidRPr="00992D66" w:rsidRDefault="00DD5D3F" w:rsidP="00E871F2">
            <w:pPr>
              <w:jc w:val="right"/>
              <w:rPr>
                <w:sz w:val="26"/>
                <w:szCs w:val="26"/>
              </w:rPr>
            </w:pPr>
            <w:r w:rsidRPr="00992D66">
              <w:rPr>
                <w:sz w:val="26"/>
                <w:szCs w:val="26"/>
              </w:rPr>
              <w:t xml:space="preserve">Public Meeting held </w:t>
            </w:r>
            <w:r w:rsidR="00871C1E">
              <w:rPr>
                <w:sz w:val="26"/>
                <w:szCs w:val="26"/>
              </w:rPr>
              <w:t>July 16</w:t>
            </w:r>
            <w:r w:rsidR="00374099" w:rsidRPr="00992D66">
              <w:rPr>
                <w:sz w:val="26"/>
                <w:szCs w:val="26"/>
              </w:rPr>
              <w:t>, 2013</w:t>
            </w:r>
          </w:p>
          <w:p w:rsidR="00F514FB" w:rsidRPr="00992D66" w:rsidRDefault="00F514FB" w:rsidP="00E871F2">
            <w:pPr>
              <w:jc w:val="right"/>
              <w:rPr>
                <w:sz w:val="26"/>
                <w:szCs w:val="26"/>
              </w:rPr>
            </w:pPr>
          </w:p>
          <w:p w:rsidR="00F514FB" w:rsidRPr="00992D66" w:rsidRDefault="00F514FB" w:rsidP="00E871F2">
            <w:pPr>
              <w:jc w:val="right"/>
              <w:rPr>
                <w:sz w:val="26"/>
                <w:szCs w:val="26"/>
              </w:rPr>
            </w:pPr>
          </w:p>
        </w:tc>
      </w:tr>
      <w:tr w:rsidR="00F514FB" w:rsidRPr="00992D66" w:rsidTr="00E871F2">
        <w:tc>
          <w:tcPr>
            <w:tcW w:w="5058" w:type="dxa"/>
          </w:tcPr>
          <w:p w:rsidR="00F514FB" w:rsidRPr="00992D66" w:rsidRDefault="00F514FB" w:rsidP="00E871F2">
            <w:pPr>
              <w:rPr>
                <w:sz w:val="26"/>
                <w:szCs w:val="26"/>
              </w:rPr>
            </w:pPr>
            <w:r w:rsidRPr="00992D66">
              <w:rPr>
                <w:sz w:val="26"/>
                <w:szCs w:val="26"/>
              </w:rPr>
              <w:t>Commissioners Present:</w:t>
            </w:r>
          </w:p>
          <w:p w:rsidR="00F514FB" w:rsidRPr="00992D66" w:rsidRDefault="00F514FB" w:rsidP="00E871F2">
            <w:pPr>
              <w:rPr>
                <w:sz w:val="26"/>
                <w:szCs w:val="26"/>
              </w:rPr>
            </w:pPr>
          </w:p>
          <w:p w:rsidR="00F514FB" w:rsidRPr="00992D66" w:rsidRDefault="00F514FB" w:rsidP="00E871F2">
            <w:pPr>
              <w:tabs>
                <w:tab w:val="left" w:pos="705"/>
              </w:tabs>
              <w:ind w:firstLine="720"/>
              <w:rPr>
                <w:sz w:val="26"/>
                <w:szCs w:val="26"/>
              </w:rPr>
            </w:pPr>
            <w:r w:rsidRPr="00992D66">
              <w:rPr>
                <w:sz w:val="26"/>
                <w:szCs w:val="26"/>
              </w:rPr>
              <w:t>Robert F. Powelson, Chairman</w:t>
            </w:r>
          </w:p>
          <w:p w:rsidR="00F514FB" w:rsidRPr="00992D66" w:rsidRDefault="00F514FB" w:rsidP="00E871F2">
            <w:pPr>
              <w:tabs>
                <w:tab w:val="left" w:pos="705"/>
              </w:tabs>
              <w:ind w:firstLine="720"/>
              <w:rPr>
                <w:sz w:val="26"/>
                <w:szCs w:val="26"/>
              </w:rPr>
            </w:pPr>
            <w:r w:rsidRPr="00992D66">
              <w:rPr>
                <w:sz w:val="26"/>
                <w:szCs w:val="26"/>
              </w:rPr>
              <w:t>John F. Coleman, Jr., Vice Chairman</w:t>
            </w:r>
          </w:p>
          <w:p w:rsidR="00F514FB" w:rsidRPr="00992D66" w:rsidRDefault="00F514FB" w:rsidP="00E871F2">
            <w:pPr>
              <w:tabs>
                <w:tab w:val="left" w:pos="705"/>
              </w:tabs>
              <w:ind w:firstLine="720"/>
              <w:rPr>
                <w:sz w:val="26"/>
                <w:szCs w:val="26"/>
              </w:rPr>
            </w:pPr>
            <w:r w:rsidRPr="00992D66">
              <w:rPr>
                <w:sz w:val="26"/>
                <w:szCs w:val="26"/>
              </w:rPr>
              <w:t>Wayne E. Gardner</w:t>
            </w:r>
          </w:p>
          <w:p w:rsidR="00F514FB" w:rsidRPr="00992D66" w:rsidRDefault="00F514FB" w:rsidP="00E871F2">
            <w:pPr>
              <w:tabs>
                <w:tab w:val="left" w:pos="705"/>
              </w:tabs>
              <w:ind w:firstLine="720"/>
              <w:rPr>
                <w:sz w:val="26"/>
                <w:szCs w:val="26"/>
              </w:rPr>
            </w:pPr>
            <w:r w:rsidRPr="00992D66">
              <w:rPr>
                <w:sz w:val="26"/>
                <w:szCs w:val="26"/>
              </w:rPr>
              <w:t>James H. Cawley</w:t>
            </w:r>
          </w:p>
          <w:p w:rsidR="00F514FB" w:rsidRPr="00992D66" w:rsidRDefault="00F514FB" w:rsidP="00E871F2">
            <w:pPr>
              <w:tabs>
                <w:tab w:val="left" w:pos="705"/>
              </w:tabs>
              <w:ind w:firstLine="720"/>
              <w:rPr>
                <w:sz w:val="26"/>
                <w:szCs w:val="26"/>
              </w:rPr>
            </w:pPr>
            <w:r w:rsidRPr="00992D66">
              <w:rPr>
                <w:sz w:val="26"/>
                <w:szCs w:val="26"/>
              </w:rPr>
              <w:t>Pamela A. Witmer</w:t>
            </w:r>
          </w:p>
          <w:p w:rsidR="00F514FB" w:rsidRPr="00992D66" w:rsidRDefault="00F514FB" w:rsidP="00E871F2">
            <w:pPr>
              <w:rPr>
                <w:sz w:val="26"/>
                <w:szCs w:val="26"/>
              </w:rPr>
            </w:pPr>
          </w:p>
          <w:p w:rsidR="00F514FB" w:rsidRPr="00992D66" w:rsidRDefault="00F514FB" w:rsidP="00E871F2">
            <w:pPr>
              <w:rPr>
                <w:sz w:val="26"/>
                <w:szCs w:val="26"/>
              </w:rPr>
            </w:pPr>
          </w:p>
        </w:tc>
        <w:tc>
          <w:tcPr>
            <w:tcW w:w="4428" w:type="dxa"/>
          </w:tcPr>
          <w:p w:rsidR="00F514FB" w:rsidRPr="00992D66" w:rsidRDefault="00F514FB" w:rsidP="00E871F2">
            <w:pPr>
              <w:jc w:val="right"/>
              <w:rPr>
                <w:sz w:val="26"/>
                <w:szCs w:val="26"/>
              </w:rPr>
            </w:pPr>
          </w:p>
          <w:p w:rsidR="00F514FB" w:rsidRPr="00992D66" w:rsidRDefault="00F514FB" w:rsidP="00E871F2">
            <w:pPr>
              <w:jc w:val="right"/>
              <w:rPr>
                <w:sz w:val="26"/>
                <w:szCs w:val="26"/>
              </w:rPr>
            </w:pPr>
          </w:p>
        </w:tc>
      </w:tr>
      <w:tr w:rsidR="00F514FB" w:rsidRPr="009903D4" w:rsidTr="00DE25AC">
        <w:tc>
          <w:tcPr>
            <w:tcW w:w="5058" w:type="dxa"/>
          </w:tcPr>
          <w:p w:rsidR="00F514FB" w:rsidRPr="009903D4" w:rsidRDefault="009903D4" w:rsidP="00E871F2">
            <w:pPr>
              <w:rPr>
                <w:sz w:val="26"/>
                <w:szCs w:val="26"/>
              </w:rPr>
            </w:pPr>
            <w:r w:rsidRPr="009903D4">
              <w:rPr>
                <w:sz w:val="26"/>
                <w:szCs w:val="26"/>
              </w:rPr>
              <w:t>Kimberly A. Hrenyo</w:t>
            </w:r>
          </w:p>
          <w:p w:rsidR="00F514FB" w:rsidRPr="009903D4" w:rsidRDefault="00F514FB" w:rsidP="00E871F2">
            <w:pPr>
              <w:rPr>
                <w:sz w:val="26"/>
                <w:szCs w:val="26"/>
              </w:rPr>
            </w:pPr>
          </w:p>
        </w:tc>
        <w:tc>
          <w:tcPr>
            <w:tcW w:w="4428" w:type="dxa"/>
          </w:tcPr>
          <w:p w:rsidR="00F514FB" w:rsidRPr="009903D4" w:rsidRDefault="009903D4" w:rsidP="00E871F2">
            <w:pPr>
              <w:jc w:val="right"/>
              <w:rPr>
                <w:sz w:val="26"/>
                <w:szCs w:val="26"/>
              </w:rPr>
            </w:pPr>
            <w:r w:rsidRPr="009903D4">
              <w:rPr>
                <w:sz w:val="26"/>
                <w:szCs w:val="26"/>
              </w:rPr>
              <w:t>F-2012-2314680</w:t>
            </w:r>
          </w:p>
        </w:tc>
      </w:tr>
      <w:tr w:rsidR="00F514FB" w:rsidRPr="009903D4" w:rsidTr="00DE25AC">
        <w:tc>
          <w:tcPr>
            <w:tcW w:w="5058" w:type="dxa"/>
          </w:tcPr>
          <w:p w:rsidR="00F514FB" w:rsidRPr="009903D4" w:rsidRDefault="00F514FB" w:rsidP="00374099">
            <w:pPr>
              <w:ind w:firstLine="900"/>
              <w:rPr>
                <w:sz w:val="26"/>
                <w:szCs w:val="26"/>
              </w:rPr>
            </w:pPr>
            <w:r w:rsidRPr="009903D4">
              <w:rPr>
                <w:sz w:val="26"/>
                <w:szCs w:val="26"/>
              </w:rPr>
              <w:t>v.</w:t>
            </w:r>
          </w:p>
          <w:p w:rsidR="00F514FB" w:rsidRPr="009903D4" w:rsidRDefault="00F514FB" w:rsidP="00E871F2">
            <w:pPr>
              <w:ind w:firstLine="1440"/>
              <w:rPr>
                <w:sz w:val="26"/>
                <w:szCs w:val="26"/>
              </w:rPr>
            </w:pPr>
          </w:p>
        </w:tc>
        <w:tc>
          <w:tcPr>
            <w:tcW w:w="4428" w:type="dxa"/>
          </w:tcPr>
          <w:p w:rsidR="00F514FB" w:rsidRPr="009903D4" w:rsidRDefault="00F514FB" w:rsidP="00E871F2">
            <w:pPr>
              <w:rPr>
                <w:sz w:val="26"/>
                <w:szCs w:val="26"/>
              </w:rPr>
            </w:pPr>
          </w:p>
        </w:tc>
      </w:tr>
      <w:tr w:rsidR="00F514FB" w:rsidRPr="009903D4" w:rsidTr="00E871F2">
        <w:tc>
          <w:tcPr>
            <w:tcW w:w="5058" w:type="dxa"/>
          </w:tcPr>
          <w:p w:rsidR="00F514FB" w:rsidRPr="009903D4" w:rsidRDefault="009903D4" w:rsidP="00E871F2">
            <w:pPr>
              <w:rPr>
                <w:sz w:val="26"/>
                <w:szCs w:val="26"/>
              </w:rPr>
            </w:pPr>
            <w:r w:rsidRPr="009903D4">
              <w:rPr>
                <w:sz w:val="26"/>
                <w:szCs w:val="26"/>
              </w:rPr>
              <w:t>PPL Electric Utilities Corporation</w:t>
            </w:r>
          </w:p>
        </w:tc>
        <w:tc>
          <w:tcPr>
            <w:tcW w:w="4428" w:type="dxa"/>
          </w:tcPr>
          <w:p w:rsidR="00F514FB" w:rsidRPr="009903D4" w:rsidRDefault="00F514FB" w:rsidP="00E871F2">
            <w:pPr>
              <w:rPr>
                <w:sz w:val="26"/>
                <w:szCs w:val="26"/>
              </w:rPr>
            </w:pPr>
          </w:p>
        </w:tc>
      </w:tr>
    </w:tbl>
    <w:p w:rsidR="00F514FB" w:rsidRPr="009903D4" w:rsidRDefault="00F514FB" w:rsidP="00F514FB">
      <w:pPr>
        <w:rPr>
          <w:sz w:val="26"/>
          <w:szCs w:val="26"/>
        </w:rPr>
      </w:pPr>
    </w:p>
    <w:p w:rsidR="00F514FB" w:rsidRPr="009903D4" w:rsidRDefault="00F514FB" w:rsidP="00F514FB">
      <w:pPr>
        <w:rPr>
          <w:sz w:val="26"/>
          <w:szCs w:val="26"/>
        </w:rPr>
      </w:pPr>
    </w:p>
    <w:p w:rsidR="00F514FB" w:rsidRPr="009903D4" w:rsidRDefault="00F514FB" w:rsidP="00F514FB">
      <w:pPr>
        <w:jc w:val="center"/>
        <w:rPr>
          <w:b/>
          <w:sz w:val="26"/>
          <w:szCs w:val="26"/>
        </w:rPr>
      </w:pPr>
      <w:r w:rsidRPr="009903D4">
        <w:rPr>
          <w:b/>
          <w:sz w:val="26"/>
          <w:szCs w:val="26"/>
        </w:rPr>
        <w:t xml:space="preserve">OPINION </w:t>
      </w:r>
      <w:smartTag w:uri="urn:schemas-microsoft-com:office:smarttags" w:element="stockticker">
        <w:r w:rsidRPr="009903D4">
          <w:rPr>
            <w:b/>
            <w:sz w:val="26"/>
            <w:szCs w:val="26"/>
          </w:rPr>
          <w:t>AND</w:t>
        </w:r>
      </w:smartTag>
      <w:r w:rsidRPr="009903D4">
        <w:rPr>
          <w:b/>
          <w:sz w:val="26"/>
          <w:szCs w:val="26"/>
        </w:rPr>
        <w:t xml:space="preserve"> ORDER</w:t>
      </w:r>
    </w:p>
    <w:p w:rsidR="00F514FB" w:rsidRPr="009903D4" w:rsidRDefault="00F514FB" w:rsidP="00F514FB">
      <w:pPr>
        <w:jc w:val="center"/>
        <w:rPr>
          <w:b/>
          <w:sz w:val="26"/>
          <w:szCs w:val="26"/>
        </w:rPr>
      </w:pPr>
    </w:p>
    <w:p w:rsidR="00F514FB" w:rsidRPr="009903D4" w:rsidRDefault="00F514FB" w:rsidP="00F514FB">
      <w:pPr>
        <w:jc w:val="center"/>
        <w:rPr>
          <w:b/>
          <w:sz w:val="26"/>
          <w:szCs w:val="26"/>
        </w:rPr>
      </w:pPr>
    </w:p>
    <w:p w:rsidR="00F514FB" w:rsidRPr="009903D4" w:rsidRDefault="00F514FB" w:rsidP="00F514FB">
      <w:pPr>
        <w:rPr>
          <w:b/>
          <w:sz w:val="26"/>
          <w:szCs w:val="26"/>
        </w:rPr>
      </w:pPr>
      <w:r w:rsidRPr="009903D4">
        <w:rPr>
          <w:b/>
          <w:sz w:val="26"/>
          <w:szCs w:val="26"/>
        </w:rPr>
        <w:t>BY THE COMMISSION:</w:t>
      </w:r>
    </w:p>
    <w:p w:rsidR="00F514FB" w:rsidRPr="009903D4" w:rsidRDefault="00F514FB" w:rsidP="00F514FB">
      <w:pPr>
        <w:rPr>
          <w:sz w:val="26"/>
          <w:szCs w:val="26"/>
        </w:rPr>
      </w:pPr>
    </w:p>
    <w:p w:rsidR="00F514FB" w:rsidRPr="009903D4" w:rsidRDefault="00F514FB" w:rsidP="00F514FB">
      <w:pPr>
        <w:rPr>
          <w:sz w:val="26"/>
          <w:szCs w:val="26"/>
        </w:rPr>
      </w:pPr>
    </w:p>
    <w:p w:rsidR="00CA43A5" w:rsidRPr="00BD7025" w:rsidRDefault="00CA43A5" w:rsidP="00D013CF">
      <w:pPr>
        <w:widowControl/>
        <w:spacing w:line="360" w:lineRule="auto"/>
        <w:ind w:firstLine="1440"/>
        <w:rPr>
          <w:sz w:val="26"/>
          <w:szCs w:val="26"/>
        </w:rPr>
      </w:pPr>
      <w:r w:rsidRPr="00BD7025">
        <w:rPr>
          <w:sz w:val="26"/>
          <w:szCs w:val="26"/>
        </w:rPr>
        <w:t xml:space="preserve">Before the Pennsylvania Public Utility Commission (Commission) for consideration and disposition </w:t>
      </w:r>
      <w:r w:rsidR="00671E4C" w:rsidRPr="00BD7025">
        <w:rPr>
          <w:color w:val="000000"/>
          <w:sz w:val="26"/>
        </w:rPr>
        <w:t xml:space="preserve">are the Exceptions </w:t>
      </w:r>
      <w:r w:rsidR="00A16587" w:rsidRPr="00BD7025">
        <w:rPr>
          <w:color w:val="000000"/>
          <w:sz w:val="26"/>
        </w:rPr>
        <w:t xml:space="preserve">of </w:t>
      </w:r>
      <w:r w:rsidR="00BD7025" w:rsidRPr="00BD7025">
        <w:rPr>
          <w:color w:val="000000"/>
          <w:sz w:val="26"/>
        </w:rPr>
        <w:t>Kimberly A. Hrenyo</w:t>
      </w:r>
      <w:r w:rsidR="00A16587" w:rsidRPr="00BD7025">
        <w:rPr>
          <w:color w:val="000000"/>
          <w:sz w:val="26"/>
        </w:rPr>
        <w:t xml:space="preserve"> </w:t>
      </w:r>
      <w:r w:rsidR="00671E4C" w:rsidRPr="00BD7025">
        <w:rPr>
          <w:color w:val="000000"/>
          <w:sz w:val="26"/>
        </w:rPr>
        <w:t>(</w:t>
      </w:r>
      <w:r w:rsidR="00EF4058" w:rsidRPr="00BD7025">
        <w:rPr>
          <w:color w:val="000000"/>
          <w:sz w:val="26"/>
        </w:rPr>
        <w:t>C</w:t>
      </w:r>
      <w:r w:rsidR="00BD7025" w:rsidRPr="00BD7025">
        <w:rPr>
          <w:color w:val="000000"/>
          <w:sz w:val="26"/>
        </w:rPr>
        <w:t>omplainant) filed on January 12, 2013</w:t>
      </w:r>
      <w:r w:rsidR="00671E4C" w:rsidRPr="00BD7025">
        <w:rPr>
          <w:color w:val="000000"/>
          <w:sz w:val="26"/>
        </w:rPr>
        <w:t xml:space="preserve">, to the Initial Decision (I.D.) of Administrative </w:t>
      </w:r>
      <w:r w:rsidR="00346C47" w:rsidRPr="00BD7025">
        <w:rPr>
          <w:color w:val="000000"/>
          <w:sz w:val="26"/>
        </w:rPr>
        <w:t xml:space="preserve">Law Judge (ALJ) </w:t>
      </w:r>
      <w:r w:rsidR="00BD7025" w:rsidRPr="00BD7025">
        <w:rPr>
          <w:color w:val="000000"/>
          <w:sz w:val="26"/>
        </w:rPr>
        <w:t>Elizabeth H. Barnes</w:t>
      </w:r>
      <w:r w:rsidR="00671E4C" w:rsidRPr="00BD7025">
        <w:rPr>
          <w:color w:val="000000"/>
          <w:sz w:val="26"/>
        </w:rPr>
        <w:t>, w</w:t>
      </w:r>
      <w:r w:rsidR="00346C47" w:rsidRPr="00BD7025">
        <w:rPr>
          <w:color w:val="000000"/>
          <w:sz w:val="26"/>
        </w:rPr>
        <w:t xml:space="preserve">hich was issued on </w:t>
      </w:r>
      <w:r w:rsidR="00BD7025" w:rsidRPr="00BD7025">
        <w:rPr>
          <w:color w:val="000000"/>
          <w:sz w:val="26"/>
        </w:rPr>
        <w:t>January 3, 2013</w:t>
      </w:r>
      <w:r w:rsidR="00671E4C" w:rsidRPr="00BD7025">
        <w:rPr>
          <w:color w:val="000000"/>
          <w:sz w:val="26"/>
        </w:rPr>
        <w:t>, in</w:t>
      </w:r>
      <w:r w:rsidR="0035728C" w:rsidRPr="00BD7025">
        <w:rPr>
          <w:color w:val="000000"/>
          <w:sz w:val="26"/>
        </w:rPr>
        <w:t xml:space="preserve"> the above-captioned proceeding</w:t>
      </w:r>
      <w:r w:rsidR="00671E4C" w:rsidRPr="00BD7025">
        <w:rPr>
          <w:color w:val="000000"/>
          <w:sz w:val="26"/>
        </w:rPr>
        <w:t xml:space="preserve">.  Replies to Exceptions </w:t>
      </w:r>
      <w:r w:rsidR="00A61C8F" w:rsidRPr="00BD7025">
        <w:rPr>
          <w:color w:val="000000"/>
          <w:sz w:val="26"/>
        </w:rPr>
        <w:t>w</w:t>
      </w:r>
      <w:r w:rsidR="00D43DC1" w:rsidRPr="00BD7025">
        <w:rPr>
          <w:color w:val="000000"/>
          <w:sz w:val="26"/>
        </w:rPr>
        <w:t xml:space="preserve">ere filed by </w:t>
      </w:r>
      <w:r w:rsidR="00BD7025" w:rsidRPr="00BD7025">
        <w:rPr>
          <w:color w:val="000000"/>
          <w:sz w:val="26"/>
        </w:rPr>
        <w:t xml:space="preserve">PPL </w:t>
      </w:r>
      <w:r w:rsidR="00BD7025" w:rsidRPr="002B60C5">
        <w:rPr>
          <w:color w:val="000000"/>
          <w:sz w:val="26"/>
        </w:rPr>
        <w:t>Electric Utilities Corporation (PPL) on January 21, 2013</w:t>
      </w:r>
      <w:r w:rsidR="00671E4C" w:rsidRPr="002B60C5">
        <w:rPr>
          <w:color w:val="000000"/>
          <w:sz w:val="26"/>
        </w:rPr>
        <w:t xml:space="preserve">.  </w:t>
      </w:r>
      <w:r w:rsidRPr="002B60C5">
        <w:rPr>
          <w:sz w:val="26"/>
          <w:szCs w:val="26"/>
        </w:rPr>
        <w:t>For the reason</w:t>
      </w:r>
      <w:r w:rsidR="0006356A" w:rsidRPr="002B60C5">
        <w:rPr>
          <w:sz w:val="26"/>
          <w:szCs w:val="26"/>
        </w:rPr>
        <w:t>s stated below, we will deny t</w:t>
      </w:r>
      <w:r w:rsidR="00DA6C17" w:rsidRPr="002B60C5">
        <w:rPr>
          <w:sz w:val="26"/>
          <w:szCs w:val="26"/>
        </w:rPr>
        <w:t xml:space="preserve">he Complainant’s Exceptions and </w:t>
      </w:r>
      <w:r w:rsidR="0006356A" w:rsidRPr="002B60C5">
        <w:rPr>
          <w:sz w:val="26"/>
          <w:szCs w:val="26"/>
        </w:rPr>
        <w:t>adopt</w:t>
      </w:r>
      <w:r w:rsidR="002B60C5" w:rsidRPr="002B60C5">
        <w:rPr>
          <w:sz w:val="26"/>
          <w:szCs w:val="26"/>
        </w:rPr>
        <w:t>, in part, and modify, in part,</w:t>
      </w:r>
      <w:r w:rsidR="0006356A" w:rsidRPr="002B60C5">
        <w:rPr>
          <w:sz w:val="26"/>
          <w:szCs w:val="26"/>
        </w:rPr>
        <w:t xml:space="preserve"> the ALJ’s Initial Decision</w:t>
      </w:r>
      <w:r w:rsidRPr="002B60C5">
        <w:rPr>
          <w:sz w:val="26"/>
          <w:szCs w:val="26"/>
        </w:rPr>
        <w:t>.</w:t>
      </w:r>
    </w:p>
    <w:p w:rsidR="00CA43A5" w:rsidRPr="00BD7025" w:rsidRDefault="00CA43A5" w:rsidP="00CA43A5">
      <w:pPr>
        <w:spacing w:line="360" w:lineRule="auto"/>
        <w:rPr>
          <w:sz w:val="26"/>
          <w:szCs w:val="26"/>
        </w:rPr>
      </w:pPr>
    </w:p>
    <w:p w:rsidR="000A0142" w:rsidRPr="007D67EA" w:rsidRDefault="000A0142" w:rsidP="000A0142">
      <w:pPr>
        <w:keepNext/>
        <w:spacing w:line="360" w:lineRule="auto"/>
        <w:jc w:val="center"/>
        <w:rPr>
          <w:b/>
          <w:sz w:val="26"/>
          <w:szCs w:val="26"/>
        </w:rPr>
      </w:pPr>
      <w:bookmarkStart w:id="0" w:name="OLE_LINK1"/>
      <w:bookmarkStart w:id="1" w:name="OLE_LINK2"/>
      <w:r w:rsidRPr="007D67EA">
        <w:rPr>
          <w:b/>
          <w:sz w:val="26"/>
          <w:szCs w:val="26"/>
        </w:rPr>
        <w:lastRenderedPageBreak/>
        <w:t>History of the Proceeding</w:t>
      </w:r>
    </w:p>
    <w:p w:rsidR="000A0142" w:rsidRPr="007D67EA" w:rsidRDefault="000A0142" w:rsidP="000A0142">
      <w:pPr>
        <w:keepNext/>
        <w:rPr>
          <w:b/>
          <w:sz w:val="26"/>
          <w:szCs w:val="26"/>
          <w:u w:val="single"/>
        </w:rPr>
      </w:pPr>
    </w:p>
    <w:p w:rsidR="000267E5" w:rsidRDefault="000A0142" w:rsidP="000A0142">
      <w:pPr>
        <w:keepNext/>
        <w:widowControl/>
        <w:spacing w:line="360" w:lineRule="auto"/>
        <w:rPr>
          <w:sz w:val="26"/>
          <w:szCs w:val="26"/>
        </w:rPr>
      </w:pPr>
      <w:r w:rsidRPr="007D67EA">
        <w:rPr>
          <w:sz w:val="26"/>
          <w:szCs w:val="26"/>
        </w:rPr>
        <w:tab/>
      </w:r>
      <w:r w:rsidRPr="007D67EA">
        <w:rPr>
          <w:sz w:val="26"/>
          <w:szCs w:val="26"/>
        </w:rPr>
        <w:tab/>
      </w:r>
      <w:r w:rsidR="007D67EA" w:rsidRPr="000267E5">
        <w:rPr>
          <w:sz w:val="26"/>
          <w:szCs w:val="26"/>
        </w:rPr>
        <w:t>On July 5</w:t>
      </w:r>
      <w:r w:rsidRPr="000267E5">
        <w:rPr>
          <w:sz w:val="26"/>
          <w:szCs w:val="26"/>
        </w:rPr>
        <w:t>, 2012, the Complainant filed a Formal Complaint (Complaint)</w:t>
      </w:r>
      <w:r w:rsidR="007D67EA" w:rsidRPr="000267E5">
        <w:rPr>
          <w:sz w:val="26"/>
          <w:szCs w:val="26"/>
        </w:rPr>
        <w:t xml:space="preserve"> against PPL</w:t>
      </w:r>
      <w:r w:rsidRPr="000267E5">
        <w:rPr>
          <w:sz w:val="26"/>
          <w:szCs w:val="26"/>
        </w:rPr>
        <w:t>,</w:t>
      </w:r>
      <w:r w:rsidR="00667B44">
        <w:rPr>
          <w:rStyle w:val="FootnoteReference"/>
          <w:sz w:val="26"/>
          <w:szCs w:val="26"/>
        </w:rPr>
        <w:footnoteReference w:id="1"/>
      </w:r>
      <w:r w:rsidRPr="000267E5">
        <w:rPr>
          <w:sz w:val="26"/>
          <w:szCs w:val="26"/>
        </w:rPr>
        <w:t xml:space="preserve"> alleging that </w:t>
      </w:r>
      <w:r w:rsidR="000267E5">
        <w:rPr>
          <w:sz w:val="26"/>
          <w:szCs w:val="26"/>
        </w:rPr>
        <w:t xml:space="preserve">PPL had been billing her </w:t>
      </w:r>
      <w:r w:rsidR="00A77AC1">
        <w:rPr>
          <w:sz w:val="26"/>
          <w:szCs w:val="26"/>
        </w:rPr>
        <w:t xml:space="preserve">improperly </w:t>
      </w:r>
      <w:r w:rsidR="000267E5">
        <w:rPr>
          <w:sz w:val="26"/>
          <w:szCs w:val="26"/>
        </w:rPr>
        <w:t>for the past several years.</w:t>
      </w:r>
      <w:r w:rsidR="00667B44" w:rsidRPr="000267E5">
        <w:rPr>
          <w:rStyle w:val="FootnoteReference"/>
          <w:sz w:val="26"/>
          <w:szCs w:val="26"/>
        </w:rPr>
        <w:footnoteReference w:id="2"/>
      </w:r>
      <w:r w:rsidR="000267E5">
        <w:rPr>
          <w:sz w:val="26"/>
          <w:szCs w:val="26"/>
        </w:rPr>
        <w:t xml:space="preserve">  The</w:t>
      </w:r>
      <w:r w:rsidR="00667B44">
        <w:rPr>
          <w:sz w:val="26"/>
          <w:szCs w:val="26"/>
        </w:rPr>
        <w:t xml:space="preserve"> Complainant asserted that after</w:t>
      </w:r>
      <w:r w:rsidR="000267E5">
        <w:rPr>
          <w:sz w:val="26"/>
          <w:szCs w:val="26"/>
        </w:rPr>
        <w:t xml:space="preserve"> PPL installed a new meter </w:t>
      </w:r>
      <w:r w:rsidR="00667B44">
        <w:rPr>
          <w:sz w:val="26"/>
          <w:szCs w:val="26"/>
        </w:rPr>
        <w:t xml:space="preserve">at her residence, her usage </w:t>
      </w:r>
      <w:r w:rsidR="000267E5">
        <w:rPr>
          <w:sz w:val="26"/>
          <w:szCs w:val="26"/>
        </w:rPr>
        <w:t>dropped, and</w:t>
      </w:r>
      <w:r w:rsidR="00667B44">
        <w:rPr>
          <w:sz w:val="26"/>
          <w:szCs w:val="26"/>
        </w:rPr>
        <w:t xml:space="preserve"> she</w:t>
      </w:r>
      <w:r w:rsidR="000267E5">
        <w:rPr>
          <w:sz w:val="26"/>
          <w:szCs w:val="26"/>
        </w:rPr>
        <w:t xml:space="preserve"> concluded that the previous meter had been defective.  The Complainant requested that she be credited for years of inaccurately high bills.</w:t>
      </w:r>
      <w:r w:rsidR="007B376C">
        <w:rPr>
          <w:sz w:val="26"/>
          <w:szCs w:val="26"/>
        </w:rPr>
        <w:t xml:space="preserve">  Complaint at 5.</w:t>
      </w:r>
    </w:p>
    <w:p w:rsidR="00394A04" w:rsidRDefault="00394A04" w:rsidP="00A77AC1">
      <w:pPr>
        <w:widowControl/>
        <w:spacing w:line="360" w:lineRule="auto"/>
        <w:rPr>
          <w:sz w:val="26"/>
          <w:szCs w:val="26"/>
        </w:rPr>
      </w:pPr>
    </w:p>
    <w:p w:rsidR="00394A04" w:rsidRPr="000267E5" w:rsidRDefault="00F063E9" w:rsidP="00A77AC1">
      <w:pPr>
        <w:widowControl/>
        <w:spacing w:line="360" w:lineRule="auto"/>
        <w:rPr>
          <w:sz w:val="26"/>
          <w:szCs w:val="26"/>
        </w:rPr>
      </w:pPr>
      <w:r>
        <w:rPr>
          <w:sz w:val="26"/>
          <w:szCs w:val="26"/>
        </w:rPr>
        <w:tab/>
      </w:r>
      <w:r>
        <w:rPr>
          <w:sz w:val="26"/>
          <w:szCs w:val="26"/>
        </w:rPr>
        <w:tab/>
        <w:t>On August 8, 2012, PPL filed a timely Answer to the Complaint in which it denied the allegations set forth therein.</w:t>
      </w:r>
      <w:r w:rsidR="007B376C">
        <w:rPr>
          <w:sz w:val="26"/>
          <w:szCs w:val="26"/>
        </w:rPr>
        <w:t xml:space="preserve">  PPL averred that it met with the Complainant at her home</w:t>
      </w:r>
      <w:r w:rsidR="007673C3">
        <w:rPr>
          <w:sz w:val="26"/>
          <w:szCs w:val="26"/>
        </w:rPr>
        <w:t xml:space="preserve"> on March 8, 2012</w:t>
      </w:r>
      <w:r w:rsidR="007B376C">
        <w:rPr>
          <w:sz w:val="26"/>
          <w:szCs w:val="26"/>
        </w:rPr>
        <w:t>,</w:t>
      </w:r>
      <w:r w:rsidR="007673C3">
        <w:rPr>
          <w:sz w:val="26"/>
          <w:szCs w:val="26"/>
        </w:rPr>
        <w:t xml:space="preserve"> and determined that the Complainant had a new pole garage installed the prior year.  PPL noted that the pole garage was heated, and</w:t>
      </w:r>
      <w:r w:rsidR="00833AA0">
        <w:rPr>
          <w:sz w:val="26"/>
          <w:szCs w:val="26"/>
        </w:rPr>
        <w:t xml:space="preserve"> that it</w:t>
      </w:r>
      <w:r w:rsidR="007673C3">
        <w:rPr>
          <w:sz w:val="26"/>
          <w:szCs w:val="26"/>
        </w:rPr>
        <w:t xml:space="preserve"> </w:t>
      </w:r>
      <w:r w:rsidR="00833AA0">
        <w:rPr>
          <w:sz w:val="26"/>
          <w:szCs w:val="26"/>
        </w:rPr>
        <w:t>contained</w:t>
      </w:r>
      <w:r w:rsidR="007673C3">
        <w:rPr>
          <w:sz w:val="26"/>
          <w:szCs w:val="26"/>
        </w:rPr>
        <w:t xml:space="preserve"> a vehicle lift</w:t>
      </w:r>
      <w:r w:rsidR="00833AA0">
        <w:rPr>
          <w:sz w:val="26"/>
          <w:szCs w:val="26"/>
        </w:rPr>
        <w:t xml:space="preserve"> for use in working on cars</w:t>
      </w:r>
      <w:r w:rsidR="007673C3">
        <w:rPr>
          <w:sz w:val="26"/>
          <w:szCs w:val="26"/>
        </w:rPr>
        <w:t>.  PPL asserted that</w:t>
      </w:r>
      <w:r w:rsidR="00833AA0">
        <w:rPr>
          <w:sz w:val="26"/>
          <w:szCs w:val="26"/>
        </w:rPr>
        <w:t>, during its visit to the Complainant’s home,</w:t>
      </w:r>
      <w:r w:rsidR="007673C3">
        <w:rPr>
          <w:sz w:val="26"/>
          <w:szCs w:val="26"/>
        </w:rPr>
        <w:t xml:space="preserve"> it determined</w:t>
      </w:r>
      <w:r w:rsidR="007B376C">
        <w:rPr>
          <w:sz w:val="26"/>
          <w:szCs w:val="26"/>
        </w:rPr>
        <w:t xml:space="preserve"> that the Complainant had the ability to use the elect</w:t>
      </w:r>
      <w:r w:rsidR="00376F22">
        <w:rPr>
          <w:sz w:val="26"/>
          <w:szCs w:val="26"/>
        </w:rPr>
        <w:t>ricity for which she was billed</w:t>
      </w:r>
      <w:r w:rsidR="007B376C">
        <w:rPr>
          <w:sz w:val="26"/>
          <w:szCs w:val="26"/>
        </w:rPr>
        <w:t>.</w:t>
      </w:r>
      <w:r w:rsidR="007673C3">
        <w:rPr>
          <w:sz w:val="26"/>
          <w:szCs w:val="26"/>
        </w:rPr>
        <w:t xml:space="preserve">  Answer at 1.</w:t>
      </w:r>
      <w:r w:rsidR="007B376C">
        <w:rPr>
          <w:sz w:val="26"/>
          <w:szCs w:val="26"/>
        </w:rPr>
        <w:t xml:space="preserve">  PPL further averred that</w:t>
      </w:r>
      <w:r w:rsidR="007673C3">
        <w:rPr>
          <w:sz w:val="26"/>
          <w:szCs w:val="26"/>
        </w:rPr>
        <w:t>, on March 12, 2012,</w:t>
      </w:r>
      <w:r w:rsidR="007B376C">
        <w:rPr>
          <w:sz w:val="26"/>
          <w:szCs w:val="26"/>
        </w:rPr>
        <w:t xml:space="preserve"> it removed and tested the Complainant’s meter, and that the test results showed that the meter </w:t>
      </w:r>
      <w:r w:rsidR="00376F22">
        <w:rPr>
          <w:sz w:val="26"/>
          <w:szCs w:val="26"/>
        </w:rPr>
        <w:t xml:space="preserve">was </w:t>
      </w:r>
      <w:r w:rsidR="007B376C">
        <w:rPr>
          <w:sz w:val="26"/>
          <w:szCs w:val="26"/>
        </w:rPr>
        <w:t>performing at a</w:t>
      </w:r>
      <w:r w:rsidR="00376F22">
        <w:rPr>
          <w:sz w:val="26"/>
          <w:szCs w:val="26"/>
        </w:rPr>
        <w:t>n accuracy level of 100.49%</w:t>
      </w:r>
      <w:r w:rsidR="007B376C">
        <w:rPr>
          <w:sz w:val="26"/>
          <w:szCs w:val="26"/>
        </w:rPr>
        <w:t>.</w:t>
      </w:r>
      <w:r w:rsidR="00833AA0">
        <w:rPr>
          <w:sz w:val="26"/>
          <w:szCs w:val="26"/>
        </w:rPr>
        <w:t xml:space="preserve">  PPL stated that it contacted the Complainant regarding the test results on March 22, 2012.  </w:t>
      </w:r>
      <w:r w:rsidR="007B376C">
        <w:rPr>
          <w:sz w:val="26"/>
          <w:szCs w:val="26"/>
        </w:rPr>
        <w:t>Answer at 1-2.</w:t>
      </w:r>
    </w:p>
    <w:p w:rsidR="000A0142" w:rsidRPr="00242C42" w:rsidRDefault="000A0142" w:rsidP="000A0142">
      <w:pPr>
        <w:spacing w:line="360" w:lineRule="auto"/>
        <w:rPr>
          <w:sz w:val="26"/>
          <w:szCs w:val="26"/>
        </w:rPr>
      </w:pPr>
    </w:p>
    <w:p w:rsidR="000A0142" w:rsidRPr="00F85141" w:rsidRDefault="000A0142" w:rsidP="000A0142">
      <w:pPr>
        <w:widowControl/>
        <w:spacing w:line="360" w:lineRule="auto"/>
        <w:rPr>
          <w:sz w:val="26"/>
          <w:szCs w:val="26"/>
        </w:rPr>
      </w:pPr>
      <w:r w:rsidRPr="00242C42">
        <w:rPr>
          <w:sz w:val="26"/>
          <w:szCs w:val="26"/>
        </w:rPr>
        <w:tab/>
      </w:r>
      <w:r w:rsidRPr="00242C42">
        <w:rPr>
          <w:sz w:val="26"/>
          <w:szCs w:val="26"/>
        </w:rPr>
        <w:tab/>
      </w:r>
      <w:r w:rsidR="00242C42" w:rsidRPr="00242C42">
        <w:rPr>
          <w:sz w:val="26"/>
          <w:szCs w:val="26"/>
        </w:rPr>
        <w:t>On November 8</w:t>
      </w:r>
      <w:r w:rsidRPr="00242C42">
        <w:rPr>
          <w:sz w:val="26"/>
          <w:szCs w:val="26"/>
        </w:rPr>
        <w:t>, 2012, a telephonic hearing was convened on thi</w:t>
      </w:r>
      <w:r w:rsidR="00242C42" w:rsidRPr="00242C42">
        <w:rPr>
          <w:sz w:val="26"/>
          <w:szCs w:val="26"/>
        </w:rPr>
        <w:t>s matter before ALJ Barnes</w:t>
      </w:r>
      <w:r w:rsidRPr="00242C42">
        <w:rPr>
          <w:sz w:val="26"/>
          <w:szCs w:val="26"/>
        </w:rPr>
        <w:t xml:space="preserve">.  The Complainant appeared </w:t>
      </w:r>
      <w:r w:rsidRPr="00242C42">
        <w:rPr>
          <w:i/>
          <w:sz w:val="26"/>
          <w:szCs w:val="26"/>
        </w:rPr>
        <w:t>pro se</w:t>
      </w:r>
      <w:r w:rsidR="00242C42">
        <w:rPr>
          <w:i/>
          <w:sz w:val="26"/>
          <w:szCs w:val="26"/>
        </w:rPr>
        <w:t>,</w:t>
      </w:r>
      <w:r w:rsidR="00242C42">
        <w:rPr>
          <w:sz w:val="26"/>
          <w:szCs w:val="26"/>
        </w:rPr>
        <w:t xml:space="preserve"> testified on her own behalf, and provided </w:t>
      </w:r>
      <w:r w:rsidR="00242C42" w:rsidRPr="00242C42">
        <w:rPr>
          <w:sz w:val="26"/>
          <w:szCs w:val="26"/>
        </w:rPr>
        <w:t>one exhibit</w:t>
      </w:r>
      <w:r w:rsidR="00242C42">
        <w:rPr>
          <w:sz w:val="26"/>
          <w:szCs w:val="26"/>
        </w:rPr>
        <w:t xml:space="preserve">, which was admitted into the </w:t>
      </w:r>
      <w:r w:rsidR="00242C42" w:rsidRPr="00F85141">
        <w:rPr>
          <w:sz w:val="26"/>
          <w:szCs w:val="26"/>
        </w:rPr>
        <w:t>record.  PPL</w:t>
      </w:r>
      <w:r w:rsidRPr="00F85141">
        <w:rPr>
          <w:sz w:val="26"/>
          <w:szCs w:val="26"/>
        </w:rPr>
        <w:t xml:space="preserve"> was represented by counsel, presente</w:t>
      </w:r>
      <w:r w:rsidR="00242C42" w:rsidRPr="00F85141">
        <w:rPr>
          <w:sz w:val="26"/>
          <w:szCs w:val="26"/>
        </w:rPr>
        <w:t>d the testimony of two</w:t>
      </w:r>
      <w:r w:rsidRPr="00F85141">
        <w:rPr>
          <w:sz w:val="26"/>
          <w:szCs w:val="26"/>
        </w:rPr>
        <w:t xml:space="preserve"> witness</w:t>
      </w:r>
      <w:r w:rsidR="00242C42" w:rsidRPr="00F85141">
        <w:rPr>
          <w:sz w:val="26"/>
          <w:szCs w:val="26"/>
        </w:rPr>
        <w:t>es</w:t>
      </w:r>
      <w:r w:rsidRPr="00F85141">
        <w:rPr>
          <w:sz w:val="26"/>
          <w:szCs w:val="26"/>
        </w:rPr>
        <w:t xml:space="preserve">, </w:t>
      </w:r>
      <w:r w:rsidR="00242C42" w:rsidRPr="00F85141">
        <w:rPr>
          <w:sz w:val="26"/>
          <w:szCs w:val="26"/>
        </w:rPr>
        <w:t>and introduced three</w:t>
      </w:r>
      <w:r w:rsidRPr="00F85141">
        <w:rPr>
          <w:sz w:val="26"/>
          <w:szCs w:val="26"/>
        </w:rPr>
        <w:t xml:space="preserve"> exhibit</w:t>
      </w:r>
      <w:r w:rsidR="00242C42" w:rsidRPr="00F85141">
        <w:rPr>
          <w:sz w:val="26"/>
          <w:szCs w:val="26"/>
        </w:rPr>
        <w:t>s, all</w:t>
      </w:r>
      <w:r w:rsidRPr="00F85141">
        <w:rPr>
          <w:sz w:val="26"/>
          <w:szCs w:val="26"/>
        </w:rPr>
        <w:t xml:space="preserve"> of which were admitted into the record.  The hearing generated a transcript of </w:t>
      </w:r>
      <w:r w:rsidR="00F85141" w:rsidRPr="00F85141">
        <w:rPr>
          <w:sz w:val="26"/>
          <w:szCs w:val="26"/>
        </w:rPr>
        <w:t>thirty-eight</w:t>
      </w:r>
      <w:r w:rsidRPr="00F85141">
        <w:rPr>
          <w:sz w:val="26"/>
          <w:szCs w:val="26"/>
        </w:rPr>
        <w:t xml:space="preserve"> p</w:t>
      </w:r>
      <w:r w:rsidR="00F85141" w:rsidRPr="00F85141">
        <w:rPr>
          <w:sz w:val="26"/>
          <w:szCs w:val="26"/>
        </w:rPr>
        <w:t>ages.  The record was closed on December 3</w:t>
      </w:r>
      <w:r w:rsidRPr="00F85141">
        <w:rPr>
          <w:sz w:val="26"/>
          <w:szCs w:val="26"/>
        </w:rPr>
        <w:t>, 2012.</w:t>
      </w:r>
    </w:p>
    <w:p w:rsidR="000A0142" w:rsidRPr="007F282F" w:rsidRDefault="000A0142" w:rsidP="000A0142">
      <w:pPr>
        <w:keepNext/>
        <w:widowControl/>
        <w:spacing w:line="360" w:lineRule="auto"/>
        <w:rPr>
          <w:color w:val="000000"/>
          <w:sz w:val="26"/>
        </w:rPr>
      </w:pPr>
      <w:r w:rsidRPr="007F282F">
        <w:rPr>
          <w:sz w:val="26"/>
          <w:szCs w:val="26"/>
        </w:rPr>
        <w:lastRenderedPageBreak/>
        <w:tab/>
      </w:r>
      <w:r w:rsidRPr="007F282F">
        <w:rPr>
          <w:sz w:val="26"/>
          <w:szCs w:val="26"/>
        </w:rPr>
        <w:tab/>
        <w:t xml:space="preserve">On </w:t>
      </w:r>
      <w:r w:rsidR="00BA6505" w:rsidRPr="007F282F">
        <w:rPr>
          <w:color w:val="000000"/>
          <w:sz w:val="26"/>
        </w:rPr>
        <w:t>January 3, 2013</w:t>
      </w:r>
      <w:r w:rsidRPr="007F282F">
        <w:rPr>
          <w:color w:val="000000"/>
          <w:sz w:val="26"/>
        </w:rPr>
        <w:t>, the Commission issued the Initial Decision</w:t>
      </w:r>
      <w:r w:rsidR="00BA6505" w:rsidRPr="007F282F">
        <w:rPr>
          <w:color w:val="000000"/>
          <w:sz w:val="26"/>
        </w:rPr>
        <w:t xml:space="preserve"> of ALJ Barnes</w:t>
      </w:r>
      <w:r w:rsidR="00C85651" w:rsidRPr="007F282F">
        <w:rPr>
          <w:color w:val="000000"/>
          <w:sz w:val="26"/>
        </w:rPr>
        <w:t>, which denied the Complaint</w:t>
      </w:r>
      <w:r w:rsidRPr="007F282F">
        <w:rPr>
          <w:color w:val="000000"/>
          <w:sz w:val="26"/>
        </w:rPr>
        <w:t xml:space="preserve">.  </w:t>
      </w:r>
      <w:r w:rsidR="00C85651" w:rsidRPr="007F282F">
        <w:rPr>
          <w:color w:val="000000"/>
          <w:sz w:val="26"/>
        </w:rPr>
        <w:t>I.D. at 8</w:t>
      </w:r>
      <w:r w:rsidRPr="007F282F">
        <w:rPr>
          <w:color w:val="000000"/>
          <w:sz w:val="26"/>
        </w:rPr>
        <w:t xml:space="preserve">.  </w:t>
      </w:r>
      <w:r w:rsidR="00C85651" w:rsidRPr="007F282F">
        <w:rPr>
          <w:color w:val="000000"/>
          <w:sz w:val="26"/>
        </w:rPr>
        <w:t>On January 12, 2013</w:t>
      </w:r>
      <w:r w:rsidRPr="007F282F">
        <w:rPr>
          <w:color w:val="000000"/>
          <w:sz w:val="26"/>
        </w:rPr>
        <w:t>, the Complainant filed Exceptions to the ALJ’s Initial Dec</w:t>
      </w:r>
      <w:r w:rsidR="007F282F" w:rsidRPr="007F282F">
        <w:rPr>
          <w:color w:val="000000"/>
          <w:sz w:val="26"/>
        </w:rPr>
        <w:t xml:space="preserve">ision.  </w:t>
      </w:r>
      <w:r w:rsidRPr="007F282F">
        <w:rPr>
          <w:color w:val="000000"/>
          <w:sz w:val="26"/>
        </w:rPr>
        <w:t>O</w:t>
      </w:r>
      <w:r w:rsidR="007F282F" w:rsidRPr="007F282F">
        <w:rPr>
          <w:color w:val="000000"/>
          <w:sz w:val="26"/>
        </w:rPr>
        <w:t>n January 21, 2013, PPL</w:t>
      </w:r>
      <w:r w:rsidRPr="007F282F">
        <w:rPr>
          <w:color w:val="000000"/>
          <w:sz w:val="26"/>
        </w:rPr>
        <w:t xml:space="preserve"> filed timely Replies to the Complainant’s Exceptions.</w:t>
      </w:r>
    </w:p>
    <w:bookmarkEnd w:id="0"/>
    <w:bookmarkEnd w:id="1"/>
    <w:p w:rsidR="00716B51" w:rsidRPr="006837CF" w:rsidRDefault="00716B51" w:rsidP="00A77AC1">
      <w:pPr>
        <w:widowControl/>
        <w:spacing w:line="360" w:lineRule="auto"/>
        <w:rPr>
          <w:color w:val="000000"/>
          <w:sz w:val="26"/>
          <w:highlight w:val="green"/>
        </w:rPr>
      </w:pPr>
    </w:p>
    <w:p w:rsidR="00CA43A5" w:rsidRPr="00BD271D" w:rsidRDefault="00CA43A5" w:rsidP="006F4E35">
      <w:pPr>
        <w:keepNext/>
        <w:widowControl/>
        <w:spacing w:line="360" w:lineRule="auto"/>
        <w:jc w:val="center"/>
        <w:rPr>
          <w:sz w:val="26"/>
          <w:szCs w:val="26"/>
        </w:rPr>
      </w:pPr>
      <w:r w:rsidRPr="00BD271D">
        <w:rPr>
          <w:b/>
          <w:sz w:val="26"/>
          <w:szCs w:val="26"/>
        </w:rPr>
        <w:t>Discussion</w:t>
      </w:r>
    </w:p>
    <w:p w:rsidR="00154CB6" w:rsidRPr="00BD271D" w:rsidRDefault="00154CB6" w:rsidP="006F4E35">
      <w:pPr>
        <w:keepNext/>
        <w:widowControl/>
        <w:rPr>
          <w:sz w:val="26"/>
          <w:szCs w:val="26"/>
        </w:rPr>
      </w:pPr>
    </w:p>
    <w:p w:rsidR="00CB244C" w:rsidRPr="00BD271D" w:rsidRDefault="00CB244C" w:rsidP="006F4E35">
      <w:pPr>
        <w:keepNext/>
        <w:widowControl/>
        <w:rPr>
          <w:b/>
          <w:sz w:val="26"/>
          <w:szCs w:val="26"/>
        </w:rPr>
      </w:pPr>
      <w:r w:rsidRPr="00BD271D">
        <w:rPr>
          <w:b/>
          <w:sz w:val="26"/>
          <w:szCs w:val="26"/>
        </w:rPr>
        <w:t>Legal Standards</w:t>
      </w:r>
    </w:p>
    <w:p w:rsidR="00CB244C" w:rsidRPr="00BD271D" w:rsidRDefault="00CB244C" w:rsidP="006F4E35">
      <w:pPr>
        <w:keepNext/>
        <w:widowControl/>
        <w:spacing w:line="360" w:lineRule="auto"/>
        <w:rPr>
          <w:sz w:val="26"/>
          <w:szCs w:val="26"/>
        </w:rPr>
      </w:pPr>
    </w:p>
    <w:p w:rsidR="00CB244C" w:rsidRPr="00BD271D" w:rsidRDefault="00CB244C" w:rsidP="00B67D62">
      <w:pPr>
        <w:keepNext/>
        <w:widowControl/>
        <w:spacing w:line="360" w:lineRule="auto"/>
        <w:ind w:firstLine="1440"/>
        <w:rPr>
          <w:sz w:val="26"/>
          <w:szCs w:val="26"/>
        </w:rPr>
      </w:pPr>
      <w:r w:rsidRPr="00BD271D">
        <w:rPr>
          <w:sz w:val="26"/>
          <w:szCs w:val="26"/>
        </w:rPr>
        <w:t xml:space="preserve">As the proponent of a rule or order, the Complainant in this proceeding bears the burden of proof pursuant to Section 332(a) of the </w:t>
      </w:r>
      <w:r w:rsidR="00984A55" w:rsidRPr="00BD271D">
        <w:rPr>
          <w:sz w:val="26"/>
          <w:szCs w:val="26"/>
        </w:rPr>
        <w:t xml:space="preserve">Public Utility </w:t>
      </w:r>
      <w:r w:rsidRPr="00BD271D">
        <w:rPr>
          <w:sz w:val="26"/>
          <w:szCs w:val="26"/>
        </w:rPr>
        <w:t>Code</w:t>
      </w:r>
      <w:r w:rsidR="00984A55" w:rsidRPr="00BD271D">
        <w:rPr>
          <w:sz w:val="26"/>
          <w:szCs w:val="26"/>
        </w:rPr>
        <w:t xml:space="preserve"> (Code)</w:t>
      </w:r>
      <w:r w:rsidR="00C76AF3" w:rsidRPr="00BD271D">
        <w:rPr>
          <w:sz w:val="26"/>
          <w:szCs w:val="26"/>
        </w:rPr>
        <w:t xml:space="preserve">, </w:t>
      </w:r>
      <w:r w:rsidRPr="00BD271D">
        <w:rPr>
          <w:sz w:val="26"/>
          <w:szCs w:val="26"/>
        </w:rPr>
        <w:t>66 Pa. C.S. § 332(a).  To establish a sufficient case and satisfy the burden of proof, the Complaina</w:t>
      </w:r>
      <w:r w:rsidR="00A02D14" w:rsidRPr="00BD271D">
        <w:rPr>
          <w:sz w:val="26"/>
          <w:szCs w:val="26"/>
        </w:rPr>
        <w:t xml:space="preserve">nt must show that </w:t>
      </w:r>
      <w:r w:rsidR="00791054">
        <w:rPr>
          <w:sz w:val="26"/>
          <w:szCs w:val="26"/>
        </w:rPr>
        <w:t>PPL</w:t>
      </w:r>
      <w:r w:rsidRPr="00BD271D">
        <w:rPr>
          <w:sz w:val="26"/>
          <w:szCs w:val="26"/>
        </w:rPr>
        <w:t xml:space="preserve"> is responsible or accountable for the problem described in the Complaint.  </w:t>
      </w:r>
      <w:r w:rsidRPr="00BD271D">
        <w:rPr>
          <w:i/>
          <w:sz w:val="26"/>
          <w:szCs w:val="26"/>
        </w:rPr>
        <w:t>Patterson v. The Bell Telephone Company of Pennsylvania</w:t>
      </w:r>
      <w:r w:rsidRPr="00BD271D">
        <w:rPr>
          <w:sz w:val="26"/>
          <w:szCs w:val="26"/>
        </w:rPr>
        <w:t xml:space="preserve">, 72 Pa. P.U.C. 196 (1990).  Such a showing must be by a preponderance of the evidence.  </w:t>
      </w:r>
      <w:r w:rsidRPr="00BD271D">
        <w:rPr>
          <w:i/>
          <w:iCs/>
          <w:sz w:val="26"/>
          <w:szCs w:val="26"/>
        </w:rPr>
        <w:t>Samuel J. Lansberry, Inc. v. Pa. PUC</w:t>
      </w:r>
      <w:r w:rsidRPr="00BD271D">
        <w:rPr>
          <w:sz w:val="26"/>
          <w:szCs w:val="26"/>
        </w:rPr>
        <w:t xml:space="preserve">, 578 A.2d 600 (Pa. Cmwlth. 1990), </w:t>
      </w:r>
      <w:r w:rsidRPr="00BD271D">
        <w:rPr>
          <w:i/>
          <w:sz w:val="26"/>
          <w:szCs w:val="26"/>
        </w:rPr>
        <w:t>alloc. denied,</w:t>
      </w:r>
      <w:r w:rsidRPr="00BD271D">
        <w:rPr>
          <w:sz w:val="26"/>
          <w:szCs w:val="26"/>
        </w:rPr>
        <w:t xml:space="preserve"> 529 Pa. 654, 602 A.2d 863 (1992).  That is, the Complainant’s evidence must be more convincing, by even the smallest amount, than </w:t>
      </w:r>
      <w:r w:rsidR="00C76AF3" w:rsidRPr="00BD271D">
        <w:rPr>
          <w:sz w:val="26"/>
          <w:szCs w:val="26"/>
        </w:rPr>
        <w:t>that presented by</w:t>
      </w:r>
      <w:r w:rsidR="00791054">
        <w:rPr>
          <w:sz w:val="26"/>
          <w:szCs w:val="26"/>
        </w:rPr>
        <w:t xml:space="preserve"> PPL</w:t>
      </w:r>
      <w:r w:rsidRPr="00BD271D">
        <w:rPr>
          <w:sz w:val="26"/>
          <w:szCs w:val="26"/>
        </w:rPr>
        <w:t xml:space="preserve">.  </w:t>
      </w:r>
      <w:r w:rsidRPr="00BD271D">
        <w:rPr>
          <w:i/>
          <w:sz w:val="26"/>
          <w:szCs w:val="26"/>
        </w:rPr>
        <w:t>Se-Ling Hosiery, Inc. v. Margulies</w:t>
      </w:r>
      <w:r w:rsidRPr="00BD271D">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BD271D">
        <w:rPr>
          <w:i/>
          <w:sz w:val="26"/>
          <w:szCs w:val="26"/>
        </w:rPr>
        <w:t xml:space="preserve">Norfolk &amp; Western Ry. Co. v. Pa. PUC, </w:t>
      </w:r>
      <w:r w:rsidRPr="00BD271D">
        <w:rPr>
          <w:sz w:val="26"/>
          <w:szCs w:val="26"/>
        </w:rPr>
        <w:t>489 Pa. 109, 413 A.2d 1037 (1980).</w:t>
      </w:r>
    </w:p>
    <w:p w:rsidR="00CB244C" w:rsidRPr="00BD271D" w:rsidRDefault="00CB244C" w:rsidP="00CB244C">
      <w:pPr>
        <w:spacing w:line="360" w:lineRule="auto"/>
        <w:rPr>
          <w:sz w:val="26"/>
          <w:szCs w:val="26"/>
        </w:rPr>
      </w:pPr>
    </w:p>
    <w:p w:rsidR="00CB244C" w:rsidRPr="00BD271D" w:rsidRDefault="00A02D14" w:rsidP="003B016A">
      <w:pPr>
        <w:widowControl/>
        <w:spacing w:line="360" w:lineRule="auto"/>
        <w:ind w:firstLine="1440"/>
        <w:rPr>
          <w:rFonts w:ascii="Times New (W1)" w:hAnsi="Times New (W1)"/>
          <w:i/>
          <w:sz w:val="26"/>
        </w:rPr>
      </w:pPr>
      <w:r w:rsidRPr="00BD271D">
        <w:rPr>
          <w:sz w:val="26"/>
        </w:rPr>
        <w:t>Upon the presentation by the C</w:t>
      </w:r>
      <w:r w:rsidR="00CB244C" w:rsidRPr="00BD271D">
        <w:rPr>
          <w:sz w:val="26"/>
        </w:rPr>
        <w:t xml:space="preserve">omplainant of evidence sufficient to initially satisfy the burden of proof, the burden of going forward with the evidence to rebut the evidence of the </w:t>
      </w:r>
      <w:r w:rsidR="002A5EB0">
        <w:rPr>
          <w:sz w:val="26"/>
        </w:rPr>
        <w:t>Complainant</w:t>
      </w:r>
      <w:r w:rsidR="00203025">
        <w:rPr>
          <w:sz w:val="26"/>
        </w:rPr>
        <w:t xml:space="preserve"> shifts to PPL</w:t>
      </w:r>
      <w:r w:rsidR="00CB244C" w:rsidRPr="00BD271D">
        <w:rPr>
          <w:sz w:val="26"/>
        </w:rPr>
        <w:t xml:space="preserve">. </w:t>
      </w:r>
      <w:r w:rsidR="001D3751" w:rsidRPr="00BD271D">
        <w:rPr>
          <w:sz w:val="26"/>
        </w:rPr>
        <w:t xml:space="preserve"> </w:t>
      </w:r>
      <w:r w:rsidR="00CB244C" w:rsidRPr="00BD271D">
        <w:rPr>
          <w:sz w:val="26"/>
        </w:rPr>
        <w:t xml:space="preserve">If the evidence presented by </w:t>
      </w:r>
      <w:r w:rsidR="00203025">
        <w:rPr>
          <w:sz w:val="26"/>
        </w:rPr>
        <w:t>PPL</w:t>
      </w:r>
      <w:r w:rsidR="00CB244C" w:rsidRPr="00BD271D">
        <w:rPr>
          <w:sz w:val="26"/>
        </w:rPr>
        <w:t xml:space="preserve"> is of co-equal value or “weight,” the burden of pro</w:t>
      </w:r>
      <w:r w:rsidRPr="00BD271D">
        <w:rPr>
          <w:sz w:val="26"/>
        </w:rPr>
        <w:t xml:space="preserve">of has not been satisfied. </w:t>
      </w:r>
      <w:r w:rsidR="00A77AC1">
        <w:rPr>
          <w:sz w:val="26"/>
        </w:rPr>
        <w:t xml:space="preserve"> </w:t>
      </w:r>
      <w:r w:rsidRPr="00BD271D">
        <w:rPr>
          <w:sz w:val="26"/>
        </w:rPr>
        <w:t>The C</w:t>
      </w:r>
      <w:r w:rsidR="00CB244C" w:rsidRPr="00BD271D">
        <w:rPr>
          <w:sz w:val="26"/>
        </w:rPr>
        <w:t>omplainant now has to provide some additional evidence</w:t>
      </w:r>
      <w:r w:rsidR="00203025">
        <w:rPr>
          <w:sz w:val="26"/>
        </w:rPr>
        <w:t xml:space="preserve"> to rebut that of PPL</w:t>
      </w:r>
      <w:r w:rsidR="00CB244C" w:rsidRPr="00BD271D">
        <w:rPr>
          <w:sz w:val="26"/>
        </w:rPr>
        <w:t xml:space="preserve">. </w:t>
      </w:r>
      <w:r w:rsidR="00CB244C" w:rsidRPr="00BD271D">
        <w:rPr>
          <w:iCs/>
          <w:sz w:val="26"/>
        </w:rPr>
        <w:t xml:space="preserve"> </w:t>
      </w:r>
      <w:hyperlink r:id="rId9" w:history="1">
        <w:r w:rsidR="00CB244C" w:rsidRPr="00BD271D">
          <w:rPr>
            <w:rStyle w:val="Hyperlink"/>
            <w:rFonts w:ascii="Times New (W1)" w:hAnsi="Times New (W1)"/>
            <w:i/>
            <w:iCs/>
            <w:color w:val="auto"/>
            <w:sz w:val="26"/>
            <w:u w:val="none"/>
          </w:rPr>
          <w:t>Burleson v. Pa. PUC,</w:t>
        </w:r>
        <w:r w:rsidR="00CB244C" w:rsidRPr="00BD271D">
          <w:rPr>
            <w:rStyle w:val="Hyperlink"/>
            <w:rFonts w:ascii="Times New (W1)" w:hAnsi="Times New (W1)"/>
            <w:iCs/>
            <w:color w:val="auto"/>
            <w:sz w:val="26"/>
            <w:u w:val="none"/>
          </w:rPr>
          <w:t xml:space="preserve"> 443 A.2d 1373 (Pa. Cmwlth. 1982), </w:t>
        </w:r>
        <w:r w:rsidR="00CB244C" w:rsidRPr="00BD271D">
          <w:rPr>
            <w:rStyle w:val="Hyperlink"/>
            <w:rFonts w:ascii="Times New (W1)" w:hAnsi="Times New (W1)"/>
            <w:i/>
            <w:iCs/>
            <w:color w:val="auto"/>
            <w:sz w:val="26"/>
            <w:u w:val="none"/>
          </w:rPr>
          <w:t>aff’d,</w:t>
        </w:r>
        <w:r w:rsidR="00CB244C" w:rsidRPr="00BD271D">
          <w:rPr>
            <w:rStyle w:val="Hyperlink"/>
            <w:rFonts w:ascii="Times New (W1)" w:hAnsi="Times New (W1)"/>
            <w:iCs/>
            <w:color w:val="auto"/>
            <w:sz w:val="26"/>
            <w:u w:val="none"/>
          </w:rPr>
          <w:t xml:space="preserve"> 501 Pa. 433, 461 A.2d 1234 (1983).</w:t>
        </w:r>
      </w:hyperlink>
    </w:p>
    <w:p w:rsidR="00CB244C" w:rsidRPr="00BD271D" w:rsidRDefault="00CB244C" w:rsidP="00607011">
      <w:pPr>
        <w:widowControl/>
        <w:spacing w:line="360" w:lineRule="auto"/>
        <w:ind w:firstLine="1440"/>
        <w:rPr>
          <w:sz w:val="26"/>
        </w:rPr>
      </w:pPr>
      <w:r w:rsidRPr="00BD271D">
        <w:rPr>
          <w:sz w:val="26"/>
        </w:rPr>
        <w:lastRenderedPageBreak/>
        <w:t xml:space="preserve">While the burden of going forward with the evidence may </w:t>
      </w:r>
      <w:r w:rsidRPr="00BD271D">
        <w:rPr>
          <w:rStyle w:val="term1"/>
          <w:b w:val="0"/>
          <w:bCs w:val="0"/>
          <w:sz w:val="26"/>
        </w:rPr>
        <w:t>shift</w:t>
      </w:r>
      <w:r w:rsidRPr="00BD271D">
        <w:rPr>
          <w:sz w:val="26"/>
        </w:rPr>
        <w:t xml:space="preserve"> back and forth during a proceeding, the </w:t>
      </w:r>
      <w:r w:rsidRPr="00BD271D">
        <w:rPr>
          <w:rStyle w:val="term1"/>
          <w:b w:val="0"/>
          <w:bCs w:val="0"/>
          <w:sz w:val="26"/>
        </w:rPr>
        <w:t>burden of proof</w:t>
      </w:r>
      <w:r w:rsidRPr="00BD271D">
        <w:rPr>
          <w:sz w:val="26"/>
        </w:rPr>
        <w:t xml:space="preserve"> never </w:t>
      </w:r>
      <w:r w:rsidRPr="00BD271D">
        <w:rPr>
          <w:rStyle w:val="term1"/>
          <w:b w:val="0"/>
          <w:bCs w:val="0"/>
          <w:sz w:val="26"/>
        </w:rPr>
        <w:t>shifts. The burden of proof</w:t>
      </w:r>
      <w:r w:rsidRPr="00BD271D">
        <w:rPr>
          <w:sz w:val="26"/>
        </w:rPr>
        <w:t xml:space="preserve"> always remains on the party seeking affirmative relief from the Commission.  </w:t>
      </w:r>
      <w:r w:rsidRPr="00BD271D">
        <w:rPr>
          <w:i/>
          <w:sz w:val="26"/>
        </w:rPr>
        <w:t xml:space="preserve">Milkie v. Pa. PUC, </w:t>
      </w:r>
      <w:r w:rsidRPr="00BD271D">
        <w:rPr>
          <w:sz w:val="26"/>
        </w:rPr>
        <w:t>768 A.2d 1217 (Pa. Cmwlth. 2001).</w:t>
      </w:r>
    </w:p>
    <w:p w:rsidR="00B61155" w:rsidRPr="00BD271D" w:rsidRDefault="00B61155" w:rsidP="00CB244C">
      <w:pPr>
        <w:spacing w:line="360" w:lineRule="auto"/>
        <w:ind w:firstLine="1440"/>
        <w:rPr>
          <w:sz w:val="26"/>
        </w:rPr>
      </w:pPr>
    </w:p>
    <w:p w:rsidR="00B61155" w:rsidRPr="00BD271D" w:rsidRDefault="00B61155" w:rsidP="00B61155">
      <w:pPr>
        <w:widowControl/>
        <w:spacing w:line="360" w:lineRule="auto"/>
        <w:ind w:firstLine="1440"/>
        <w:rPr>
          <w:sz w:val="26"/>
        </w:rPr>
      </w:pPr>
      <w:r w:rsidRPr="00BD271D">
        <w:rPr>
          <w:sz w:val="26"/>
          <w:szCs w:val="26"/>
        </w:rPr>
        <w:t xml:space="preserve">The burden of proof for “high bill” complaints has been explained in </w:t>
      </w:r>
      <w:r w:rsidRPr="00BD271D">
        <w:rPr>
          <w:i/>
          <w:sz w:val="26"/>
          <w:szCs w:val="26"/>
        </w:rPr>
        <w:t>Waldron v. Philadelphia Electric Company</w:t>
      </w:r>
      <w:r w:rsidRPr="00BD271D">
        <w:rPr>
          <w:sz w:val="26"/>
          <w:szCs w:val="26"/>
        </w:rPr>
        <w:t xml:space="preserve">, 54 Pa. P.U.C. 98 (1980), and its progeny.  </w:t>
      </w:r>
      <w:r w:rsidR="00DD2605">
        <w:rPr>
          <w:sz w:val="26"/>
        </w:rPr>
        <w:t>In </w:t>
      </w:r>
      <w:r w:rsidRPr="00BD271D">
        <w:rPr>
          <w:i/>
          <w:sz w:val="26"/>
          <w:szCs w:val="26"/>
        </w:rPr>
        <w:t>Waldron</w:t>
      </w:r>
      <w:r w:rsidRPr="00BD271D">
        <w:rPr>
          <w:sz w:val="26"/>
        </w:rPr>
        <w:t xml:space="preserve">, the Commission adopted the Michigan Public Service Commission’s (PSC’s) policy annunciated in </w:t>
      </w:r>
      <w:r w:rsidRPr="00BD271D">
        <w:rPr>
          <w:i/>
          <w:sz w:val="26"/>
        </w:rPr>
        <w:t>Hallifax v. O &amp; A Electric Co-Op</w:t>
      </w:r>
      <w:r w:rsidR="00A776C7" w:rsidRPr="00BD271D">
        <w:rPr>
          <w:sz w:val="26"/>
        </w:rPr>
        <w:t>, Case No. U-5825</w:t>
      </w:r>
      <w:r w:rsidRPr="00BD271D">
        <w:rPr>
          <w:sz w:val="26"/>
        </w:rPr>
        <w:t xml:space="preserve"> </w:t>
      </w:r>
      <w:r w:rsidR="00A630BE" w:rsidRPr="00BD271D">
        <w:rPr>
          <w:sz w:val="26"/>
        </w:rPr>
        <w:t>(</w:t>
      </w:r>
      <w:r w:rsidRPr="00BD271D">
        <w:rPr>
          <w:sz w:val="26"/>
        </w:rPr>
        <w:t>May</w:t>
      </w:r>
      <w:r w:rsidR="00A776C7" w:rsidRPr="00BD271D">
        <w:rPr>
          <w:sz w:val="26"/>
        </w:rPr>
        <w:t> </w:t>
      </w:r>
      <w:r w:rsidR="00A630BE" w:rsidRPr="00BD271D">
        <w:rPr>
          <w:sz w:val="26"/>
        </w:rPr>
        <w:t>7,</w:t>
      </w:r>
      <w:r w:rsidR="00A776C7" w:rsidRPr="00BD271D">
        <w:rPr>
          <w:sz w:val="26"/>
        </w:rPr>
        <w:t> </w:t>
      </w:r>
      <w:r w:rsidRPr="00BD271D">
        <w:rPr>
          <w:sz w:val="26"/>
        </w:rPr>
        <w:t>1979</w:t>
      </w:r>
      <w:r w:rsidR="00A630BE" w:rsidRPr="00BD271D">
        <w:rPr>
          <w:sz w:val="26"/>
        </w:rPr>
        <w:t>)</w:t>
      </w:r>
      <w:r w:rsidRPr="00BD271D">
        <w:rPr>
          <w:sz w:val="26"/>
        </w:rPr>
        <w:t>, which stated that, while the accuracy of the meter is an important factor in resolving billing disputes, it is not the sole criterion.  The Commission 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w:t>
      </w:r>
      <w:r w:rsidRPr="00BD271D" w:rsidDel="000555B3">
        <w:rPr>
          <w:rFonts w:eastAsiaTheme="minorEastAsia"/>
          <w:sz w:val="26"/>
          <w:vertAlign w:val="superscript"/>
        </w:rPr>
        <w:t xml:space="preserve"> </w:t>
      </w:r>
      <w:r w:rsidRPr="00BD271D">
        <w:rPr>
          <w:sz w:val="26"/>
        </w:rPr>
        <w:t xml:space="preserve">  </w:t>
      </w:r>
      <w:r w:rsidRPr="00BD271D">
        <w:rPr>
          <w:i/>
          <w:sz w:val="26"/>
        </w:rPr>
        <w:t>Waldron</w:t>
      </w:r>
      <w:r w:rsidRPr="00BD271D">
        <w:rPr>
          <w:sz w:val="26"/>
        </w:rPr>
        <w:t xml:space="preserve"> at 100.</w:t>
      </w:r>
    </w:p>
    <w:p w:rsidR="00B61155" w:rsidRPr="00BD271D" w:rsidRDefault="00B61155" w:rsidP="00B61155">
      <w:pPr>
        <w:widowControl/>
        <w:spacing w:after="200" w:line="276" w:lineRule="auto"/>
        <w:rPr>
          <w:sz w:val="26"/>
        </w:rPr>
      </w:pPr>
    </w:p>
    <w:p w:rsidR="00B61155" w:rsidRPr="00BD271D" w:rsidRDefault="00B61155" w:rsidP="00A8668D">
      <w:pPr>
        <w:keepNext/>
        <w:widowControl/>
        <w:spacing w:line="360" w:lineRule="auto"/>
        <w:ind w:firstLine="1440"/>
        <w:rPr>
          <w:sz w:val="26"/>
        </w:rPr>
      </w:pPr>
      <w:r w:rsidRPr="00BD271D">
        <w:rPr>
          <w:sz w:val="26"/>
        </w:rPr>
        <w:t xml:space="preserve">The Commission recently explained the burden of proof set forth in </w:t>
      </w:r>
      <w:r w:rsidRPr="00BD271D">
        <w:rPr>
          <w:i/>
          <w:sz w:val="26"/>
        </w:rPr>
        <w:t>Waldron</w:t>
      </w:r>
      <w:r w:rsidRPr="00BD271D">
        <w:rPr>
          <w:sz w:val="26"/>
        </w:rPr>
        <w:t xml:space="preserve"> as follows:  </w:t>
      </w:r>
    </w:p>
    <w:p w:rsidR="00B61155" w:rsidRPr="00BD271D" w:rsidRDefault="00B61155" w:rsidP="00A8668D">
      <w:pPr>
        <w:keepNext/>
        <w:widowControl/>
        <w:spacing w:line="360" w:lineRule="auto"/>
        <w:ind w:firstLine="1440"/>
        <w:rPr>
          <w:sz w:val="26"/>
        </w:rPr>
      </w:pPr>
    </w:p>
    <w:p w:rsidR="003B7073" w:rsidRDefault="00B61155" w:rsidP="003B7073">
      <w:pPr>
        <w:widowControl/>
        <w:ind w:left="1440" w:right="1440"/>
        <w:rPr>
          <w:rFonts w:cs="Arial"/>
          <w:sz w:val="26"/>
          <w:szCs w:val="26"/>
        </w:rPr>
      </w:pPr>
      <w:r w:rsidRPr="00BD271D">
        <w:rPr>
          <w:sz w:val="26"/>
        </w:rPr>
        <w:t xml:space="preserve">[T]he </w:t>
      </w:r>
      <w:r w:rsidRPr="00BD271D">
        <w:rPr>
          <w:i/>
          <w:sz w:val="26"/>
        </w:rPr>
        <w:t xml:space="preserve">Waldron </w:t>
      </w:r>
      <w:r w:rsidRPr="00BD271D">
        <w:rPr>
          <w:sz w:val="26"/>
        </w:rPr>
        <w:t xml:space="preserve">Rule allows a complainant to establish a </w:t>
      </w:r>
      <w:r w:rsidRPr="00BD271D">
        <w:rPr>
          <w:i/>
          <w:sz w:val="26"/>
        </w:rPr>
        <w:t xml:space="preserve">prima facie </w:t>
      </w:r>
      <w:r w:rsidRPr="00BD271D">
        <w:rPr>
          <w:sz w:val="26"/>
        </w:rPr>
        <w:t xml:space="preserve">case in a “high bill” complaint by showing that the disputed bill is abnormally high when compared to prior usage patterns and his or her pattern of usage has not changed </w:t>
      </w:r>
      <w:r w:rsidRPr="00BD271D">
        <w:rPr>
          <w:i/>
          <w:sz w:val="26"/>
        </w:rPr>
        <w:t>or</w:t>
      </w:r>
      <w:r w:rsidRPr="00BD271D">
        <w:rPr>
          <w:sz w:val="26"/>
        </w:rPr>
        <w:t> </w:t>
      </w:r>
      <w:r w:rsidRPr="00BD271D">
        <w:rPr>
          <w:i/>
          <w:sz w:val="26"/>
        </w:rPr>
        <w:t>by providing other relevant evidence showing that the disputed bill is unreasonably high</w:t>
      </w:r>
      <w:r w:rsidRPr="00BD271D">
        <w:rPr>
          <w:sz w:val="26"/>
        </w:rPr>
        <w:t>.  In evaluating a “high bill” complaint,</w:t>
      </w:r>
      <w:r w:rsidRPr="00BD271D">
        <w:rPr>
          <w:rFonts w:cs="Arial"/>
          <w:sz w:val="26"/>
          <w:szCs w:val="26"/>
        </w:rPr>
        <w:t xml:space="preserve"> the Commission may consider such evidence as “the billing history of the account, any change in usage patterns (such as a change in the number of occupants residing in the household or</w:t>
      </w:r>
      <w:r w:rsidR="003B7073">
        <w:rPr>
          <w:rFonts w:cs="Arial"/>
          <w:sz w:val="26"/>
          <w:szCs w:val="26"/>
        </w:rPr>
        <w:t xml:space="preserve"> potential energy utilization),</w:t>
      </w:r>
    </w:p>
    <w:p w:rsidR="00B61155" w:rsidRPr="00BD271D" w:rsidRDefault="00B61155" w:rsidP="003B7073">
      <w:pPr>
        <w:keepNext/>
        <w:widowControl/>
        <w:ind w:left="1440" w:right="1440"/>
        <w:rPr>
          <w:rFonts w:cs="Arial"/>
          <w:sz w:val="26"/>
          <w:szCs w:val="26"/>
        </w:rPr>
      </w:pPr>
      <w:r w:rsidRPr="00BD271D">
        <w:rPr>
          <w:rFonts w:cs="Arial"/>
          <w:i/>
          <w:sz w:val="26"/>
          <w:szCs w:val="26"/>
        </w:rPr>
        <w:lastRenderedPageBreak/>
        <w:t>and</w:t>
      </w:r>
      <w:r w:rsidRPr="00BD271D">
        <w:rPr>
          <w:rFonts w:cs="Arial"/>
          <w:b/>
          <w:i/>
          <w:sz w:val="26"/>
          <w:szCs w:val="26"/>
        </w:rPr>
        <w:t xml:space="preserve"> </w:t>
      </w:r>
      <w:r w:rsidRPr="00BD271D">
        <w:rPr>
          <w:rFonts w:cs="Arial"/>
          <w:i/>
          <w:sz w:val="26"/>
          <w:szCs w:val="26"/>
        </w:rPr>
        <w:t>any other relevant facts or circumstances that come to light during the proceeding</w:t>
      </w:r>
      <w:r w:rsidRPr="00BD271D">
        <w:rPr>
          <w:rFonts w:cs="Arial"/>
          <w:sz w:val="26"/>
          <w:szCs w:val="26"/>
        </w:rPr>
        <w:t>.”</w:t>
      </w:r>
    </w:p>
    <w:p w:rsidR="00B61155" w:rsidRPr="00BD271D" w:rsidRDefault="00B61155" w:rsidP="003B7073">
      <w:pPr>
        <w:keepNext/>
        <w:widowControl/>
        <w:spacing w:line="360" w:lineRule="auto"/>
        <w:ind w:left="1440" w:right="1440"/>
        <w:rPr>
          <w:rFonts w:cs="Arial"/>
          <w:sz w:val="26"/>
          <w:szCs w:val="26"/>
        </w:rPr>
      </w:pPr>
    </w:p>
    <w:p w:rsidR="00B61155" w:rsidRPr="00BD271D" w:rsidRDefault="00B61155" w:rsidP="003B7073">
      <w:pPr>
        <w:keepNext/>
        <w:widowControl/>
        <w:rPr>
          <w:sz w:val="26"/>
          <w:szCs w:val="26"/>
        </w:rPr>
      </w:pPr>
      <w:r w:rsidRPr="00BD271D">
        <w:rPr>
          <w:i/>
          <w:sz w:val="26"/>
          <w:szCs w:val="26"/>
        </w:rPr>
        <w:t>Thomas v. PECO Energy Company</w:t>
      </w:r>
      <w:r w:rsidRPr="00BD271D">
        <w:rPr>
          <w:sz w:val="26"/>
          <w:szCs w:val="26"/>
        </w:rPr>
        <w:t>,</w:t>
      </w:r>
      <w:r w:rsidR="00DC4D3A" w:rsidRPr="00BD271D">
        <w:rPr>
          <w:sz w:val="26"/>
          <w:szCs w:val="26"/>
        </w:rPr>
        <w:t xml:space="preserve"> Docket No. C-2010-2187197</w:t>
      </w:r>
      <w:r w:rsidRPr="00BD271D">
        <w:rPr>
          <w:sz w:val="26"/>
          <w:szCs w:val="26"/>
        </w:rPr>
        <w:t xml:space="preserve"> (Or</w:t>
      </w:r>
      <w:r w:rsidR="00DC4D3A" w:rsidRPr="00BD271D">
        <w:rPr>
          <w:sz w:val="26"/>
          <w:szCs w:val="26"/>
        </w:rPr>
        <w:t xml:space="preserve">der entered </w:t>
      </w:r>
      <w:r w:rsidR="006A6DCF">
        <w:rPr>
          <w:sz w:val="26"/>
          <w:szCs w:val="26"/>
        </w:rPr>
        <w:t xml:space="preserve">November 15, 2011) at 5; </w:t>
      </w:r>
      <w:r w:rsidR="006A6DCF" w:rsidRPr="006A6DCF">
        <w:rPr>
          <w:i/>
          <w:sz w:val="26"/>
          <w:szCs w:val="26"/>
        </w:rPr>
        <w:t>see also</w:t>
      </w:r>
      <w:r w:rsidR="006A6DCF">
        <w:rPr>
          <w:sz w:val="26"/>
          <w:szCs w:val="26"/>
        </w:rPr>
        <w:t>,</w:t>
      </w:r>
      <w:r w:rsidR="00DC4D3A" w:rsidRPr="00BD271D">
        <w:rPr>
          <w:sz w:val="26"/>
          <w:szCs w:val="26"/>
        </w:rPr>
        <w:t xml:space="preserve"> </w:t>
      </w:r>
      <w:r w:rsidR="00DC4D3A" w:rsidRPr="00BD271D">
        <w:rPr>
          <w:i/>
          <w:sz w:val="26"/>
          <w:szCs w:val="26"/>
        </w:rPr>
        <w:t>Bennett v. The Peoples Natural Gas Company</w:t>
      </w:r>
      <w:r w:rsidR="00DC4D3A" w:rsidRPr="00BD271D">
        <w:rPr>
          <w:sz w:val="26"/>
          <w:szCs w:val="26"/>
        </w:rPr>
        <w:t>, Docket No. C-2009-2122979 (Order entered October 13, 2010).</w:t>
      </w:r>
    </w:p>
    <w:p w:rsidR="00CB244C" w:rsidRPr="00BD271D" w:rsidRDefault="00CB244C" w:rsidP="00961671">
      <w:pPr>
        <w:widowControl/>
        <w:spacing w:line="360" w:lineRule="auto"/>
        <w:rPr>
          <w:sz w:val="26"/>
          <w:szCs w:val="26"/>
        </w:rPr>
      </w:pPr>
    </w:p>
    <w:p w:rsidR="00CA43A5" w:rsidRPr="00BD271D" w:rsidRDefault="00BD271D" w:rsidP="005F184F">
      <w:pPr>
        <w:widowControl/>
        <w:spacing w:line="360" w:lineRule="auto"/>
        <w:ind w:firstLine="1440"/>
        <w:rPr>
          <w:sz w:val="26"/>
          <w:szCs w:val="26"/>
        </w:rPr>
      </w:pPr>
      <w:r w:rsidRPr="00BD271D">
        <w:rPr>
          <w:sz w:val="26"/>
          <w:szCs w:val="26"/>
        </w:rPr>
        <w:t>ALJ Barnes made eighteen</w:t>
      </w:r>
      <w:r w:rsidR="00CA43A5" w:rsidRPr="00BD271D">
        <w:rPr>
          <w:sz w:val="26"/>
          <w:szCs w:val="26"/>
        </w:rPr>
        <w:t xml:space="preserve"> Find</w:t>
      </w:r>
      <w:r w:rsidR="00961671" w:rsidRPr="00BD271D">
        <w:rPr>
          <w:sz w:val="26"/>
          <w:szCs w:val="26"/>
        </w:rPr>
        <w:t>ings of Fact and</w:t>
      </w:r>
      <w:r w:rsidRPr="00BD271D">
        <w:rPr>
          <w:sz w:val="26"/>
          <w:szCs w:val="26"/>
        </w:rPr>
        <w:t xml:space="preserve"> reached six</w:t>
      </w:r>
      <w:r w:rsidR="00CA43A5" w:rsidRPr="00BD271D">
        <w:rPr>
          <w:sz w:val="26"/>
          <w:szCs w:val="26"/>
        </w:rPr>
        <w:t xml:space="preserve"> Conclusions of Law.  </w:t>
      </w:r>
      <w:r w:rsidRPr="00BD271D">
        <w:rPr>
          <w:sz w:val="26"/>
          <w:szCs w:val="26"/>
        </w:rPr>
        <w:t>I.D. at 2-4, 7-8</w:t>
      </w:r>
      <w:r w:rsidR="00961671" w:rsidRPr="00BD271D">
        <w:rPr>
          <w:sz w:val="26"/>
          <w:szCs w:val="26"/>
        </w:rPr>
        <w:t xml:space="preserve">.  </w:t>
      </w:r>
      <w:r w:rsidR="00CA43A5" w:rsidRPr="00BD271D">
        <w:rPr>
          <w:sz w:val="26"/>
          <w:szCs w:val="26"/>
        </w:rPr>
        <w:t>The Findings of Fact and Conclusions of Law are incorporated herein by reference and are adopted without comment unless they are either expressly or by necessary implication rejected or modified by this Opinion and Order.</w:t>
      </w:r>
    </w:p>
    <w:p w:rsidR="00CA43A5" w:rsidRPr="00BD271D" w:rsidRDefault="00CA43A5" w:rsidP="005F184F">
      <w:pPr>
        <w:widowControl/>
        <w:spacing w:line="360" w:lineRule="auto"/>
        <w:rPr>
          <w:sz w:val="26"/>
          <w:szCs w:val="26"/>
        </w:rPr>
      </w:pPr>
    </w:p>
    <w:p w:rsidR="00214B3E" w:rsidRPr="00BD271D" w:rsidRDefault="00006F35" w:rsidP="005F184F">
      <w:pPr>
        <w:widowControl/>
        <w:spacing w:line="360" w:lineRule="auto"/>
        <w:ind w:firstLine="1440"/>
        <w:rPr>
          <w:sz w:val="26"/>
          <w:szCs w:val="26"/>
        </w:rPr>
      </w:pPr>
      <w:r w:rsidRPr="00BD271D">
        <w:rPr>
          <w:sz w:val="26"/>
          <w:szCs w:val="26"/>
        </w:rPr>
        <w:t>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w:t>
      </w:r>
      <w:r w:rsidR="002A6750" w:rsidRPr="00BD271D">
        <w:rPr>
          <w:sz w:val="26"/>
          <w:szCs w:val="26"/>
        </w:rPr>
        <w:t xml:space="preserve">.  </w:t>
      </w:r>
      <w:hyperlink r:id="rId10" w:history="1">
        <w:r w:rsidR="009F1A08" w:rsidRPr="00BD271D">
          <w:rPr>
            <w:rStyle w:val="Emphasis"/>
            <w:color w:val="000000"/>
            <w:sz w:val="26"/>
            <w:szCs w:val="26"/>
          </w:rPr>
          <w:t>Consolidated Rail Corp. v. Pa. </w:t>
        </w:r>
        <w:r w:rsidR="002A6750" w:rsidRPr="00BD271D">
          <w:rPr>
            <w:rStyle w:val="Emphasis"/>
            <w:color w:val="000000"/>
            <w:sz w:val="26"/>
            <w:szCs w:val="26"/>
          </w:rPr>
          <w:t xml:space="preserve">PUC, </w:t>
        </w:r>
        <w:r w:rsidR="002A6750" w:rsidRPr="00BD271D">
          <w:rPr>
            <w:rStyle w:val="Hyperlink"/>
            <w:color w:val="000000"/>
            <w:sz w:val="26"/>
            <w:szCs w:val="26"/>
            <w:u w:val="none"/>
          </w:rPr>
          <w:t>625 A.2d 741 (Pa. Cmwlth. 1993);</w:t>
        </w:r>
      </w:hyperlink>
      <w:r w:rsidR="002A6750" w:rsidRPr="00BD271D">
        <w:rPr>
          <w:color w:val="000000"/>
          <w:sz w:val="26"/>
          <w:szCs w:val="26"/>
        </w:rPr>
        <w:t xml:space="preserve"> </w:t>
      </w:r>
      <w:r w:rsidR="002A6750" w:rsidRPr="00BD271D">
        <w:rPr>
          <w:i/>
          <w:color w:val="000000"/>
          <w:sz w:val="26"/>
          <w:szCs w:val="26"/>
        </w:rPr>
        <w:t xml:space="preserve">also </w:t>
      </w:r>
      <w:r w:rsidR="002A6750" w:rsidRPr="00BD271D">
        <w:rPr>
          <w:rStyle w:val="Emphasis"/>
          <w:color w:val="000000"/>
          <w:sz w:val="26"/>
          <w:szCs w:val="26"/>
        </w:rPr>
        <w:t xml:space="preserve">see, generally, </w:t>
      </w:r>
      <w:hyperlink r:id="rId11" w:history="1">
        <w:r w:rsidR="002A6750" w:rsidRPr="00BD271D">
          <w:rPr>
            <w:rStyle w:val="Emphasis"/>
            <w:color w:val="000000"/>
            <w:sz w:val="26"/>
            <w:szCs w:val="26"/>
          </w:rPr>
          <w:t>University of Pennsylvania v. Pa. PUC</w:t>
        </w:r>
        <w:r w:rsidR="002A6750" w:rsidRPr="00BD271D">
          <w:rPr>
            <w:rStyle w:val="Hyperlink"/>
            <w:color w:val="000000"/>
            <w:sz w:val="26"/>
            <w:szCs w:val="26"/>
            <w:u w:val="none"/>
          </w:rPr>
          <w:t>, 485 A.2d 1217 (Pa. Cmwlth. 1984).</w:t>
        </w:r>
      </w:hyperlink>
      <w:r w:rsidR="00214B3E" w:rsidRPr="00BD271D">
        <w:rPr>
          <w:sz w:val="26"/>
          <w:szCs w:val="26"/>
        </w:rPr>
        <w:t xml:space="preserve"> </w:t>
      </w:r>
    </w:p>
    <w:p w:rsidR="00006F35" w:rsidRPr="00BD271D" w:rsidRDefault="00006F35" w:rsidP="00602064">
      <w:pPr>
        <w:widowControl/>
        <w:spacing w:line="360" w:lineRule="auto"/>
        <w:ind w:firstLine="1440"/>
        <w:rPr>
          <w:sz w:val="26"/>
          <w:szCs w:val="26"/>
        </w:rPr>
      </w:pPr>
    </w:p>
    <w:p w:rsidR="00285073" w:rsidRPr="00EF5E81" w:rsidRDefault="00285073" w:rsidP="00602064">
      <w:pPr>
        <w:widowControl/>
        <w:spacing w:line="360" w:lineRule="auto"/>
        <w:rPr>
          <w:b/>
          <w:sz w:val="26"/>
          <w:szCs w:val="26"/>
        </w:rPr>
      </w:pPr>
      <w:r w:rsidRPr="00EF5E81">
        <w:rPr>
          <w:b/>
          <w:sz w:val="26"/>
          <w:szCs w:val="26"/>
        </w:rPr>
        <w:t>Positions of the Parties</w:t>
      </w:r>
    </w:p>
    <w:p w:rsidR="00285073" w:rsidRPr="00EF5E81" w:rsidRDefault="00285073" w:rsidP="00602064">
      <w:pPr>
        <w:widowControl/>
        <w:spacing w:line="360" w:lineRule="auto"/>
        <w:rPr>
          <w:sz w:val="26"/>
          <w:szCs w:val="26"/>
        </w:rPr>
      </w:pPr>
    </w:p>
    <w:p w:rsidR="000753F6" w:rsidRDefault="00285073" w:rsidP="00602064">
      <w:pPr>
        <w:widowControl/>
        <w:spacing w:line="360" w:lineRule="auto"/>
        <w:rPr>
          <w:sz w:val="26"/>
          <w:szCs w:val="26"/>
        </w:rPr>
      </w:pPr>
      <w:r w:rsidRPr="00EF5E81">
        <w:rPr>
          <w:sz w:val="26"/>
          <w:szCs w:val="26"/>
        </w:rPr>
        <w:tab/>
      </w:r>
      <w:r w:rsidRPr="00EF5E81">
        <w:rPr>
          <w:sz w:val="26"/>
          <w:szCs w:val="26"/>
        </w:rPr>
        <w:tab/>
      </w:r>
      <w:r w:rsidR="00F823C6" w:rsidRPr="00EF5E81">
        <w:rPr>
          <w:sz w:val="26"/>
          <w:szCs w:val="26"/>
        </w:rPr>
        <w:t>T</w:t>
      </w:r>
      <w:r w:rsidR="00294BD5" w:rsidRPr="00EF5E81">
        <w:rPr>
          <w:sz w:val="26"/>
          <w:szCs w:val="26"/>
        </w:rPr>
        <w:t xml:space="preserve">he </w:t>
      </w:r>
      <w:r w:rsidRPr="00EF5E81">
        <w:rPr>
          <w:sz w:val="26"/>
          <w:szCs w:val="26"/>
        </w:rPr>
        <w:t>Complainant</w:t>
      </w:r>
      <w:r w:rsidR="00966934">
        <w:rPr>
          <w:sz w:val="26"/>
          <w:szCs w:val="26"/>
        </w:rPr>
        <w:t xml:space="preserve"> is of the opinion that her electric bills for the years 2010 and 2011 were unreasonably high compar</w:t>
      </w:r>
      <w:r w:rsidR="00292927">
        <w:rPr>
          <w:sz w:val="26"/>
          <w:szCs w:val="26"/>
        </w:rPr>
        <w:t xml:space="preserve">ed to those she received prior to those years, and compared to bills she received in </w:t>
      </w:r>
      <w:r w:rsidR="00966934">
        <w:rPr>
          <w:sz w:val="26"/>
          <w:szCs w:val="26"/>
        </w:rPr>
        <w:t>2012.</w:t>
      </w:r>
      <w:r w:rsidR="002C4F72">
        <w:rPr>
          <w:sz w:val="26"/>
          <w:szCs w:val="26"/>
        </w:rPr>
        <w:t xml:space="preserve">  The Complainant </w:t>
      </w:r>
      <w:r w:rsidR="00C63F77">
        <w:rPr>
          <w:sz w:val="26"/>
          <w:szCs w:val="26"/>
        </w:rPr>
        <w:t>testified that she began complaining to PPL regarding high bills in January 2011, and that PPL eventually replaced her meter in March 2012.  According to the Complainant, her electric con</w:t>
      </w:r>
      <w:r w:rsidR="00B654EB">
        <w:rPr>
          <w:sz w:val="26"/>
          <w:szCs w:val="26"/>
        </w:rPr>
        <w:t>sumption decreased substantially</w:t>
      </w:r>
      <w:r w:rsidR="00C63F77">
        <w:rPr>
          <w:sz w:val="26"/>
          <w:szCs w:val="26"/>
        </w:rPr>
        <w:t xml:space="preserve"> after the meter was replaced.  </w:t>
      </w:r>
      <w:r w:rsidR="00896995">
        <w:rPr>
          <w:sz w:val="26"/>
          <w:szCs w:val="26"/>
        </w:rPr>
        <w:t>Therefore, it is the Complainant’s belief that the old meter was defective, and that she is entitled to a credit for high bills for the years 2010 and 2011</w:t>
      </w:r>
      <w:r w:rsidR="00805346">
        <w:rPr>
          <w:sz w:val="26"/>
          <w:szCs w:val="26"/>
        </w:rPr>
        <w:t>.</w:t>
      </w:r>
      <w:r w:rsidR="00896995">
        <w:rPr>
          <w:sz w:val="26"/>
          <w:szCs w:val="26"/>
        </w:rPr>
        <w:t xml:space="preserve"> </w:t>
      </w:r>
      <w:r w:rsidR="00805346">
        <w:rPr>
          <w:sz w:val="26"/>
          <w:szCs w:val="26"/>
        </w:rPr>
        <w:t xml:space="preserve"> </w:t>
      </w:r>
      <w:r w:rsidR="00C63F77">
        <w:rPr>
          <w:sz w:val="26"/>
          <w:szCs w:val="26"/>
        </w:rPr>
        <w:t>Tr. at 6-7.</w:t>
      </w:r>
    </w:p>
    <w:p w:rsidR="00F00129" w:rsidRDefault="00F00129" w:rsidP="00602064">
      <w:pPr>
        <w:widowControl/>
        <w:spacing w:line="360" w:lineRule="auto"/>
        <w:rPr>
          <w:sz w:val="26"/>
          <w:szCs w:val="26"/>
        </w:rPr>
      </w:pPr>
    </w:p>
    <w:p w:rsidR="00F00129" w:rsidRDefault="00F00129" w:rsidP="00602064">
      <w:pPr>
        <w:widowControl/>
        <w:spacing w:line="360" w:lineRule="auto"/>
        <w:rPr>
          <w:sz w:val="26"/>
          <w:szCs w:val="26"/>
        </w:rPr>
      </w:pPr>
      <w:r>
        <w:rPr>
          <w:sz w:val="26"/>
          <w:szCs w:val="26"/>
        </w:rPr>
        <w:lastRenderedPageBreak/>
        <w:tab/>
      </w:r>
      <w:r>
        <w:rPr>
          <w:sz w:val="26"/>
          <w:szCs w:val="26"/>
        </w:rPr>
        <w:tab/>
        <w:t xml:space="preserve">In support of her assertions, the Complainant provided </w:t>
      </w:r>
      <w:r w:rsidR="00310F4C">
        <w:rPr>
          <w:sz w:val="26"/>
          <w:szCs w:val="26"/>
        </w:rPr>
        <w:t>a comparison of her total electric consumption during</w:t>
      </w:r>
      <w:r w:rsidR="00C4589D">
        <w:rPr>
          <w:sz w:val="26"/>
          <w:szCs w:val="26"/>
        </w:rPr>
        <w:t xml:space="preserve"> the months of</w:t>
      </w:r>
      <w:r w:rsidR="00310F4C">
        <w:rPr>
          <w:sz w:val="26"/>
          <w:szCs w:val="26"/>
        </w:rPr>
        <w:t xml:space="preserve"> April through October for the years 2009 through 2012</w:t>
      </w:r>
      <w:r w:rsidR="00C4589D">
        <w:rPr>
          <w:sz w:val="26"/>
          <w:szCs w:val="26"/>
        </w:rPr>
        <w:t>, as follows:</w:t>
      </w:r>
    </w:p>
    <w:p w:rsidR="00C4589D" w:rsidRDefault="00C4589D" w:rsidP="005E5E87">
      <w:pPr>
        <w:widowControl/>
        <w:spacing w:line="360" w:lineRule="auto"/>
        <w:rPr>
          <w:sz w:val="26"/>
          <w:szCs w:val="26"/>
        </w:rPr>
      </w:pPr>
    </w:p>
    <w:tbl>
      <w:tblPr>
        <w:tblStyle w:val="TableGrid"/>
        <w:tblW w:w="0" w:type="auto"/>
        <w:tblLook w:val="04A0" w:firstRow="1" w:lastRow="0" w:firstColumn="1" w:lastColumn="0" w:noHBand="0" w:noVBand="1"/>
      </w:tblPr>
      <w:tblGrid>
        <w:gridCol w:w="2017"/>
        <w:gridCol w:w="1511"/>
        <w:gridCol w:w="1530"/>
        <w:gridCol w:w="1710"/>
        <w:gridCol w:w="1710"/>
      </w:tblGrid>
      <w:tr w:rsidR="00C4589D" w:rsidTr="00C4589D">
        <w:tc>
          <w:tcPr>
            <w:tcW w:w="2017" w:type="dxa"/>
          </w:tcPr>
          <w:p w:rsidR="00C4589D" w:rsidRPr="00C4589D" w:rsidRDefault="00C4589D" w:rsidP="005E5E87">
            <w:pPr>
              <w:widowControl/>
              <w:spacing w:line="360" w:lineRule="auto"/>
              <w:jc w:val="center"/>
              <w:rPr>
                <w:b/>
                <w:sz w:val="26"/>
                <w:szCs w:val="26"/>
              </w:rPr>
            </w:pPr>
            <w:r w:rsidRPr="00C4589D">
              <w:rPr>
                <w:b/>
                <w:sz w:val="26"/>
                <w:szCs w:val="26"/>
              </w:rPr>
              <w:t>Usage Period</w:t>
            </w:r>
          </w:p>
        </w:tc>
        <w:tc>
          <w:tcPr>
            <w:tcW w:w="1511" w:type="dxa"/>
          </w:tcPr>
          <w:p w:rsidR="00C4589D" w:rsidRPr="00C4589D" w:rsidRDefault="00C4589D" w:rsidP="005E5E87">
            <w:pPr>
              <w:widowControl/>
              <w:spacing w:line="360" w:lineRule="auto"/>
              <w:jc w:val="center"/>
              <w:rPr>
                <w:b/>
                <w:sz w:val="26"/>
                <w:szCs w:val="26"/>
              </w:rPr>
            </w:pPr>
            <w:r w:rsidRPr="00C4589D">
              <w:rPr>
                <w:b/>
                <w:sz w:val="26"/>
                <w:szCs w:val="26"/>
              </w:rPr>
              <w:t>2009</w:t>
            </w:r>
          </w:p>
        </w:tc>
        <w:tc>
          <w:tcPr>
            <w:tcW w:w="1530" w:type="dxa"/>
          </w:tcPr>
          <w:p w:rsidR="00C4589D" w:rsidRPr="00C4589D" w:rsidRDefault="00C4589D" w:rsidP="005E5E87">
            <w:pPr>
              <w:widowControl/>
              <w:spacing w:line="360" w:lineRule="auto"/>
              <w:jc w:val="center"/>
              <w:rPr>
                <w:b/>
                <w:sz w:val="26"/>
                <w:szCs w:val="26"/>
              </w:rPr>
            </w:pPr>
            <w:r w:rsidRPr="00C4589D">
              <w:rPr>
                <w:b/>
                <w:sz w:val="26"/>
                <w:szCs w:val="26"/>
              </w:rPr>
              <w:t>2010</w:t>
            </w:r>
          </w:p>
        </w:tc>
        <w:tc>
          <w:tcPr>
            <w:tcW w:w="1710" w:type="dxa"/>
          </w:tcPr>
          <w:p w:rsidR="00C4589D" w:rsidRPr="00C4589D" w:rsidRDefault="00C4589D" w:rsidP="005E5E87">
            <w:pPr>
              <w:widowControl/>
              <w:spacing w:line="360" w:lineRule="auto"/>
              <w:jc w:val="center"/>
              <w:rPr>
                <w:b/>
                <w:sz w:val="26"/>
                <w:szCs w:val="26"/>
              </w:rPr>
            </w:pPr>
            <w:r w:rsidRPr="00C4589D">
              <w:rPr>
                <w:b/>
                <w:sz w:val="26"/>
                <w:szCs w:val="26"/>
              </w:rPr>
              <w:t>2011</w:t>
            </w:r>
          </w:p>
        </w:tc>
        <w:tc>
          <w:tcPr>
            <w:tcW w:w="1710" w:type="dxa"/>
          </w:tcPr>
          <w:p w:rsidR="00C4589D" w:rsidRPr="00C4589D" w:rsidRDefault="00C4589D" w:rsidP="005E5E87">
            <w:pPr>
              <w:widowControl/>
              <w:spacing w:line="360" w:lineRule="auto"/>
              <w:jc w:val="center"/>
              <w:rPr>
                <w:b/>
                <w:sz w:val="26"/>
                <w:szCs w:val="26"/>
              </w:rPr>
            </w:pPr>
            <w:r w:rsidRPr="00C4589D">
              <w:rPr>
                <w:b/>
                <w:sz w:val="26"/>
                <w:szCs w:val="26"/>
              </w:rPr>
              <w:t>2012</w:t>
            </w:r>
          </w:p>
        </w:tc>
      </w:tr>
      <w:tr w:rsidR="00C4589D" w:rsidTr="00C4589D">
        <w:tc>
          <w:tcPr>
            <w:tcW w:w="2017" w:type="dxa"/>
          </w:tcPr>
          <w:p w:rsidR="00C4589D" w:rsidRPr="00C4589D" w:rsidRDefault="00C4589D" w:rsidP="005E5E87">
            <w:pPr>
              <w:widowControl/>
              <w:spacing w:line="360" w:lineRule="auto"/>
              <w:jc w:val="center"/>
              <w:rPr>
                <w:b/>
                <w:sz w:val="26"/>
                <w:szCs w:val="26"/>
              </w:rPr>
            </w:pPr>
            <w:r w:rsidRPr="00C4589D">
              <w:rPr>
                <w:b/>
                <w:sz w:val="26"/>
                <w:szCs w:val="26"/>
              </w:rPr>
              <w:t>April – October</w:t>
            </w:r>
          </w:p>
        </w:tc>
        <w:tc>
          <w:tcPr>
            <w:tcW w:w="1511" w:type="dxa"/>
          </w:tcPr>
          <w:p w:rsidR="00C4589D" w:rsidRDefault="00C4589D" w:rsidP="005E5E87">
            <w:pPr>
              <w:widowControl/>
              <w:spacing w:line="360" w:lineRule="auto"/>
              <w:rPr>
                <w:sz w:val="26"/>
                <w:szCs w:val="26"/>
              </w:rPr>
            </w:pPr>
            <w:r>
              <w:rPr>
                <w:sz w:val="26"/>
                <w:szCs w:val="26"/>
              </w:rPr>
              <w:t>9,592 kWh</w:t>
            </w:r>
          </w:p>
        </w:tc>
        <w:tc>
          <w:tcPr>
            <w:tcW w:w="1530" w:type="dxa"/>
          </w:tcPr>
          <w:p w:rsidR="00C4589D" w:rsidRDefault="00C4589D" w:rsidP="005E5E87">
            <w:pPr>
              <w:widowControl/>
              <w:spacing w:line="360" w:lineRule="auto"/>
              <w:rPr>
                <w:sz w:val="26"/>
                <w:szCs w:val="26"/>
              </w:rPr>
            </w:pPr>
            <w:r>
              <w:rPr>
                <w:sz w:val="26"/>
                <w:szCs w:val="26"/>
              </w:rPr>
              <w:t>11,281 kWh</w:t>
            </w:r>
          </w:p>
        </w:tc>
        <w:tc>
          <w:tcPr>
            <w:tcW w:w="1710" w:type="dxa"/>
          </w:tcPr>
          <w:p w:rsidR="00C4589D" w:rsidRDefault="00C4589D" w:rsidP="005E5E87">
            <w:pPr>
              <w:widowControl/>
              <w:spacing w:line="360" w:lineRule="auto"/>
              <w:rPr>
                <w:sz w:val="26"/>
                <w:szCs w:val="26"/>
              </w:rPr>
            </w:pPr>
            <w:r>
              <w:rPr>
                <w:sz w:val="26"/>
                <w:szCs w:val="26"/>
              </w:rPr>
              <w:t>12,534 kWh</w:t>
            </w:r>
          </w:p>
        </w:tc>
        <w:tc>
          <w:tcPr>
            <w:tcW w:w="1710" w:type="dxa"/>
          </w:tcPr>
          <w:p w:rsidR="00C4589D" w:rsidRDefault="00C4589D" w:rsidP="005E5E87">
            <w:pPr>
              <w:widowControl/>
              <w:spacing w:line="360" w:lineRule="auto"/>
              <w:rPr>
                <w:sz w:val="26"/>
                <w:szCs w:val="26"/>
              </w:rPr>
            </w:pPr>
            <w:r>
              <w:rPr>
                <w:sz w:val="26"/>
                <w:szCs w:val="26"/>
              </w:rPr>
              <w:t>9,230 kWh</w:t>
            </w:r>
          </w:p>
        </w:tc>
      </w:tr>
    </w:tbl>
    <w:p w:rsidR="00C4589D" w:rsidRPr="00EF5E81" w:rsidRDefault="00C4589D" w:rsidP="005E5E87">
      <w:pPr>
        <w:widowControl/>
        <w:spacing w:line="360" w:lineRule="auto"/>
        <w:rPr>
          <w:sz w:val="26"/>
          <w:szCs w:val="26"/>
        </w:rPr>
      </w:pPr>
    </w:p>
    <w:p w:rsidR="00053CA1" w:rsidRDefault="008B31A6" w:rsidP="005E5E87">
      <w:pPr>
        <w:widowControl/>
        <w:spacing w:line="360" w:lineRule="auto"/>
        <w:rPr>
          <w:sz w:val="26"/>
          <w:szCs w:val="26"/>
        </w:rPr>
      </w:pPr>
      <w:r w:rsidRPr="008B31A6">
        <w:rPr>
          <w:i/>
          <w:sz w:val="26"/>
          <w:szCs w:val="26"/>
        </w:rPr>
        <w:t>Id</w:t>
      </w:r>
      <w:r>
        <w:rPr>
          <w:sz w:val="26"/>
          <w:szCs w:val="26"/>
        </w:rPr>
        <w:t>. at 6.  The Complainant stated that she used the period April through October as her basis for compariso</w:t>
      </w:r>
      <w:r w:rsidR="008E145C">
        <w:rPr>
          <w:sz w:val="26"/>
          <w:szCs w:val="26"/>
        </w:rPr>
        <w:t>n because those months cover</w:t>
      </w:r>
      <w:r>
        <w:rPr>
          <w:sz w:val="26"/>
          <w:szCs w:val="26"/>
        </w:rPr>
        <w:t xml:space="preserve"> the time period </w:t>
      </w:r>
      <w:r w:rsidR="00744FD2">
        <w:rPr>
          <w:sz w:val="26"/>
          <w:szCs w:val="26"/>
        </w:rPr>
        <w:t>after her meter was replaced in 2012.</w:t>
      </w:r>
      <w:r w:rsidR="00744FD2">
        <w:rPr>
          <w:rStyle w:val="FootnoteReference"/>
          <w:sz w:val="26"/>
          <w:szCs w:val="26"/>
        </w:rPr>
        <w:footnoteReference w:id="3"/>
      </w:r>
      <w:r w:rsidR="006A4F51">
        <w:rPr>
          <w:sz w:val="26"/>
          <w:szCs w:val="26"/>
        </w:rPr>
        <w:t xml:space="preserve">  </w:t>
      </w:r>
      <w:r w:rsidR="006A4F51" w:rsidRPr="006A4F51">
        <w:rPr>
          <w:i/>
          <w:sz w:val="26"/>
          <w:szCs w:val="26"/>
        </w:rPr>
        <w:t>Id</w:t>
      </w:r>
      <w:r w:rsidR="006A4F51">
        <w:rPr>
          <w:sz w:val="26"/>
          <w:szCs w:val="26"/>
        </w:rPr>
        <w:t>.</w:t>
      </w:r>
    </w:p>
    <w:p w:rsidR="00602064" w:rsidRDefault="00602064" w:rsidP="005E5E87">
      <w:pPr>
        <w:widowControl/>
        <w:spacing w:line="360" w:lineRule="auto"/>
        <w:rPr>
          <w:sz w:val="26"/>
          <w:szCs w:val="26"/>
        </w:rPr>
      </w:pPr>
    </w:p>
    <w:p w:rsidR="00053CA1" w:rsidRDefault="00053CA1" w:rsidP="005E5E87">
      <w:pPr>
        <w:widowControl/>
        <w:spacing w:line="360" w:lineRule="auto"/>
        <w:rPr>
          <w:sz w:val="26"/>
          <w:szCs w:val="26"/>
        </w:rPr>
      </w:pPr>
      <w:r>
        <w:rPr>
          <w:sz w:val="26"/>
          <w:szCs w:val="26"/>
        </w:rPr>
        <w:tab/>
      </w:r>
      <w:r>
        <w:rPr>
          <w:sz w:val="26"/>
          <w:szCs w:val="26"/>
        </w:rPr>
        <w:tab/>
        <w:t xml:space="preserve">The Complainant also testified that, in the beginning of January 2012, construction of a pole building was </w:t>
      </w:r>
      <w:r w:rsidR="008E145C">
        <w:rPr>
          <w:sz w:val="26"/>
          <w:szCs w:val="26"/>
        </w:rPr>
        <w:t>completed on her property, and that the pole building</w:t>
      </w:r>
      <w:r>
        <w:rPr>
          <w:sz w:val="26"/>
          <w:szCs w:val="26"/>
        </w:rPr>
        <w:t xml:space="preserve"> was equipped with electric heat and an additional furnace.</w:t>
      </w:r>
      <w:r w:rsidR="008E145C">
        <w:rPr>
          <w:sz w:val="26"/>
          <w:szCs w:val="26"/>
        </w:rPr>
        <w:t xml:space="preserve"> </w:t>
      </w:r>
      <w:r w:rsidR="003A1D43">
        <w:rPr>
          <w:sz w:val="26"/>
          <w:szCs w:val="26"/>
        </w:rPr>
        <w:t xml:space="preserve"> </w:t>
      </w:r>
      <w:r w:rsidR="000D4460" w:rsidRPr="000D4460">
        <w:rPr>
          <w:i/>
          <w:sz w:val="26"/>
          <w:szCs w:val="26"/>
        </w:rPr>
        <w:t>Id</w:t>
      </w:r>
      <w:r w:rsidR="000D4460">
        <w:rPr>
          <w:sz w:val="26"/>
          <w:szCs w:val="26"/>
        </w:rPr>
        <w:t xml:space="preserve">. at 6.  </w:t>
      </w:r>
      <w:r w:rsidR="008E145C">
        <w:rPr>
          <w:sz w:val="26"/>
          <w:szCs w:val="26"/>
        </w:rPr>
        <w:t xml:space="preserve">According to the Complainant, construction of the pole building took approximately five months.  </w:t>
      </w:r>
      <w:r w:rsidR="008E145C" w:rsidRPr="008E145C">
        <w:rPr>
          <w:i/>
          <w:sz w:val="26"/>
          <w:szCs w:val="26"/>
        </w:rPr>
        <w:t>Id</w:t>
      </w:r>
      <w:r w:rsidR="00DD2605">
        <w:rPr>
          <w:sz w:val="26"/>
          <w:szCs w:val="26"/>
        </w:rPr>
        <w:t>. at </w:t>
      </w:r>
      <w:r w:rsidR="008E145C">
        <w:rPr>
          <w:sz w:val="26"/>
          <w:szCs w:val="26"/>
        </w:rPr>
        <w:t>11-12.  The Complainant stated that she had expected her electricity usage to increase after completion of the pole building, but</w:t>
      </w:r>
      <w:r w:rsidR="00E53CBB">
        <w:rPr>
          <w:sz w:val="26"/>
          <w:szCs w:val="26"/>
        </w:rPr>
        <w:t xml:space="preserve"> in actuality, it</w:t>
      </w:r>
      <w:r w:rsidR="008E145C">
        <w:rPr>
          <w:sz w:val="26"/>
          <w:szCs w:val="26"/>
        </w:rPr>
        <w:t xml:space="preserve"> decreased.</w:t>
      </w:r>
      <w:r w:rsidR="00265AE4">
        <w:rPr>
          <w:sz w:val="26"/>
          <w:szCs w:val="26"/>
        </w:rPr>
        <w:t xml:space="preserve">  </w:t>
      </w:r>
      <w:r w:rsidR="00265AE4" w:rsidRPr="00265AE4">
        <w:rPr>
          <w:i/>
          <w:sz w:val="26"/>
          <w:szCs w:val="26"/>
        </w:rPr>
        <w:t>Id</w:t>
      </w:r>
      <w:r w:rsidR="003878C9">
        <w:rPr>
          <w:sz w:val="26"/>
          <w:szCs w:val="26"/>
        </w:rPr>
        <w:t>.</w:t>
      </w:r>
    </w:p>
    <w:p w:rsidR="00ED05BA" w:rsidRDefault="00ED05BA" w:rsidP="005E5E87">
      <w:pPr>
        <w:keepNext/>
        <w:widowControl/>
        <w:spacing w:line="360" w:lineRule="auto"/>
        <w:rPr>
          <w:sz w:val="26"/>
          <w:szCs w:val="26"/>
        </w:rPr>
      </w:pPr>
    </w:p>
    <w:p w:rsidR="00B64407" w:rsidRDefault="00ED05BA" w:rsidP="005E5E87">
      <w:pPr>
        <w:keepNext/>
        <w:widowControl/>
        <w:spacing w:line="360" w:lineRule="auto"/>
        <w:rPr>
          <w:sz w:val="26"/>
          <w:szCs w:val="26"/>
        </w:rPr>
      </w:pPr>
      <w:r>
        <w:rPr>
          <w:sz w:val="26"/>
          <w:szCs w:val="26"/>
        </w:rPr>
        <w:tab/>
      </w:r>
      <w:r>
        <w:rPr>
          <w:sz w:val="26"/>
          <w:szCs w:val="26"/>
        </w:rPr>
        <w:tab/>
        <w:t>In response to the Complainant’s high bill/high usage concerns, a PPL customer contact representative visited the Complainant’s property</w:t>
      </w:r>
      <w:r w:rsidR="001079A5">
        <w:rPr>
          <w:sz w:val="26"/>
          <w:szCs w:val="26"/>
        </w:rPr>
        <w:t xml:space="preserve"> on March 8, 2012.</w:t>
      </w:r>
      <w:r>
        <w:rPr>
          <w:sz w:val="26"/>
          <w:szCs w:val="26"/>
        </w:rPr>
        <w:t xml:space="preserve"> </w:t>
      </w:r>
      <w:r w:rsidR="001079A5">
        <w:rPr>
          <w:sz w:val="26"/>
          <w:szCs w:val="26"/>
        </w:rPr>
        <w:t xml:space="preserve"> The PPL representative conducted a walk-through of the Complainant’s home to survey the various types of electrical ap</w:t>
      </w:r>
      <w:r w:rsidR="00792628">
        <w:rPr>
          <w:sz w:val="26"/>
          <w:szCs w:val="26"/>
        </w:rPr>
        <w:t>pliances installed in the home</w:t>
      </w:r>
      <w:r w:rsidR="001079A5">
        <w:rPr>
          <w:sz w:val="26"/>
          <w:szCs w:val="26"/>
        </w:rPr>
        <w:t>, and to determine the potential for overall electricity consumption.</w:t>
      </w:r>
      <w:r w:rsidR="007C3F53">
        <w:rPr>
          <w:sz w:val="26"/>
          <w:szCs w:val="26"/>
        </w:rPr>
        <w:t xml:space="preserve">  </w:t>
      </w:r>
      <w:r w:rsidR="007C3F53" w:rsidRPr="007C3F53">
        <w:rPr>
          <w:i/>
          <w:sz w:val="26"/>
          <w:szCs w:val="26"/>
        </w:rPr>
        <w:t>Id</w:t>
      </w:r>
      <w:r w:rsidR="007C3F53">
        <w:rPr>
          <w:sz w:val="26"/>
          <w:szCs w:val="26"/>
        </w:rPr>
        <w:t>. at 15-16.</w:t>
      </w:r>
      <w:r w:rsidR="00AA43EB">
        <w:rPr>
          <w:sz w:val="26"/>
          <w:szCs w:val="26"/>
        </w:rPr>
        <w:t xml:space="preserve">  Based on that survey, the PPL representative determined the</w:t>
      </w:r>
      <w:r w:rsidR="00587FE0">
        <w:rPr>
          <w:sz w:val="26"/>
          <w:szCs w:val="26"/>
        </w:rPr>
        <w:t xml:space="preserve"> average</w:t>
      </w:r>
      <w:r w:rsidR="00AA43EB">
        <w:rPr>
          <w:sz w:val="26"/>
          <w:szCs w:val="26"/>
        </w:rPr>
        <w:t xml:space="preserve"> potential electricity consumption in the Complainant’s home to be approximately </w:t>
      </w:r>
      <w:r w:rsidR="00587FE0">
        <w:rPr>
          <w:sz w:val="26"/>
          <w:szCs w:val="26"/>
        </w:rPr>
        <w:t>2,187 kWh per month, or about seventy-three</w:t>
      </w:r>
      <w:r w:rsidR="00AA43EB">
        <w:rPr>
          <w:sz w:val="26"/>
          <w:szCs w:val="26"/>
        </w:rPr>
        <w:t xml:space="preserve"> kWh per day.  </w:t>
      </w:r>
      <w:r w:rsidR="00AA43EB" w:rsidRPr="00AA43EB">
        <w:rPr>
          <w:i/>
          <w:sz w:val="26"/>
          <w:szCs w:val="26"/>
        </w:rPr>
        <w:t>Id</w:t>
      </w:r>
      <w:r w:rsidR="00AA43EB">
        <w:rPr>
          <w:sz w:val="26"/>
          <w:szCs w:val="26"/>
        </w:rPr>
        <w:t xml:space="preserve">. at 16-19; PPL </w:t>
      </w:r>
      <w:r w:rsidR="00347863">
        <w:rPr>
          <w:sz w:val="26"/>
          <w:szCs w:val="26"/>
        </w:rPr>
        <w:t>Exh.</w:t>
      </w:r>
      <w:r w:rsidR="00AA43EB">
        <w:rPr>
          <w:sz w:val="26"/>
          <w:szCs w:val="26"/>
        </w:rPr>
        <w:t xml:space="preserve"> 6.</w:t>
      </w:r>
      <w:r w:rsidR="001B05EC">
        <w:rPr>
          <w:sz w:val="26"/>
          <w:szCs w:val="26"/>
        </w:rPr>
        <w:t xml:space="preserve">  The PPL representative also </w:t>
      </w:r>
      <w:r w:rsidR="00587FE0">
        <w:rPr>
          <w:sz w:val="26"/>
          <w:szCs w:val="26"/>
        </w:rPr>
        <w:t xml:space="preserve">determined that the Complainant’s residence was actually using approximately forty-nine kWh per day at the </w:t>
      </w:r>
      <w:r w:rsidR="00587FE0">
        <w:rPr>
          <w:sz w:val="26"/>
          <w:szCs w:val="26"/>
        </w:rPr>
        <w:lastRenderedPageBreak/>
        <w:t xml:space="preserve">time of his visit, based on meter readings conducted on </w:t>
      </w:r>
      <w:r w:rsidR="00F05F44">
        <w:rPr>
          <w:sz w:val="26"/>
          <w:szCs w:val="26"/>
        </w:rPr>
        <w:t>March 5 and March 8, 2012.  Tr. </w:t>
      </w:r>
      <w:r w:rsidR="00587FE0">
        <w:rPr>
          <w:sz w:val="26"/>
          <w:szCs w:val="26"/>
        </w:rPr>
        <w:t>at 19.</w:t>
      </w:r>
      <w:r w:rsidR="00863F3B">
        <w:rPr>
          <w:sz w:val="26"/>
          <w:szCs w:val="26"/>
        </w:rPr>
        <w:t xml:space="preserve">  The PPL representative testified to his belief that the potential for electricity usage at the Complainant’s home was in line with her actual consumption at the time of his visit.  </w:t>
      </w:r>
      <w:r w:rsidR="00863F3B" w:rsidRPr="00863F3B">
        <w:rPr>
          <w:i/>
          <w:sz w:val="26"/>
          <w:szCs w:val="26"/>
        </w:rPr>
        <w:t>Id</w:t>
      </w:r>
      <w:r w:rsidR="00863F3B">
        <w:rPr>
          <w:sz w:val="26"/>
          <w:szCs w:val="26"/>
        </w:rPr>
        <w:t>.</w:t>
      </w:r>
      <w:r w:rsidR="00162F5C">
        <w:rPr>
          <w:sz w:val="26"/>
          <w:szCs w:val="26"/>
        </w:rPr>
        <w:t xml:space="preserve">  Moreover, the PPL representative stated his belief that the Complainant had the potential to use the amount </w:t>
      </w:r>
      <w:r w:rsidR="003A1D43">
        <w:rPr>
          <w:sz w:val="26"/>
          <w:szCs w:val="26"/>
        </w:rPr>
        <w:t>of electricity for which she had been billed</w:t>
      </w:r>
      <w:r w:rsidR="00162F5C">
        <w:rPr>
          <w:sz w:val="26"/>
          <w:szCs w:val="26"/>
        </w:rPr>
        <w:t xml:space="preserve">.  </w:t>
      </w:r>
      <w:r w:rsidR="00162F5C" w:rsidRPr="000B3BB4">
        <w:rPr>
          <w:i/>
          <w:sz w:val="26"/>
          <w:szCs w:val="26"/>
        </w:rPr>
        <w:t>Id</w:t>
      </w:r>
      <w:r w:rsidR="00162F5C">
        <w:rPr>
          <w:sz w:val="26"/>
          <w:szCs w:val="26"/>
        </w:rPr>
        <w:t>. at 28.</w:t>
      </w:r>
    </w:p>
    <w:p w:rsidR="00ED1435" w:rsidRDefault="00ED1435" w:rsidP="005E5E87">
      <w:pPr>
        <w:keepNext/>
        <w:widowControl/>
        <w:spacing w:line="360" w:lineRule="auto"/>
        <w:rPr>
          <w:sz w:val="26"/>
          <w:szCs w:val="26"/>
        </w:rPr>
      </w:pPr>
    </w:p>
    <w:p w:rsidR="00ED1435" w:rsidRDefault="00ED1435" w:rsidP="005E5E87">
      <w:pPr>
        <w:keepNext/>
        <w:widowControl/>
        <w:spacing w:line="360" w:lineRule="auto"/>
        <w:rPr>
          <w:sz w:val="26"/>
          <w:szCs w:val="26"/>
        </w:rPr>
      </w:pPr>
      <w:r>
        <w:rPr>
          <w:sz w:val="26"/>
          <w:szCs w:val="26"/>
        </w:rPr>
        <w:tab/>
      </w:r>
      <w:r>
        <w:rPr>
          <w:sz w:val="26"/>
          <w:szCs w:val="26"/>
        </w:rPr>
        <w:tab/>
        <w:t>In</w:t>
      </w:r>
      <w:r w:rsidR="00F369B6">
        <w:rPr>
          <w:sz w:val="26"/>
          <w:szCs w:val="26"/>
        </w:rPr>
        <w:t xml:space="preserve"> addition to conducting the walk</w:t>
      </w:r>
      <w:r>
        <w:rPr>
          <w:sz w:val="26"/>
          <w:szCs w:val="26"/>
        </w:rPr>
        <w:t xml:space="preserve">-through survey </w:t>
      </w:r>
      <w:r w:rsidR="00A20C1A">
        <w:rPr>
          <w:sz w:val="26"/>
          <w:szCs w:val="26"/>
        </w:rPr>
        <w:t xml:space="preserve">of the Complainant’s home, PPL </w:t>
      </w:r>
      <w:r w:rsidR="00B11A26">
        <w:rPr>
          <w:sz w:val="26"/>
          <w:szCs w:val="26"/>
        </w:rPr>
        <w:t xml:space="preserve">had the Complainant’s meter </w:t>
      </w:r>
      <w:r w:rsidR="00E71C3C">
        <w:rPr>
          <w:sz w:val="26"/>
          <w:szCs w:val="26"/>
        </w:rPr>
        <w:t>removed</w:t>
      </w:r>
      <w:r w:rsidR="00A20C1A">
        <w:rPr>
          <w:sz w:val="26"/>
          <w:szCs w:val="26"/>
        </w:rPr>
        <w:t xml:space="preserve"> and replaced</w:t>
      </w:r>
      <w:r w:rsidR="00E71C3C">
        <w:rPr>
          <w:sz w:val="26"/>
          <w:szCs w:val="26"/>
        </w:rPr>
        <w:t xml:space="preserve"> on March 12, 2012,</w:t>
      </w:r>
      <w:r w:rsidR="00A20C1A">
        <w:rPr>
          <w:sz w:val="26"/>
          <w:szCs w:val="26"/>
        </w:rPr>
        <w:t xml:space="preserve"> as the Complainant noted.  </w:t>
      </w:r>
      <w:r w:rsidR="00A20C1A" w:rsidRPr="00F12DA2">
        <w:rPr>
          <w:i/>
          <w:sz w:val="26"/>
          <w:szCs w:val="26"/>
        </w:rPr>
        <w:t>Id</w:t>
      </w:r>
      <w:r w:rsidR="00A20C1A">
        <w:rPr>
          <w:sz w:val="26"/>
          <w:szCs w:val="26"/>
        </w:rPr>
        <w:t xml:space="preserve">. at 15; PPL Exh. 5.  The old meter was tested </w:t>
      </w:r>
      <w:r w:rsidR="00B11A26">
        <w:rPr>
          <w:sz w:val="26"/>
          <w:szCs w:val="26"/>
        </w:rPr>
        <w:t>for accuracy</w:t>
      </w:r>
      <w:r w:rsidR="00A20C1A">
        <w:rPr>
          <w:sz w:val="26"/>
          <w:szCs w:val="26"/>
        </w:rPr>
        <w:t xml:space="preserve"> on March 14, 2012.  PPL Exh. 5.</w:t>
      </w:r>
      <w:r w:rsidR="00F12DA2">
        <w:rPr>
          <w:sz w:val="26"/>
          <w:szCs w:val="26"/>
        </w:rPr>
        <w:t xml:space="preserve">  </w:t>
      </w:r>
      <w:r w:rsidR="00B11A26">
        <w:rPr>
          <w:sz w:val="26"/>
          <w:szCs w:val="26"/>
        </w:rPr>
        <w:t>According to the test results, the average accuracy of the meter was 100.5 percent, which falls within the</w:t>
      </w:r>
      <w:r w:rsidR="00070EFA">
        <w:rPr>
          <w:sz w:val="26"/>
          <w:szCs w:val="26"/>
        </w:rPr>
        <w:t xml:space="preserve"> two </w:t>
      </w:r>
      <w:r w:rsidR="00070EFA" w:rsidRPr="00AE4FF8">
        <w:rPr>
          <w:sz w:val="26"/>
          <w:szCs w:val="26"/>
        </w:rPr>
        <w:t>percent accuracy</w:t>
      </w:r>
      <w:r w:rsidR="00B11A26" w:rsidRPr="00AE4FF8">
        <w:rPr>
          <w:sz w:val="26"/>
          <w:szCs w:val="26"/>
        </w:rPr>
        <w:t xml:space="preserve"> limits </w:t>
      </w:r>
      <w:r w:rsidR="00070EFA" w:rsidRPr="00AE4FF8">
        <w:rPr>
          <w:sz w:val="26"/>
          <w:szCs w:val="26"/>
        </w:rPr>
        <w:t xml:space="preserve">set forth in the Commission’s regulations.  </w:t>
      </w:r>
      <w:r w:rsidR="00C334EC" w:rsidRPr="00C334EC">
        <w:rPr>
          <w:sz w:val="26"/>
          <w:szCs w:val="26"/>
        </w:rPr>
        <w:t>Tr</w:t>
      </w:r>
      <w:r w:rsidR="00C334EC">
        <w:rPr>
          <w:i/>
          <w:sz w:val="26"/>
          <w:szCs w:val="26"/>
        </w:rPr>
        <w:t>.</w:t>
      </w:r>
      <w:r w:rsidR="00AE4FF8" w:rsidRPr="00AE4FF8">
        <w:rPr>
          <w:sz w:val="26"/>
          <w:szCs w:val="26"/>
        </w:rPr>
        <w:t xml:space="preserve"> at </w:t>
      </w:r>
      <w:r w:rsidR="00F12DA2">
        <w:rPr>
          <w:sz w:val="26"/>
          <w:szCs w:val="26"/>
        </w:rPr>
        <w:t>22-</w:t>
      </w:r>
      <w:r w:rsidR="00AE4FF8" w:rsidRPr="00AE4FF8">
        <w:rPr>
          <w:sz w:val="26"/>
          <w:szCs w:val="26"/>
        </w:rPr>
        <w:t xml:space="preserve">23; PPL </w:t>
      </w:r>
      <w:r w:rsidR="00347863">
        <w:rPr>
          <w:sz w:val="26"/>
          <w:szCs w:val="26"/>
        </w:rPr>
        <w:t>Exh.</w:t>
      </w:r>
      <w:r w:rsidR="00AE4FF8" w:rsidRPr="00AE4FF8">
        <w:rPr>
          <w:sz w:val="26"/>
          <w:szCs w:val="26"/>
        </w:rPr>
        <w:t xml:space="preserve"> 5.  </w:t>
      </w:r>
      <w:r w:rsidR="00AE4FF8" w:rsidRPr="00AE4FF8">
        <w:rPr>
          <w:i/>
          <w:sz w:val="26"/>
          <w:szCs w:val="26"/>
        </w:rPr>
        <w:t>See</w:t>
      </w:r>
      <w:r w:rsidR="00AE4FF8" w:rsidRPr="00AE4FF8">
        <w:rPr>
          <w:sz w:val="26"/>
          <w:szCs w:val="26"/>
        </w:rPr>
        <w:t>, 52 Pa. Code § 57.20(c)</w:t>
      </w:r>
      <w:r w:rsidR="006D5276">
        <w:rPr>
          <w:sz w:val="26"/>
          <w:szCs w:val="26"/>
        </w:rPr>
        <w:t>.  In addition, the test results indicated that the AMR module, which transmits the meter information to PPL, wa</w:t>
      </w:r>
      <w:r w:rsidR="00070469">
        <w:rPr>
          <w:sz w:val="26"/>
          <w:szCs w:val="26"/>
        </w:rPr>
        <w:t>s also operating properly.  Tr. </w:t>
      </w:r>
      <w:r w:rsidR="006D5276">
        <w:rPr>
          <w:sz w:val="26"/>
          <w:szCs w:val="26"/>
        </w:rPr>
        <w:t xml:space="preserve">at 23; PPL </w:t>
      </w:r>
      <w:r w:rsidR="00347863">
        <w:rPr>
          <w:sz w:val="26"/>
          <w:szCs w:val="26"/>
        </w:rPr>
        <w:t>Exh.</w:t>
      </w:r>
      <w:r w:rsidR="006D5276">
        <w:rPr>
          <w:sz w:val="26"/>
          <w:szCs w:val="26"/>
        </w:rPr>
        <w:t xml:space="preserve"> 5.</w:t>
      </w:r>
    </w:p>
    <w:p w:rsidR="007A64E0" w:rsidRDefault="007A64E0" w:rsidP="002F2733">
      <w:pPr>
        <w:widowControl/>
        <w:spacing w:line="360" w:lineRule="auto"/>
        <w:rPr>
          <w:sz w:val="26"/>
          <w:szCs w:val="26"/>
        </w:rPr>
      </w:pPr>
    </w:p>
    <w:p w:rsidR="007A64E0" w:rsidRDefault="007A64E0" w:rsidP="002F2733">
      <w:pPr>
        <w:widowControl/>
        <w:spacing w:line="360" w:lineRule="auto"/>
        <w:rPr>
          <w:sz w:val="26"/>
          <w:szCs w:val="26"/>
        </w:rPr>
      </w:pPr>
      <w:r>
        <w:rPr>
          <w:sz w:val="26"/>
          <w:szCs w:val="26"/>
        </w:rPr>
        <w:tab/>
      </w:r>
      <w:r>
        <w:rPr>
          <w:sz w:val="26"/>
          <w:szCs w:val="26"/>
        </w:rPr>
        <w:tab/>
        <w:t xml:space="preserve">The PPL </w:t>
      </w:r>
      <w:r w:rsidR="00C12BED">
        <w:rPr>
          <w:sz w:val="26"/>
          <w:szCs w:val="26"/>
        </w:rPr>
        <w:t xml:space="preserve">customer contact representative </w:t>
      </w:r>
      <w:r>
        <w:rPr>
          <w:sz w:val="26"/>
          <w:szCs w:val="26"/>
        </w:rPr>
        <w:t>provided a comparison of the Complainant’s electricity consumption during the month of October for the years 2009 through 2012, as follows:</w:t>
      </w:r>
    </w:p>
    <w:p w:rsidR="007A64E0" w:rsidRDefault="007A64E0" w:rsidP="007A64E0">
      <w:pPr>
        <w:keepNext/>
        <w:widowControl/>
        <w:spacing w:line="360" w:lineRule="auto"/>
        <w:rPr>
          <w:sz w:val="26"/>
          <w:szCs w:val="26"/>
        </w:rPr>
      </w:pPr>
    </w:p>
    <w:tbl>
      <w:tblPr>
        <w:tblStyle w:val="TableGrid"/>
        <w:tblW w:w="0" w:type="auto"/>
        <w:tblLook w:val="04A0" w:firstRow="1" w:lastRow="0" w:firstColumn="1" w:lastColumn="0" w:noHBand="0" w:noVBand="1"/>
      </w:tblPr>
      <w:tblGrid>
        <w:gridCol w:w="2017"/>
        <w:gridCol w:w="1511"/>
        <w:gridCol w:w="1530"/>
        <w:gridCol w:w="1710"/>
        <w:gridCol w:w="1710"/>
      </w:tblGrid>
      <w:tr w:rsidR="007A64E0" w:rsidTr="00F20A67">
        <w:tc>
          <w:tcPr>
            <w:tcW w:w="2017" w:type="dxa"/>
          </w:tcPr>
          <w:p w:rsidR="007A64E0" w:rsidRPr="00C4589D" w:rsidRDefault="007A64E0" w:rsidP="00F20A67">
            <w:pPr>
              <w:keepNext/>
              <w:widowControl/>
              <w:spacing w:line="360" w:lineRule="auto"/>
              <w:jc w:val="center"/>
              <w:rPr>
                <w:b/>
                <w:sz w:val="26"/>
                <w:szCs w:val="26"/>
              </w:rPr>
            </w:pPr>
            <w:r w:rsidRPr="00C4589D">
              <w:rPr>
                <w:b/>
                <w:sz w:val="26"/>
                <w:szCs w:val="26"/>
              </w:rPr>
              <w:t>Usage Period</w:t>
            </w:r>
          </w:p>
        </w:tc>
        <w:tc>
          <w:tcPr>
            <w:tcW w:w="1511" w:type="dxa"/>
          </w:tcPr>
          <w:p w:rsidR="007A64E0" w:rsidRPr="00C4589D" w:rsidRDefault="007A64E0" w:rsidP="00F20A67">
            <w:pPr>
              <w:keepNext/>
              <w:widowControl/>
              <w:spacing w:line="360" w:lineRule="auto"/>
              <w:jc w:val="center"/>
              <w:rPr>
                <w:b/>
                <w:sz w:val="26"/>
                <w:szCs w:val="26"/>
              </w:rPr>
            </w:pPr>
            <w:r>
              <w:rPr>
                <w:b/>
                <w:sz w:val="26"/>
                <w:szCs w:val="26"/>
              </w:rPr>
              <w:t>2009</w:t>
            </w:r>
          </w:p>
        </w:tc>
        <w:tc>
          <w:tcPr>
            <w:tcW w:w="1530" w:type="dxa"/>
          </w:tcPr>
          <w:p w:rsidR="007A64E0" w:rsidRPr="00C4589D" w:rsidRDefault="007A64E0" w:rsidP="00F20A67">
            <w:pPr>
              <w:keepNext/>
              <w:widowControl/>
              <w:spacing w:line="360" w:lineRule="auto"/>
              <w:jc w:val="center"/>
              <w:rPr>
                <w:b/>
                <w:sz w:val="26"/>
                <w:szCs w:val="26"/>
              </w:rPr>
            </w:pPr>
            <w:r>
              <w:rPr>
                <w:b/>
                <w:sz w:val="26"/>
                <w:szCs w:val="26"/>
              </w:rPr>
              <w:t>2010</w:t>
            </w:r>
          </w:p>
        </w:tc>
        <w:tc>
          <w:tcPr>
            <w:tcW w:w="1710" w:type="dxa"/>
          </w:tcPr>
          <w:p w:rsidR="007A64E0" w:rsidRPr="00C4589D" w:rsidRDefault="007A64E0" w:rsidP="00F20A67">
            <w:pPr>
              <w:keepNext/>
              <w:widowControl/>
              <w:spacing w:line="360" w:lineRule="auto"/>
              <w:jc w:val="center"/>
              <w:rPr>
                <w:b/>
                <w:sz w:val="26"/>
                <w:szCs w:val="26"/>
              </w:rPr>
            </w:pPr>
            <w:r>
              <w:rPr>
                <w:b/>
                <w:sz w:val="26"/>
                <w:szCs w:val="26"/>
              </w:rPr>
              <w:t>2011</w:t>
            </w:r>
          </w:p>
        </w:tc>
        <w:tc>
          <w:tcPr>
            <w:tcW w:w="1710" w:type="dxa"/>
          </w:tcPr>
          <w:p w:rsidR="007A64E0" w:rsidRPr="00C4589D" w:rsidRDefault="007A64E0" w:rsidP="00F20A67">
            <w:pPr>
              <w:keepNext/>
              <w:widowControl/>
              <w:spacing w:line="360" w:lineRule="auto"/>
              <w:jc w:val="center"/>
              <w:rPr>
                <w:b/>
                <w:sz w:val="26"/>
                <w:szCs w:val="26"/>
              </w:rPr>
            </w:pPr>
            <w:r>
              <w:rPr>
                <w:b/>
                <w:sz w:val="26"/>
                <w:szCs w:val="26"/>
              </w:rPr>
              <w:t>2012</w:t>
            </w:r>
          </w:p>
        </w:tc>
      </w:tr>
      <w:tr w:rsidR="007A64E0" w:rsidTr="00F20A67">
        <w:tc>
          <w:tcPr>
            <w:tcW w:w="2017" w:type="dxa"/>
          </w:tcPr>
          <w:p w:rsidR="007A64E0" w:rsidRPr="00C4589D" w:rsidRDefault="007A64E0" w:rsidP="00F20A67">
            <w:pPr>
              <w:keepNext/>
              <w:widowControl/>
              <w:spacing w:line="360" w:lineRule="auto"/>
              <w:jc w:val="center"/>
              <w:rPr>
                <w:b/>
                <w:sz w:val="26"/>
                <w:szCs w:val="26"/>
              </w:rPr>
            </w:pPr>
            <w:r>
              <w:rPr>
                <w:b/>
                <w:sz w:val="26"/>
                <w:szCs w:val="26"/>
              </w:rPr>
              <w:t>October</w:t>
            </w:r>
          </w:p>
        </w:tc>
        <w:tc>
          <w:tcPr>
            <w:tcW w:w="1511" w:type="dxa"/>
          </w:tcPr>
          <w:p w:rsidR="007A64E0" w:rsidRDefault="007A64E0" w:rsidP="00F20A67">
            <w:pPr>
              <w:keepNext/>
              <w:widowControl/>
              <w:spacing w:line="360" w:lineRule="auto"/>
              <w:rPr>
                <w:sz w:val="26"/>
                <w:szCs w:val="26"/>
              </w:rPr>
            </w:pPr>
            <w:r>
              <w:rPr>
                <w:sz w:val="26"/>
                <w:szCs w:val="26"/>
              </w:rPr>
              <w:t>1,110 kWh</w:t>
            </w:r>
          </w:p>
        </w:tc>
        <w:tc>
          <w:tcPr>
            <w:tcW w:w="1530" w:type="dxa"/>
          </w:tcPr>
          <w:p w:rsidR="007A64E0" w:rsidRDefault="007A64E0" w:rsidP="00F20A67">
            <w:pPr>
              <w:keepNext/>
              <w:widowControl/>
              <w:spacing w:line="360" w:lineRule="auto"/>
              <w:rPr>
                <w:sz w:val="26"/>
                <w:szCs w:val="26"/>
              </w:rPr>
            </w:pPr>
            <w:r>
              <w:rPr>
                <w:sz w:val="26"/>
                <w:szCs w:val="26"/>
              </w:rPr>
              <w:t>1,504 kWh</w:t>
            </w:r>
          </w:p>
        </w:tc>
        <w:tc>
          <w:tcPr>
            <w:tcW w:w="1710" w:type="dxa"/>
          </w:tcPr>
          <w:p w:rsidR="007A64E0" w:rsidRDefault="007A64E0" w:rsidP="00F20A67">
            <w:pPr>
              <w:keepNext/>
              <w:widowControl/>
              <w:spacing w:line="360" w:lineRule="auto"/>
              <w:rPr>
                <w:sz w:val="26"/>
                <w:szCs w:val="26"/>
              </w:rPr>
            </w:pPr>
            <w:r>
              <w:rPr>
                <w:sz w:val="26"/>
                <w:szCs w:val="26"/>
              </w:rPr>
              <w:t>1,273 kWh</w:t>
            </w:r>
          </w:p>
        </w:tc>
        <w:tc>
          <w:tcPr>
            <w:tcW w:w="1710" w:type="dxa"/>
          </w:tcPr>
          <w:p w:rsidR="007A64E0" w:rsidRDefault="007A64E0" w:rsidP="00F20A67">
            <w:pPr>
              <w:keepNext/>
              <w:widowControl/>
              <w:spacing w:line="360" w:lineRule="auto"/>
              <w:rPr>
                <w:sz w:val="26"/>
                <w:szCs w:val="26"/>
              </w:rPr>
            </w:pPr>
            <w:r>
              <w:rPr>
                <w:sz w:val="26"/>
                <w:szCs w:val="26"/>
              </w:rPr>
              <w:t>1,191 kWh</w:t>
            </w:r>
          </w:p>
        </w:tc>
      </w:tr>
    </w:tbl>
    <w:p w:rsidR="007A64E0" w:rsidRDefault="007A64E0" w:rsidP="00CE0483">
      <w:pPr>
        <w:widowControl/>
        <w:spacing w:line="360" w:lineRule="auto"/>
        <w:rPr>
          <w:sz w:val="26"/>
          <w:szCs w:val="26"/>
        </w:rPr>
      </w:pPr>
    </w:p>
    <w:p w:rsidR="007A64E0" w:rsidRDefault="007E2F09" w:rsidP="00CE0483">
      <w:pPr>
        <w:widowControl/>
        <w:spacing w:line="360" w:lineRule="auto"/>
        <w:rPr>
          <w:sz w:val="26"/>
          <w:szCs w:val="26"/>
        </w:rPr>
      </w:pPr>
      <w:r w:rsidRPr="007E2F09">
        <w:rPr>
          <w:sz w:val="26"/>
          <w:szCs w:val="26"/>
        </w:rPr>
        <w:t>Tr.</w:t>
      </w:r>
      <w:r w:rsidR="007A64E0">
        <w:rPr>
          <w:sz w:val="26"/>
          <w:szCs w:val="26"/>
        </w:rPr>
        <w:t xml:space="preserve"> at 26-27; PPL </w:t>
      </w:r>
      <w:r w:rsidR="00347863">
        <w:rPr>
          <w:sz w:val="26"/>
          <w:szCs w:val="26"/>
        </w:rPr>
        <w:t>Exh.</w:t>
      </w:r>
      <w:r w:rsidR="007A64E0">
        <w:rPr>
          <w:sz w:val="26"/>
          <w:szCs w:val="26"/>
        </w:rPr>
        <w:t xml:space="preserve"> 1.  The P</w:t>
      </w:r>
      <w:r w:rsidR="00C12BED">
        <w:rPr>
          <w:sz w:val="26"/>
          <w:szCs w:val="26"/>
        </w:rPr>
        <w:t>PL representative</w:t>
      </w:r>
      <w:r w:rsidR="007A64E0">
        <w:rPr>
          <w:sz w:val="26"/>
          <w:szCs w:val="26"/>
        </w:rPr>
        <w:t xml:space="preserve"> testified that the Complainant’s usage for the month of October would be considered “base use,” because it was not likely to reflect the use of heating or air conditioning.  Tr. at 26.  </w:t>
      </w:r>
      <w:r w:rsidR="00C12BED">
        <w:rPr>
          <w:sz w:val="26"/>
          <w:szCs w:val="26"/>
        </w:rPr>
        <w:t>It was the representative’s</w:t>
      </w:r>
      <w:r w:rsidR="007A64E0">
        <w:rPr>
          <w:sz w:val="26"/>
          <w:szCs w:val="26"/>
        </w:rPr>
        <w:t xml:space="preserve"> opinion that this comparison shows that there was no significant change in the Complainant’s u</w:t>
      </w:r>
      <w:r w:rsidR="00892C7F">
        <w:rPr>
          <w:sz w:val="26"/>
          <w:szCs w:val="26"/>
        </w:rPr>
        <w:t>sage after her meter was replaced</w:t>
      </w:r>
      <w:r w:rsidR="007A64E0">
        <w:rPr>
          <w:sz w:val="26"/>
          <w:szCs w:val="26"/>
        </w:rPr>
        <w:t xml:space="preserve"> in March 2012.  </w:t>
      </w:r>
      <w:r w:rsidR="007A64E0" w:rsidRPr="003E414C">
        <w:rPr>
          <w:i/>
          <w:sz w:val="26"/>
          <w:szCs w:val="26"/>
        </w:rPr>
        <w:t>Id</w:t>
      </w:r>
      <w:r w:rsidR="007A64E0">
        <w:rPr>
          <w:sz w:val="26"/>
          <w:szCs w:val="26"/>
        </w:rPr>
        <w:t>. at 27.</w:t>
      </w:r>
    </w:p>
    <w:p w:rsidR="00602064" w:rsidRPr="00EF5E81" w:rsidRDefault="00602064" w:rsidP="00DD332A">
      <w:pPr>
        <w:widowControl/>
        <w:spacing w:line="360" w:lineRule="auto"/>
        <w:rPr>
          <w:sz w:val="26"/>
          <w:szCs w:val="26"/>
        </w:rPr>
      </w:pPr>
    </w:p>
    <w:p w:rsidR="00006F35" w:rsidRPr="00744FD2" w:rsidRDefault="00006F35" w:rsidP="00DD332A">
      <w:pPr>
        <w:keepNext/>
        <w:widowControl/>
        <w:spacing w:line="360" w:lineRule="auto"/>
        <w:rPr>
          <w:b/>
          <w:sz w:val="26"/>
          <w:szCs w:val="26"/>
        </w:rPr>
      </w:pPr>
      <w:r w:rsidRPr="00744FD2">
        <w:rPr>
          <w:b/>
          <w:sz w:val="26"/>
          <w:szCs w:val="26"/>
        </w:rPr>
        <w:lastRenderedPageBreak/>
        <w:t xml:space="preserve">ALJ’s </w:t>
      </w:r>
      <w:r w:rsidR="00800499" w:rsidRPr="00744FD2">
        <w:rPr>
          <w:b/>
          <w:sz w:val="26"/>
          <w:szCs w:val="26"/>
        </w:rPr>
        <w:t>Initial Decision</w:t>
      </w:r>
    </w:p>
    <w:p w:rsidR="00006F35" w:rsidRPr="00744FD2" w:rsidRDefault="00006F35" w:rsidP="00DD332A">
      <w:pPr>
        <w:keepNext/>
        <w:widowControl/>
        <w:ind w:firstLine="1440"/>
        <w:rPr>
          <w:sz w:val="26"/>
          <w:szCs w:val="26"/>
        </w:rPr>
      </w:pPr>
    </w:p>
    <w:p w:rsidR="003878C9" w:rsidRDefault="002F112F" w:rsidP="00DD332A">
      <w:pPr>
        <w:keepNext/>
        <w:widowControl/>
        <w:spacing w:line="360" w:lineRule="auto"/>
        <w:ind w:firstLine="1440"/>
        <w:rPr>
          <w:sz w:val="26"/>
          <w:szCs w:val="26"/>
        </w:rPr>
      </w:pPr>
      <w:r w:rsidRPr="00744FD2">
        <w:rPr>
          <w:sz w:val="26"/>
          <w:szCs w:val="26"/>
        </w:rPr>
        <w:t xml:space="preserve">In her Initial Decision, </w:t>
      </w:r>
      <w:r w:rsidR="00385526" w:rsidRPr="00744FD2">
        <w:rPr>
          <w:sz w:val="26"/>
          <w:szCs w:val="26"/>
        </w:rPr>
        <w:t>ALJ</w:t>
      </w:r>
      <w:r w:rsidR="00613A81" w:rsidRPr="00744FD2">
        <w:rPr>
          <w:sz w:val="26"/>
          <w:szCs w:val="26"/>
        </w:rPr>
        <w:t xml:space="preserve"> </w:t>
      </w:r>
      <w:r w:rsidR="00744FD2" w:rsidRPr="00744FD2">
        <w:rPr>
          <w:sz w:val="26"/>
          <w:szCs w:val="26"/>
        </w:rPr>
        <w:t>Barnes</w:t>
      </w:r>
      <w:r w:rsidR="009C0CD2">
        <w:rPr>
          <w:sz w:val="26"/>
          <w:szCs w:val="26"/>
        </w:rPr>
        <w:t xml:space="preserve"> found that</w:t>
      </w:r>
      <w:r w:rsidR="00ED1D98">
        <w:rPr>
          <w:sz w:val="26"/>
          <w:szCs w:val="26"/>
        </w:rPr>
        <w:t>,</w:t>
      </w:r>
      <w:r w:rsidR="009C0CD2">
        <w:rPr>
          <w:sz w:val="26"/>
          <w:szCs w:val="26"/>
        </w:rPr>
        <w:t xml:space="preserve"> although</w:t>
      </w:r>
      <w:r w:rsidR="005B536B">
        <w:rPr>
          <w:sz w:val="26"/>
          <w:szCs w:val="26"/>
        </w:rPr>
        <w:t xml:space="preserve"> the Complainant’</w:t>
      </w:r>
      <w:r w:rsidR="009C0CD2">
        <w:rPr>
          <w:sz w:val="26"/>
          <w:szCs w:val="26"/>
        </w:rPr>
        <w:t>s meter was replaced</w:t>
      </w:r>
      <w:r w:rsidR="005B536B">
        <w:rPr>
          <w:sz w:val="26"/>
          <w:szCs w:val="26"/>
        </w:rPr>
        <w:t xml:space="preserve"> in March 2012, her bills have not significantly changed from prior years.  In support of this finding, the ALJ notes that the Complainant’s electricity usage for September 2011 was 1,</w:t>
      </w:r>
      <w:r w:rsidR="00C66F88">
        <w:rPr>
          <w:sz w:val="26"/>
          <w:szCs w:val="26"/>
        </w:rPr>
        <w:t xml:space="preserve">468 kWh, </w:t>
      </w:r>
      <w:r w:rsidR="009C0CD2">
        <w:rPr>
          <w:sz w:val="26"/>
          <w:szCs w:val="26"/>
        </w:rPr>
        <w:t>compared to</w:t>
      </w:r>
      <w:r w:rsidR="005B536B">
        <w:rPr>
          <w:sz w:val="26"/>
          <w:szCs w:val="26"/>
        </w:rPr>
        <w:t xml:space="preserve"> usage of 1,261 kWh for September 2012.  I.D. at 3.  </w:t>
      </w:r>
      <w:r w:rsidR="003878C9">
        <w:rPr>
          <w:sz w:val="26"/>
          <w:szCs w:val="26"/>
        </w:rPr>
        <w:t xml:space="preserve">The ALJ also found that there was evidence to show that the Complainant’s electricity usage for the month of December during the years 2008 through 2011 was as follows: </w:t>
      </w:r>
    </w:p>
    <w:p w:rsidR="003878C9" w:rsidRDefault="003878C9" w:rsidP="003878C9">
      <w:pPr>
        <w:widowControl/>
        <w:spacing w:line="360" w:lineRule="auto"/>
        <w:rPr>
          <w:sz w:val="26"/>
          <w:szCs w:val="26"/>
        </w:rPr>
      </w:pPr>
    </w:p>
    <w:tbl>
      <w:tblPr>
        <w:tblStyle w:val="TableGrid"/>
        <w:tblW w:w="0" w:type="auto"/>
        <w:tblLook w:val="04A0" w:firstRow="1" w:lastRow="0" w:firstColumn="1" w:lastColumn="0" w:noHBand="0" w:noVBand="1"/>
      </w:tblPr>
      <w:tblGrid>
        <w:gridCol w:w="2017"/>
        <w:gridCol w:w="1511"/>
        <w:gridCol w:w="1530"/>
        <w:gridCol w:w="1710"/>
        <w:gridCol w:w="1710"/>
      </w:tblGrid>
      <w:tr w:rsidR="003878C9" w:rsidTr="00CE0B75">
        <w:tc>
          <w:tcPr>
            <w:tcW w:w="2017" w:type="dxa"/>
          </w:tcPr>
          <w:p w:rsidR="003878C9" w:rsidRPr="00C4589D" w:rsidRDefault="003878C9" w:rsidP="00CE0B75">
            <w:pPr>
              <w:widowControl/>
              <w:spacing w:line="360" w:lineRule="auto"/>
              <w:jc w:val="center"/>
              <w:rPr>
                <w:b/>
                <w:sz w:val="26"/>
                <w:szCs w:val="26"/>
              </w:rPr>
            </w:pPr>
            <w:r w:rsidRPr="00C4589D">
              <w:rPr>
                <w:b/>
                <w:sz w:val="26"/>
                <w:szCs w:val="26"/>
              </w:rPr>
              <w:t>Usage Period</w:t>
            </w:r>
          </w:p>
        </w:tc>
        <w:tc>
          <w:tcPr>
            <w:tcW w:w="1511" w:type="dxa"/>
          </w:tcPr>
          <w:p w:rsidR="003878C9" w:rsidRPr="00C4589D" w:rsidRDefault="003878C9" w:rsidP="00CE0B75">
            <w:pPr>
              <w:widowControl/>
              <w:spacing w:line="360" w:lineRule="auto"/>
              <w:jc w:val="center"/>
              <w:rPr>
                <w:b/>
                <w:sz w:val="26"/>
                <w:szCs w:val="26"/>
              </w:rPr>
            </w:pPr>
            <w:r>
              <w:rPr>
                <w:b/>
                <w:sz w:val="26"/>
                <w:szCs w:val="26"/>
              </w:rPr>
              <w:t>2008</w:t>
            </w:r>
          </w:p>
        </w:tc>
        <w:tc>
          <w:tcPr>
            <w:tcW w:w="1530" w:type="dxa"/>
          </w:tcPr>
          <w:p w:rsidR="003878C9" w:rsidRPr="00C4589D" w:rsidRDefault="003878C9" w:rsidP="00CE0B75">
            <w:pPr>
              <w:widowControl/>
              <w:spacing w:line="360" w:lineRule="auto"/>
              <w:jc w:val="center"/>
              <w:rPr>
                <w:b/>
                <w:sz w:val="26"/>
                <w:szCs w:val="26"/>
              </w:rPr>
            </w:pPr>
            <w:r>
              <w:rPr>
                <w:b/>
                <w:sz w:val="26"/>
                <w:szCs w:val="26"/>
              </w:rPr>
              <w:t>2009</w:t>
            </w:r>
          </w:p>
        </w:tc>
        <w:tc>
          <w:tcPr>
            <w:tcW w:w="1710" w:type="dxa"/>
          </w:tcPr>
          <w:p w:rsidR="003878C9" w:rsidRPr="00C4589D" w:rsidRDefault="003878C9" w:rsidP="00CE0B75">
            <w:pPr>
              <w:widowControl/>
              <w:spacing w:line="360" w:lineRule="auto"/>
              <w:jc w:val="center"/>
              <w:rPr>
                <w:b/>
                <w:sz w:val="26"/>
                <w:szCs w:val="26"/>
              </w:rPr>
            </w:pPr>
            <w:r>
              <w:rPr>
                <w:b/>
                <w:sz w:val="26"/>
                <w:szCs w:val="26"/>
              </w:rPr>
              <w:t>2010</w:t>
            </w:r>
          </w:p>
        </w:tc>
        <w:tc>
          <w:tcPr>
            <w:tcW w:w="1710" w:type="dxa"/>
          </w:tcPr>
          <w:p w:rsidR="003878C9" w:rsidRPr="00C4589D" w:rsidRDefault="003878C9" w:rsidP="00CE0B75">
            <w:pPr>
              <w:widowControl/>
              <w:spacing w:line="360" w:lineRule="auto"/>
              <w:jc w:val="center"/>
              <w:rPr>
                <w:b/>
                <w:sz w:val="26"/>
                <w:szCs w:val="26"/>
              </w:rPr>
            </w:pPr>
            <w:r>
              <w:rPr>
                <w:b/>
                <w:sz w:val="26"/>
                <w:szCs w:val="26"/>
              </w:rPr>
              <w:t>2011</w:t>
            </w:r>
          </w:p>
        </w:tc>
      </w:tr>
      <w:tr w:rsidR="003878C9" w:rsidTr="00CE0B75">
        <w:tc>
          <w:tcPr>
            <w:tcW w:w="2017" w:type="dxa"/>
          </w:tcPr>
          <w:p w:rsidR="003878C9" w:rsidRPr="00C4589D" w:rsidRDefault="003878C9" w:rsidP="00CE0B75">
            <w:pPr>
              <w:widowControl/>
              <w:spacing w:line="360" w:lineRule="auto"/>
              <w:jc w:val="center"/>
              <w:rPr>
                <w:b/>
                <w:sz w:val="26"/>
                <w:szCs w:val="26"/>
              </w:rPr>
            </w:pPr>
            <w:r>
              <w:rPr>
                <w:b/>
                <w:sz w:val="26"/>
                <w:szCs w:val="26"/>
              </w:rPr>
              <w:t>December</w:t>
            </w:r>
          </w:p>
        </w:tc>
        <w:tc>
          <w:tcPr>
            <w:tcW w:w="1511" w:type="dxa"/>
          </w:tcPr>
          <w:p w:rsidR="003878C9" w:rsidRDefault="003878C9" w:rsidP="00CE0B75">
            <w:pPr>
              <w:widowControl/>
              <w:spacing w:line="360" w:lineRule="auto"/>
              <w:rPr>
                <w:sz w:val="26"/>
                <w:szCs w:val="26"/>
              </w:rPr>
            </w:pPr>
            <w:r>
              <w:rPr>
                <w:sz w:val="26"/>
                <w:szCs w:val="26"/>
              </w:rPr>
              <w:t>1,416 kWh</w:t>
            </w:r>
          </w:p>
        </w:tc>
        <w:tc>
          <w:tcPr>
            <w:tcW w:w="1530" w:type="dxa"/>
          </w:tcPr>
          <w:p w:rsidR="003878C9" w:rsidRDefault="003878C9" w:rsidP="00CE0B75">
            <w:pPr>
              <w:widowControl/>
              <w:spacing w:line="360" w:lineRule="auto"/>
              <w:rPr>
                <w:sz w:val="26"/>
                <w:szCs w:val="26"/>
              </w:rPr>
            </w:pPr>
            <w:r>
              <w:rPr>
                <w:sz w:val="26"/>
                <w:szCs w:val="26"/>
              </w:rPr>
              <w:t>1,289 kWh</w:t>
            </w:r>
          </w:p>
        </w:tc>
        <w:tc>
          <w:tcPr>
            <w:tcW w:w="1710" w:type="dxa"/>
          </w:tcPr>
          <w:p w:rsidR="003878C9" w:rsidRDefault="003878C9" w:rsidP="00CE0B75">
            <w:pPr>
              <w:widowControl/>
              <w:spacing w:line="360" w:lineRule="auto"/>
              <w:rPr>
                <w:sz w:val="26"/>
                <w:szCs w:val="26"/>
              </w:rPr>
            </w:pPr>
            <w:r>
              <w:rPr>
                <w:sz w:val="26"/>
                <w:szCs w:val="26"/>
              </w:rPr>
              <w:t>2,896 kWh</w:t>
            </w:r>
          </w:p>
        </w:tc>
        <w:tc>
          <w:tcPr>
            <w:tcW w:w="1710" w:type="dxa"/>
          </w:tcPr>
          <w:p w:rsidR="003878C9" w:rsidRDefault="003878C9" w:rsidP="00CE0B75">
            <w:pPr>
              <w:widowControl/>
              <w:spacing w:line="360" w:lineRule="auto"/>
              <w:rPr>
                <w:sz w:val="26"/>
                <w:szCs w:val="26"/>
              </w:rPr>
            </w:pPr>
            <w:r>
              <w:rPr>
                <w:sz w:val="26"/>
                <w:szCs w:val="26"/>
              </w:rPr>
              <w:t>2,360 kWh</w:t>
            </w:r>
          </w:p>
        </w:tc>
      </w:tr>
    </w:tbl>
    <w:p w:rsidR="003878C9" w:rsidRDefault="003878C9" w:rsidP="003878C9">
      <w:pPr>
        <w:widowControl/>
        <w:spacing w:line="360" w:lineRule="auto"/>
        <w:rPr>
          <w:sz w:val="26"/>
          <w:szCs w:val="26"/>
        </w:rPr>
      </w:pPr>
    </w:p>
    <w:p w:rsidR="00CF607B" w:rsidRDefault="003878C9" w:rsidP="00364563">
      <w:pPr>
        <w:widowControl/>
        <w:spacing w:line="360" w:lineRule="auto"/>
        <w:rPr>
          <w:sz w:val="26"/>
          <w:szCs w:val="26"/>
        </w:rPr>
      </w:pPr>
      <w:r w:rsidRPr="00053CA1">
        <w:rPr>
          <w:i/>
          <w:sz w:val="26"/>
          <w:szCs w:val="26"/>
        </w:rPr>
        <w:t>Id</w:t>
      </w:r>
      <w:r w:rsidR="00B21CB5">
        <w:rPr>
          <w:sz w:val="26"/>
          <w:szCs w:val="26"/>
        </w:rPr>
        <w:t>. at 4;</w:t>
      </w:r>
      <w:r w:rsidR="00810D15">
        <w:rPr>
          <w:sz w:val="26"/>
          <w:szCs w:val="26"/>
        </w:rPr>
        <w:t xml:space="preserve"> Tr. at 31</w:t>
      </w:r>
      <w:r>
        <w:rPr>
          <w:sz w:val="26"/>
          <w:szCs w:val="26"/>
        </w:rPr>
        <w:t>.</w:t>
      </w:r>
      <w:r w:rsidR="00810D15">
        <w:rPr>
          <w:sz w:val="26"/>
          <w:szCs w:val="26"/>
        </w:rPr>
        <w:t xml:space="preserve">  While </w:t>
      </w:r>
      <w:r w:rsidR="00364563">
        <w:rPr>
          <w:sz w:val="26"/>
          <w:szCs w:val="26"/>
        </w:rPr>
        <w:t xml:space="preserve">the Complainant’s December usage appears to have increased during the years 2010 and 2011 </w:t>
      </w:r>
      <w:r w:rsidR="00BB016A">
        <w:rPr>
          <w:sz w:val="26"/>
          <w:szCs w:val="26"/>
        </w:rPr>
        <w:t>compared</w:t>
      </w:r>
      <w:r w:rsidR="00364563">
        <w:rPr>
          <w:sz w:val="26"/>
          <w:szCs w:val="26"/>
        </w:rPr>
        <w:t xml:space="preserve"> to 2008 and 2009, the </w:t>
      </w:r>
      <w:r w:rsidR="00515D75">
        <w:rPr>
          <w:sz w:val="26"/>
          <w:szCs w:val="26"/>
        </w:rPr>
        <w:t>ALJ inferred from test</w:t>
      </w:r>
      <w:r w:rsidR="00364563">
        <w:rPr>
          <w:sz w:val="26"/>
          <w:szCs w:val="26"/>
        </w:rPr>
        <w:t xml:space="preserve">imony that </w:t>
      </w:r>
      <w:r w:rsidR="00094907">
        <w:rPr>
          <w:sz w:val="26"/>
          <w:szCs w:val="26"/>
        </w:rPr>
        <w:t xml:space="preserve">electricity </w:t>
      </w:r>
      <w:r w:rsidR="006B191A">
        <w:rPr>
          <w:sz w:val="26"/>
          <w:szCs w:val="26"/>
        </w:rPr>
        <w:t>probably</w:t>
      </w:r>
      <w:r w:rsidR="00094907">
        <w:rPr>
          <w:sz w:val="26"/>
          <w:szCs w:val="26"/>
        </w:rPr>
        <w:t xml:space="preserve"> was</w:t>
      </w:r>
      <w:r w:rsidR="00515D75">
        <w:rPr>
          <w:sz w:val="26"/>
          <w:szCs w:val="26"/>
        </w:rPr>
        <w:t xml:space="preserve"> being used in the construction of the pole building on the Complainant’s property</w:t>
      </w:r>
      <w:r w:rsidR="00364563">
        <w:rPr>
          <w:sz w:val="26"/>
          <w:szCs w:val="26"/>
        </w:rPr>
        <w:t xml:space="preserve"> during December 2010</w:t>
      </w:r>
      <w:r w:rsidR="006B191A">
        <w:rPr>
          <w:sz w:val="26"/>
          <w:szCs w:val="26"/>
        </w:rPr>
        <w:t>, which would account for the additional electrici</w:t>
      </w:r>
      <w:r w:rsidR="00364563">
        <w:rPr>
          <w:sz w:val="26"/>
          <w:szCs w:val="26"/>
        </w:rPr>
        <w:t>ty usage during that month</w:t>
      </w:r>
      <w:r w:rsidR="00515D75">
        <w:rPr>
          <w:sz w:val="26"/>
          <w:szCs w:val="26"/>
        </w:rPr>
        <w:t>.  I.D. at 6.  The ALJ also reasoned that</w:t>
      </w:r>
      <w:r w:rsidR="006B191A">
        <w:rPr>
          <w:sz w:val="26"/>
          <w:szCs w:val="26"/>
        </w:rPr>
        <w:t>,</w:t>
      </w:r>
      <w:r w:rsidR="00515D75">
        <w:rPr>
          <w:sz w:val="26"/>
          <w:szCs w:val="26"/>
        </w:rPr>
        <w:t xml:space="preserve"> </w:t>
      </w:r>
      <w:r w:rsidR="006B191A">
        <w:rPr>
          <w:sz w:val="26"/>
          <w:szCs w:val="26"/>
        </w:rPr>
        <w:t xml:space="preserve">since the pole building </w:t>
      </w:r>
      <w:r w:rsidR="00C724D8">
        <w:rPr>
          <w:sz w:val="26"/>
          <w:szCs w:val="26"/>
        </w:rPr>
        <w:t xml:space="preserve">already </w:t>
      </w:r>
      <w:r w:rsidR="006B191A">
        <w:rPr>
          <w:sz w:val="26"/>
          <w:szCs w:val="26"/>
        </w:rPr>
        <w:t>would have been completed in December 2011, there was potential for additional electricity consumption during that month since the heat</w:t>
      </w:r>
      <w:r w:rsidR="00094907">
        <w:rPr>
          <w:sz w:val="26"/>
          <w:szCs w:val="26"/>
        </w:rPr>
        <w:t xml:space="preserve"> probably was</w:t>
      </w:r>
      <w:r w:rsidR="006B191A">
        <w:rPr>
          <w:sz w:val="26"/>
          <w:szCs w:val="26"/>
        </w:rPr>
        <w:t xml:space="preserve"> turned on.  </w:t>
      </w:r>
      <w:r w:rsidR="006B191A" w:rsidRPr="006B191A">
        <w:rPr>
          <w:i/>
          <w:sz w:val="26"/>
          <w:szCs w:val="26"/>
        </w:rPr>
        <w:t>Id</w:t>
      </w:r>
      <w:r w:rsidR="00822832">
        <w:rPr>
          <w:sz w:val="26"/>
          <w:szCs w:val="26"/>
        </w:rPr>
        <w:t xml:space="preserve">.  </w:t>
      </w:r>
      <w:r w:rsidR="006B191A">
        <w:rPr>
          <w:sz w:val="26"/>
          <w:szCs w:val="26"/>
        </w:rPr>
        <w:t xml:space="preserve">Thus, the ALJ found that the Complainant failed to establish a </w:t>
      </w:r>
      <w:r w:rsidR="006B191A" w:rsidRPr="006B191A">
        <w:rPr>
          <w:i/>
          <w:sz w:val="26"/>
          <w:szCs w:val="26"/>
        </w:rPr>
        <w:t>prima facie</w:t>
      </w:r>
      <w:r w:rsidR="006B191A">
        <w:rPr>
          <w:sz w:val="26"/>
          <w:szCs w:val="26"/>
        </w:rPr>
        <w:t xml:space="preserve"> case to show that her power usage for 2010 and 2011 was unchanged from earlier periods</w:t>
      </w:r>
      <w:r w:rsidR="00376D53">
        <w:rPr>
          <w:sz w:val="26"/>
          <w:szCs w:val="26"/>
        </w:rPr>
        <w:t xml:space="preserve">, and that her bills for the same amount of power usage during those years were higher than previous bills.  </w:t>
      </w:r>
      <w:r w:rsidR="00376D53" w:rsidRPr="00376D53">
        <w:rPr>
          <w:i/>
          <w:sz w:val="26"/>
          <w:szCs w:val="26"/>
        </w:rPr>
        <w:t>Id</w:t>
      </w:r>
      <w:r w:rsidR="00376D53">
        <w:rPr>
          <w:sz w:val="26"/>
          <w:szCs w:val="26"/>
        </w:rPr>
        <w:t>.</w:t>
      </w:r>
    </w:p>
    <w:p w:rsidR="00AB1693" w:rsidRDefault="00AB1693" w:rsidP="00744FD2">
      <w:pPr>
        <w:widowControl/>
        <w:spacing w:line="360" w:lineRule="auto"/>
        <w:ind w:firstLine="1440"/>
        <w:rPr>
          <w:sz w:val="26"/>
          <w:szCs w:val="26"/>
        </w:rPr>
      </w:pPr>
    </w:p>
    <w:p w:rsidR="009155DC" w:rsidRPr="00744FD2" w:rsidRDefault="004F2D4C" w:rsidP="00714B44">
      <w:pPr>
        <w:widowControl/>
        <w:spacing w:line="360" w:lineRule="auto"/>
        <w:ind w:firstLine="1440"/>
        <w:rPr>
          <w:sz w:val="26"/>
          <w:szCs w:val="26"/>
        </w:rPr>
      </w:pPr>
      <w:r>
        <w:rPr>
          <w:sz w:val="26"/>
          <w:szCs w:val="26"/>
        </w:rPr>
        <w:t xml:space="preserve">The </w:t>
      </w:r>
      <w:r w:rsidR="00AB1693">
        <w:rPr>
          <w:sz w:val="26"/>
          <w:szCs w:val="26"/>
        </w:rPr>
        <w:t>ALJ</w:t>
      </w:r>
      <w:r w:rsidR="00EF6012">
        <w:rPr>
          <w:sz w:val="26"/>
          <w:szCs w:val="26"/>
        </w:rPr>
        <w:t xml:space="preserve"> </w:t>
      </w:r>
      <w:r>
        <w:rPr>
          <w:sz w:val="26"/>
          <w:szCs w:val="26"/>
        </w:rPr>
        <w:t xml:space="preserve">also </w:t>
      </w:r>
      <w:r w:rsidR="00EF6012">
        <w:rPr>
          <w:sz w:val="26"/>
          <w:szCs w:val="26"/>
        </w:rPr>
        <w:t>found that the Complainant failed to show that</w:t>
      </w:r>
      <w:r>
        <w:rPr>
          <w:sz w:val="26"/>
          <w:szCs w:val="26"/>
        </w:rPr>
        <w:t xml:space="preserve"> her bills significantly decreased</w:t>
      </w:r>
      <w:r w:rsidR="00EF6012">
        <w:rPr>
          <w:sz w:val="26"/>
          <w:szCs w:val="26"/>
        </w:rPr>
        <w:t xml:space="preserve"> after her meter was removed </w:t>
      </w:r>
      <w:r>
        <w:rPr>
          <w:sz w:val="26"/>
          <w:szCs w:val="26"/>
        </w:rPr>
        <w:t>and replaced in March 2012</w:t>
      </w:r>
      <w:r w:rsidR="00EF6012">
        <w:rPr>
          <w:sz w:val="26"/>
          <w:szCs w:val="26"/>
        </w:rPr>
        <w:t xml:space="preserve">, </w:t>
      </w:r>
      <w:r w:rsidR="006F3CE3">
        <w:rPr>
          <w:sz w:val="26"/>
          <w:szCs w:val="26"/>
        </w:rPr>
        <w:t>and thus, failed to show that the</w:t>
      </w:r>
      <w:r w:rsidR="000C76B5">
        <w:rPr>
          <w:sz w:val="26"/>
          <w:szCs w:val="26"/>
        </w:rPr>
        <w:t xml:space="preserve"> old</w:t>
      </w:r>
      <w:r w:rsidR="006F3CE3">
        <w:rPr>
          <w:sz w:val="26"/>
          <w:szCs w:val="26"/>
        </w:rPr>
        <w:t xml:space="preserve"> </w:t>
      </w:r>
      <w:r w:rsidR="00EF6012">
        <w:rPr>
          <w:sz w:val="26"/>
          <w:szCs w:val="26"/>
        </w:rPr>
        <w:t xml:space="preserve">meter was faulty.  </w:t>
      </w:r>
      <w:r w:rsidR="00EF6012" w:rsidRPr="00EF6012">
        <w:rPr>
          <w:i/>
          <w:sz w:val="26"/>
          <w:szCs w:val="26"/>
        </w:rPr>
        <w:t>Id</w:t>
      </w:r>
      <w:r w:rsidR="00EF6012">
        <w:rPr>
          <w:sz w:val="26"/>
          <w:szCs w:val="26"/>
        </w:rPr>
        <w:t>.</w:t>
      </w:r>
      <w:r w:rsidR="00AB1693">
        <w:rPr>
          <w:sz w:val="26"/>
          <w:szCs w:val="26"/>
        </w:rPr>
        <w:t xml:space="preserve"> </w:t>
      </w:r>
      <w:r w:rsidR="00EF6012">
        <w:rPr>
          <w:sz w:val="26"/>
          <w:szCs w:val="26"/>
        </w:rPr>
        <w:t xml:space="preserve"> The ALJ </w:t>
      </w:r>
      <w:r w:rsidR="00AB1693">
        <w:rPr>
          <w:sz w:val="26"/>
          <w:szCs w:val="26"/>
        </w:rPr>
        <w:t xml:space="preserve">stated that the evidence </w:t>
      </w:r>
      <w:r w:rsidR="00AB1693">
        <w:rPr>
          <w:sz w:val="26"/>
          <w:szCs w:val="26"/>
        </w:rPr>
        <w:lastRenderedPageBreak/>
        <w:t>supports a finding</w:t>
      </w:r>
      <w:r w:rsidR="00EF6012">
        <w:rPr>
          <w:sz w:val="26"/>
          <w:szCs w:val="26"/>
        </w:rPr>
        <w:t xml:space="preserve"> that</w:t>
      </w:r>
      <w:r w:rsidR="00AB1693">
        <w:rPr>
          <w:sz w:val="26"/>
          <w:szCs w:val="26"/>
        </w:rPr>
        <w:t xml:space="preserve"> the</w:t>
      </w:r>
      <w:r w:rsidR="00D87DA9">
        <w:rPr>
          <w:sz w:val="26"/>
          <w:szCs w:val="26"/>
        </w:rPr>
        <w:t xml:space="preserve"> old</w:t>
      </w:r>
      <w:r w:rsidR="00AB1693">
        <w:rPr>
          <w:sz w:val="26"/>
          <w:szCs w:val="26"/>
        </w:rPr>
        <w:t xml:space="preserve"> meter was pulled and tested in March 2012, and that the test results fell within the limits of the Commission’s regulations.</w:t>
      </w:r>
      <w:r w:rsidR="00F76A4E">
        <w:rPr>
          <w:sz w:val="26"/>
          <w:szCs w:val="26"/>
        </w:rPr>
        <w:t xml:space="preserve">  </w:t>
      </w:r>
      <w:r w:rsidR="00F76A4E" w:rsidRPr="00F76A4E">
        <w:rPr>
          <w:i/>
          <w:sz w:val="26"/>
          <w:szCs w:val="26"/>
        </w:rPr>
        <w:t>Id</w:t>
      </w:r>
      <w:r w:rsidR="00F76A4E">
        <w:rPr>
          <w:sz w:val="26"/>
          <w:szCs w:val="26"/>
        </w:rPr>
        <w:t xml:space="preserve">. at </w:t>
      </w:r>
      <w:r w:rsidR="00EF6012">
        <w:rPr>
          <w:sz w:val="26"/>
          <w:szCs w:val="26"/>
        </w:rPr>
        <w:t>6-</w:t>
      </w:r>
      <w:r w:rsidR="00F76A4E">
        <w:rPr>
          <w:sz w:val="26"/>
          <w:szCs w:val="26"/>
        </w:rPr>
        <w:t xml:space="preserve">7.  </w:t>
      </w:r>
    </w:p>
    <w:p w:rsidR="00087299" w:rsidRPr="00744FD2" w:rsidRDefault="00087299" w:rsidP="005F184F">
      <w:pPr>
        <w:widowControl/>
        <w:spacing w:line="360" w:lineRule="auto"/>
        <w:ind w:firstLine="1440"/>
        <w:rPr>
          <w:sz w:val="26"/>
          <w:szCs w:val="26"/>
        </w:rPr>
      </w:pPr>
    </w:p>
    <w:p w:rsidR="009F55FF" w:rsidRPr="00714B44" w:rsidRDefault="009F55FF" w:rsidP="005F184F">
      <w:pPr>
        <w:widowControl/>
        <w:spacing w:line="360" w:lineRule="auto"/>
        <w:ind w:firstLine="1440"/>
        <w:rPr>
          <w:sz w:val="26"/>
          <w:szCs w:val="26"/>
        </w:rPr>
      </w:pPr>
      <w:r w:rsidRPr="00714B44">
        <w:rPr>
          <w:sz w:val="26"/>
          <w:szCs w:val="26"/>
        </w:rPr>
        <w:t>Cons</w:t>
      </w:r>
      <w:r w:rsidR="00714B44" w:rsidRPr="00714B44">
        <w:rPr>
          <w:sz w:val="26"/>
          <w:szCs w:val="26"/>
        </w:rPr>
        <w:t>istent with th</w:t>
      </w:r>
      <w:r w:rsidR="00D87DA9">
        <w:rPr>
          <w:sz w:val="26"/>
          <w:szCs w:val="26"/>
        </w:rPr>
        <w:t>e above findings, the ALJ dismissed</w:t>
      </w:r>
      <w:r w:rsidR="00342D6A">
        <w:rPr>
          <w:sz w:val="26"/>
          <w:szCs w:val="26"/>
        </w:rPr>
        <w:t xml:space="preserve"> the Complaint.  </w:t>
      </w:r>
      <w:r w:rsidR="00714B44" w:rsidRPr="00714B44">
        <w:rPr>
          <w:i/>
          <w:sz w:val="26"/>
          <w:szCs w:val="26"/>
        </w:rPr>
        <w:t>Id</w:t>
      </w:r>
      <w:r w:rsidR="00342D6A">
        <w:rPr>
          <w:sz w:val="26"/>
          <w:szCs w:val="26"/>
        </w:rPr>
        <w:t>. </w:t>
      </w:r>
      <w:r w:rsidR="00714B44" w:rsidRPr="00714B44">
        <w:rPr>
          <w:sz w:val="26"/>
          <w:szCs w:val="26"/>
        </w:rPr>
        <w:t>at 8.</w:t>
      </w:r>
    </w:p>
    <w:p w:rsidR="009F55FF" w:rsidRPr="00714B44" w:rsidRDefault="009F55FF" w:rsidP="005F184F">
      <w:pPr>
        <w:widowControl/>
        <w:spacing w:line="360" w:lineRule="auto"/>
        <w:ind w:firstLine="1440"/>
        <w:rPr>
          <w:sz w:val="26"/>
          <w:szCs w:val="26"/>
        </w:rPr>
      </w:pPr>
    </w:p>
    <w:p w:rsidR="00006F35" w:rsidRPr="004A4DCA" w:rsidRDefault="00512540" w:rsidP="00CE0483">
      <w:pPr>
        <w:keepNext/>
        <w:widowControl/>
        <w:spacing w:line="360" w:lineRule="auto"/>
        <w:rPr>
          <w:b/>
          <w:sz w:val="26"/>
          <w:szCs w:val="26"/>
        </w:rPr>
      </w:pPr>
      <w:r w:rsidRPr="004A4DCA">
        <w:rPr>
          <w:b/>
          <w:sz w:val="26"/>
          <w:szCs w:val="26"/>
        </w:rPr>
        <w:t>Exceptions and Replies</w:t>
      </w:r>
    </w:p>
    <w:p w:rsidR="00B9551C" w:rsidRPr="004A4DCA" w:rsidRDefault="00B9551C" w:rsidP="00CE0483">
      <w:pPr>
        <w:keepNext/>
        <w:widowControl/>
        <w:spacing w:line="360" w:lineRule="auto"/>
        <w:rPr>
          <w:sz w:val="26"/>
          <w:szCs w:val="26"/>
        </w:rPr>
      </w:pPr>
    </w:p>
    <w:p w:rsidR="00BD7863" w:rsidRDefault="00BC55A3" w:rsidP="009A7C0F">
      <w:pPr>
        <w:widowControl/>
        <w:spacing w:line="360" w:lineRule="auto"/>
        <w:rPr>
          <w:sz w:val="26"/>
          <w:szCs w:val="26"/>
        </w:rPr>
      </w:pPr>
      <w:r w:rsidRPr="004A4DCA">
        <w:rPr>
          <w:sz w:val="26"/>
          <w:szCs w:val="26"/>
        </w:rPr>
        <w:tab/>
      </w:r>
      <w:r w:rsidRPr="004A4DCA">
        <w:rPr>
          <w:sz w:val="26"/>
          <w:szCs w:val="26"/>
        </w:rPr>
        <w:tab/>
      </w:r>
      <w:r w:rsidR="00513441" w:rsidRPr="004A4DCA">
        <w:rPr>
          <w:sz w:val="26"/>
          <w:szCs w:val="26"/>
        </w:rPr>
        <w:t xml:space="preserve">In her Exceptions, the Complainant </w:t>
      </w:r>
      <w:r w:rsidR="00695271">
        <w:rPr>
          <w:sz w:val="26"/>
          <w:szCs w:val="26"/>
        </w:rPr>
        <w:t>takes issue with various Findings of Fact made by the ALJ, as well as with the ALJ’s conclusions.</w:t>
      </w:r>
      <w:r w:rsidR="00BD7863">
        <w:rPr>
          <w:sz w:val="26"/>
          <w:szCs w:val="26"/>
        </w:rPr>
        <w:t xml:space="preserve">  The Complainant also attempts to introduce additional evidence in support of her Complaint through various statements and allegations, as well as through a number</w:t>
      </w:r>
      <w:r w:rsidR="00F73BBF">
        <w:rPr>
          <w:sz w:val="26"/>
          <w:szCs w:val="26"/>
        </w:rPr>
        <w:t xml:space="preserve"> of</w:t>
      </w:r>
      <w:r w:rsidR="00BD7863">
        <w:rPr>
          <w:sz w:val="26"/>
          <w:szCs w:val="26"/>
        </w:rPr>
        <w:t xml:space="preserve"> exhibits attached to her Exceptions.</w:t>
      </w:r>
    </w:p>
    <w:p w:rsidR="00BD7863" w:rsidRDefault="00BD7863" w:rsidP="00FF1FC4">
      <w:pPr>
        <w:widowControl/>
        <w:spacing w:line="360" w:lineRule="auto"/>
        <w:rPr>
          <w:sz w:val="26"/>
          <w:szCs w:val="26"/>
        </w:rPr>
      </w:pPr>
    </w:p>
    <w:p w:rsidR="00B9551C" w:rsidRPr="00C15667" w:rsidRDefault="0053364E" w:rsidP="009A7C0F">
      <w:pPr>
        <w:widowControl/>
        <w:spacing w:line="360" w:lineRule="auto"/>
        <w:rPr>
          <w:sz w:val="26"/>
          <w:szCs w:val="26"/>
        </w:rPr>
      </w:pPr>
      <w:r>
        <w:rPr>
          <w:sz w:val="26"/>
          <w:szCs w:val="26"/>
        </w:rPr>
        <w:tab/>
      </w:r>
      <w:r>
        <w:rPr>
          <w:sz w:val="26"/>
          <w:szCs w:val="26"/>
        </w:rPr>
        <w:tab/>
      </w:r>
      <w:r w:rsidR="00695271">
        <w:rPr>
          <w:sz w:val="26"/>
          <w:szCs w:val="26"/>
        </w:rPr>
        <w:t>With regard to the pole building</w:t>
      </w:r>
      <w:r w:rsidR="00D54479">
        <w:rPr>
          <w:sz w:val="26"/>
          <w:szCs w:val="26"/>
        </w:rPr>
        <w:t xml:space="preserve"> that was</w:t>
      </w:r>
      <w:r w:rsidR="00695271">
        <w:rPr>
          <w:sz w:val="26"/>
          <w:szCs w:val="26"/>
        </w:rPr>
        <w:t xml:space="preserve"> constructed on the Complainant’s property, the Complainant notes that the bui</w:t>
      </w:r>
      <w:r w:rsidR="00FF1FC4">
        <w:rPr>
          <w:sz w:val="26"/>
          <w:szCs w:val="26"/>
        </w:rPr>
        <w:t xml:space="preserve">lding was completed in January </w:t>
      </w:r>
      <w:r w:rsidR="00695271">
        <w:rPr>
          <w:sz w:val="26"/>
          <w:szCs w:val="26"/>
        </w:rPr>
        <w:t>2012, and not January 2011</w:t>
      </w:r>
      <w:r w:rsidR="00FF1FC4">
        <w:rPr>
          <w:sz w:val="26"/>
          <w:szCs w:val="26"/>
        </w:rPr>
        <w:t>,</w:t>
      </w:r>
      <w:r w:rsidR="00695271">
        <w:rPr>
          <w:sz w:val="26"/>
          <w:szCs w:val="26"/>
        </w:rPr>
        <w:t xml:space="preserve"> as the ALJ stated in her Finding of Fact No. 3.</w:t>
      </w:r>
      <w:r>
        <w:rPr>
          <w:sz w:val="26"/>
          <w:szCs w:val="26"/>
        </w:rPr>
        <w:t xml:space="preserve">  </w:t>
      </w:r>
      <w:r w:rsidR="007319AD">
        <w:rPr>
          <w:sz w:val="26"/>
          <w:szCs w:val="26"/>
        </w:rPr>
        <w:t xml:space="preserve">Exc. No. 1.  </w:t>
      </w:r>
      <w:r w:rsidR="00551939">
        <w:rPr>
          <w:sz w:val="26"/>
          <w:szCs w:val="26"/>
        </w:rPr>
        <w:t>Therefore, </w:t>
      </w:r>
      <w:r>
        <w:rPr>
          <w:sz w:val="26"/>
          <w:szCs w:val="26"/>
        </w:rPr>
        <w:t xml:space="preserve">the Complainant asserts that construction of the building </w:t>
      </w:r>
      <w:r w:rsidR="00FF1FC4">
        <w:rPr>
          <w:sz w:val="26"/>
          <w:szCs w:val="26"/>
        </w:rPr>
        <w:t xml:space="preserve">did </w:t>
      </w:r>
      <w:r>
        <w:rPr>
          <w:sz w:val="26"/>
          <w:szCs w:val="26"/>
        </w:rPr>
        <w:t>not occur in December</w:t>
      </w:r>
      <w:r w:rsidR="00FF1FC4">
        <w:rPr>
          <w:sz w:val="26"/>
          <w:szCs w:val="26"/>
        </w:rPr>
        <w:t> </w:t>
      </w:r>
      <w:r>
        <w:rPr>
          <w:sz w:val="26"/>
          <w:szCs w:val="26"/>
        </w:rPr>
        <w:t>2010</w:t>
      </w:r>
      <w:r w:rsidR="00FF1FC4">
        <w:rPr>
          <w:sz w:val="26"/>
          <w:szCs w:val="26"/>
        </w:rPr>
        <w:t>,</w:t>
      </w:r>
      <w:r>
        <w:rPr>
          <w:sz w:val="26"/>
          <w:szCs w:val="26"/>
        </w:rPr>
        <w:t xml:space="preserve"> as the ALJ inferred</w:t>
      </w:r>
      <w:r w:rsidR="007319AD">
        <w:rPr>
          <w:sz w:val="26"/>
          <w:szCs w:val="26"/>
        </w:rPr>
        <w:t>, and that there was no electricity or heat</w:t>
      </w:r>
      <w:r w:rsidR="009A759F">
        <w:rPr>
          <w:sz w:val="26"/>
          <w:szCs w:val="26"/>
        </w:rPr>
        <w:t xml:space="preserve"> </w:t>
      </w:r>
      <w:r w:rsidR="007319AD">
        <w:rPr>
          <w:sz w:val="26"/>
          <w:szCs w:val="26"/>
        </w:rPr>
        <w:t>available to the building in D</w:t>
      </w:r>
      <w:r w:rsidR="00DE12A4">
        <w:rPr>
          <w:sz w:val="26"/>
          <w:szCs w:val="26"/>
        </w:rPr>
        <w:t xml:space="preserve">ecember 2011, as the ALJ </w:t>
      </w:r>
      <w:r w:rsidR="007319AD">
        <w:rPr>
          <w:sz w:val="26"/>
          <w:szCs w:val="26"/>
        </w:rPr>
        <w:t>thought</w:t>
      </w:r>
      <w:r>
        <w:rPr>
          <w:sz w:val="26"/>
          <w:szCs w:val="26"/>
        </w:rPr>
        <w:t>.</w:t>
      </w:r>
      <w:r w:rsidR="00695271">
        <w:rPr>
          <w:sz w:val="26"/>
          <w:szCs w:val="26"/>
        </w:rPr>
        <w:t xml:space="preserve">  </w:t>
      </w:r>
      <w:r w:rsidR="008D08DC">
        <w:rPr>
          <w:sz w:val="26"/>
          <w:szCs w:val="26"/>
        </w:rPr>
        <w:t>Exc. No</w:t>
      </w:r>
      <w:r>
        <w:rPr>
          <w:sz w:val="26"/>
          <w:szCs w:val="26"/>
        </w:rPr>
        <w:t>s</w:t>
      </w:r>
      <w:r w:rsidR="008D08DC">
        <w:rPr>
          <w:sz w:val="26"/>
          <w:szCs w:val="26"/>
        </w:rPr>
        <w:t>. 1</w:t>
      </w:r>
      <w:r>
        <w:rPr>
          <w:sz w:val="26"/>
          <w:szCs w:val="26"/>
        </w:rPr>
        <w:t xml:space="preserve"> and 9</w:t>
      </w:r>
      <w:r w:rsidR="008D08DC">
        <w:rPr>
          <w:sz w:val="26"/>
          <w:szCs w:val="26"/>
        </w:rPr>
        <w:t xml:space="preserve">.  </w:t>
      </w:r>
      <w:r w:rsidR="00695271">
        <w:rPr>
          <w:sz w:val="26"/>
          <w:szCs w:val="26"/>
        </w:rPr>
        <w:t>The Complainant also asserts that</w:t>
      </w:r>
      <w:r w:rsidR="00A75580">
        <w:rPr>
          <w:sz w:val="26"/>
          <w:szCs w:val="26"/>
        </w:rPr>
        <w:t>,</w:t>
      </w:r>
      <w:r w:rsidR="00FF40EF">
        <w:rPr>
          <w:sz w:val="26"/>
          <w:szCs w:val="26"/>
        </w:rPr>
        <w:t xml:space="preserve"> although</w:t>
      </w:r>
      <w:r w:rsidR="00695271">
        <w:rPr>
          <w:sz w:val="26"/>
          <w:szCs w:val="26"/>
        </w:rPr>
        <w:t xml:space="preserve"> </w:t>
      </w:r>
      <w:r w:rsidR="008D08DC">
        <w:rPr>
          <w:sz w:val="26"/>
          <w:szCs w:val="26"/>
        </w:rPr>
        <w:t>electricity was installed in the pole building, it does not use electricity</w:t>
      </w:r>
      <w:r>
        <w:rPr>
          <w:sz w:val="26"/>
          <w:szCs w:val="26"/>
        </w:rPr>
        <w:t xml:space="preserve"> for heating.  </w:t>
      </w:r>
      <w:r w:rsidR="00A75580">
        <w:rPr>
          <w:sz w:val="26"/>
          <w:szCs w:val="26"/>
        </w:rPr>
        <w:t>Exc. Nos. 1 and 8</w:t>
      </w:r>
      <w:r w:rsidR="00C15667">
        <w:rPr>
          <w:sz w:val="26"/>
          <w:szCs w:val="26"/>
        </w:rPr>
        <w:t>.</w:t>
      </w:r>
      <w:r w:rsidR="00A75580">
        <w:rPr>
          <w:rStyle w:val="FootnoteReference"/>
          <w:sz w:val="26"/>
          <w:szCs w:val="26"/>
        </w:rPr>
        <w:footnoteReference w:id="4"/>
      </w:r>
    </w:p>
    <w:p w:rsidR="00903483" w:rsidRDefault="00903483" w:rsidP="009A7C0F">
      <w:pPr>
        <w:widowControl/>
        <w:spacing w:line="360" w:lineRule="auto"/>
        <w:rPr>
          <w:sz w:val="26"/>
          <w:szCs w:val="26"/>
        </w:rPr>
      </w:pPr>
    </w:p>
    <w:p w:rsidR="00906F6E" w:rsidRDefault="00FF40EF" w:rsidP="009A7C0F">
      <w:pPr>
        <w:widowControl/>
        <w:spacing w:line="360" w:lineRule="auto"/>
        <w:rPr>
          <w:sz w:val="26"/>
          <w:szCs w:val="26"/>
        </w:rPr>
      </w:pPr>
      <w:r>
        <w:rPr>
          <w:sz w:val="26"/>
          <w:szCs w:val="26"/>
        </w:rPr>
        <w:tab/>
      </w:r>
      <w:r>
        <w:rPr>
          <w:sz w:val="26"/>
          <w:szCs w:val="26"/>
        </w:rPr>
        <w:tab/>
        <w:t>The Complainant also</w:t>
      </w:r>
      <w:r w:rsidR="00DC188E">
        <w:rPr>
          <w:sz w:val="26"/>
          <w:szCs w:val="26"/>
        </w:rPr>
        <w:t xml:space="preserve"> takes issue with the ALJ’s finding that her electricity usage did not significantly change from prior years af</w:t>
      </w:r>
      <w:r w:rsidR="00906F6E">
        <w:rPr>
          <w:sz w:val="26"/>
          <w:szCs w:val="26"/>
        </w:rPr>
        <w:t>ter the new meter was installed.  In th</w:t>
      </w:r>
      <w:r w:rsidR="00E21106">
        <w:rPr>
          <w:sz w:val="26"/>
          <w:szCs w:val="26"/>
        </w:rPr>
        <w:t>is regard, the Complainant notes once more</w:t>
      </w:r>
      <w:r w:rsidR="00906F6E">
        <w:rPr>
          <w:sz w:val="26"/>
          <w:szCs w:val="26"/>
        </w:rPr>
        <w:t>,</w:t>
      </w:r>
      <w:r w:rsidR="00002644">
        <w:rPr>
          <w:sz w:val="26"/>
          <w:szCs w:val="26"/>
        </w:rPr>
        <w:t xml:space="preserve"> the differences in her usage for the period </w:t>
      </w:r>
      <w:r w:rsidR="00002644">
        <w:rPr>
          <w:sz w:val="26"/>
          <w:szCs w:val="26"/>
        </w:rPr>
        <w:lastRenderedPageBreak/>
        <w:t>April through October for the years 2009 through 2012.  Exc. Nos. 6 and 8.</w:t>
      </w:r>
      <w:r w:rsidR="00FE339F">
        <w:rPr>
          <w:sz w:val="26"/>
          <w:szCs w:val="26"/>
        </w:rPr>
        <w:t xml:space="preserve">  Contrary to the ALJ’s finding, the Complainant </w:t>
      </w:r>
      <w:r w:rsidR="00DC188E">
        <w:rPr>
          <w:sz w:val="26"/>
          <w:szCs w:val="26"/>
        </w:rPr>
        <w:t>asserts that there is substantial evidence that there was a problem with</w:t>
      </w:r>
      <w:r w:rsidR="00FE339F">
        <w:rPr>
          <w:sz w:val="26"/>
          <w:szCs w:val="26"/>
        </w:rPr>
        <w:t xml:space="preserve"> her</w:t>
      </w:r>
      <w:r w:rsidR="00DC188E">
        <w:rPr>
          <w:sz w:val="26"/>
          <w:szCs w:val="26"/>
        </w:rPr>
        <w:t xml:space="preserve"> old meter.</w:t>
      </w:r>
      <w:r w:rsidR="00FE339F">
        <w:rPr>
          <w:sz w:val="26"/>
          <w:szCs w:val="26"/>
        </w:rPr>
        <w:t xml:space="preserve">  Exc. No.</w:t>
      </w:r>
      <w:r w:rsidR="00906F6E">
        <w:rPr>
          <w:sz w:val="26"/>
          <w:szCs w:val="26"/>
        </w:rPr>
        <w:t xml:space="preserve"> 9.</w:t>
      </w:r>
    </w:p>
    <w:p w:rsidR="00906F6E" w:rsidRDefault="00906F6E" w:rsidP="009A7C0F">
      <w:pPr>
        <w:widowControl/>
        <w:spacing w:line="360" w:lineRule="auto"/>
        <w:rPr>
          <w:sz w:val="26"/>
          <w:szCs w:val="26"/>
        </w:rPr>
      </w:pPr>
    </w:p>
    <w:p w:rsidR="00903483" w:rsidRPr="004A4DCA" w:rsidRDefault="00906F6E" w:rsidP="009A7C0F">
      <w:pPr>
        <w:widowControl/>
        <w:spacing w:line="360" w:lineRule="auto"/>
        <w:rPr>
          <w:sz w:val="26"/>
          <w:szCs w:val="26"/>
        </w:rPr>
      </w:pPr>
      <w:r>
        <w:rPr>
          <w:sz w:val="26"/>
          <w:szCs w:val="26"/>
        </w:rPr>
        <w:tab/>
      </w:r>
      <w:r>
        <w:rPr>
          <w:sz w:val="26"/>
          <w:szCs w:val="26"/>
        </w:rPr>
        <w:tab/>
      </w:r>
      <w:r w:rsidR="00DC188E">
        <w:rPr>
          <w:sz w:val="26"/>
          <w:szCs w:val="26"/>
        </w:rPr>
        <w:t>The Complainant also</w:t>
      </w:r>
      <w:r w:rsidR="00FF40EF">
        <w:rPr>
          <w:sz w:val="26"/>
          <w:szCs w:val="26"/>
        </w:rPr>
        <w:t xml:space="preserve"> contends that</w:t>
      </w:r>
      <w:r w:rsidR="00474104">
        <w:rPr>
          <w:sz w:val="26"/>
          <w:szCs w:val="26"/>
        </w:rPr>
        <w:t>,</w:t>
      </w:r>
      <w:r w:rsidR="00FF40EF">
        <w:rPr>
          <w:sz w:val="26"/>
          <w:szCs w:val="26"/>
        </w:rPr>
        <w:t xml:space="preserve"> while the PPL customer contact representative conducted a brief walk-through of her property, no actual tests were conducted to determine the electricity usage of her appliances.  The Complainant opines that “[i]t is impossible to determine how much energy an item is using by viewing an item.”  Exc. No. 3.</w:t>
      </w:r>
    </w:p>
    <w:p w:rsidR="004A4DCA" w:rsidRPr="004A4DCA" w:rsidRDefault="004A4DCA" w:rsidP="006A22B6">
      <w:pPr>
        <w:widowControl/>
        <w:spacing w:line="360" w:lineRule="auto"/>
        <w:rPr>
          <w:sz w:val="26"/>
          <w:szCs w:val="26"/>
        </w:rPr>
      </w:pPr>
    </w:p>
    <w:p w:rsidR="00BC55A3" w:rsidRDefault="004A4DCA" w:rsidP="006A22B6">
      <w:pPr>
        <w:widowControl/>
        <w:spacing w:line="360" w:lineRule="auto"/>
        <w:rPr>
          <w:sz w:val="26"/>
          <w:szCs w:val="26"/>
        </w:rPr>
      </w:pPr>
      <w:r w:rsidRPr="004A4DCA">
        <w:rPr>
          <w:sz w:val="26"/>
          <w:szCs w:val="26"/>
        </w:rPr>
        <w:tab/>
      </w:r>
      <w:r w:rsidRPr="004A4DCA">
        <w:rPr>
          <w:sz w:val="26"/>
          <w:szCs w:val="26"/>
        </w:rPr>
        <w:tab/>
        <w:t>In its Reply</w:t>
      </w:r>
      <w:r w:rsidR="00386D03">
        <w:rPr>
          <w:sz w:val="26"/>
          <w:szCs w:val="26"/>
        </w:rPr>
        <w:t xml:space="preserve"> Exceptions</w:t>
      </w:r>
      <w:r w:rsidRPr="004A4DCA">
        <w:rPr>
          <w:sz w:val="26"/>
          <w:szCs w:val="26"/>
        </w:rPr>
        <w:t>, PPL</w:t>
      </w:r>
      <w:r w:rsidR="00AB0F63" w:rsidRPr="004A4DCA">
        <w:rPr>
          <w:sz w:val="26"/>
          <w:szCs w:val="26"/>
        </w:rPr>
        <w:t xml:space="preserve"> </w:t>
      </w:r>
      <w:r w:rsidR="00386D03">
        <w:rPr>
          <w:sz w:val="26"/>
          <w:szCs w:val="26"/>
        </w:rPr>
        <w:t>denies that the ALJ committed any error of law or abuse of discretion with r</w:t>
      </w:r>
      <w:r w:rsidR="00B865DB">
        <w:rPr>
          <w:sz w:val="26"/>
          <w:szCs w:val="26"/>
        </w:rPr>
        <w:t>egard to any of her findings or</w:t>
      </w:r>
      <w:r w:rsidR="00386D03">
        <w:rPr>
          <w:sz w:val="26"/>
          <w:szCs w:val="26"/>
        </w:rPr>
        <w:t xml:space="preserve"> conclusions.  </w:t>
      </w:r>
      <w:r w:rsidR="00B865DB">
        <w:rPr>
          <w:sz w:val="26"/>
          <w:szCs w:val="26"/>
        </w:rPr>
        <w:t>PPL also</w:t>
      </w:r>
      <w:r w:rsidR="00A519B0">
        <w:rPr>
          <w:sz w:val="26"/>
          <w:szCs w:val="26"/>
        </w:rPr>
        <w:t xml:space="preserve"> objects to the Complainant’s attempt to introduce evidence and exhibits in h</w:t>
      </w:r>
      <w:r w:rsidR="0027292C">
        <w:rPr>
          <w:sz w:val="26"/>
          <w:szCs w:val="26"/>
        </w:rPr>
        <w:t>er Exceptions that were not</w:t>
      </w:r>
      <w:r w:rsidR="00CB4F30">
        <w:rPr>
          <w:sz w:val="26"/>
          <w:szCs w:val="26"/>
        </w:rPr>
        <w:t xml:space="preserve"> </w:t>
      </w:r>
      <w:r w:rsidR="00A519B0">
        <w:rPr>
          <w:sz w:val="26"/>
          <w:szCs w:val="26"/>
        </w:rPr>
        <w:t>part of the record in this proceeding.</w:t>
      </w:r>
    </w:p>
    <w:p w:rsidR="000F717E" w:rsidRDefault="000F717E" w:rsidP="006A22B6">
      <w:pPr>
        <w:widowControl/>
        <w:spacing w:line="360" w:lineRule="auto"/>
        <w:rPr>
          <w:sz w:val="26"/>
          <w:szCs w:val="26"/>
        </w:rPr>
      </w:pPr>
    </w:p>
    <w:p w:rsidR="000F717E" w:rsidRDefault="000F717E" w:rsidP="006A22B6">
      <w:pPr>
        <w:widowControl/>
        <w:spacing w:line="360" w:lineRule="auto"/>
        <w:rPr>
          <w:sz w:val="26"/>
          <w:szCs w:val="26"/>
        </w:rPr>
      </w:pPr>
      <w:r>
        <w:rPr>
          <w:sz w:val="26"/>
          <w:szCs w:val="26"/>
        </w:rPr>
        <w:tab/>
      </w:r>
      <w:r>
        <w:rPr>
          <w:sz w:val="26"/>
          <w:szCs w:val="26"/>
        </w:rPr>
        <w:tab/>
      </w:r>
      <w:r w:rsidR="00A97301">
        <w:rPr>
          <w:sz w:val="26"/>
          <w:szCs w:val="26"/>
        </w:rPr>
        <w:t>With regard to the ALJ’s Finding of Fact No. 3, which states</w:t>
      </w:r>
      <w:r>
        <w:rPr>
          <w:sz w:val="26"/>
          <w:szCs w:val="26"/>
        </w:rPr>
        <w:t xml:space="preserve"> that the Complainant’s pole building was completed in January 2011, PPL avers that it appear</w:t>
      </w:r>
      <w:r w:rsidR="00A97301">
        <w:rPr>
          <w:sz w:val="26"/>
          <w:szCs w:val="26"/>
        </w:rPr>
        <w:t>s this was</w:t>
      </w:r>
      <w:r>
        <w:rPr>
          <w:sz w:val="26"/>
          <w:szCs w:val="26"/>
        </w:rPr>
        <w:t xml:space="preserve"> a typographical error.</w:t>
      </w:r>
      <w:r w:rsidR="0079082B">
        <w:rPr>
          <w:sz w:val="26"/>
          <w:szCs w:val="26"/>
        </w:rPr>
        <w:t xml:space="preserve">  PPL asserts that the ALJ’s subsequent finding that the pole building was completed in December 2011</w:t>
      </w:r>
      <w:r w:rsidR="006C0D0F">
        <w:rPr>
          <w:sz w:val="26"/>
          <w:szCs w:val="26"/>
        </w:rPr>
        <w:t>,</w:t>
      </w:r>
      <w:r w:rsidR="0079082B">
        <w:rPr>
          <w:sz w:val="26"/>
          <w:szCs w:val="26"/>
        </w:rPr>
        <w:t xml:space="preserve"> is consistent wi</w:t>
      </w:r>
      <w:r w:rsidR="008972FB">
        <w:rPr>
          <w:sz w:val="26"/>
          <w:szCs w:val="26"/>
        </w:rPr>
        <w:t>th the Complainant’s allegation</w:t>
      </w:r>
      <w:r w:rsidR="0079082B">
        <w:rPr>
          <w:sz w:val="26"/>
          <w:szCs w:val="26"/>
        </w:rPr>
        <w:t xml:space="preserve"> that it was completed in January 2012.  R.Exc. No.</w:t>
      </w:r>
      <w:r w:rsidR="008972FB">
        <w:rPr>
          <w:sz w:val="26"/>
          <w:szCs w:val="26"/>
        </w:rPr>
        <w:t xml:space="preserve"> </w:t>
      </w:r>
      <w:r w:rsidR="0079082B">
        <w:rPr>
          <w:sz w:val="26"/>
          <w:szCs w:val="26"/>
        </w:rPr>
        <w:t>1.</w:t>
      </w:r>
    </w:p>
    <w:p w:rsidR="00972963" w:rsidRDefault="00972963" w:rsidP="006A22B6">
      <w:pPr>
        <w:widowControl/>
        <w:spacing w:line="360" w:lineRule="auto"/>
        <w:rPr>
          <w:sz w:val="26"/>
          <w:szCs w:val="26"/>
        </w:rPr>
      </w:pPr>
    </w:p>
    <w:p w:rsidR="00972963" w:rsidRDefault="00972963" w:rsidP="006A22B6">
      <w:pPr>
        <w:widowControl/>
        <w:spacing w:line="360" w:lineRule="auto"/>
        <w:rPr>
          <w:sz w:val="26"/>
          <w:szCs w:val="26"/>
        </w:rPr>
      </w:pPr>
      <w:r>
        <w:rPr>
          <w:sz w:val="26"/>
          <w:szCs w:val="26"/>
        </w:rPr>
        <w:tab/>
      </w:r>
      <w:r>
        <w:rPr>
          <w:sz w:val="26"/>
          <w:szCs w:val="26"/>
        </w:rPr>
        <w:tab/>
        <w:t>PPL also contends that the ALJ correctly found that the Complainant’s electricity usage did not change significa</w:t>
      </w:r>
      <w:r w:rsidR="00C63309">
        <w:rPr>
          <w:sz w:val="26"/>
          <w:szCs w:val="26"/>
        </w:rPr>
        <w:t>ntly after her meter was replaced</w:t>
      </w:r>
      <w:r>
        <w:rPr>
          <w:sz w:val="26"/>
          <w:szCs w:val="26"/>
        </w:rPr>
        <w:t xml:space="preserve"> in March 2012.  Noting the ALJ’s comparison of the Complainant’s </w:t>
      </w:r>
      <w:r w:rsidR="00FC7931">
        <w:rPr>
          <w:sz w:val="26"/>
          <w:szCs w:val="26"/>
        </w:rPr>
        <w:t xml:space="preserve">September </w:t>
      </w:r>
      <w:r w:rsidR="006C0D0F">
        <w:rPr>
          <w:sz w:val="26"/>
          <w:szCs w:val="26"/>
        </w:rPr>
        <w:t xml:space="preserve">2011 </w:t>
      </w:r>
      <w:r>
        <w:rPr>
          <w:sz w:val="26"/>
          <w:szCs w:val="26"/>
        </w:rPr>
        <w:t>usa</w:t>
      </w:r>
      <w:r w:rsidR="00FC7931">
        <w:rPr>
          <w:sz w:val="26"/>
          <w:szCs w:val="26"/>
        </w:rPr>
        <w:t xml:space="preserve">ge </w:t>
      </w:r>
      <w:r w:rsidR="00D33B0F">
        <w:rPr>
          <w:sz w:val="26"/>
          <w:szCs w:val="26"/>
        </w:rPr>
        <w:t>versus 2012, PPL avers that</w:t>
      </w:r>
      <w:r w:rsidR="00AD58A0">
        <w:rPr>
          <w:sz w:val="26"/>
          <w:szCs w:val="26"/>
        </w:rPr>
        <w:t>,</w:t>
      </w:r>
      <w:r w:rsidR="00D33B0F">
        <w:rPr>
          <w:sz w:val="26"/>
          <w:szCs w:val="26"/>
        </w:rPr>
        <w:t xml:space="preserve"> when these usage figures are divided by the number of days in each respective billing cycle, the resulting average usage of 45.88</w:t>
      </w:r>
      <w:r w:rsidR="00FC7931">
        <w:rPr>
          <w:sz w:val="26"/>
          <w:szCs w:val="26"/>
        </w:rPr>
        <w:t> </w:t>
      </w:r>
      <w:r w:rsidR="00D33B0F">
        <w:rPr>
          <w:sz w:val="26"/>
          <w:szCs w:val="26"/>
        </w:rPr>
        <w:t>kWh/day for September 2011</w:t>
      </w:r>
      <w:r w:rsidR="006C0D0F">
        <w:rPr>
          <w:sz w:val="26"/>
          <w:szCs w:val="26"/>
        </w:rPr>
        <w:t>,</w:t>
      </w:r>
      <w:r w:rsidR="00D33B0F">
        <w:rPr>
          <w:sz w:val="26"/>
          <w:szCs w:val="26"/>
        </w:rPr>
        <w:t xml:space="preserve"> is “extremely consistent” with the average usage of 42.03 kWh/day for September 2012.</w:t>
      </w:r>
      <w:r w:rsidR="00FC7931">
        <w:rPr>
          <w:sz w:val="26"/>
          <w:szCs w:val="26"/>
        </w:rPr>
        <w:t xml:space="preserve">  R.Exc. No. 6.</w:t>
      </w:r>
      <w:r w:rsidR="006036DE">
        <w:rPr>
          <w:sz w:val="26"/>
          <w:szCs w:val="26"/>
        </w:rPr>
        <w:t xml:space="preserve">  PPL argues that any significant differences occurred during the heating season, as shown in the ALJ’s comparison of the Complainant’s December usage </w:t>
      </w:r>
      <w:r w:rsidR="006036DE">
        <w:rPr>
          <w:sz w:val="26"/>
          <w:szCs w:val="26"/>
        </w:rPr>
        <w:lastRenderedPageBreak/>
        <w:t xml:space="preserve">for the years 2008 through 2011.  </w:t>
      </w:r>
      <w:r w:rsidR="006036DE" w:rsidRPr="006036DE">
        <w:rPr>
          <w:i/>
          <w:sz w:val="26"/>
          <w:szCs w:val="26"/>
        </w:rPr>
        <w:t>Id</w:t>
      </w:r>
      <w:r w:rsidR="009D2836">
        <w:rPr>
          <w:sz w:val="26"/>
          <w:szCs w:val="26"/>
        </w:rPr>
        <w:t xml:space="preserve">.  </w:t>
      </w:r>
      <w:r w:rsidR="000C7BBD">
        <w:rPr>
          <w:sz w:val="26"/>
          <w:szCs w:val="26"/>
        </w:rPr>
        <w:t>PPL asserts that the ALJ correctly found that such fluctuations in usage are reasonable because the Complainant’s residence used forced hot air heat in the winter months and central air conditioning in the summer months.  R.Exc. No. 6, citing Finding of Fact No.</w:t>
      </w:r>
      <w:r w:rsidR="00AD58A0">
        <w:rPr>
          <w:sz w:val="26"/>
          <w:szCs w:val="26"/>
        </w:rPr>
        <w:t xml:space="preserve"> </w:t>
      </w:r>
      <w:r w:rsidR="000C7BBD">
        <w:rPr>
          <w:sz w:val="26"/>
          <w:szCs w:val="26"/>
        </w:rPr>
        <w:t>16.</w:t>
      </w:r>
    </w:p>
    <w:p w:rsidR="00002644" w:rsidRDefault="00002644" w:rsidP="006A22B6">
      <w:pPr>
        <w:widowControl/>
        <w:spacing w:line="360" w:lineRule="auto"/>
        <w:rPr>
          <w:sz w:val="26"/>
          <w:szCs w:val="26"/>
        </w:rPr>
      </w:pPr>
    </w:p>
    <w:p w:rsidR="00002644" w:rsidRDefault="00002644" w:rsidP="006A22B6">
      <w:pPr>
        <w:widowControl/>
        <w:spacing w:line="360" w:lineRule="auto"/>
        <w:rPr>
          <w:sz w:val="26"/>
          <w:szCs w:val="26"/>
        </w:rPr>
      </w:pPr>
      <w:r>
        <w:rPr>
          <w:sz w:val="26"/>
          <w:szCs w:val="26"/>
        </w:rPr>
        <w:tab/>
      </w:r>
      <w:r>
        <w:rPr>
          <w:sz w:val="26"/>
          <w:szCs w:val="26"/>
        </w:rPr>
        <w:tab/>
        <w:t xml:space="preserve">With regard to </w:t>
      </w:r>
      <w:r w:rsidR="003274BA">
        <w:rPr>
          <w:sz w:val="26"/>
          <w:szCs w:val="26"/>
        </w:rPr>
        <w:t xml:space="preserve">the Complainant’s </w:t>
      </w:r>
      <w:r w:rsidR="00AE05F8">
        <w:rPr>
          <w:sz w:val="26"/>
          <w:szCs w:val="26"/>
        </w:rPr>
        <w:t xml:space="preserve">increasing electricity usage from 2009 through 2011 during the period April through October, PPL argues that outside temperatures must be taken into account when comparing summer usage in a home equipped with air conditioning.  R.Exc. No. 8.  PPL notes that the cooling degree days for the period in question during those years amounted to 582 in 2009, 975 in 2010, and 883 in 2011.  </w:t>
      </w:r>
      <w:r w:rsidR="00AE05F8" w:rsidRPr="00AE05F8">
        <w:rPr>
          <w:i/>
          <w:sz w:val="26"/>
          <w:szCs w:val="26"/>
        </w:rPr>
        <w:t>Id</w:t>
      </w:r>
      <w:r w:rsidR="00AE05F8">
        <w:rPr>
          <w:sz w:val="26"/>
          <w:szCs w:val="26"/>
        </w:rPr>
        <w:t xml:space="preserve">., citing PPL </w:t>
      </w:r>
      <w:r w:rsidR="00347863">
        <w:rPr>
          <w:sz w:val="26"/>
          <w:szCs w:val="26"/>
        </w:rPr>
        <w:t>Exh.</w:t>
      </w:r>
      <w:r w:rsidR="00AE05F8">
        <w:rPr>
          <w:sz w:val="26"/>
          <w:szCs w:val="26"/>
        </w:rPr>
        <w:t xml:space="preserve"> 1.</w:t>
      </w:r>
      <w:r w:rsidR="003D4DB8">
        <w:rPr>
          <w:sz w:val="26"/>
          <w:szCs w:val="26"/>
        </w:rPr>
        <w:t xml:space="preserve">  PPL states that it is expected that usage will increase when the number of cooling degree days increases.  R.Exc. No. 6.  PPL also asserts that electric tools used during construction of the pole building during</w:t>
      </w:r>
      <w:r w:rsidR="00AD58A0">
        <w:rPr>
          <w:sz w:val="26"/>
          <w:szCs w:val="26"/>
        </w:rPr>
        <w:t xml:space="preserve"> this time period in 2011 </w:t>
      </w:r>
      <w:r w:rsidR="00B46905">
        <w:rPr>
          <w:sz w:val="26"/>
          <w:szCs w:val="26"/>
        </w:rPr>
        <w:t>also</w:t>
      </w:r>
      <w:r w:rsidR="00AD58A0">
        <w:rPr>
          <w:sz w:val="26"/>
          <w:szCs w:val="26"/>
        </w:rPr>
        <w:t xml:space="preserve"> would</w:t>
      </w:r>
      <w:r w:rsidR="00B46905">
        <w:rPr>
          <w:sz w:val="26"/>
          <w:szCs w:val="26"/>
        </w:rPr>
        <w:t xml:space="preserve"> </w:t>
      </w:r>
      <w:r w:rsidR="003D4DB8">
        <w:rPr>
          <w:sz w:val="26"/>
          <w:szCs w:val="26"/>
        </w:rPr>
        <w:t xml:space="preserve">have led to an increase in electricity usage.  </w:t>
      </w:r>
      <w:r w:rsidR="003D4DB8" w:rsidRPr="003D4DB8">
        <w:rPr>
          <w:i/>
          <w:sz w:val="26"/>
          <w:szCs w:val="26"/>
        </w:rPr>
        <w:t>Id</w:t>
      </w:r>
      <w:r w:rsidR="003D4DB8">
        <w:rPr>
          <w:sz w:val="26"/>
          <w:szCs w:val="26"/>
        </w:rPr>
        <w:t>.</w:t>
      </w:r>
    </w:p>
    <w:p w:rsidR="00C63309" w:rsidRDefault="00C63309" w:rsidP="006A22B6">
      <w:pPr>
        <w:widowControl/>
        <w:spacing w:line="360" w:lineRule="auto"/>
        <w:rPr>
          <w:sz w:val="26"/>
          <w:szCs w:val="26"/>
        </w:rPr>
      </w:pPr>
    </w:p>
    <w:p w:rsidR="00C63309" w:rsidRDefault="00C63309" w:rsidP="006A22B6">
      <w:pPr>
        <w:widowControl/>
        <w:spacing w:line="360" w:lineRule="auto"/>
        <w:rPr>
          <w:sz w:val="26"/>
          <w:szCs w:val="26"/>
        </w:rPr>
      </w:pPr>
      <w:r>
        <w:rPr>
          <w:sz w:val="26"/>
          <w:szCs w:val="26"/>
        </w:rPr>
        <w:tab/>
      </w:r>
      <w:r>
        <w:rPr>
          <w:sz w:val="26"/>
          <w:szCs w:val="26"/>
        </w:rPr>
        <w:tab/>
      </w:r>
      <w:r w:rsidR="00337BA8">
        <w:rPr>
          <w:sz w:val="26"/>
          <w:szCs w:val="26"/>
        </w:rPr>
        <w:t>With respect to the Complainant’s concerns regarding</w:t>
      </w:r>
      <w:r>
        <w:rPr>
          <w:sz w:val="26"/>
          <w:szCs w:val="26"/>
        </w:rPr>
        <w:t xml:space="preserve"> PPL’s walk-through investigation of the Complainant’s home, PPL </w:t>
      </w:r>
      <w:r w:rsidR="008C2FCC">
        <w:rPr>
          <w:sz w:val="26"/>
          <w:szCs w:val="26"/>
        </w:rPr>
        <w:t>states:</w:t>
      </w:r>
    </w:p>
    <w:p w:rsidR="00B46905" w:rsidRDefault="00B46905" w:rsidP="006A22B6">
      <w:pPr>
        <w:widowControl/>
        <w:spacing w:line="360" w:lineRule="auto"/>
        <w:rPr>
          <w:sz w:val="26"/>
          <w:szCs w:val="26"/>
        </w:rPr>
      </w:pPr>
    </w:p>
    <w:p w:rsidR="00B46905" w:rsidRPr="004A4DCA" w:rsidRDefault="00B46905" w:rsidP="00B46905">
      <w:pPr>
        <w:widowControl/>
        <w:ind w:left="1440" w:right="1440"/>
        <w:rPr>
          <w:sz w:val="26"/>
          <w:szCs w:val="26"/>
        </w:rPr>
      </w:pPr>
      <w:r>
        <w:rPr>
          <w:sz w:val="26"/>
          <w:szCs w:val="26"/>
        </w:rPr>
        <w:t>Any investigation is limited to an examination of the items within a home which have the potential to use electric and are then assigned a kilowatt calculation equal to the average electric usage of such item.  This “potential usage” is then compared with “actual usage” to determine if the two are within range.  In this case, the actual usage was quite similar to the potential usage.</w:t>
      </w:r>
    </w:p>
    <w:p w:rsidR="00BC55A3" w:rsidRDefault="00BC55A3" w:rsidP="006A22B6">
      <w:pPr>
        <w:widowControl/>
        <w:spacing w:line="360" w:lineRule="auto"/>
        <w:rPr>
          <w:sz w:val="26"/>
          <w:szCs w:val="26"/>
        </w:rPr>
      </w:pPr>
    </w:p>
    <w:p w:rsidR="00972963" w:rsidRDefault="005B53AF" w:rsidP="006A22B6">
      <w:pPr>
        <w:widowControl/>
        <w:spacing w:line="360" w:lineRule="auto"/>
        <w:rPr>
          <w:sz w:val="26"/>
          <w:szCs w:val="26"/>
        </w:rPr>
      </w:pPr>
      <w:r>
        <w:rPr>
          <w:sz w:val="26"/>
          <w:szCs w:val="26"/>
        </w:rPr>
        <w:t>R.Exc. No. 3.</w:t>
      </w:r>
    </w:p>
    <w:p w:rsidR="00972963" w:rsidRPr="004A4DCA" w:rsidRDefault="00972963" w:rsidP="006A22B6">
      <w:pPr>
        <w:widowControl/>
        <w:spacing w:line="360" w:lineRule="auto"/>
        <w:rPr>
          <w:sz w:val="26"/>
          <w:szCs w:val="26"/>
        </w:rPr>
      </w:pPr>
    </w:p>
    <w:p w:rsidR="00B9551C" w:rsidRPr="004A4DCA" w:rsidRDefault="00B9551C" w:rsidP="005E5E87">
      <w:pPr>
        <w:keepNext/>
        <w:widowControl/>
        <w:spacing w:line="360" w:lineRule="auto"/>
        <w:rPr>
          <w:b/>
          <w:sz w:val="26"/>
          <w:szCs w:val="26"/>
        </w:rPr>
      </w:pPr>
      <w:r w:rsidRPr="004A4DCA">
        <w:rPr>
          <w:b/>
          <w:sz w:val="26"/>
          <w:szCs w:val="26"/>
        </w:rPr>
        <w:lastRenderedPageBreak/>
        <w:t>Disposition</w:t>
      </w:r>
    </w:p>
    <w:p w:rsidR="00C2205A" w:rsidRPr="004A4DCA" w:rsidRDefault="00C2205A" w:rsidP="005E5E87">
      <w:pPr>
        <w:keepNext/>
        <w:widowControl/>
        <w:spacing w:line="360" w:lineRule="auto"/>
        <w:rPr>
          <w:sz w:val="26"/>
          <w:szCs w:val="26"/>
        </w:rPr>
      </w:pPr>
    </w:p>
    <w:p w:rsidR="00C2205A" w:rsidRDefault="00C2205A" w:rsidP="005E5E87">
      <w:pPr>
        <w:keepNext/>
        <w:widowControl/>
        <w:spacing w:line="360" w:lineRule="auto"/>
        <w:rPr>
          <w:sz w:val="26"/>
          <w:szCs w:val="26"/>
        </w:rPr>
      </w:pPr>
      <w:r w:rsidRPr="00C53422">
        <w:rPr>
          <w:sz w:val="26"/>
          <w:szCs w:val="26"/>
        </w:rPr>
        <w:tab/>
      </w:r>
      <w:r w:rsidRPr="00C53422">
        <w:rPr>
          <w:sz w:val="26"/>
          <w:szCs w:val="26"/>
        </w:rPr>
        <w:tab/>
        <w:t xml:space="preserve">Upon consideration of the record evidence in this proceeding, we </w:t>
      </w:r>
      <w:r w:rsidR="00C53422" w:rsidRPr="00C53422">
        <w:rPr>
          <w:sz w:val="26"/>
          <w:szCs w:val="26"/>
        </w:rPr>
        <w:t xml:space="preserve">agree with the ALJ that the Complainant failed to establish a </w:t>
      </w:r>
      <w:r w:rsidR="00C53422" w:rsidRPr="00C53422">
        <w:rPr>
          <w:i/>
          <w:sz w:val="26"/>
          <w:szCs w:val="26"/>
        </w:rPr>
        <w:t>prima facie</w:t>
      </w:r>
      <w:r w:rsidR="00C53422" w:rsidRPr="00C53422">
        <w:rPr>
          <w:sz w:val="26"/>
          <w:szCs w:val="26"/>
        </w:rPr>
        <w:t xml:space="preserve"> case with regard to her contention that her bills f</w:t>
      </w:r>
      <w:r w:rsidR="00C53422">
        <w:rPr>
          <w:sz w:val="26"/>
          <w:szCs w:val="26"/>
        </w:rPr>
        <w:t>or 2010 and 2011 were unreasona</w:t>
      </w:r>
      <w:r w:rsidR="00C53422" w:rsidRPr="00C53422">
        <w:rPr>
          <w:sz w:val="26"/>
          <w:szCs w:val="26"/>
        </w:rPr>
        <w:t>bly high due to a faulty meter.</w:t>
      </w:r>
      <w:r w:rsidR="009213FB">
        <w:rPr>
          <w:sz w:val="26"/>
          <w:szCs w:val="26"/>
        </w:rPr>
        <w:t xml:space="preserve">  However, we do not agree with the ALJ’s reasoning in reaching that conclusion.</w:t>
      </w:r>
      <w:r w:rsidR="00970874">
        <w:rPr>
          <w:sz w:val="26"/>
          <w:szCs w:val="26"/>
        </w:rPr>
        <w:t xml:space="preserve">  As the Complainant points</w:t>
      </w:r>
      <w:r w:rsidR="00226DDF">
        <w:rPr>
          <w:sz w:val="26"/>
          <w:szCs w:val="26"/>
        </w:rPr>
        <w:t xml:space="preserve"> out in her Ex</w:t>
      </w:r>
      <w:r w:rsidR="0006634C">
        <w:rPr>
          <w:sz w:val="26"/>
          <w:szCs w:val="26"/>
        </w:rPr>
        <w:t>ceptions, the ALJ’s Finding of Fact No. 3, which states that</w:t>
      </w:r>
      <w:r w:rsidR="00226DDF">
        <w:rPr>
          <w:sz w:val="26"/>
          <w:szCs w:val="26"/>
        </w:rPr>
        <w:t xml:space="preserve"> the Complainant’s pole building was completed in January 2011</w:t>
      </w:r>
      <w:r w:rsidR="0006634C">
        <w:rPr>
          <w:sz w:val="26"/>
          <w:szCs w:val="26"/>
        </w:rPr>
        <w:t>, was in error.  R</w:t>
      </w:r>
      <w:r w:rsidR="00226DDF">
        <w:rPr>
          <w:sz w:val="26"/>
          <w:szCs w:val="26"/>
        </w:rPr>
        <w:t xml:space="preserve">ecord evidence shows that the building </w:t>
      </w:r>
      <w:r w:rsidR="00D60758">
        <w:rPr>
          <w:sz w:val="26"/>
          <w:szCs w:val="26"/>
        </w:rPr>
        <w:t>actually was</w:t>
      </w:r>
      <w:r w:rsidR="00226DDF">
        <w:rPr>
          <w:sz w:val="26"/>
          <w:szCs w:val="26"/>
        </w:rPr>
        <w:t xml:space="preserve"> completed in January 2012.  Tr. at</w:t>
      </w:r>
      <w:r w:rsidR="00AE319E">
        <w:rPr>
          <w:sz w:val="26"/>
          <w:szCs w:val="26"/>
        </w:rPr>
        <w:t> </w:t>
      </w:r>
      <w:r w:rsidR="00226DDF">
        <w:rPr>
          <w:sz w:val="26"/>
          <w:szCs w:val="26"/>
        </w:rPr>
        <w:t>6, 12.</w:t>
      </w:r>
      <w:r w:rsidR="00970874">
        <w:rPr>
          <w:sz w:val="26"/>
          <w:szCs w:val="26"/>
        </w:rPr>
        <w:t xml:space="preserve">  In addition, the record shows that the contract for construction of the building was signed by the Complainant in August 2011, and that construction took approximately five months.  </w:t>
      </w:r>
      <w:r w:rsidR="00970874" w:rsidRPr="00381421">
        <w:rPr>
          <w:i/>
          <w:sz w:val="26"/>
          <w:szCs w:val="26"/>
        </w:rPr>
        <w:t>Id</w:t>
      </w:r>
      <w:r w:rsidR="00970874">
        <w:rPr>
          <w:sz w:val="26"/>
          <w:szCs w:val="26"/>
        </w:rPr>
        <w:t xml:space="preserve">. at 11-12.  Therefore, the ALJ’s inference that electricity was being used </w:t>
      </w:r>
      <w:r w:rsidR="002F7228">
        <w:rPr>
          <w:sz w:val="26"/>
          <w:szCs w:val="26"/>
        </w:rPr>
        <w:t>during construction of the pole building in December 2010</w:t>
      </w:r>
      <w:r w:rsidR="00B31CD6">
        <w:rPr>
          <w:sz w:val="26"/>
          <w:szCs w:val="26"/>
        </w:rPr>
        <w:t xml:space="preserve"> was incorrect.  Also</w:t>
      </w:r>
      <w:r w:rsidR="002F7228">
        <w:rPr>
          <w:sz w:val="26"/>
          <w:szCs w:val="26"/>
        </w:rPr>
        <w:t xml:space="preserve">, the ALJ’s inference that </w:t>
      </w:r>
      <w:r w:rsidR="00B31CD6">
        <w:rPr>
          <w:sz w:val="26"/>
          <w:szCs w:val="26"/>
        </w:rPr>
        <w:t>electricity was being used in the pole building in Decemb</w:t>
      </w:r>
      <w:r w:rsidR="003010FC">
        <w:rPr>
          <w:sz w:val="26"/>
          <w:szCs w:val="26"/>
        </w:rPr>
        <w:t xml:space="preserve">er 2011 because the heat </w:t>
      </w:r>
      <w:r w:rsidR="00B31CD6">
        <w:rPr>
          <w:sz w:val="26"/>
          <w:szCs w:val="26"/>
        </w:rPr>
        <w:t>probably</w:t>
      </w:r>
      <w:r w:rsidR="003010FC">
        <w:rPr>
          <w:sz w:val="26"/>
          <w:szCs w:val="26"/>
        </w:rPr>
        <w:t xml:space="preserve"> was</w:t>
      </w:r>
      <w:r w:rsidR="00B31CD6">
        <w:rPr>
          <w:sz w:val="26"/>
          <w:szCs w:val="26"/>
        </w:rPr>
        <w:t xml:space="preserve"> turned on is likewise incorrect, as the record shows that electricity was not available to the pole building until January 2012.  </w:t>
      </w:r>
      <w:r w:rsidR="00B31CD6" w:rsidRPr="00B31CD6">
        <w:rPr>
          <w:i/>
          <w:sz w:val="26"/>
          <w:szCs w:val="26"/>
        </w:rPr>
        <w:t>Id</w:t>
      </w:r>
      <w:r w:rsidR="00B31CD6">
        <w:rPr>
          <w:sz w:val="26"/>
          <w:szCs w:val="26"/>
        </w:rPr>
        <w:t>. at 12.</w:t>
      </w:r>
      <w:r w:rsidR="00D24991">
        <w:rPr>
          <w:sz w:val="26"/>
          <w:szCs w:val="26"/>
        </w:rPr>
        <w:t xml:space="preserve">  Therefore, we do not agree with the ALJ that</w:t>
      </w:r>
      <w:r w:rsidR="004C650A">
        <w:rPr>
          <w:sz w:val="26"/>
          <w:szCs w:val="26"/>
        </w:rPr>
        <w:t xml:space="preserve"> the Complainant’s</w:t>
      </w:r>
      <w:r w:rsidR="00D24991">
        <w:rPr>
          <w:sz w:val="26"/>
          <w:szCs w:val="26"/>
        </w:rPr>
        <w:t xml:space="preserve"> increased electricity usage in December 2010 and 2011</w:t>
      </w:r>
      <w:r w:rsidR="004C650A">
        <w:rPr>
          <w:sz w:val="26"/>
          <w:szCs w:val="26"/>
        </w:rPr>
        <w:t xml:space="preserve"> can be attributed to the construction of the pole building.</w:t>
      </w:r>
      <w:r w:rsidR="00894822">
        <w:rPr>
          <w:sz w:val="26"/>
          <w:szCs w:val="26"/>
        </w:rPr>
        <w:t xml:space="preserve">  Moreover, we do not believe that an analysis of the Complainant’s electricity consumption for a single month is sufficient to determine whether or not her overall consumption during 2010</w:t>
      </w:r>
      <w:r w:rsidR="00EB46AF">
        <w:rPr>
          <w:sz w:val="26"/>
          <w:szCs w:val="26"/>
        </w:rPr>
        <w:t xml:space="preserve"> and 2011 could</w:t>
      </w:r>
      <w:r w:rsidR="00894822">
        <w:rPr>
          <w:sz w:val="26"/>
          <w:szCs w:val="26"/>
        </w:rPr>
        <w:t xml:space="preserve"> b</w:t>
      </w:r>
      <w:r w:rsidR="00EB46AF">
        <w:rPr>
          <w:sz w:val="26"/>
          <w:szCs w:val="26"/>
        </w:rPr>
        <w:t>e considered abnormal</w:t>
      </w:r>
      <w:r w:rsidR="00894822">
        <w:rPr>
          <w:sz w:val="26"/>
          <w:szCs w:val="26"/>
        </w:rPr>
        <w:t>.</w:t>
      </w:r>
    </w:p>
    <w:p w:rsidR="004C650A" w:rsidRDefault="004C650A" w:rsidP="00C2205A">
      <w:pPr>
        <w:widowControl/>
        <w:spacing w:line="360" w:lineRule="auto"/>
        <w:rPr>
          <w:sz w:val="26"/>
          <w:szCs w:val="26"/>
        </w:rPr>
      </w:pPr>
    </w:p>
    <w:p w:rsidR="00DC39C0" w:rsidRDefault="004C650A" w:rsidP="00C2205A">
      <w:pPr>
        <w:widowControl/>
        <w:spacing w:line="360" w:lineRule="auto"/>
        <w:rPr>
          <w:sz w:val="26"/>
          <w:szCs w:val="26"/>
        </w:rPr>
      </w:pPr>
      <w:r>
        <w:rPr>
          <w:sz w:val="26"/>
          <w:szCs w:val="26"/>
        </w:rPr>
        <w:tab/>
      </w:r>
      <w:r>
        <w:rPr>
          <w:sz w:val="26"/>
          <w:szCs w:val="26"/>
        </w:rPr>
        <w:tab/>
      </w:r>
      <w:r w:rsidR="008466C5">
        <w:rPr>
          <w:sz w:val="26"/>
          <w:szCs w:val="26"/>
        </w:rPr>
        <w:t xml:space="preserve">Notwithstanding our disagreement with the ALJ’s argument, we nevertheless </w:t>
      </w:r>
      <w:r w:rsidR="007659E2">
        <w:rPr>
          <w:sz w:val="26"/>
          <w:szCs w:val="26"/>
        </w:rPr>
        <w:t xml:space="preserve">find that the Complainant </w:t>
      </w:r>
      <w:r w:rsidR="00B30730">
        <w:rPr>
          <w:sz w:val="26"/>
          <w:szCs w:val="26"/>
        </w:rPr>
        <w:t>has failed to meet her burden of proving that she did not use the electricity for which she was billed during 2010 and 2011.</w:t>
      </w:r>
      <w:r w:rsidR="00AE339E">
        <w:rPr>
          <w:sz w:val="26"/>
          <w:szCs w:val="26"/>
        </w:rPr>
        <w:t xml:space="preserve">  While we agree that the Complainant’s total electricity consumption for those years was greater than it was in 2009, </w:t>
      </w:r>
      <w:r w:rsidR="00745A2F">
        <w:rPr>
          <w:sz w:val="26"/>
          <w:szCs w:val="26"/>
        </w:rPr>
        <w:t xml:space="preserve">we </w:t>
      </w:r>
      <w:r w:rsidR="006062B4">
        <w:rPr>
          <w:sz w:val="26"/>
          <w:szCs w:val="26"/>
        </w:rPr>
        <w:t xml:space="preserve">note </w:t>
      </w:r>
      <w:r w:rsidR="00D82E05">
        <w:rPr>
          <w:sz w:val="26"/>
          <w:szCs w:val="26"/>
        </w:rPr>
        <w:t xml:space="preserve">that the total number of cooling degree days also rose </w:t>
      </w:r>
      <w:r w:rsidR="00D82E05">
        <w:rPr>
          <w:sz w:val="26"/>
          <w:szCs w:val="26"/>
        </w:rPr>
        <w:lastRenderedPageBreak/>
        <w:t>significantly dur</w:t>
      </w:r>
      <w:r w:rsidR="006062B4">
        <w:rPr>
          <w:sz w:val="26"/>
          <w:szCs w:val="26"/>
        </w:rPr>
        <w:t xml:space="preserve">ing those years </w:t>
      </w:r>
      <w:r w:rsidR="00BB016A">
        <w:rPr>
          <w:sz w:val="26"/>
          <w:szCs w:val="26"/>
        </w:rPr>
        <w:t>compared</w:t>
      </w:r>
      <w:r w:rsidR="006062B4">
        <w:rPr>
          <w:sz w:val="26"/>
          <w:szCs w:val="26"/>
        </w:rPr>
        <w:t xml:space="preserve"> to</w:t>
      </w:r>
      <w:r w:rsidR="00D82E05">
        <w:rPr>
          <w:sz w:val="26"/>
          <w:szCs w:val="26"/>
        </w:rPr>
        <w:t xml:space="preserve"> 2009.</w:t>
      </w:r>
      <w:r w:rsidR="008C2593">
        <w:rPr>
          <w:rStyle w:val="FootnoteReference"/>
          <w:sz w:val="26"/>
          <w:szCs w:val="26"/>
        </w:rPr>
        <w:footnoteReference w:id="5"/>
      </w:r>
      <w:r w:rsidR="00F107A7">
        <w:rPr>
          <w:sz w:val="26"/>
          <w:szCs w:val="26"/>
        </w:rPr>
        <w:t xml:space="preserve">  Since the Complainant’s home is equipped with central air conditioning, it is not unreasonable to conclude that an increase in her electricity consumption would be consistent with </w:t>
      </w:r>
      <w:r w:rsidR="00C13BBA">
        <w:rPr>
          <w:sz w:val="26"/>
          <w:szCs w:val="26"/>
        </w:rPr>
        <w:t xml:space="preserve">such </w:t>
      </w:r>
      <w:r w:rsidR="00F107A7">
        <w:rPr>
          <w:sz w:val="26"/>
          <w:szCs w:val="26"/>
        </w:rPr>
        <w:t>an increase in the n</w:t>
      </w:r>
      <w:r w:rsidR="00E20695">
        <w:rPr>
          <w:sz w:val="26"/>
          <w:szCs w:val="26"/>
        </w:rPr>
        <w:t>umber of cooling</w:t>
      </w:r>
      <w:r w:rsidR="00F107A7">
        <w:rPr>
          <w:sz w:val="26"/>
          <w:szCs w:val="26"/>
        </w:rPr>
        <w:t xml:space="preserve"> degree days.</w:t>
      </w:r>
      <w:r w:rsidR="00C13BBA">
        <w:rPr>
          <w:sz w:val="26"/>
          <w:szCs w:val="26"/>
        </w:rPr>
        <w:t xml:space="preserve">  </w:t>
      </w:r>
      <w:r w:rsidR="00185F46">
        <w:rPr>
          <w:sz w:val="26"/>
          <w:szCs w:val="26"/>
        </w:rPr>
        <w:t xml:space="preserve">In addition, the Complainant appears to have experienced average monthly electricity consumption of </w:t>
      </w:r>
      <w:r w:rsidR="00D92E61">
        <w:rPr>
          <w:sz w:val="26"/>
          <w:szCs w:val="26"/>
        </w:rPr>
        <w:t>1,681 kWh in 2010</w:t>
      </w:r>
      <w:r w:rsidR="00AE319E">
        <w:rPr>
          <w:sz w:val="26"/>
          <w:szCs w:val="26"/>
        </w:rPr>
        <w:t>,</w:t>
      </w:r>
      <w:r w:rsidR="00D92E61">
        <w:rPr>
          <w:sz w:val="26"/>
          <w:szCs w:val="26"/>
        </w:rPr>
        <w:t xml:space="preserve"> and 2,048 kWh in 2011.</w:t>
      </w:r>
      <w:r w:rsidR="00D92E61">
        <w:rPr>
          <w:rStyle w:val="FootnoteReference"/>
          <w:sz w:val="26"/>
          <w:szCs w:val="26"/>
        </w:rPr>
        <w:footnoteReference w:id="6"/>
      </w:r>
      <w:r w:rsidR="001857B0">
        <w:rPr>
          <w:sz w:val="26"/>
          <w:szCs w:val="26"/>
        </w:rPr>
        <w:t xml:space="preserve">  Since PPL’s customer contact representative determined that the Complainant’s household had the potential to utilize approximately 2,187 kWh per month, it is not unreasonable to conclude that </w:t>
      </w:r>
      <w:r w:rsidR="00237B46">
        <w:rPr>
          <w:sz w:val="26"/>
          <w:szCs w:val="26"/>
        </w:rPr>
        <w:t xml:space="preserve">the Complainant’s metered consumption for 2010 and 2011 </w:t>
      </w:r>
      <w:r w:rsidR="00663111">
        <w:rPr>
          <w:sz w:val="26"/>
          <w:szCs w:val="26"/>
        </w:rPr>
        <w:t>was accurate, since</w:t>
      </w:r>
      <w:r w:rsidR="008D12D7">
        <w:rPr>
          <w:sz w:val="26"/>
          <w:szCs w:val="26"/>
        </w:rPr>
        <w:t xml:space="preserve"> it falls below</w:t>
      </w:r>
      <w:r w:rsidR="00237B46">
        <w:rPr>
          <w:sz w:val="26"/>
          <w:szCs w:val="26"/>
        </w:rPr>
        <w:t xml:space="preserve"> the </w:t>
      </w:r>
      <w:r w:rsidR="00663111">
        <w:rPr>
          <w:sz w:val="26"/>
          <w:szCs w:val="26"/>
        </w:rPr>
        <w:t>estimated potential consumption level</w:t>
      </w:r>
      <w:r w:rsidR="007B621D">
        <w:rPr>
          <w:sz w:val="26"/>
          <w:szCs w:val="26"/>
        </w:rPr>
        <w:t xml:space="preserve"> for her property</w:t>
      </w:r>
      <w:r w:rsidR="00663111">
        <w:rPr>
          <w:sz w:val="26"/>
          <w:szCs w:val="26"/>
        </w:rPr>
        <w:t>.</w:t>
      </w:r>
      <w:r w:rsidR="00663111">
        <w:rPr>
          <w:rStyle w:val="FootnoteReference"/>
          <w:sz w:val="26"/>
          <w:szCs w:val="26"/>
        </w:rPr>
        <w:footnoteReference w:id="7"/>
      </w:r>
    </w:p>
    <w:p w:rsidR="00DC39C0" w:rsidRDefault="00DC39C0" w:rsidP="00C2205A">
      <w:pPr>
        <w:widowControl/>
        <w:spacing w:line="360" w:lineRule="auto"/>
        <w:rPr>
          <w:sz w:val="26"/>
          <w:szCs w:val="26"/>
        </w:rPr>
      </w:pPr>
    </w:p>
    <w:p w:rsidR="004F2C6A" w:rsidRPr="00AD24F3" w:rsidRDefault="006F5C09" w:rsidP="00C2205A">
      <w:pPr>
        <w:widowControl/>
        <w:spacing w:line="360" w:lineRule="auto"/>
        <w:rPr>
          <w:sz w:val="26"/>
          <w:szCs w:val="26"/>
        </w:rPr>
      </w:pPr>
      <w:r>
        <w:rPr>
          <w:sz w:val="26"/>
          <w:szCs w:val="26"/>
        </w:rPr>
        <w:tab/>
      </w:r>
      <w:r>
        <w:rPr>
          <w:sz w:val="26"/>
          <w:szCs w:val="26"/>
        </w:rPr>
        <w:tab/>
        <w:t xml:space="preserve">We also </w:t>
      </w:r>
      <w:r w:rsidR="004F2C6A">
        <w:rPr>
          <w:sz w:val="26"/>
          <w:szCs w:val="26"/>
        </w:rPr>
        <w:t xml:space="preserve">find that the Complainant failed to show that her electric meter was faulty, leading to the increased consumption levels for which she was billed in 2010 and 2011.  As noted, </w:t>
      </w:r>
      <w:r w:rsidR="004F2C6A" w:rsidRPr="004F2C6A">
        <w:rPr>
          <w:i/>
          <w:sz w:val="26"/>
          <w:szCs w:val="26"/>
        </w:rPr>
        <w:t>supra</w:t>
      </w:r>
      <w:r w:rsidR="004F2C6A">
        <w:rPr>
          <w:sz w:val="26"/>
          <w:szCs w:val="26"/>
        </w:rPr>
        <w:t>, the Complainant’s increased consumption</w:t>
      </w:r>
      <w:r w:rsidR="00945827">
        <w:rPr>
          <w:sz w:val="26"/>
          <w:szCs w:val="26"/>
        </w:rPr>
        <w:t xml:space="preserve"> can </w:t>
      </w:r>
      <w:r w:rsidR="004F2C6A">
        <w:rPr>
          <w:sz w:val="26"/>
          <w:szCs w:val="26"/>
        </w:rPr>
        <w:t xml:space="preserve">be </w:t>
      </w:r>
      <w:r w:rsidR="00945827">
        <w:rPr>
          <w:sz w:val="26"/>
          <w:szCs w:val="26"/>
        </w:rPr>
        <w:t xml:space="preserve">reasonably </w:t>
      </w:r>
      <w:r w:rsidR="004F2C6A">
        <w:rPr>
          <w:sz w:val="26"/>
          <w:szCs w:val="26"/>
        </w:rPr>
        <w:t xml:space="preserve">explained </w:t>
      </w:r>
      <w:r w:rsidR="002B29F8">
        <w:rPr>
          <w:sz w:val="26"/>
          <w:szCs w:val="26"/>
        </w:rPr>
        <w:t>without the need to posit a defective meter as the cause.  Also, although it is true that the Complainant’s electricity usage</w:t>
      </w:r>
      <w:r w:rsidR="0079345F">
        <w:rPr>
          <w:sz w:val="26"/>
          <w:szCs w:val="26"/>
        </w:rPr>
        <w:t xml:space="preserve"> for the period April through October</w:t>
      </w:r>
      <w:r w:rsidR="002B29F8">
        <w:rPr>
          <w:sz w:val="26"/>
          <w:szCs w:val="26"/>
        </w:rPr>
        <w:t xml:space="preserve"> declined </w:t>
      </w:r>
      <w:r w:rsidR="0079345F">
        <w:rPr>
          <w:sz w:val="26"/>
          <w:szCs w:val="26"/>
        </w:rPr>
        <w:t>in 2012</w:t>
      </w:r>
      <w:r w:rsidR="00AE319E">
        <w:rPr>
          <w:sz w:val="26"/>
          <w:szCs w:val="26"/>
        </w:rPr>
        <w:t>,</w:t>
      </w:r>
      <w:r w:rsidR="0079345F">
        <w:rPr>
          <w:sz w:val="26"/>
          <w:szCs w:val="26"/>
        </w:rPr>
        <w:t xml:space="preserve"> </w:t>
      </w:r>
      <w:r w:rsidR="00BB016A">
        <w:rPr>
          <w:sz w:val="26"/>
          <w:szCs w:val="26"/>
        </w:rPr>
        <w:t>compared</w:t>
      </w:r>
      <w:r w:rsidR="00945827">
        <w:rPr>
          <w:sz w:val="26"/>
          <w:szCs w:val="26"/>
        </w:rPr>
        <w:t xml:space="preserve"> to</w:t>
      </w:r>
      <w:r w:rsidR="0079345F">
        <w:rPr>
          <w:sz w:val="26"/>
          <w:szCs w:val="26"/>
        </w:rPr>
        <w:t xml:space="preserve"> her usage during that same period in 2010 and 2011, we find no evidence </w:t>
      </w:r>
      <w:r w:rsidR="00AE319E">
        <w:rPr>
          <w:sz w:val="26"/>
          <w:szCs w:val="26"/>
        </w:rPr>
        <w:t xml:space="preserve">that would </w:t>
      </w:r>
      <w:r w:rsidR="00D80587">
        <w:rPr>
          <w:sz w:val="26"/>
          <w:szCs w:val="26"/>
        </w:rPr>
        <w:t>lead us to conclude</w:t>
      </w:r>
      <w:r w:rsidR="0079345F">
        <w:rPr>
          <w:sz w:val="26"/>
          <w:szCs w:val="26"/>
        </w:rPr>
        <w:t xml:space="preserve"> that this</w:t>
      </w:r>
      <w:r w:rsidR="00D80587">
        <w:rPr>
          <w:sz w:val="26"/>
          <w:szCs w:val="26"/>
        </w:rPr>
        <w:t xml:space="preserve"> decline was the result of PPL’s </w:t>
      </w:r>
      <w:r w:rsidR="00D80587">
        <w:rPr>
          <w:sz w:val="26"/>
          <w:szCs w:val="26"/>
        </w:rPr>
        <w:lastRenderedPageBreak/>
        <w:t>replac</w:t>
      </w:r>
      <w:r w:rsidR="00FE6FB1">
        <w:rPr>
          <w:sz w:val="26"/>
          <w:szCs w:val="26"/>
        </w:rPr>
        <w:t xml:space="preserve">ement of </w:t>
      </w:r>
      <w:r w:rsidR="00D80587">
        <w:rPr>
          <w:sz w:val="26"/>
          <w:szCs w:val="26"/>
        </w:rPr>
        <w:t>the meter in</w:t>
      </w:r>
      <w:r w:rsidR="00C3055E">
        <w:rPr>
          <w:sz w:val="26"/>
          <w:szCs w:val="26"/>
        </w:rPr>
        <w:t xml:space="preserve"> March 2012</w:t>
      </w:r>
      <w:r w:rsidR="00184D47">
        <w:rPr>
          <w:sz w:val="26"/>
          <w:szCs w:val="26"/>
        </w:rPr>
        <w:t>.</w:t>
      </w:r>
      <w:r w:rsidR="00C90D91">
        <w:rPr>
          <w:rStyle w:val="FootnoteReference"/>
          <w:sz w:val="26"/>
          <w:szCs w:val="26"/>
        </w:rPr>
        <w:footnoteReference w:id="8"/>
      </w:r>
      <w:r w:rsidR="00184D47">
        <w:rPr>
          <w:sz w:val="26"/>
          <w:szCs w:val="26"/>
        </w:rPr>
        <w:t xml:space="preserve">  Moreover, testing of the removed meter revealed it to be accurate withi</w:t>
      </w:r>
      <w:r w:rsidR="00FE6FB1">
        <w:rPr>
          <w:sz w:val="26"/>
          <w:szCs w:val="26"/>
        </w:rPr>
        <w:t>n the limits prescribed by our R</w:t>
      </w:r>
      <w:r w:rsidR="00184D47">
        <w:rPr>
          <w:sz w:val="26"/>
          <w:szCs w:val="26"/>
        </w:rPr>
        <w:t>e</w:t>
      </w:r>
      <w:r w:rsidR="00F66DD9">
        <w:rPr>
          <w:sz w:val="26"/>
          <w:szCs w:val="26"/>
        </w:rPr>
        <w:t>gulations, and also revealed</w:t>
      </w:r>
      <w:r w:rsidR="00184D47">
        <w:rPr>
          <w:sz w:val="26"/>
          <w:szCs w:val="26"/>
        </w:rPr>
        <w:t xml:space="preserve"> that the AMR device ass</w:t>
      </w:r>
      <w:r w:rsidR="00F66DD9">
        <w:rPr>
          <w:sz w:val="26"/>
          <w:szCs w:val="26"/>
        </w:rPr>
        <w:t xml:space="preserve">ociated with the meter was </w:t>
      </w:r>
      <w:r w:rsidR="00184D47">
        <w:rPr>
          <w:sz w:val="26"/>
          <w:szCs w:val="26"/>
        </w:rPr>
        <w:t xml:space="preserve">functioning accurately.  PPL </w:t>
      </w:r>
      <w:r w:rsidR="00347863">
        <w:rPr>
          <w:sz w:val="26"/>
          <w:szCs w:val="26"/>
        </w:rPr>
        <w:t>Exh.</w:t>
      </w:r>
      <w:r w:rsidR="00184D47">
        <w:rPr>
          <w:sz w:val="26"/>
          <w:szCs w:val="26"/>
        </w:rPr>
        <w:t xml:space="preserve"> 5.</w:t>
      </w:r>
      <w:r w:rsidR="00394FFE">
        <w:rPr>
          <w:sz w:val="26"/>
          <w:szCs w:val="26"/>
        </w:rPr>
        <w:t xml:space="preserve">  Thus, we can find no </w:t>
      </w:r>
      <w:r w:rsidR="00394FFE" w:rsidRPr="00AD24F3">
        <w:rPr>
          <w:sz w:val="26"/>
          <w:szCs w:val="26"/>
        </w:rPr>
        <w:t>evidence to conclude that the Complainant’s meter had been defective.</w:t>
      </w:r>
    </w:p>
    <w:p w:rsidR="00B93FF5" w:rsidRPr="00AD24F3" w:rsidRDefault="00B93FF5" w:rsidP="004F2B86">
      <w:pPr>
        <w:widowControl/>
        <w:spacing w:line="360" w:lineRule="auto"/>
        <w:rPr>
          <w:sz w:val="26"/>
          <w:szCs w:val="26"/>
        </w:rPr>
      </w:pPr>
    </w:p>
    <w:p w:rsidR="006A1FE8" w:rsidRPr="00AD24F3" w:rsidRDefault="00353CE3" w:rsidP="004F2B86">
      <w:pPr>
        <w:widowControl/>
        <w:spacing w:line="360" w:lineRule="auto"/>
        <w:rPr>
          <w:sz w:val="26"/>
          <w:szCs w:val="26"/>
        </w:rPr>
      </w:pPr>
      <w:r w:rsidRPr="00AD24F3">
        <w:rPr>
          <w:sz w:val="26"/>
          <w:szCs w:val="26"/>
        </w:rPr>
        <w:tab/>
      </w:r>
      <w:r w:rsidRPr="00AD24F3">
        <w:rPr>
          <w:sz w:val="26"/>
          <w:szCs w:val="26"/>
        </w:rPr>
        <w:tab/>
      </w:r>
      <w:r w:rsidR="00AD24F3" w:rsidRPr="00AD24F3">
        <w:rPr>
          <w:sz w:val="26"/>
          <w:szCs w:val="26"/>
        </w:rPr>
        <w:t>Accordingly</w:t>
      </w:r>
      <w:r w:rsidR="0064586F" w:rsidRPr="00AD24F3">
        <w:rPr>
          <w:sz w:val="26"/>
          <w:szCs w:val="26"/>
        </w:rPr>
        <w:t>, we find that</w:t>
      </w:r>
      <w:r w:rsidR="000715E8" w:rsidRPr="00AD24F3">
        <w:rPr>
          <w:sz w:val="26"/>
          <w:szCs w:val="26"/>
        </w:rPr>
        <w:t xml:space="preserve"> the Complainant has failed to establish a </w:t>
      </w:r>
      <w:r w:rsidR="000715E8" w:rsidRPr="00AD24F3">
        <w:rPr>
          <w:i/>
          <w:sz w:val="26"/>
          <w:szCs w:val="26"/>
        </w:rPr>
        <w:t>prima facie</w:t>
      </w:r>
      <w:r w:rsidR="000715E8" w:rsidRPr="00AD24F3">
        <w:rPr>
          <w:sz w:val="26"/>
          <w:szCs w:val="26"/>
        </w:rPr>
        <w:t xml:space="preserve"> case</w:t>
      </w:r>
      <w:r w:rsidR="00912568" w:rsidRPr="00AD24F3">
        <w:rPr>
          <w:sz w:val="26"/>
          <w:szCs w:val="26"/>
        </w:rPr>
        <w:t xml:space="preserve"> with regard to </w:t>
      </w:r>
      <w:r w:rsidR="00961AC1" w:rsidRPr="00AD24F3">
        <w:rPr>
          <w:sz w:val="26"/>
          <w:szCs w:val="26"/>
        </w:rPr>
        <w:t xml:space="preserve">a </w:t>
      </w:r>
      <w:r w:rsidR="0011757D" w:rsidRPr="00AD24F3">
        <w:rPr>
          <w:sz w:val="26"/>
          <w:szCs w:val="26"/>
        </w:rPr>
        <w:t>“</w:t>
      </w:r>
      <w:r w:rsidR="00961AC1" w:rsidRPr="00AD24F3">
        <w:rPr>
          <w:sz w:val="26"/>
          <w:szCs w:val="26"/>
        </w:rPr>
        <w:t>high bill</w:t>
      </w:r>
      <w:r w:rsidR="0011757D" w:rsidRPr="00AD24F3">
        <w:rPr>
          <w:sz w:val="26"/>
          <w:szCs w:val="26"/>
        </w:rPr>
        <w:t>”</w:t>
      </w:r>
      <w:r w:rsidR="00961AC1" w:rsidRPr="00AD24F3">
        <w:rPr>
          <w:sz w:val="26"/>
          <w:szCs w:val="26"/>
        </w:rPr>
        <w:t xml:space="preserve"> complaint</w:t>
      </w:r>
      <w:r w:rsidR="0011757D" w:rsidRPr="00AD24F3">
        <w:rPr>
          <w:sz w:val="26"/>
          <w:szCs w:val="26"/>
        </w:rPr>
        <w:t>,</w:t>
      </w:r>
      <w:r w:rsidR="00961AC1" w:rsidRPr="00AD24F3">
        <w:rPr>
          <w:sz w:val="26"/>
          <w:szCs w:val="26"/>
        </w:rPr>
        <w:t xml:space="preserve"> </w:t>
      </w:r>
      <w:r w:rsidR="00FE6FB1">
        <w:rPr>
          <w:sz w:val="26"/>
          <w:szCs w:val="26"/>
        </w:rPr>
        <w:t xml:space="preserve">and </w:t>
      </w:r>
      <w:r w:rsidR="00961AC1" w:rsidRPr="00AD24F3">
        <w:rPr>
          <w:sz w:val="26"/>
          <w:szCs w:val="26"/>
        </w:rPr>
        <w:t>consistent with</w:t>
      </w:r>
      <w:r w:rsidR="00912568" w:rsidRPr="00AD24F3">
        <w:rPr>
          <w:sz w:val="26"/>
          <w:szCs w:val="26"/>
        </w:rPr>
        <w:t xml:space="preserve"> the </w:t>
      </w:r>
      <w:r w:rsidR="00912568" w:rsidRPr="00AD24F3">
        <w:rPr>
          <w:i/>
          <w:sz w:val="26"/>
          <w:szCs w:val="26"/>
        </w:rPr>
        <w:t>Waldron</w:t>
      </w:r>
      <w:r w:rsidR="00006A65" w:rsidRPr="00AD24F3">
        <w:rPr>
          <w:sz w:val="26"/>
          <w:szCs w:val="26"/>
        </w:rPr>
        <w:t xml:space="preserve"> Rule as</w:t>
      </w:r>
      <w:r w:rsidR="00BA7DE9" w:rsidRPr="00AD24F3">
        <w:rPr>
          <w:sz w:val="26"/>
          <w:szCs w:val="26"/>
        </w:rPr>
        <w:t xml:space="preserve"> discussed </w:t>
      </w:r>
      <w:r w:rsidR="00BA7DE9" w:rsidRPr="00AD24F3">
        <w:rPr>
          <w:i/>
          <w:sz w:val="26"/>
          <w:szCs w:val="26"/>
        </w:rPr>
        <w:t>supra</w:t>
      </w:r>
      <w:r w:rsidR="006668F8" w:rsidRPr="00AD24F3">
        <w:rPr>
          <w:sz w:val="26"/>
          <w:szCs w:val="26"/>
        </w:rPr>
        <w:t>.</w:t>
      </w:r>
      <w:r w:rsidR="00AD24F3" w:rsidRPr="00AD24F3">
        <w:rPr>
          <w:sz w:val="26"/>
          <w:szCs w:val="26"/>
        </w:rPr>
        <w:t xml:space="preserve">  We further find that the Complainant has failed to prove that her electric meter </w:t>
      </w:r>
      <w:r w:rsidR="00FE6FB1">
        <w:rPr>
          <w:sz w:val="26"/>
          <w:szCs w:val="26"/>
        </w:rPr>
        <w:t>was</w:t>
      </w:r>
      <w:r w:rsidR="00AD24F3" w:rsidRPr="00AD24F3">
        <w:rPr>
          <w:sz w:val="26"/>
          <w:szCs w:val="26"/>
        </w:rPr>
        <w:t xml:space="preserve"> defective.</w:t>
      </w:r>
    </w:p>
    <w:p w:rsidR="00975EB9" w:rsidRPr="006837CF" w:rsidRDefault="00975EB9" w:rsidP="00C674CB">
      <w:pPr>
        <w:widowControl/>
        <w:spacing w:line="360" w:lineRule="auto"/>
        <w:rPr>
          <w:sz w:val="26"/>
          <w:szCs w:val="26"/>
          <w:highlight w:val="green"/>
        </w:rPr>
      </w:pPr>
    </w:p>
    <w:p w:rsidR="00CA43A5" w:rsidRPr="003E121E" w:rsidRDefault="00CA43A5" w:rsidP="00631D5D">
      <w:pPr>
        <w:keepNext/>
        <w:widowControl/>
        <w:spacing w:line="360" w:lineRule="auto"/>
        <w:jc w:val="center"/>
        <w:rPr>
          <w:b/>
          <w:sz w:val="26"/>
          <w:szCs w:val="26"/>
        </w:rPr>
      </w:pPr>
      <w:r w:rsidRPr="003E121E">
        <w:rPr>
          <w:b/>
          <w:sz w:val="26"/>
          <w:szCs w:val="26"/>
        </w:rPr>
        <w:t>Conclusion</w:t>
      </w:r>
    </w:p>
    <w:p w:rsidR="00CA43A5" w:rsidRPr="003E121E" w:rsidRDefault="00CA43A5" w:rsidP="00631D5D">
      <w:pPr>
        <w:keepNext/>
        <w:widowControl/>
        <w:ind w:firstLine="1440"/>
        <w:rPr>
          <w:sz w:val="26"/>
          <w:szCs w:val="26"/>
        </w:rPr>
      </w:pPr>
    </w:p>
    <w:p w:rsidR="00CA43A5" w:rsidRPr="00E14881" w:rsidRDefault="00FE6FB1" w:rsidP="00631D5D">
      <w:pPr>
        <w:keepNext/>
        <w:widowControl/>
        <w:spacing w:line="360" w:lineRule="auto"/>
        <w:ind w:firstLine="1440"/>
        <w:rPr>
          <w:sz w:val="26"/>
          <w:szCs w:val="26"/>
        </w:rPr>
      </w:pPr>
      <w:r>
        <w:rPr>
          <w:sz w:val="26"/>
          <w:szCs w:val="26"/>
        </w:rPr>
        <w:t>In light of the above</w:t>
      </w:r>
      <w:r w:rsidR="00EB47AB" w:rsidRPr="003E121E">
        <w:rPr>
          <w:sz w:val="26"/>
          <w:szCs w:val="26"/>
        </w:rPr>
        <w:t>, we shall</w:t>
      </w:r>
      <w:r w:rsidR="002E643A">
        <w:rPr>
          <w:sz w:val="26"/>
          <w:szCs w:val="26"/>
        </w:rPr>
        <w:t>:</w:t>
      </w:r>
      <w:r w:rsidR="00EB47AB" w:rsidRPr="003E121E">
        <w:rPr>
          <w:sz w:val="26"/>
          <w:szCs w:val="26"/>
        </w:rPr>
        <w:t xml:space="preserve"> </w:t>
      </w:r>
      <w:r w:rsidR="000C119A">
        <w:rPr>
          <w:sz w:val="26"/>
          <w:szCs w:val="26"/>
        </w:rPr>
        <w:t xml:space="preserve"> </w:t>
      </w:r>
      <w:r w:rsidR="002E643A">
        <w:rPr>
          <w:sz w:val="26"/>
          <w:szCs w:val="26"/>
        </w:rPr>
        <w:t xml:space="preserve">(1) grant </w:t>
      </w:r>
      <w:r w:rsidR="00717FE7">
        <w:rPr>
          <w:sz w:val="26"/>
          <w:szCs w:val="26"/>
        </w:rPr>
        <w:t>the Complainant’s Exception</w:t>
      </w:r>
      <w:r w:rsidR="002E643A">
        <w:rPr>
          <w:sz w:val="26"/>
          <w:szCs w:val="26"/>
        </w:rPr>
        <w:t>s</w:t>
      </w:r>
      <w:r w:rsidR="00717FE7">
        <w:rPr>
          <w:sz w:val="26"/>
          <w:szCs w:val="26"/>
        </w:rPr>
        <w:t>, in part, and deny them, in part</w:t>
      </w:r>
      <w:r w:rsidR="002E643A">
        <w:rPr>
          <w:sz w:val="26"/>
          <w:szCs w:val="26"/>
        </w:rPr>
        <w:t xml:space="preserve">; (2) </w:t>
      </w:r>
      <w:r w:rsidR="00717FE7">
        <w:rPr>
          <w:sz w:val="26"/>
          <w:szCs w:val="26"/>
        </w:rPr>
        <w:t xml:space="preserve">adopt the </w:t>
      </w:r>
      <w:r>
        <w:rPr>
          <w:sz w:val="26"/>
          <w:szCs w:val="26"/>
        </w:rPr>
        <w:t>ALJ’s Initial Decision, as modified</w:t>
      </w:r>
      <w:r w:rsidR="002E643A">
        <w:rPr>
          <w:sz w:val="26"/>
          <w:szCs w:val="26"/>
        </w:rPr>
        <w:t>,</w:t>
      </w:r>
      <w:r>
        <w:rPr>
          <w:sz w:val="26"/>
          <w:szCs w:val="26"/>
        </w:rPr>
        <w:t xml:space="preserve"> consistent with the discussion in this Opinion and Order</w:t>
      </w:r>
      <w:r w:rsidR="002E643A">
        <w:rPr>
          <w:sz w:val="26"/>
          <w:szCs w:val="26"/>
        </w:rPr>
        <w:t xml:space="preserve">; and (3) </w:t>
      </w:r>
      <w:r w:rsidR="009507C1">
        <w:rPr>
          <w:sz w:val="26"/>
          <w:szCs w:val="26"/>
        </w:rPr>
        <w:t>dismiss</w:t>
      </w:r>
      <w:r w:rsidR="003E121E" w:rsidRPr="003E121E">
        <w:rPr>
          <w:sz w:val="26"/>
          <w:szCs w:val="26"/>
        </w:rPr>
        <w:t xml:space="preserve"> the Complaint</w:t>
      </w:r>
      <w:r w:rsidR="002E643A">
        <w:rPr>
          <w:sz w:val="26"/>
          <w:szCs w:val="26"/>
        </w:rPr>
        <w:t>;</w:t>
      </w:r>
      <w:r w:rsidR="00E14881" w:rsidRPr="00E14881">
        <w:rPr>
          <w:sz w:val="26"/>
          <w:szCs w:val="26"/>
        </w:rPr>
        <w:t xml:space="preserve"> </w:t>
      </w:r>
      <w:r w:rsidR="00CA43A5" w:rsidRPr="00E14881">
        <w:rPr>
          <w:b/>
          <w:sz w:val="26"/>
          <w:szCs w:val="26"/>
        </w:rPr>
        <w:t>THEREFORE,</w:t>
      </w:r>
      <w:r w:rsidR="00CA43A5" w:rsidRPr="00E14881">
        <w:rPr>
          <w:sz w:val="26"/>
          <w:szCs w:val="26"/>
        </w:rPr>
        <w:t xml:space="preserve"> </w:t>
      </w:r>
    </w:p>
    <w:p w:rsidR="00CA43A5" w:rsidRPr="00E14881" w:rsidRDefault="00CA43A5" w:rsidP="00A80ACB">
      <w:pPr>
        <w:widowControl/>
        <w:spacing w:line="360" w:lineRule="auto"/>
        <w:rPr>
          <w:sz w:val="26"/>
          <w:szCs w:val="26"/>
        </w:rPr>
      </w:pPr>
    </w:p>
    <w:p w:rsidR="00CA43A5" w:rsidRPr="00E14881" w:rsidRDefault="00CA43A5" w:rsidP="000A06E0">
      <w:pPr>
        <w:keepNext/>
        <w:widowControl/>
        <w:ind w:firstLine="1440"/>
        <w:rPr>
          <w:b/>
          <w:sz w:val="26"/>
          <w:szCs w:val="26"/>
        </w:rPr>
      </w:pPr>
      <w:r w:rsidRPr="00E14881">
        <w:rPr>
          <w:b/>
          <w:sz w:val="26"/>
          <w:szCs w:val="26"/>
        </w:rPr>
        <w:t>IT IS ORDERED:</w:t>
      </w:r>
    </w:p>
    <w:p w:rsidR="00CA43A5" w:rsidRPr="00E14881" w:rsidRDefault="00CA43A5" w:rsidP="000A06E0">
      <w:pPr>
        <w:keepNext/>
        <w:widowControl/>
        <w:rPr>
          <w:sz w:val="26"/>
          <w:szCs w:val="26"/>
        </w:rPr>
      </w:pPr>
    </w:p>
    <w:p w:rsidR="009155F7" w:rsidRPr="00E14881" w:rsidRDefault="009155F7" w:rsidP="000A06E0">
      <w:pPr>
        <w:keepNext/>
        <w:widowControl/>
        <w:numPr>
          <w:ilvl w:val="0"/>
          <w:numId w:val="1"/>
        </w:numPr>
        <w:tabs>
          <w:tab w:val="clear" w:pos="2160"/>
          <w:tab w:val="num" w:pos="0"/>
        </w:tabs>
        <w:spacing w:line="360" w:lineRule="auto"/>
        <w:ind w:left="0" w:firstLine="1440"/>
        <w:rPr>
          <w:sz w:val="26"/>
          <w:szCs w:val="26"/>
        </w:rPr>
      </w:pPr>
      <w:r w:rsidRPr="00E14881">
        <w:rPr>
          <w:sz w:val="26"/>
          <w:szCs w:val="26"/>
        </w:rPr>
        <w:t>That the Exceptions of</w:t>
      </w:r>
      <w:r w:rsidR="00A13151" w:rsidRPr="00E14881">
        <w:rPr>
          <w:sz w:val="26"/>
          <w:szCs w:val="26"/>
        </w:rPr>
        <w:t xml:space="preserve"> Kimberly </w:t>
      </w:r>
      <w:r w:rsidR="00E14881" w:rsidRPr="00E14881">
        <w:rPr>
          <w:color w:val="000000"/>
          <w:sz w:val="26"/>
        </w:rPr>
        <w:t>A. Hrenyo</w:t>
      </w:r>
      <w:r w:rsidR="00E14881" w:rsidRPr="00E14881">
        <w:rPr>
          <w:sz w:val="26"/>
          <w:szCs w:val="26"/>
        </w:rPr>
        <w:t>, filed on January 12, 2013</w:t>
      </w:r>
      <w:r w:rsidR="00A13151" w:rsidRPr="00E14881">
        <w:rPr>
          <w:sz w:val="26"/>
          <w:szCs w:val="26"/>
        </w:rPr>
        <w:t>,</w:t>
      </w:r>
      <w:r w:rsidR="00251918" w:rsidRPr="00E14881">
        <w:rPr>
          <w:sz w:val="26"/>
          <w:szCs w:val="26"/>
        </w:rPr>
        <w:t xml:space="preserve"> to the Initial Decision of Administ</w:t>
      </w:r>
      <w:r w:rsidR="000A06E0" w:rsidRPr="00E14881">
        <w:rPr>
          <w:sz w:val="26"/>
          <w:szCs w:val="26"/>
        </w:rPr>
        <w:t>ra</w:t>
      </w:r>
      <w:r w:rsidR="00E14881" w:rsidRPr="00E14881">
        <w:rPr>
          <w:sz w:val="26"/>
          <w:szCs w:val="26"/>
        </w:rPr>
        <w:t>tive Law Judge Elizabeth H. Barnes</w:t>
      </w:r>
      <w:r w:rsidR="00251918" w:rsidRPr="00E14881">
        <w:rPr>
          <w:sz w:val="26"/>
          <w:szCs w:val="26"/>
        </w:rPr>
        <w:t xml:space="preserve"> are </w:t>
      </w:r>
      <w:r w:rsidR="002E643A">
        <w:rPr>
          <w:sz w:val="26"/>
          <w:szCs w:val="26"/>
        </w:rPr>
        <w:t xml:space="preserve">granted, in part, and </w:t>
      </w:r>
      <w:r w:rsidR="00251918" w:rsidRPr="00E14881">
        <w:rPr>
          <w:sz w:val="26"/>
          <w:szCs w:val="26"/>
        </w:rPr>
        <w:t>denied</w:t>
      </w:r>
      <w:r w:rsidR="003F51F4" w:rsidRPr="00E14881">
        <w:rPr>
          <w:sz w:val="26"/>
          <w:szCs w:val="26"/>
        </w:rPr>
        <w:t xml:space="preserve">, </w:t>
      </w:r>
      <w:r w:rsidR="002E643A">
        <w:rPr>
          <w:sz w:val="26"/>
          <w:szCs w:val="26"/>
        </w:rPr>
        <w:t xml:space="preserve">in part, </w:t>
      </w:r>
      <w:r w:rsidR="003F51F4" w:rsidRPr="00E14881">
        <w:rPr>
          <w:sz w:val="26"/>
          <w:szCs w:val="26"/>
        </w:rPr>
        <w:t xml:space="preserve">consistent with this Opinion </w:t>
      </w:r>
      <w:r w:rsidR="00B80C43" w:rsidRPr="00E14881">
        <w:rPr>
          <w:sz w:val="26"/>
          <w:szCs w:val="26"/>
        </w:rPr>
        <w:t>and Order</w:t>
      </w:r>
      <w:r w:rsidRPr="00E14881">
        <w:rPr>
          <w:sz w:val="26"/>
          <w:szCs w:val="26"/>
        </w:rPr>
        <w:t>.</w:t>
      </w:r>
    </w:p>
    <w:p w:rsidR="003F51F4" w:rsidRPr="00E14881" w:rsidRDefault="003F51F4" w:rsidP="005F184F">
      <w:pPr>
        <w:widowControl/>
        <w:spacing w:line="360" w:lineRule="auto"/>
        <w:ind w:left="1440"/>
        <w:rPr>
          <w:sz w:val="26"/>
          <w:szCs w:val="26"/>
        </w:rPr>
      </w:pPr>
    </w:p>
    <w:p w:rsidR="00CA43A5" w:rsidRPr="00E14881" w:rsidRDefault="00CA43A5" w:rsidP="005F184F">
      <w:pPr>
        <w:widowControl/>
        <w:numPr>
          <w:ilvl w:val="0"/>
          <w:numId w:val="1"/>
        </w:numPr>
        <w:tabs>
          <w:tab w:val="clear" w:pos="2160"/>
          <w:tab w:val="num" w:pos="0"/>
        </w:tabs>
        <w:spacing w:line="360" w:lineRule="auto"/>
        <w:ind w:left="0" w:firstLine="1440"/>
        <w:rPr>
          <w:sz w:val="26"/>
          <w:szCs w:val="26"/>
        </w:rPr>
      </w:pPr>
      <w:r w:rsidRPr="00E14881">
        <w:rPr>
          <w:sz w:val="26"/>
          <w:szCs w:val="26"/>
        </w:rPr>
        <w:t>That the Initial Decision of Adm</w:t>
      </w:r>
      <w:r w:rsidR="00251918" w:rsidRPr="00E14881">
        <w:rPr>
          <w:sz w:val="26"/>
          <w:szCs w:val="26"/>
        </w:rPr>
        <w:t>inist</w:t>
      </w:r>
      <w:r w:rsidR="000A06E0" w:rsidRPr="00E14881">
        <w:rPr>
          <w:sz w:val="26"/>
          <w:szCs w:val="26"/>
        </w:rPr>
        <w:t>ra</w:t>
      </w:r>
      <w:r w:rsidR="00E14881" w:rsidRPr="00E14881">
        <w:rPr>
          <w:sz w:val="26"/>
          <w:szCs w:val="26"/>
        </w:rPr>
        <w:t>tive Law Judge Elizabeth H. Barnes</w:t>
      </w:r>
      <w:r w:rsidR="00A91DC1" w:rsidRPr="00E14881">
        <w:rPr>
          <w:sz w:val="26"/>
          <w:szCs w:val="26"/>
        </w:rPr>
        <w:t xml:space="preserve">, issued </w:t>
      </w:r>
      <w:r w:rsidR="00E14881" w:rsidRPr="00E14881">
        <w:rPr>
          <w:sz w:val="26"/>
          <w:szCs w:val="26"/>
        </w:rPr>
        <w:t>January 3, 2013</w:t>
      </w:r>
      <w:r w:rsidR="00745E99" w:rsidRPr="00E14881">
        <w:rPr>
          <w:sz w:val="26"/>
          <w:szCs w:val="26"/>
        </w:rPr>
        <w:t>,</w:t>
      </w:r>
      <w:r w:rsidR="00251918" w:rsidRPr="00E14881">
        <w:rPr>
          <w:sz w:val="26"/>
          <w:szCs w:val="26"/>
        </w:rPr>
        <w:t xml:space="preserve"> is adopted</w:t>
      </w:r>
      <w:r w:rsidRPr="00E14881">
        <w:rPr>
          <w:sz w:val="26"/>
          <w:szCs w:val="26"/>
        </w:rPr>
        <w:t>,</w:t>
      </w:r>
      <w:r w:rsidR="00E14881" w:rsidRPr="00E14881">
        <w:rPr>
          <w:sz w:val="26"/>
          <w:szCs w:val="26"/>
        </w:rPr>
        <w:t xml:space="preserve"> </w:t>
      </w:r>
      <w:r w:rsidR="002E643A">
        <w:rPr>
          <w:sz w:val="26"/>
          <w:szCs w:val="26"/>
        </w:rPr>
        <w:t xml:space="preserve">as </w:t>
      </w:r>
      <w:r w:rsidR="00E14881" w:rsidRPr="00E14881">
        <w:rPr>
          <w:sz w:val="26"/>
          <w:szCs w:val="26"/>
        </w:rPr>
        <w:t>modified</w:t>
      </w:r>
      <w:r w:rsidR="002E643A">
        <w:rPr>
          <w:sz w:val="26"/>
          <w:szCs w:val="26"/>
        </w:rPr>
        <w:t>,</w:t>
      </w:r>
      <w:r w:rsidRPr="00E14881">
        <w:rPr>
          <w:sz w:val="26"/>
          <w:szCs w:val="26"/>
        </w:rPr>
        <w:t xml:space="preserve"> </w:t>
      </w:r>
      <w:r w:rsidR="003B2DBB">
        <w:rPr>
          <w:sz w:val="26"/>
          <w:szCs w:val="26"/>
        </w:rPr>
        <w:t xml:space="preserve">by this </w:t>
      </w:r>
      <w:r w:rsidRPr="00E14881">
        <w:rPr>
          <w:sz w:val="26"/>
          <w:szCs w:val="26"/>
        </w:rPr>
        <w:t>Opinion and Order.</w:t>
      </w:r>
    </w:p>
    <w:p w:rsidR="00396541" w:rsidRPr="00551506" w:rsidRDefault="00251918" w:rsidP="00551506">
      <w:pPr>
        <w:pStyle w:val="ListParagraph"/>
        <w:widowControl/>
        <w:numPr>
          <w:ilvl w:val="0"/>
          <w:numId w:val="1"/>
        </w:numPr>
        <w:spacing w:line="360" w:lineRule="auto"/>
        <w:ind w:left="0" w:firstLine="1440"/>
        <w:rPr>
          <w:sz w:val="26"/>
          <w:szCs w:val="26"/>
        </w:rPr>
      </w:pPr>
      <w:r w:rsidRPr="00E14881">
        <w:rPr>
          <w:sz w:val="26"/>
          <w:szCs w:val="26"/>
        </w:rPr>
        <w:lastRenderedPageBreak/>
        <w:t>That the Formal Co</w:t>
      </w:r>
      <w:r w:rsidR="005C399D" w:rsidRPr="00E14881">
        <w:rPr>
          <w:sz w:val="26"/>
          <w:szCs w:val="26"/>
        </w:rPr>
        <w:t xml:space="preserve">mplaint filed by </w:t>
      </w:r>
      <w:r w:rsidR="00E14881" w:rsidRPr="00E14881">
        <w:rPr>
          <w:sz w:val="26"/>
          <w:szCs w:val="26"/>
        </w:rPr>
        <w:t xml:space="preserve">Kimberly </w:t>
      </w:r>
      <w:r w:rsidR="00E14881" w:rsidRPr="00E14881">
        <w:rPr>
          <w:color w:val="000000"/>
          <w:sz w:val="26"/>
        </w:rPr>
        <w:t>A. Hrenyo</w:t>
      </w:r>
      <w:r w:rsidR="00E14881" w:rsidRPr="00E14881">
        <w:rPr>
          <w:sz w:val="26"/>
          <w:szCs w:val="26"/>
        </w:rPr>
        <w:t xml:space="preserve"> on July 5, 2012</w:t>
      </w:r>
      <w:r w:rsidR="005C399D" w:rsidRPr="00E14881">
        <w:rPr>
          <w:sz w:val="26"/>
          <w:szCs w:val="26"/>
        </w:rPr>
        <w:t>, against</w:t>
      </w:r>
      <w:r w:rsidR="00E14881" w:rsidRPr="00E14881">
        <w:rPr>
          <w:sz w:val="26"/>
          <w:szCs w:val="26"/>
        </w:rPr>
        <w:t xml:space="preserve"> PPL Electric Utilities Corporation</w:t>
      </w:r>
      <w:r w:rsidR="00E14881">
        <w:rPr>
          <w:sz w:val="26"/>
          <w:szCs w:val="26"/>
        </w:rPr>
        <w:t>,</w:t>
      </w:r>
      <w:r w:rsidR="005C399D" w:rsidRPr="00E14881">
        <w:rPr>
          <w:sz w:val="26"/>
          <w:szCs w:val="26"/>
        </w:rPr>
        <w:t xml:space="preserve"> </w:t>
      </w:r>
      <w:r w:rsidR="00E14881">
        <w:rPr>
          <w:sz w:val="26"/>
          <w:szCs w:val="26"/>
        </w:rPr>
        <w:t xml:space="preserve">is </w:t>
      </w:r>
      <w:r w:rsidR="00411024">
        <w:rPr>
          <w:sz w:val="26"/>
          <w:szCs w:val="26"/>
        </w:rPr>
        <w:t>dismissed</w:t>
      </w:r>
      <w:r w:rsidR="00E50F64" w:rsidRPr="00E14881">
        <w:rPr>
          <w:sz w:val="26"/>
          <w:szCs w:val="26"/>
        </w:rPr>
        <w:t>, consistent with this Opinion and Order</w:t>
      </w:r>
      <w:r w:rsidR="005C399D" w:rsidRPr="00E14881">
        <w:rPr>
          <w:sz w:val="26"/>
          <w:szCs w:val="26"/>
        </w:rPr>
        <w:t>.</w:t>
      </w:r>
    </w:p>
    <w:p w:rsidR="00D45DD3" w:rsidRPr="00551506" w:rsidRDefault="00D45DD3" w:rsidP="00D45DD3">
      <w:pPr>
        <w:pStyle w:val="ListParagraph"/>
        <w:rPr>
          <w:sz w:val="26"/>
          <w:szCs w:val="26"/>
        </w:rPr>
      </w:pPr>
    </w:p>
    <w:p w:rsidR="00251918" w:rsidRPr="00551506" w:rsidRDefault="00251918" w:rsidP="00551506">
      <w:pPr>
        <w:pStyle w:val="ListParagraph"/>
        <w:keepNext/>
        <w:widowControl/>
        <w:numPr>
          <w:ilvl w:val="0"/>
          <w:numId w:val="1"/>
        </w:numPr>
        <w:spacing w:line="360" w:lineRule="auto"/>
        <w:ind w:left="0" w:firstLine="1440"/>
        <w:rPr>
          <w:sz w:val="26"/>
          <w:szCs w:val="26"/>
        </w:rPr>
      </w:pPr>
      <w:r w:rsidRPr="00551506">
        <w:rPr>
          <w:sz w:val="26"/>
          <w:szCs w:val="26"/>
        </w:rPr>
        <w:t>That</w:t>
      </w:r>
      <w:r w:rsidR="00551506" w:rsidRPr="00551506">
        <w:rPr>
          <w:sz w:val="26"/>
          <w:szCs w:val="26"/>
        </w:rPr>
        <w:t xml:space="preserve"> the record at Docket No. F-2012-2314680</w:t>
      </w:r>
      <w:r w:rsidR="00C074D9" w:rsidRPr="00551506">
        <w:rPr>
          <w:sz w:val="26"/>
          <w:szCs w:val="26"/>
        </w:rPr>
        <w:t xml:space="preserve"> </w:t>
      </w:r>
      <w:r w:rsidRPr="00551506">
        <w:rPr>
          <w:sz w:val="26"/>
          <w:szCs w:val="26"/>
        </w:rPr>
        <w:t>be marked closed.</w:t>
      </w:r>
    </w:p>
    <w:p w:rsidR="00CA43A5" w:rsidRPr="00C074D9" w:rsidRDefault="00CA43A5" w:rsidP="00551506">
      <w:pPr>
        <w:keepNext/>
        <w:rPr>
          <w:sz w:val="26"/>
          <w:szCs w:val="26"/>
        </w:rPr>
      </w:pPr>
    </w:p>
    <w:p w:rsidR="00CA43A5" w:rsidRPr="00C074D9" w:rsidRDefault="00C46752" w:rsidP="00551506">
      <w:pPr>
        <w:keepNext/>
        <w:rPr>
          <w:sz w:val="26"/>
          <w:szCs w:val="26"/>
        </w:rPr>
      </w:pPr>
      <w:r>
        <w:rPr>
          <w:noProof/>
        </w:rPr>
        <w:drawing>
          <wp:anchor distT="0" distB="0" distL="114300" distR="114300" simplePos="0" relativeHeight="251658240" behindDoc="1" locked="0" layoutInCell="1" allowOverlap="1" wp14:anchorId="20567B11" wp14:editId="30BBF8B1">
            <wp:simplePos x="0" y="0"/>
            <wp:positionH relativeFrom="column">
              <wp:posOffset>3009900</wp:posOffset>
            </wp:positionH>
            <wp:positionV relativeFrom="paragraph">
              <wp:posOffset>62230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A43A5" w:rsidRPr="00C074D9" w:rsidRDefault="00CA43A5" w:rsidP="00551506">
      <w:pPr>
        <w:keepNext/>
        <w:tabs>
          <w:tab w:val="left" w:pos="-720"/>
        </w:tabs>
        <w:ind w:firstLine="5040"/>
        <w:rPr>
          <w:sz w:val="26"/>
          <w:szCs w:val="26"/>
        </w:rPr>
      </w:pPr>
      <w:r w:rsidRPr="00C074D9">
        <w:rPr>
          <w:b/>
          <w:sz w:val="26"/>
          <w:szCs w:val="26"/>
        </w:rPr>
        <w:t>BY THE COMMISSION,</w:t>
      </w:r>
    </w:p>
    <w:p w:rsidR="00CA43A5" w:rsidRPr="00C074D9" w:rsidRDefault="00CA43A5" w:rsidP="00551506">
      <w:pPr>
        <w:keepNext/>
        <w:tabs>
          <w:tab w:val="left" w:pos="-720"/>
        </w:tabs>
        <w:rPr>
          <w:sz w:val="26"/>
          <w:szCs w:val="26"/>
        </w:rPr>
      </w:pPr>
    </w:p>
    <w:p w:rsidR="00CA43A5" w:rsidRPr="00C074D9" w:rsidRDefault="00CA43A5" w:rsidP="00551506">
      <w:pPr>
        <w:keepNext/>
        <w:tabs>
          <w:tab w:val="left" w:pos="-720"/>
        </w:tabs>
        <w:rPr>
          <w:sz w:val="26"/>
          <w:szCs w:val="26"/>
        </w:rPr>
      </w:pPr>
    </w:p>
    <w:p w:rsidR="00CA43A5" w:rsidRPr="00C074D9" w:rsidRDefault="00CA43A5" w:rsidP="00551506">
      <w:pPr>
        <w:keepNext/>
        <w:tabs>
          <w:tab w:val="left" w:pos="-720"/>
        </w:tabs>
        <w:rPr>
          <w:sz w:val="26"/>
          <w:szCs w:val="26"/>
        </w:rPr>
      </w:pPr>
    </w:p>
    <w:p w:rsidR="00CA43A5" w:rsidRPr="00C074D9" w:rsidRDefault="00564565" w:rsidP="00551506">
      <w:pPr>
        <w:keepNext/>
        <w:tabs>
          <w:tab w:val="left" w:pos="-720"/>
        </w:tabs>
        <w:ind w:firstLine="5040"/>
        <w:rPr>
          <w:b/>
          <w:sz w:val="26"/>
          <w:szCs w:val="26"/>
        </w:rPr>
      </w:pPr>
      <w:r w:rsidRPr="00C074D9">
        <w:rPr>
          <w:sz w:val="26"/>
          <w:szCs w:val="26"/>
        </w:rPr>
        <w:t>Rosemary Chiavetta</w:t>
      </w:r>
    </w:p>
    <w:p w:rsidR="00CA43A5" w:rsidRPr="00C074D9" w:rsidRDefault="00CA43A5" w:rsidP="00551506">
      <w:pPr>
        <w:keepNext/>
        <w:tabs>
          <w:tab w:val="left" w:pos="-720"/>
        </w:tabs>
        <w:ind w:firstLine="5040"/>
        <w:rPr>
          <w:sz w:val="26"/>
          <w:szCs w:val="26"/>
        </w:rPr>
      </w:pPr>
      <w:r w:rsidRPr="00C074D9">
        <w:rPr>
          <w:sz w:val="26"/>
          <w:szCs w:val="26"/>
        </w:rPr>
        <w:t>Secretary</w:t>
      </w:r>
    </w:p>
    <w:p w:rsidR="00CA43A5" w:rsidRPr="00C074D9" w:rsidRDefault="00CA43A5" w:rsidP="00551506">
      <w:pPr>
        <w:keepNext/>
        <w:tabs>
          <w:tab w:val="left" w:pos="-720"/>
        </w:tabs>
        <w:rPr>
          <w:sz w:val="26"/>
          <w:szCs w:val="26"/>
        </w:rPr>
      </w:pPr>
    </w:p>
    <w:p w:rsidR="00CA43A5" w:rsidRPr="00C074D9" w:rsidRDefault="00CA43A5" w:rsidP="00551506">
      <w:pPr>
        <w:keepNext/>
        <w:tabs>
          <w:tab w:val="left" w:pos="-720"/>
        </w:tabs>
        <w:rPr>
          <w:sz w:val="26"/>
          <w:szCs w:val="26"/>
        </w:rPr>
      </w:pPr>
      <w:r w:rsidRPr="00C074D9">
        <w:rPr>
          <w:sz w:val="26"/>
          <w:szCs w:val="26"/>
        </w:rPr>
        <w:t>(SEAL)</w:t>
      </w:r>
    </w:p>
    <w:p w:rsidR="00CA43A5" w:rsidRPr="00C074D9" w:rsidRDefault="00CA43A5" w:rsidP="00551506">
      <w:pPr>
        <w:keepNext/>
        <w:tabs>
          <w:tab w:val="left" w:pos="-720"/>
        </w:tabs>
        <w:rPr>
          <w:sz w:val="26"/>
          <w:szCs w:val="26"/>
        </w:rPr>
      </w:pPr>
    </w:p>
    <w:p w:rsidR="00CA43A5" w:rsidRPr="00C074D9" w:rsidRDefault="00CA43A5" w:rsidP="00551506">
      <w:pPr>
        <w:keepNext/>
        <w:tabs>
          <w:tab w:val="left" w:pos="-720"/>
        </w:tabs>
        <w:rPr>
          <w:sz w:val="26"/>
          <w:szCs w:val="26"/>
        </w:rPr>
      </w:pPr>
      <w:r w:rsidRPr="00C074D9">
        <w:rPr>
          <w:sz w:val="26"/>
          <w:szCs w:val="26"/>
        </w:rPr>
        <w:t xml:space="preserve">ORDER ADOPTED: </w:t>
      </w:r>
      <w:r w:rsidR="00871C1E">
        <w:rPr>
          <w:sz w:val="26"/>
          <w:szCs w:val="26"/>
        </w:rPr>
        <w:t>July 16</w:t>
      </w:r>
      <w:r w:rsidR="005E5108" w:rsidRPr="00C074D9">
        <w:rPr>
          <w:sz w:val="26"/>
          <w:szCs w:val="26"/>
        </w:rPr>
        <w:t>, 2013</w:t>
      </w:r>
    </w:p>
    <w:p w:rsidR="00857172" w:rsidRPr="00C074D9" w:rsidRDefault="00857172" w:rsidP="00551506">
      <w:pPr>
        <w:keepNext/>
        <w:tabs>
          <w:tab w:val="left" w:pos="-720"/>
        </w:tabs>
        <w:rPr>
          <w:sz w:val="26"/>
          <w:szCs w:val="26"/>
        </w:rPr>
      </w:pPr>
    </w:p>
    <w:p w:rsidR="00344804" w:rsidRPr="00CA43A5" w:rsidRDefault="00CA43A5" w:rsidP="00551506">
      <w:pPr>
        <w:keepNext/>
        <w:tabs>
          <w:tab w:val="left" w:pos="-720"/>
        </w:tabs>
        <w:rPr>
          <w:sz w:val="26"/>
          <w:szCs w:val="26"/>
        </w:rPr>
      </w:pPr>
      <w:r w:rsidRPr="00C074D9">
        <w:rPr>
          <w:sz w:val="26"/>
          <w:szCs w:val="26"/>
        </w:rPr>
        <w:t>ORDER ENTERED:</w:t>
      </w:r>
      <w:r w:rsidRPr="00CA43A5">
        <w:rPr>
          <w:sz w:val="26"/>
          <w:szCs w:val="26"/>
        </w:rPr>
        <w:t xml:space="preserve">  </w:t>
      </w:r>
      <w:r w:rsidR="00C46752">
        <w:rPr>
          <w:sz w:val="26"/>
          <w:szCs w:val="26"/>
        </w:rPr>
        <w:t>July 16, 2013</w:t>
      </w:r>
      <w:bookmarkStart w:id="2" w:name="_GoBack"/>
      <w:bookmarkEnd w:id="2"/>
    </w:p>
    <w:sectPr w:rsidR="00344804" w:rsidRPr="00CA43A5"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DB4" w:rsidRDefault="00A31DB4" w:rsidP="00F7174B">
      <w:r>
        <w:separator/>
      </w:r>
    </w:p>
  </w:endnote>
  <w:endnote w:type="continuationSeparator" w:id="0">
    <w:p w:rsidR="00A31DB4" w:rsidRDefault="00A31DB4"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4770D4" w:rsidRPr="009F1A08" w:rsidRDefault="004770D4">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C46752">
          <w:rPr>
            <w:noProof/>
            <w:sz w:val="26"/>
            <w:szCs w:val="26"/>
          </w:rPr>
          <w:t>15</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DB4" w:rsidRDefault="00A31DB4" w:rsidP="00F7174B">
      <w:r>
        <w:separator/>
      </w:r>
    </w:p>
  </w:footnote>
  <w:footnote w:type="continuationSeparator" w:id="0">
    <w:p w:rsidR="00A31DB4" w:rsidRDefault="00A31DB4" w:rsidP="00F7174B">
      <w:r>
        <w:continuationSeparator/>
      </w:r>
    </w:p>
  </w:footnote>
  <w:footnote w:id="1">
    <w:p w:rsidR="00667B44" w:rsidRDefault="00667B44" w:rsidP="00667B44">
      <w:pPr>
        <w:pStyle w:val="FootnoteText"/>
        <w:rPr>
          <w:sz w:val="26"/>
          <w:szCs w:val="26"/>
        </w:rPr>
      </w:pPr>
      <w:r>
        <w:rPr>
          <w:sz w:val="26"/>
          <w:szCs w:val="26"/>
        </w:rPr>
        <w:tab/>
      </w:r>
      <w:r w:rsidRPr="00F063E9">
        <w:rPr>
          <w:rStyle w:val="FootnoteReference"/>
          <w:sz w:val="26"/>
          <w:szCs w:val="26"/>
        </w:rPr>
        <w:footnoteRef/>
      </w:r>
      <w:r>
        <w:rPr>
          <w:sz w:val="26"/>
          <w:szCs w:val="26"/>
        </w:rPr>
        <w:tab/>
        <w:t>The Complaint was served on PPL on July 20, 2012.</w:t>
      </w:r>
    </w:p>
    <w:p w:rsidR="00667B44" w:rsidRPr="00F063E9" w:rsidRDefault="00667B44" w:rsidP="00667B44">
      <w:pPr>
        <w:pStyle w:val="FootnoteText"/>
        <w:spacing w:line="60" w:lineRule="auto"/>
        <w:rPr>
          <w:sz w:val="26"/>
          <w:szCs w:val="26"/>
        </w:rPr>
      </w:pPr>
    </w:p>
  </w:footnote>
  <w:footnote w:id="2">
    <w:p w:rsidR="00667B44" w:rsidRPr="001A597D" w:rsidRDefault="00667B44" w:rsidP="00667B44">
      <w:pPr>
        <w:pStyle w:val="FootnoteText"/>
        <w:rPr>
          <w:sz w:val="26"/>
          <w:szCs w:val="26"/>
        </w:rPr>
      </w:pPr>
      <w:r>
        <w:rPr>
          <w:sz w:val="26"/>
          <w:szCs w:val="26"/>
        </w:rPr>
        <w:tab/>
      </w:r>
      <w:r w:rsidRPr="00C51F6A">
        <w:rPr>
          <w:rStyle w:val="FootnoteReference"/>
          <w:sz w:val="26"/>
          <w:szCs w:val="26"/>
        </w:rPr>
        <w:footnoteRef/>
      </w:r>
      <w:r>
        <w:rPr>
          <w:sz w:val="26"/>
          <w:szCs w:val="26"/>
        </w:rPr>
        <w:tab/>
      </w:r>
      <w:r w:rsidRPr="001A597D">
        <w:rPr>
          <w:sz w:val="26"/>
          <w:szCs w:val="26"/>
        </w:rPr>
        <w:t>The Complaint is a timely appeal from the June 6, 2012 decision issued by the Commission’s Bureau of Consumer Services at BCS Case No. 2957383.</w:t>
      </w:r>
    </w:p>
    <w:p w:rsidR="00667B44" w:rsidRPr="001A597D" w:rsidRDefault="00667B44" w:rsidP="00667B44">
      <w:pPr>
        <w:pStyle w:val="FootnoteText"/>
        <w:spacing w:line="120" w:lineRule="auto"/>
        <w:rPr>
          <w:sz w:val="26"/>
          <w:szCs w:val="26"/>
        </w:rPr>
      </w:pPr>
    </w:p>
  </w:footnote>
  <w:footnote w:id="3">
    <w:p w:rsidR="00744FD2" w:rsidRPr="00873456" w:rsidRDefault="00873456">
      <w:pPr>
        <w:pStyle w:val="FootnoteText"/>
        <w:rPr>
          <w:sz w:val="26"/>
          <w:szCs w:val="26"/>
        </w:rPr>
      </w:pPr>
      <w:r>
        <w:rPr>
          <w:sz w:val="26"/>
          <w:szCs w:val="26"/>
        </w:rPr>
        <w:tab/>
      </w:r>
      <w:r w:rsidR="00744FD2" w:rsidRPr="00873456">
        <w:rPr>
          <w:rStyle w:val="FootnoteReference"/>
          <w:sz w:val="26"/>
          <w:szCs w:val="26"/>
        </w:rPr>
        <w:footnoteRef/>
      </w:r>
      <w:r>
        <w:rPr>
          <w:sz w:val="26"/>
          <w:szCs w:val="26"/>
        </w:rPr>
        <w:tab/>
      </w:r>
      <w:r w:rsidR="007E5D6C">
        <w:rPr>
          <w:sz w:val="26"/>
          <w:szCs w:val="26"/>
        </w:rPr>
        <w:t>At the time of the hearing, n</w:t>
      </w:r>
      <w:r>
        <w:rPr>
          <w:sz w:val="26"/>
          <w:szCs w:val="26"/>
        </w:rPr>
        <w:t>o electric usage information was available to the Complainant beyond October 2012.</w:t>
      </w:r>
    </w:p>
  </w:footnote>
  <w:footnote w:id="4">
    <w:p w:rsidR="00A75580" w:rsidRPr="00A75580" w:rsidRDefault="00A75580">
      <w:pPr>
        <w:pStyle w:val="FootnoteText"/>
        <w:rPr>
          <w:sz w:val="26"/>
          <w:szCs w:val="26"/>
        </w:rPr>
      </w:pPr>
      <w:r>
        <w:rPr>
          <w:sz w:val="26"/>
          <w:szCs w:val="26"/>
        </w:rPr>
        <w:tab/>
      </w:r>
      <w:r w:rsidRPr="00A75580">
        <w:rPr>
          <w:rStyle w:val="FootnoteReference"/>
          <w:sz w:val="26"/>
          <w:szCs w:val="26"/>
        </w:rPr>
        <w:footnoteRef/>
      </w:r>
      <w:r>
        <w:rPr>
          <w:sz w:val="26"/>
          <w:szCs w:val="26"/>
        </w:rPr>
        <w:tab/>
        <w:t>Although the Complainant asserted in her Exceptions that the pole building does not use electric heat, she testified at the November 8, 2012 hearing that the pole building was equipped with electric heat and another furnace.  Tr. at 6.</w:t>
      </w:r>
    </w:p>
  </w:footnote>
  <w:footnote w:id="5">
    <w:p w:rsidR="008C2593" w:rsidRDefault="008C2593">
      <w:pPr>
        <w:pStyle w:val="FootnoteText"/>
        <w:rPr>
          <w:sz w:val="26"/>
          <w:szCs w:val="26"/>
        </w:rPr>
      </w:pPr>
      <w:r>
        <w:rPr>
          <w:sz w:val="26"/>
          <w:szCs w:val="26"/>
        </w:rPr>
        <w:tab/>
      </w:r>
      <w:r w:rsidRPr="008C2593">
        <w:rPr>
          <w:rStyle w:val="FootnoteReference"/>
          <w:sz w:val="26"/>
          <w:szCs w:val="26"/>
        </w:rPr>
        <w:footnoteRef/>
      </w:r>
      <w:r>
        <w:rPr>
          <w:sz w:val="26"/>
          <w:szCs w:val="26"/>
        </w:rPr>
        <w:tab/>
        <w:t xml:space="preserve">The total number of cooling degree days was 582 for 2009, 975 for 2010, and 883 for 2011.  PPL </w:t>
      </w:r>
      <w:r w:rsidR="00347863">
        <w:rPr>
          <w:sz w:val="26"/>
          <w:szCs w:val="26"/>
        </w:rPr>
        <w:t>Exh.</w:t>
      </w:r>
      <w:r>
        <w:rPr>
          <w:sz w:val="26"/>
          <w:szCs w:val="26"/>
        </w:rPr>
        <w:t xml:space="preserve"> 1.</w:t>
      </w:r>
    </w:p>
    <w:p w:rsidR="00D92E61" w:rsidRPr="008C2593" w:rsidRDefault="00D92E61" w:rsidP="00D92E61">
      <w:pPr>
        <w:pStyle w:val="FootnoteText"/>
        <w:spacing w:line="60" w:lineRule="auto"/>
        <w:rPr>
          <w:sz w:val="26"/>
          <w:szCs w:val="26"/>
        </w:rPr>
      </w:pPr>
    </w:p>
  </w:footnote>
  <w:footnote w:id="6">
    <w:p w:rsidR="00D92E61" w:rsidRDefault="00D92E61">
      <w:pPr>
        <w:pStyle w:val="FootnoteText"/>
        <w:rPr>
          <w:sz w:val="26"/>
          <w:szCs w:val="26"/>
        </w:rPr>
      </w:pPr>
      <w:r>
        <w:rPr>
          <w:sz w:val="26"/>
          <w:szCs w:val="26"/>
        </w:rPr>
        <w:tab/>
      </w:r>
      <w:r w:rsidRPr="00D92E61">
        <w:rPr>
          <w:rStyle w:val="FootnoteReference"/>
          <w:sz w:val="26"/>
          <w:szCs w:val="26"/>
        </w:rPr>
        <w:footnoteRef/>
      </w:r>
      <w:r>
        <w:rPr>
          <w:sz w:val="26"/>
          <w:szCs w:val="26"/>
        </w:rPr>
        <w:tab/>
        <w:t>20,180 annual kWh ÷ 12 = 1,681 kWh/month for 2010.</w:t>
      </w:r>
    </w:p>
    <w:p w:rsidR="00D92E61" w:rsidRDefault="00D92E61">
      <w:pPr>
        <w:pStyle w:val="FootnoteText"/>
        <w:rPr>
          <w:sz w:val="26"/>
          <w:szCs w:val="26"/>
        </w:rPr>
      </w:pPr>
      <w:r>
        <w:rPr>
          <w:sz w:val="26"/>
          <w:szCs w:val="26"/>
        </w:rPr>
        <w:tab/>
      </w:r>
      <w:r>
        <w:rPr>
          <w:sz w:val="26"/>
          <w:szCs w:val="26"/>
        </w:rPr>
        <w:tab/>
        <w:t>24,579 annual kWh ÷ 12 = 2,048 kWh/month for 2011.</w:t>
      </w:r>
      <w:r w:rsidR="00A1117F">
        <w:rPr>
          <w:sz w:val="26"/>
          <w:szCs w:val="26"/>
        </w:rPr>
        <w:t xml:space="preserve">  </w:t>
      </w:r>
      <w:r w:rsidR="00F07BE9">
        <w:rPr>
          <w:sz w:val="26"/>
          <w:szCs w:val="26"/>
        </w:rPr>
        <w:t xml:space="preserve">PPL </w:t>
      </w:r>
      <w:r w:rsidR="00347863">
        <w:rPr>
          <w:sz w:val="26"/>
          <w:szCs w:val="26"/>
        </w:rPr>
        <w:t>Exh.</w:t>
      </w:r>
      <w:r w:rsidR="00F07BE9">
        <w:rPr>
          <w:sz w:val="26"/>
          <w:szCs w:val="26"/>
        </w:rPr>
        <w:t xml:space="preserve"> 1.</w:t>
      </w:r>
    </w:p>
    <w:p w:rsidR="005E5E87" w:rsidRPr="00F07BE9" w:rsidRDefault="005E5E87" w:rsidP="005E5E87">
      <w:pPr>
        <w:pStyle w:val="FootnoteText"/>
        <w:spacing w:line="60" w:lineRule="auto"/>
        <w:rPr>
          <w:sz w:val="26"/>
          <w:szCs w:val="26"/>
        </w:rPr>
      </w:pPr>
    </w:p>
  </w:footnote>
  <w:footnote w:id="7">
    <w:p w:rsidR="00663111" w:rsidRDefault="00663111">
      <w:pPr>
        <w:pStyle w:val="FootnoteText"/>
        <w:rPr>
          <w:sz w:val="26"/>
          <w:szCs w:val="26"/>
        </w:rPr>
      </w:pPr>
      <w:r>
        <w:rPr>
          <w:sz w:val="26"/>
          <w:szCs w:val="26"/>
        </w:rPr>
        <w:tab/>
      </w:r>
      <w:r w:rsidRPr="00663111">
        <w:rPr>
          <w:rStyle w:val="FootnoteReference"/>
          <w:sz w:val="26"/>
          <w:szCs w:val="26"/>
        </w:rPr>
        <w:footnoteRef/>
      </w:r>
      <w:r>
        <w:rPr>
          <w:sz w:val="26"/>
          <w:szCs w:val="26"/>
        </w:rPr>
        <w:tab/>
        <w:t>PPL’s analysis of the Complainant’s electric usage pote</w:t>
      </w:r>
      <w:r w:rsidR="00EA5760">
        <w:rPr>
          <w:sz w:val="26"/>
          <w:szCs w:val="26"/>
        </w:rPr>
        <w:t>ntial does not appear to account for the existence of central air conditioning, the inclusion of which</w:t>
      </w:r>
      <w:r>
        <w:rPr>
          <w:sz w:val="26"/>
          <w:szCs w:val="26"/>
        </w:rPr>
        <w:t xml:space="preserve"> would</w:t>
      </w:r>
      <w:r w:rsidR="00F66DD9">
        <w:rPr>
          <w:sz w:val="26"/>
          <w:szCs w:val="26"/>
        </w:rPr>
        <w:t xml:space="preserve"> </w:t>
      </w:r>
      <w:r>
        <w:rPr>
          <w:sz w:val="26"/>
          <w:szCs w:val="26"/>
        </w:rPr>
        <w:t>add to the estimate provided by PPL.</w:t>
      </w:r>
      <w:r w:rsidR="00EA5760">
        <w:rPr>
          <w:sz w:val="26"/>
          <w:szCs w:val="26"/>
        </w:rPr>
        <w:t xml:space="preserve">  PPL </w:t>
      </w:r>
      <w:r w:rsidR="00347863">
        <w:rPr>
          <w:sz w:val="26"/>
          <w:szCs w:val="26"/>
        </w:rPr>
        <w:t>Exh.</w:t>
      </w:r>
      <w:r w:rsidR="00EA5760">
        <w:rPr>
          <w:sz w:val="26"/>
          <w:szCs w:val="26"/>
        </w:rPr>
        <w:t xml:space="preserve"> 6.</w:t>
      </w:r>
      <w:r w:rsidR="00F30EA8">
        <w:rPr>
          <w:sz w:val="26"/>
          <w:szCs w:val="26"/>
        </w:rPr>
        <w:t xml:space="preserve">  Also, PPL’s witness testified that his estimate of the potential electricity utilization of the Complainant’s furnace did not account for the fact that the furnace was not ducted thr</w:t>
      </w:r>
      <w:r w:rsidR="00E64377">
        <w:rPr>
          <w:sz w:val="26"/>
          <w:szCs w:val="26"/>
        </w:rPr>
        <w:t>oughout the</w:t>
      </w:r>
      <w:r w:rsidR="004346C9">
        <w:rPr>
          <w:sz w:val="26"/>
          <w:szCs w:val="26"/>
        </w:rPr>
        <w:t xml:space="preserve"> house, but</w:t>
      </w:r>
      <w:r w:rsidR="003473C2">
        <w:rPr>
          <w:sz w:val="26"/>
          <w:szCs w:val="26"/>
        </w:rPr>
        <w:t xml:space="preserve"> that the ducting apparently terminated at</w:t>
      </w:r>
      <w:r w:rsidR="00E64377">
        <w:rPr>
          <w:sz w:val="26"/>
          <w:szCs w:val="26"/>
        </w:rPr>
        <w:t xml:space="preserve"> the furnace</w:t>
      </w:r>
      <w:r w:rsidR="00F30EA8">
        <w:rPr>
          <w:sz w:val="26"/>
          <w:szCs w:val="26"/>
        </w:rPr>
        <w:t xml:space="preserve">.  Tr. at 20-21; PPL </w:t>
      </w:r>
      <w:r w:rsidR="00347863">
        <w:rPr>
          <w:sz w:val="26"/>
          <w:szCs w:val="26"/>
        </w:rPr>
        <w:t>Exh.</w:t>
      </w:r>
      <w:r w:rsidR="00F30EA8">
        <w:rPr>
          <w:sz w:val="26"/>
          <w:szCs w:val="26"/>
        </w:rPr>
        <w:t xml:space="preserve"> 6.</w:t>
      </w:r>
    </w:p>
    <w:p w:rsidR="00C90D91" w:rsidRPr="00663111" w:rsidRDefault="00C90D91" w:rsidP="00690276">
      <w:pPr>
        <w:pStyle w:val="FootnoteText"/>
        <w:spacing w:line="60" w:lineRule="auto"/>
        <w:rPr>
          <w:sz w:val="26"/>
          <w:szCs w:val="26"/>
        </w:rPr>
      </w:pPr>
    </w:p>
  </w:footnote>
  <w:footnote w:id="8">
    <w:p w:rsidR="00C90D91" w:rsidRPr="00C90D91" w:rsidRDefault="00C90D91" w:rsidP="00A52B18">
      <w:pPr>
        <w:pStyle w:val="FootnoteText"/>
        <w:keepLines/>
        <w:rPr>
          <w:sz w:val="26"/>
          <w:szCs w:val="26"/>
        </w:rPr>
      </w:pPr>
      <w:r>
        <w:rPr>
          <w:sz w:val="26"/>
          <w:szCs w:val="26"/>
        </w:rPr>
        <w:tab/>
      </w:r>
      <w:r w:rsidRPr="00C90D91">
        <w:rPr>
          <w:rStyle w:val="FootnoteReference"/>
          <w:sz w:val="26"/>
          <w:szCs w:val="26"/>
        </w:rPr>
        <w:footnoteRef/>
      </w:r>
      <w:r>
        <w:rPr>
          <w:sz w:val="26"/>
          <w:szCs w:val="26"/>
        </w:rPr>
        <w:tab/>
        <w:t>According to the Complainant’s account activity statement</w:t>
      </w:r>
      <w:r w:rsidR="00E27DF6">
        <w:rPr>
          <w:sz w:val="26"/>
          <w:szCs w:val="26"/>
        </w:rPr>
        <w:t xml:space="preserve">, the </w:t>
      </w:r>
      <w:r w:rsidR="009A3345">
        <w:rPr>
          <w:sz w:val="26"/>
          <w:szCs w:val="26"/>
        </w:rPr>
        <w:t xml:space="preserve">total </w:t>
      </w:r>
      <w:r w:rsidR="00E27DF6">
        <w:rPr>
          <w:sz w:val="26"/>
          <w:szCs w:val="26"/>
        </w:rPr>
        <w:t xml:space="preserve">number of </w:t>
      </w:r>
      <w:r>
        <w:rPr>
          <w:sz w:val="26"/>
          <w:szCs w:val="26"/>
        </w:rPr>
        <w:t>degree days</w:t>
      </w:r>
      <w:r w:rsidR="009A3345">
        <w:rPr>
          <w:sz w:val="26"/>
          <w:szCs w:val="26"/>
        </w:rPr>
        <w:t xml:space="preserve"> (heating and cooling)</w:t>
      </w:r>
      <w:r w:rsidR="00E27DF6">
        <w:rPr>
          <w:sz w:val="26"/>
          <w:szCs w:val="26"/>
        </w:rPr>
        <w:t xml:space="preserve"> for the April—October</w:t>
      </w:r>
      <w:r w:rsidR="009A3345">
        <w:rPr>
          <w:sz w:val="26"/>
          <w:szCs w:val="26"/>
        </w:rPr>
        <w:t xml:space="preserve"> period was 1,912 for 2010, 2,150 for 2011, and 1,867 for 2012.  PPL </w:t>
      </w:r>
      <w:r w:rsidR="00347863">
        <w:rPr>
          <w:sz w:val="26"/>
          <w:szCs w:val="26"/>
        </w:rPr>
        <w:t>Exh.</w:t>
      </w:r>
      <w:r w:rsidR="009A3345">
        <w:rPr>
          <w:sz w:val="26"/>
          <w:szCs w:val="26"/>
        </w:rPr>
        <w:t xml:space="preserve"> 1.  </w:t>
      </w:r>
      <w:r w:rsidR="00E27DF6">
        <w:rPr>
          <w:sz w:val="26"/>
          <w:szCs w:val="26"/>
        </w:rPr>
        <w:t xml:space="preserve"> </w:t>
      </w:r>
      <w:r w:rsidR="009A3345">
        <w:rPr>
          <w:sz w:val="26"/>
          <w:szCs w:val="26"/>
        </w:rPr>
        <w:t>Thus, the total number of degree days</w:t>
      </w:r>
      <w:r>
        <w:rPr>
          <w:sz w:val="26"/>
          <w:szCs w:val="26"/>
        </w:rPr>
        <w:t xml:space="preserve"> decreased</w:t>
      </w:r>
      <w:r w:rsidR="009A3345">
        <w:rPr>
          <w:sz w:val="26"/>
          <w:szCs w:val="26"/>
        </w:rPr>
        <w:t>,</w:t>
      </w:r>
      <w:r>
        <w:rPr>
          <w:sz w:val="26"/>
          <w:szCs w:val="26"/>
        </w:rPr>
        <w:t xml:space="preserve"> </w:t>
      </w:r>
      <w:r w:rsidR="00E27DF6">
        <w:rPr>
          <w:sz w:val="26"/>
          <w:szCs w:val="26"/>
        </w:rPr>
        <w:t>somewhat</w:t>
      </w:r>
      <w:r w:rsidR="009A3345">
        <w:rPr>
          <w:sz w:val="26"/>
          <w:szCs w:val="26"/>
        </w:rPr>
        <w:t>,</w:t>
      </w:r>
      <w:r w:rsidR="00E27DF6">
        <w:rPr>
          <w:sz w:val="26"/>
          <w:szCs w:val="26"/>
        </w:rPr>
        <w:t xml:space="preserve"> </w:t>
      </w:r>
      <w:r w:rsidR="009A3345">
        <w:rPr>
          <w:sz w:val="26"/>
          <w:szCs w:val="26"/>
        </w:rPr>
        <w:t>in 2012</w:t>
      </w:r>
      <w:r w:rsidR="00D80587">
        <w:rPr>
          <w:sz w:val="26"/>
          <w:szCs w:val="26"/>
        </w:rPr>
        <w:t xml:space="preserve"> </w:t>
      </w:r>
      <w:r w:rsidR="00BB016A">
        <w:rPr>
          <w:sz w:val="26"/>
          <w:szCs w:val="26"/>
        </w:rPr>
        <w:t>compared</w:t>
      </w:r>
      <w:r w:rsidR="00D80587">
        <w:rPr>
          <w:sz w:val="26"/>
          <w:szCs w:val="26"/>
        </w:rPr>
        <w:t xml:space="preserve"> to</w:t>
      </w:r>
      <w:r w:rsidR="00F66DD9">
        <w:rPr>
          <w:sz w:val="26"/>
          <w:szCs w:val="26"/>
        </w:rPr>
        <w:t xml:space="preserve"> the previous two years.</w:t>
      </w:r>
      <w:r w:rsidR="009A3345">
        <w:rPr>
          <w:sz w:val="26"/>
          <w:szCs w:val="26"/>
        </w:rPr>
        <w:t xml:space="preserve"> </w:t>
      </w:r>
      <w:r w:rsidR="00F66DD9">
        <w:rPr>
          <w:sz w:val="26"/>
          <w:szCs w:val="26"/>
        </w:rPr>
        <w:t xml:space="preserve"> This</w:t>
      </w:r>
      <w:r w:rsidR="009A3345">
        <w:rPr>
          <w:sz w:val="26"/>
          <w:szCs w:val="26"/>
        </w:rPr>
        <w:t xml:space="preserve"> may account, in part, for the decrease in overall consumption for that period in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223"/>
    <w:rsid w:val="00000D47"/>
    <w:rsid w:val="00001277"/>
    <w:rsid w:val="0000153D"/>
    <w:rsid w:val="00001FC8"/>
    <w:rsid w:val="00002644"/>
    <w:rsid w:val="00004D03"/>
    <w:rsid w:val="00005318"/>
    <w:rsid w:val="000065FB"/>
    <w:rsid w:val="00006685"/>
    <w:rsid w:val="00006A65"/>
    <w:rsid w:val="00006F35"/>
    <w:rsid w:val="00006FEE"/>
    <w:rsid w:val="0000721A"/>
    <w:rsid w:val="00007AF7"/>
    <w:rsid w:val="00007ECA"/>
    <w:rsid w:val="00013358"/>
    <w:rsid w:val="00014E95"/>
    <w:rsid w:val="00016D57"/>
    <w:rsid w:val="000171BD"/>
    <w:rsid w:val="00017852"/>
    <w:rsid w:val="00021E46"/>
    <w:rsid w:val="00022B74"/>
    <w:rsid w:val="0002315D"/>
    <w:rsid w:val="00024F85"/>
    <w:rsid w:val="0002501D"/>
    <w:rsid w:val="0002524C"/>
    <w:rsid w:val="00025F3F"/>
    <w:rsid w:val="000267E5"/>
    <w:rsid w:val="00026CD2"/>
    <w:rsid w:val="00030F6D"/>
    <w:rsid w:val="00033512"/>
    <w:rsid w:val="000338FE"/>
    <w:rsid w:val="00033D2F"/>
    <w:rsid w:val="00034FAE"/>
    <w:rsid w:val="000359E1"/>
    <w:rsid w:val="00035A3B"/>
    <w:rsid w:val="00037341"/>
    <w:rsid w:val="00037FC0"/>
    <w:rsid w:val="00040A8E"/>
    <w:rsid w:val="00040AEA"/>
    <w:rsid w:val="000441C7"/>
    <w:rsid w:val="00044CDF"/>
    <w:rsid w:val="00045800"/>
    <w:rsid w:val="00047874"/>
    <w:rsid w:val="00047F4A"/>
    <w:rsid w:val="000523D1"/>
    <w:rsid w:val="00052B8F"/>
    <w:rsid w:val="000536BC"/>
    <w:rsid w:val="00053CA1"/>
    <w:rsid w:val="00054612"/>
    <w:rsid w:val="0005572E"/>
    <w:rsid w:val="00056286"/>
    <w:rsid w:val="00057EB5"/>
    <w:rsid w:val="00057F80"/>
    <w:rsid w:val="00060ADE"/>
    <w:rsid w:val="000612FD"/>
    <w:rsid w:val="000623C6"/>
    <w:rsid w:val="0006356A"/>
    <w:rsid w:val="000642AA"/>
    <w:rsid w:val="000649EC"/>
    <w:rsid w:val="0006634C"/>
    <w:rsid w:val="00066EE5"/>
    <w:rsid w:val="00067260"/>
    <w:rsid w:val="00070469"/>
    <w:rsid w:val="00070EFA"/>
    <w:rsid w:val="000715E8"/>
    <w:rsid w:val="0007209F"/>
    <w:rsid w:val="00072808"/>
    <w:rsid w:val="0007521D"/>
    <w:rsid w:val="000753F6"/>
    <w:rsid w:val="00076F35"/>
    <w:rsid w:val="00081416"/>
    <w:rsid w:val="00083125"/>
    <w:rsid w:val="00084573"/>
    <w:rsid w:val="0008490E"/>
    <w:rsid w:val="00084AF9"/>
    <w:rsid w:val="00087299"/>
    <w:rsid w:val="000878C9"/>
    <w:rsid w:val="00090825"/>
    <w:rsid w:val="000918D4"/>
    <w:rsid w:val="00093164"/>
    <w:rsid w:val="00094851"/>
    <w:rsid w:val="00094907"/>
    <w:rsid w:val="0009612D"/>
    <w:rsid w:val="00097504"/>
    <w:rsid w:val="000A013F"/>
    <w:rsid w:val="000A0142"/>
    <w:rsid w:val="000A06E0"/>
    <w:rsid w:val="000A1358"/>
    <w:rsid w:val="000A35C0"/>
    <w:rsid w:val="000A365D"/>
    <w:rsid w:val="000A443E"/>
    <w:rsid w:val="000A4F51"/>
    <w:rsid w:val="000A76C2"/>
    <w:rsid w:val="000B216D"/>
    <w:rsid w:val="000B2755"/>
    <w:rsid w:val="000B363C"/>
    <w:rsid w:val="000B3BB4"/>
    <w:rsid w:val="000B41CC"/>
    <w:rsid w:val="000B4EAE"/>
    <w:rsid w:val="000B5039"/>
    <w:rsid w:val="000B5206"/>
    <w:rsid w:val="000B5238"/>
    <w:rsid w:val="000B607A"/>
    <w:rsid w:val="000B69A3"/>
    <w:rsid w:val="000B6B15"/>
    <w:rsid w:val="000B72CF"/>
    <w:rsid w:val="000C0042"/>
    <w:rsid w:val="000C07BC"/>
    <w:rsid w:val="000C119A"/>
    <w:rsid w:val="000C2AE3"/>
    <w:rsid w:val="000C31E4"/>
    <w:rsid w:val="000C5927"/>
    <w:rsid w:val="000C67F5"/>
    <w:rsid w:val="000C709A"/>
    <w:rsid w:val="000C7255"/>
    <w:rsid w:val="000C76B5"/>
    <w:rsid w:val="000C7BBD"/>
    <w:rsid w:val="000D008C"/>
    <w:rsid w:val="000D29C8"/>
    <w:rsid w:val="000D3CAA"/>
    <w:rsid w:val="000D3E1C"/>
    <w:rsid w:val="000D4460"/>
    <w:rsid w:val="000D59B3"/>
    <w:rsid w:val="000D6E1E"/>
    <w:rsid w:val="000E6DC6"/>
    <w:rsid w:val="000F179E"/>
    <w:rsid w:val="000F1DC2"/>
    <w:rsid w:val="000F27FE"/>
    <w:rsid w:val="000F2DE3"/>
    <w:rsid w:val="000F4307"/>
    <w:rsid w:val="000F717E"/>
    <w:rsid w:val="001006A8"/>
    <w:rsid w:val="00100F06"/>
    <w:rsid w:val="00101387"/>
    <w:rsid w:val="0010147F"/>
    <w:rsid w:val="0010158F"/>
    <w:rsid w:val="001017F6"/>
    <w:rsid w:val="00101F51"/>
    <w:rsid w:val="001026CA"/>
    <w:rsid w:val="001035AF"/>
    <w:rsid w:val="0010425F"/>
    <w:rsid w:val="00104D61"/>
    <w:rsid w:val="00104D9B"/>
    <w:rsid w:val="00105C8E"/>
    <w:rsid w:val="001062CD"/>
    <w:rsid w:val="00106312"/>
    <w:rsid w:val="00107388"/>
    <w:rsid w:val="001079A5"/>
    <w:rsid w:val="001106DA"/>
    <w:rsid w:val="001129F3"/>
    <w:rsid w:val="00112E9E"/>
    <w:rsid w:val="00112FDA"/>
    <w:rsid w:val="001138D3"/>
    <w:rsid w:val="00114656"/>
    <w:rsid w:val="0011757D"/>
    <w:rsid w:val="001176EC"/>
    <w:rsid w:val="00117A05"/>
    <w:rsid w:val="00117CB2"/>
    <w:rsid w:val="00120B39"/>
    <w:rsid w:val="00120B8F"/>
    <w:rsid w:val="00120CC2"/>
    <w:rsid w:val="00120D10"/>
    <w:rsid w:val="0012370F"/>
    <w:rsid w:val="001238E5"/>
    <w:rsid w:val="001239CD"/>
    <w:rsid w:val="00123A2E"/>
    <w:rsid w:val="00124071"/>
    <w:rsid w:val="001253FB"/>
    <w:rsid w:val="001266DB"/>
    <w:rsid w:val="001267D4"/>
    <w:rsid w:val="0012696F"/>
    <w:rsid w:val="00126D31"/>
    <w:rsid w:val="00127062"/>
    <w:rsid w:val="001303B4"/>
    <w:rsid w:val="0013269E"/>
    <w:rsid w:val="00134395"/>
    <w:rsid w:val="001358B2"/>
    <w:rsid w:val="00135972"/>
    <w:rsid w:val="001360FC"/>
    <w:rsid w:val="001400A9"/>
    <w:rsid w:val="001414CD"/>
    <w:rsid w:val="00142CF7"/>
    <w:rsid w:val="001447A0"/>
    <w:rsid w:val="0014497F"/>
    <w:rsid w:val="00144F43"/>
    <w:rsid w:val="00145197"/>
    <w:rsid w:val="00146DDD"/>
    <w:rsid w:val="00146E58"/>
    <w:rsid w:val="00147145"/>
    <w:rsid w:val="001476D4"/>
    <w:rsid w:val="00150096"/>
    <w:rsid w:val="001508E4"/>
    <w:rsid w:val="001515A8"/>
    <w:rsid w:val="001526C2"/>
    <w:rsid w:val="00152DFB"/>
    <w:rsid w:val="0015380A"/>
    <w:rsid w:val="001542D1"/>
    <w:rsid w:val="00154CB6"/>
    <w:rsid w:val="00156329"/>
    <w:rsid w:val="00162F5C"/>
    <w:rsid w:val="00163D79"/>
    <w:rsid w:val="00164D32"/>
    <w:rsid w:val="00164DA4"/>
    <w:rsid w:val="00166298"/>
    <w:rsid w:val="001663C8"/>
    <w:rsid w:val="00172060"/>
    <w:rsid w:val="001728FC"/>
    <w:rsid w:val="00172A96"/>
    <w:rsid w:val="00172AB2"/>
    <w:rsid w:val="00174D3D"/>
    <w:rsid w:val="00174E3F"/>
    <w:rsid w:val="00175729"/>
    <w:rsid w:val="0017682B"/>
    <w:rsid w:val="00177F78"/>
    <w:rsid w:val="00181222"/>
    <w:rsid w:val="00182478"/>
    <w:rsid w:val="00182607"/>
    <w:rsid w:val="0018274A"/>
    <w:rsid w:val="001831AC"/>
    <w:rsid w:val="0018480F"/>
    <w:rsid w:val="00184D47"/>
    <w:rsid w:val="001857B0"/>
    <w:rsid w:val="0018583E"/>
    <w:rsid w:val="00185B0D"/>
    <w:rsid w:val="00185F46"/>
    <w:rsid w:val="00186A97"/>
    <w:rsid w:val="00187930"/>
    <w:rsid w:val="00190992"/>
    <w:rsid w:val="00191763"/>
    <w:rsid w:val="00194940"/>
    <w:rsid w:val="00194B66"/>
    <w:rsid w:val="00194E02"/>
    <w:rsid w:val="0019530E"/>
    <w:rsid w:val="00195C58"/>
    <w:rsid w:val="00195F2E"/>
    <w:rsid w:val="001A280F"/>
    <w:rsid w:val="001A597D"/>
    <w:rsid w:val="001A7EFE"/>
    <w:rsid w:val="001B05EC"/>
    <w:rsid w:val="001B0C7B"/>
    <w:rsid w:val="001B1151"/>
    <w:rsid w:val="001B1DB4"/>
    <w:rsid w:val="001B2603"/>
    <w:rsid w:val="001B5865"/>
    <w:rsid w:val="001B59F0"/>
    <w:rsid w:val="001C0809"/>
    <w:rsid w:val="001C1183"/>
    <w:rsid w:val="001C1F06"/>
    <w:rsid w:val="001C4978"/>
    <w:rsid w:val="001C7AAE"/>
    <w:rsid w:val="001D0ED2"/>
    <w:rsid w:val="001D1D6B"/>
    <w:rsid w:val="001D1FFA"/>
    <w:rsid w:val="001D25F3"/>
    <w:rsid w:val="001D3751"/>
    <w:rsid w:val="001D38E9"/>
    <w:rsid w:val="001D537B"/>
    <w:rsid w:val="001D6778"/>
    <w:rsid w:val="001D69F4"/>
    <w:rsid w:val="001E0B61"/>
    <w:rsid w:val="001E1276"/>
    <w:rsid w:val="001E1610"/>
    <w:rsid w:val="001E1FD6"/>
    <w:rsid w:val="001E2949"/>
    <w:rsid w:val="001E60EE"/>
    <w:rsid w:val="001F0509"/>
    <w:rsid w:val="001F285E"/>
    <w:rsid w:val="001F2D64"/>
    <w:rsid w:val="001F4BCA"/>
    <w:rsid w:val="001F67C2"/>
    <w:rsid w:val="00202524"/>
    <w:rsid w:val="00202A4F"/>
    <w:rsid w:val="00202B57"/>
    <w:rsid w:val="00203025"/>
    <w:rsid w:val="00203F94"/>
    <w:rsid w:val="0020580B"/>
    <w:rsid w:val="0020644D"/>
    <w:rsid w:val="00206592"/>
    <w:rsid w:val="00210736"/>
    <w:rsid w:val="00210E85"/>
    <w:rsid w:val="00210F81"/>
    <w:rsid w:val="00211622"/>
    <w:rsid w:val="002143F8"/>
    <w:rsid w:val="00214B3E"/>
    <w:rsid w:val="00214DC8"/>
    <w:rsid w:val="00214E5F"/>
    <w:rsid w:val="00215C08"/>
    <w:rsid w:val="0021693E"/>
    <w:rsid w:val="00216A86"/>
    <w:rsid w:val="0022004A"/>
    <w:rsid w:val="00221533"/>
    <w:rsid w:val="00221BF0"/>
    <w:rsid w:val="00221F1A"/>
    <w:rsid w:val="00223CD5"/>
    <w:rsid w:val="0022698E"/>
    <w:rsid w:val="00226DDF"/>
    <w:rsid w:val="002276B4"/>
    <w:rsid w:val="00227912"/>
    <w:rsid w:val="002305D8"/>
    <w:rsid w:val="002311C3"/>
    <w:rsid w:val="002311EE"/>
    <w:rsid w:val="00233488"/>
    <w:rsid w:val="00235F21"/>
    <w:rsid w:val="002370F5"/>
    <w:rsid w:val="00237B46"/>
    <w:rsid w:val="00237E48"/>
    <w:rsid w:val="0024007E"/>
    <w:rsid w:val="0024088A"/>
    <w:rsid w:val="00240ACA"/>
    <w:rsid w:val="00240D7B"/>
    <w:rsid w:val="00241299"/>
    <w:rsid w:val="00242B89"/>
    <w:rsid w:val="00242C42"/>
    <w:rsid w:val="0024399A"/>
    <w:rsid w:val="00244EBA"/>
    <w:rsid w:val="00246C59"/>
    <w:rsid w:val="00251918"/>
    <w:rsid w:val="00254995"/>
    <w:rsid w:val="00255462"/>
    <w:rsid w:val="00256233"/>
    <w:rsid w:val="00256BA9"/>
    <w:rsid w:val="00257D32"/>
    <w:rsid w:val="00260957"/>
    <w:rsid w:val="00262D9F"/>
    <w:rsid w:val="002643F9"/>
    <w:rsid w:val="00264646"/>
    <w:rsid w:val="00265AE4"/>
    <w:rsid w:val="00266D46"/>
    <w:rsid w:val="00267188"/>
    <w:rsid w:val="00267B63"/>
    <w:rsid w:val="00270DFB"/>
    <w:rsid w:val="00271BBD"/>
    <w:rsid w:val="0027232D"/>
    <w:rsid w:val="0027292C"/>
    <w:rsid w:val="002731BE"/>
    <w:rsid w:val="00274D0F"/>
    <w:rsid w:val="00275037"/>
    <w:rsid w:val="00277500"/>
    <w:rsid w:val="00277BF4"/>
    <w:rsid w:val="0028125E"/>
    <w:rsid w:val="002818FA"/>
    <w:rsid w:val="00281A5F"/>
    <w:rsid w:val="00283539"/>
    <w:rsid w:val="00285073"/>
    <w:rsid w:val="002859FB"/>
    <w:rsid w:val="00285A8E"/>
    <w:rsid w:val="0028701F"/>
    <w:rsid w:val="00287681"/>
    <w:rsid w:val="00287EF7"/>
    <w:rsid w:val="00291F2F"/>
    <w:rsid w:val="00291F68"/>
    <w:rsid w:val="0029235E"/>
    <w:rsid w:val="00292927"/>
    <w:rsid w:val="00294BD5"/>
    <w:rsid w:val="0029672A"/>
    <w:rsid w:val="00296998"/>
    <w:rsid w:val="00297B94"/>
    <w:rsid w:val="002A060A"/>
    <w:rsid w:val="002A2BEB"/>
    <w:rsid w:val="002A4450"/>
    <w:rsid w:val="002A5EB0"/>
    <w:rsid w:val="002A60F1"/>
    <w:rsid w:val="002A6750"/>
    <w:rsid w:val="002B2296"/>
    <w:rsid w:val="002B28A9"/>
    <w:rsid w:val="002B29F8"/>
    <w:rsid w:val="002B3040"/>
    <w:rsid w:val="002B333B"/>
    <w:rsid w:val="002B4407"/>
    <w:rsid w:val="002B60C5"/>
    <w:rsid w:val="002B67B7"/>
    <w:rsid w:val="002C0429"/>
    <w:rsid w:val="002C16BE"/>
    <w:rsid w:val="002C19E4"/>
    <w:rsid w:val="002C1CCB"/>
    <w:rsid w:val="002C257A"/>
    <w:rsid w:val="002C3676"/>
    <w:rsid w:val="002C4F72"/>
    <w:rsid w:val="002C6CC4"/>
    <w:rsid w:val="002C6EF5"/>
    <w:rsid w:val="002C7166"/>
    <w:rsid w:val="002D13C4"/>
    <w:rsid w:val="002D1791"/>
    <w:rsid w:val="002D275E"/>
    <w:rsid w:val="002D2A1D"/>
    <w:rsid w:val="002D313F"/>
    <w:rsid w:val="002D5320"/>
    <w:rsid w:val="002D6357"/>
    <w:rsid w:val="002D7584"/>
    <w:rsid w:val="002D7A10"/>
    <w:rsid w:val="002E01A0"/>
    <w:rsid w:val="002E039A"/>
    <w:rsid w:val="002E0A68"/>
    <w:rsid w:val="002E0FA9"/>
    <w:rsid w:val="002E3026"/>
    <w:rsid w:val="002E3731"/>
    <w:rsid w:val="002E3F06"/>
    <w:rsid w:val="002E4A4B"/>
    <w:rsid w:val="002E5839"/>
    <w:rsid w:val="002E643A"/>
    <w:rsid w:val="002E6FFA"/>
    <w:rsid w:val="002E7BAB"/>
    <w:rsid w:val="002E7F8F"/>
    <w:rsid w:val="002F112F"/>
    <w:rsid w:val="002F1A77"/>
    <w:rsid w:val="002F24F7"/>
    <w:rsid w:val="002F2733"/>
    <w:rsid w:val="002F2BB0"/>
    <w:rsid w:val="002F3F04"/>
    <w:rsid w:val="002F41BA"/>
    <w:rsid w:val="002F662D"/>
    <w:rsid w:val="002F7228"/>
    <w:rsid w:val="002F7249"/>
    <w:rsid w:val="002F750E"/>
    <w:rsid w:val="00300AD2"/>
    <w:rsid w:val="00300C2E"/>
    <w:rsid w:val="003010FC"/>
    <w:rsid w:val="003018AA"/>
    <w:rsid w:val="00303B99"/>
    <w:rsid w:val="0030714F"/>
    <w:rsid w:val="003073E2"/>
    <w:rsid w:val="00307DDF"/>
    <w:rsid w:val="00310F4C"/>
    <w:rsid w:val="003134B2"/>
    <w:rsid w:val="00313706"/>
    <w:rsid w:val="00314A43"/>
    <w:rsid w:val="00315102"/>
    <w:rsid w:val="00315A0E"/>
    <w:rsid w:val="003169F2"/>
    <w:rsid w:val="00320FE4"/>
    <w:rsid w:val="00321083"/>
    <w:rsid w:val="00322040"/>
    <w:rsid w:val="003240B8"/>
    <w:rsid w:val="00325422"/>
    <w:rsid w:val="003268C2"/>
    <w:rsid w:val="003274BA"/>
    <w:rsid w:val="00331EB6"/>
    <w:rsid w:val="00333FDA"/>
    <w:rsid w:val="003340DE"/>
    <w:rsid w:val="00334887"/>
    <w:rsid w:val="0033657E"/>
    <w:rsid w:val="00337BA8"/>
    <w:rsid w:val="00340D19"/>
    <w:rsid w:val="00342956"/>
    <w:rsid w:val="00342D6A"/>
    <w:rsid w:val="00343EC0"/>
    <w:rsid w:val="00344804"/>
    <w:rsid w:val="00345372"/>
    <w:rsid w:val="003468E7"/>
    <w:rsid w:val="00346C47"/>
    <w:rsid w:val="003473C2"/>
    <w:rsid w:val="00347863"/>
    <w:rsid w:val="00347A1F"/>
    <w:rsid w:val="003510FF"/>
    <w:rsid w:val="003518C8"/>
    <w:rsid w:val="00352BC7"/>
    <w:rsid w:val="0035338B"/>
    <w:rsid w:val="003533B5"/>
    <w:rsid w:val="00353CE3"/>
    <w:rsid w:val="003542D3"/>
    <w:rsid w:val="00356024"/>
    <w:rsid w:val="0035728C"/>
    <w:rsid w:val="0036063F"/>
    <w:rsid w:val="00361F8D"/>
    <w:rsid w:val="003622CA"/>
    <w:rsid w:val="003629F0"/>
    <w:rsid w:val="00363030"/>
    <w:rsid w:val="00364563"/>
    <w:rsid w:val="0036462C"/>
    <w:rsid w:val="00364A42"/>
    <w:rsid w:val="00364CC8"/>
    <w:rsid w:val="003653A1"/>
    <w:rsid w:val="003674CA"/>
    <w:rsid w:val="0037352F"/>
    <w:rsid w:val="00374099"/>
    <w:rsid w:val="003743C4"/>
    <w:rsid w:val="003755FB"/>
    <w:rsid w:val="0037577C"/>
    <w:rsid w:val="00376D53"/>
    <w:rsid w:val="00376F22"/>
    <w:rsid w:val="00377862"/>
    <w:rsid w:val="003778B6"/>
    <w:rsid w:val="00381421"/>
    <w:rsid w:val="0038188D"/>
    <w:rsid w:val="003841E8"/>
    <w:rsid w:val="00384AEA"/>
    <w:rsid w:val="00385502"/>
    <w:rsid w:val="00385526"/>
    <w:rsid w:val="003857E9"/>
    <w:rsid w:val="003863E7"/>
    <w:rsid w:val="003866CA"/>
    <w:rsid w:val="00386D03"/>
    <w:rsid w:val="003878C9"/>
    <w:rsid w:val="003904F7"/>
    <w:rsid w:val="0039085E"/>
    <w:rsid w:val="00391A43"/>
    <w:rsid w:val="00391CAA"/>
    <w:rsid w:val="003933D9"/>
    <w:rsid w:val="00394A04"/>
    <w:rsid w:val="00394FFE"/>
    <w:rsid w:val="00396541"/>
    <w:rsid w:val="00396928"/>
    <w:rsid w:val="003A0A0B"/>
    <w:rsid w:val="003A1A55"/>
    <w:rsid w:val="003A1D43"/>
    <w:rsid w:val="003A31BD"/>
    <w:rsid w:val="003A534F"/>
    <w:rsid w:val="003A5623"/>
    <w:rsid w:val="003A7E3A"/>
    <w:rsid w:val="003B016A"/>
    <w:rsid w:val="003B0611"/>
    <w:rsid w:val="003B0D66"/>
    <w:rsid w:val="003B0D72"/>
    <w:rsid w:val="003B2CB6"/>
    <w:rsid w:val="003B2DBB"/>
    <w:rsid w:val="003B3617"/>
    <w:rsid w:val="003B42D9"/>
    <w:rsid w:val="003B7073"/>
    <w:rsid w:val="003C06D8"/>
    <w:rsid w:val="003C3140"/>
    <w:rsid w:val="003C3E02"/>
    <w:rsid w:val="003C3FE8"/>
    <w:rsid w:val="003C73F9"/>
    <w:rsid w:val="003D2152"/>
    <w:rsid w:val="003D3FE9"/>
    <w:rsid w:val="003D4DB8"/>
    <w:rsid w:val="003D5F07"/>
    <w:rsid w:val="003D6AB5"/>
    <w:rsid w:val="003E02E7"/>
    <w:rsid w:val="003E071C"/>
    <w:rsid w:val="003E121E"/>
    <w:rsid w:val="003E3FF5"/>
    <w:rsid w:val="003E414C"/>
    <w:rsid w:val="003E4B34"/>
    <w:rsid w:val="003E5354"/>
    <w:rsid w:val="003E5C36"/>
    <w:rsid w:val="003F1F93"/>
    <w:rsid w:val="003F20A0"/>
    <w:rsid w:val="003F21C4"/>
    <w:rsid w:val="003F2DF5"/>
    <w:rsid w:val="003F51F4"/>
    <w:rsid w:val="003F52C6"/>
    <w:rsid w:val="003F54E5"/>
    <w:rsid w:val="003F558E"/>
    <w:rsid w:val="003F6692"/>
    <w:rsid w:val="003F683A"/>
    <w:rsid w:val="003F7285"/>
    <w:rsid w:val="003F7B70"/>
    <w:rsid w:val="00403D6E"/>
    <w:rsid w:val="00405083"/>
    <w:rsid w:val="00407AC0"/>
    <w:rsid w:val="00411024"/>
    <w:rsid w:val="00411814"/>
    <w:rsid w:val="00412E30"/>
    <w:rsid w:val="00413B67"/>
    <w:rsid w:val="00413BEB"/>
    <w:rsid w:val="00413FA9"/>
    <w:rsid w:val="00414907"/>
    <w:rsid w:val="00415341"/>
    <w:rsid w:val="00415B78"/>
    <w:rsid w:val="004166BD"/>
    <w:rsid w:val="004169A6"/>
    <w:rsid w:val="004170AF"/>
    <w:rsid w:val="0042057D"/>
    <w:rsid w:val="004222F5"/>
    <w:rsid w:val="00422C55"/>
    <w:rsid w:val="00423004"/>
    <w:rsid w:val="00425698"/>
    <w:rsid w:val="00425ED2"/>
    <w:rsid w:val="00427BEA"/>
    <w:rsid w:val="00431C4F"/>
    <w:rsid w:val="00432BB7"/>
    <w:rsid w:val="004331E9"/>
    <w:rsid w:val="00433E8D"/>
    <w:rsid w:val="004346C9"/>
    <w:rsid w:val="00434A60"/>
    <w:rsid w:val="00434E88"/>
    <w:rsid w:val="0043541B"/>
    <w:rsid w:val="0043559E"/>
    <w:rsid w:val="0043592C"/>
    <w:rsid w:val="00436217"/>
    <w:rsid w:val="0044061D"/>
    <w:rsid w:val="004411B9"/>
    <w:rsid w:val="00441207"/>
    <w:rsid w:val="00441462"/>
    <w:rsid w:val="004422CA"/>
    <w:rsid w:val="00443807"/>
    <w:rsid w:val="004449AC"/>
    <w:rsid w:val="004462F7"/>
    <w:rsid w:val="00454F06"/>
    <w:rsid w:val="004550AC"/>
    <w:rsid w:val="0045650D"/>
    <w:rsid w:val="0046019D"/>
    <w:rsid w:val="00464536"/>
    <w:rsid w:val="0046514E"/>
    <w:rsid w:val="0046623C"/>
    <w:rsid w:val="00467739"/>
    <w:rsid w:val="00470D0C"/>
    <w:rsid w:val="00474104"/>
    <w:rsid w:val="00474E22"/>
    <w:rsid w:val="00475D86"/>
    <w:rsid w:val="0047608F"/>
    <w:rsid w:val="004762EF"/>
    <w:rsid w:val="00476554"/>
    <w:rsid w:val="004770D4"/>
    <w:rsid w:val="0047739F"/>
    <w:rsid w:val="004813D4"/>
    <w:rsid w:val="00482DB7"/>
    <w:rsid w:val="004864B3"/>
    <w:rsid w:val="004912CE"/>
    <w:rsid w:val="00491D91"/>
    <w:rsid w:val="00492DCE"/>
    <w:rsid w:val="0049580C"/>
    <w:rsid w:val="00496874"/>
    <w:rsid w:val="0049768F"/>
    <w:rsid w:val="004A04E5"/>
    <w:rsid w:val="004A0768"/>
    <w:rsid w:val="004A1495"/>
    <w:rsid w:val="004A17BE"/>
    <w:rsid w:val="004A2089"/>
    <w:rsid w:val="004A2165"/>
    <w:rsid w:val="004A3E61"/>
    <w:rsid w:val="004A4993"/>
    <w:rsid w:val="004A4DCA"/>
    <w:rsid w:val="004A5084"/>
    <w:rsid w:val="004A5F74"/>
    <w:rsid w:val="004B0043"/>
    <w:rsid w:val="004B1052"/>
    <w:rsid w:val="004B35AF"/>
    <w:rsid w:val="004B604A"/>
    <w:rsid w:val="004B6A8C"/>
    <w:rsid w:val="004B6B14"/>
    <w:rsid w:val="004C07BB"/>
    <w:rsid w:val="004C0FC8"/>
    <w:rsid w:val="004C3390"/>
    <w:rsid w:val="004C4E4F"/>
    <w:rsid w:val="004C650A"/>
    <w:rsid w:val="004C68A0"/>
    <w:rsid w:val="004C748A"/>
    <w:rsid w:val="004D1201"/>
    <w:rsid w:val="004D2D46"/>
    <w:rsid w:val="004D3A9D"/>
    <w:rsid w:val="004D5EDC"/>
    <w:rsid w:val="004E47EC"/>
    <w:rsid w:val="004E514F"/>
    <w:rsid w:val="004E6E06"/>
    <w:rsid w:val="004E737F"/>
    <w:rsid w:val="004E7D5B"/>
    <w:rsid w:val="004F03DE"/>
    <w:rsid w:val="004F1674"/>
    <w:rsid w:val="004F22DA"/>
    <w:rsid w:val="004F2512"/>
    <w:rsid w:val="004F2B86"/>
    <w:rsid w:val="004F2C6A"/>
    <w:rsid w:val="004F2D4C"/>
    <w:rsid w:val="004F5E7A"/>
    <w:rsid w:val="00500C5A"/>
    <w:rsid w:val="00500E33"/>
    <w:rsid w:val="00502165"/>
    <w:rsid w:val="00504834"/>
    <w:rsid w:val="00504C7A"/>
    <w:rsid w:val="00505AEE"/>
    <w:rsid w:val="005060D7"/>
    <w:rsid w:val="0050632E"/>
    <w:rsid w:val="00507512"/>
    <w:rsid w:val="0050752D"/>
    <w:rsid w:val="00510F99"/>
    <w:rsid w:val="0051132E"/>
    <w:rsid w:val="00511EF3"/>
    <w:rsid w:val="00512540"/>
    <w:rsid w:val="00513441"/>
    <w:rsid w:val="0051380C"/>
    <w:rsid w:val="00513C84"/>
    <w:rsid w:val="00514507"/>
    <w:rsid w:val="005148C2"/>
    <w:rsid w:val="005153F5"/>
    <w:rsid w:val="00515D75"/>
    <w:rsid w:val="0051670B"/>
    <w:rsid w:val="00521350"/>
    <w:rsid w:val="00525849"/>
    <w:rsid w:val="005269E6"/>
    <w:rsid w:val="00530BFA"/>
    <w:rsid w:val="00530EE7"/>
    <w:rsid w:val="0053112A"/>
    <w:rsid w:val="00532271"/>
    <w:rsid w:val="0053364E"/>
    <w:rsid w:val="0053400C"/>
    <w:rsid w:val="0053471B"/>
    <w:rsid w:val="005351B9"/>
    <w:rsid w:val="00536011"/>
    <w:rsid w:val="00537F9D"/>
    <w:rsid w:val="00543C89"/>
    <w:rsid w:val="0054498C"/>
    <w:rsid w:val="00547606"/>
    <w:rsid w:val="005500C7"/>
    <w:rsid w:val="00550B79"/>
    <w:rsid w:val="00551506"/>
    <w:rsid w:val="0055150B"/>
    <w:rsid w:val="00551939"/>
    <w:rsid w:val="005519A7"/>
    <w:rsid w:val="0055315B"/>
    <w:rsid w:val="005532F9"/>
    <w:rsid w:val="0055440B"/>
    <w:rsid w:val="0055708D"/>
    <w:rsid w:val="00557A3A"/>
    <w:rsid w:val="00560BD7"/>
    <w:rsid w:val="00561CA6"/>
    <w:rsid w:val="00562087"/>
    <w:rsid w:val="005624BD"/>
    <w:rsid w:val="00562E45"/>
    <w:rsid w:val="00563A02"/>
    <w:rsid w:val="00564565"/>
    <w:rsid w:val="005647BE"/>
    <w:rsid w:val="00564A12"/>
    <w:rsid w:val="00565FD3"/>
    <w:rsid w:val="00566299"/>
    <w:rsid w:val="00567695"/>
    <w:rsid w:val="00571B4B"/>
    <w:rsid w:val="005722F6"/>
    <w:rsid w:val="005725F6"/>
    <w:rsid w:val="005749CC"/>
    <w:rsid w:val="00574DB8"/>
    <w:rsid w:val="005802AF"/>
    <w:rsid w:val="005829DD"/>
    <w:rsid w:val="00583C85"/>
    <w:rsid w:val="00584CF8"/>
    <w:rsid w:val="00586817"/>
    <w:rsid w:val="00586D92"/>
    <w:rsid w:val="00586FB7"/>
    <w:rsid w:val="00587507"/>
    <w:rsid w:val="00587FE0"/>
    <w:rsid w:val="00593755"/>
    <w:rsid w:val="00595D46"/>
    <w:rsid w:val="00596A0B"/>
    <w:rsid w:val="00596E05"/>
    <w:rsid w:val="00596F85"/>
    <w:rsid w:val="005970FA"/>
    <w:rsid w:val="005A0176"/>
    <w:rsid w:val="005A088E"/>
    <w:rsid w:val="005A139C"/>
    <w:rsid w:val="005A2298"/>
    <w:rsid w:val="005A28C1"/>
    <w:rsid w:val="005A2950"/>
    <w:rsid w:val="005A3309"/>
    <w:rsid w:val="005A426F"/>
    <w:rsid w:val="005A72FC"/>
    <w:rsid w:val="005B0388"/>
    <w:rsid w:val="005B109A"/>
    <w:rsid w:val="005B197F"/>
    <w:rsid w:val="005B28C5"/>
    <w:rsid w:val="005B4219"/>
    <w:rsid w:val="005B536B"/>
    <w:rsid w:val="005B53AF"/>
    <w:rsid w:val="005B5D1F"/>
    <w:rsid w:val="005B6E15"/>
    <w:rsid w:val="005C2FD5"/>
    <w:rsid w:val="005C31EB"/>
    <w:rsid w:val="005C399D"/>
    <w:rsid w:val="005C3F5A"/>
    <w:rsid w:val="005C4EFD"/>
    <w:rsid w:val="005C5378"/>
    <w:rsid w:val="005D2AB9"/>
    <w:rsid w:val="005D30B3"/>
    <w:rsid w:val="005D34E2"/>
    <w:rsid w:val="005D496E"/>
    <w:rsid w:val="005D4B0B"/>
    <w:rsid w:val="005D4CDC"/>
    <w:rsid w:val="005D56DA"/>
    <w:rsid w:val="005D7C20"/>
    <w:rsid w:val="005E0C1B"/>
    <w:rsid w:val="005E0DCB"/>
    <w:rsid w:val="005E19AF"/>
    <w:rsid w:val="005E2EDE"/>
    <w:rsid w:val="005E47FB"/>
    <w:rsid w:val="005E49A6"/>
    <w:rsid w:val="005E5108"/>
    <w:rsid w:val="005E5E87"/>
    <w:rsid w:val="005E6960"/>
    <w:rsid w:val="005E6E51"/>
    <w:rsid w:val="005E7D93"/>
    <w:rsid w:val="005E7EB8"/>
    <w:rsid w:val="005F1577"/>
    <w:rsid w:val="005F184F"/>
    <w:rsid w:val="005F18D6"/>
    <w:rsid w:val="005F2BA8"/>
    <w:rsid w:val="005F3582"/>
    <w:rsid w:val="005F3FFE"/>
    <w:rsid w:val="005F4434"/>
    <w:rsid w:val="005F50DF"/>
    <w:rsid w:val="00600D34"/>
    <w:rsid w:val="00601089"/>
    <w:rsid w:val="00601925"/>
    <w:rsid w:val="00601DC7"/>
    <w:rsid w:val="00602064"/>
    <w:rsid w:val="00602C1D"/>
    <w:rsid w:val="00603024"/>
    <w:rsid w:val="006036DE"/>
    <w:rsid w:val="00605F3F"/>
    <w:rsid w:val="006062B4"/>
    <w:rsid w:val="00607011"/>
    <w:rsid w:val="00607374"/>
    <w:rsid w:val="006075A4"/>
    <w:rsid w:val="00607F85"/>
    <w:rsid w:val="006102C2"/>
    <w:rsid w:val="0061079B"/>
    <w:rsid w:val="00611041"/>
    <w:rsid w:val="00611196"/>
    <w:rsid w:val="006116E3"/>
    <w:rsid w:val="00611AFF"/>
    <w:rsid w:val="00613A81"/>
    <w:rsid w:val="00614C2C"/>
    <w:rsid w:val="00614E10"/>
    <w:rsid w:val="00615EF4"/>
    <w:rsid w:val="00616FF1"/>
    <w:rsid w:val="00617B95"/>
    <w:rsid w:val="00620B76"/>
    <w:rsid w:val="00622A43"/>
    <w:rsid w:val="0062386C"/>
    <w:rsid w:val="0062402E"/>
    <w:rsid w:val="0062427C"/>
    <w:rsid w:val="00624400"/>
    <w:rsid w:val="00624E51"/>
    <w:rsid w:val="00625ACD"/>
    <w:rsid w:val="00626162"/>
    <w:rsid w:val="00627A9E"/>
    <w:rsid w:val="00630852"/>
    <w:rsid w:val="00631D5D"/>
    <w:rsid w:val="00631FEE"/>
    <w:rsid w:val="00634719"/>
    <w:rsid w:val="00635923"/>
    <w:rsid w:val="00635B87"/>
    <w:rsid w:val="00636B09"/>
    <w:rsid w:val="00640C34"/>
    <w:rsid w:val="0064106B"/>
    <w:rsid w:val="0064134E"/>
    <w:rsid w:val="0064586F"/>
    <w:rsid w:val="00647E2D"/>
    <w:rsid w:val="006503E8"/>
    <w:rsid w:val="00650570"/>
    <w:rsid w:val="00652143"/>
    <w:rsid w:val="00652747"/>
    <w:rsid w:val="00653A6C"/>
    <w:rsid w:val="00654A4A"/>
    <w:rsid w:val="0065545A"/>
    <w:rsid w:val="00662A6B"/>
    <w:rsid w:val="00663111"/>
    <w:rsid w:val="00664A6C"/>
    <w:rsid w:val="00664DAC"/>
    <w:rsid w:val="00665CDA"/>
    <w:rsid w:val="00666184"/>
    <w:rsid w:val="006661CF"/>
    <w:rsid w:val="006668F8"/>
    <w:rsid w:val="006669AB"/>
    <w:rsid w:val="00667B44"/>
    <w:rsid w:val="00670BFD"/>
    <w:rsid w:val="00670DC6"/>
    <w:rsid w:val="00671E4C"/>
    <w:rsid w:val="0067299B"/>
    <w:rsid w:val="00674295"/>
    <w:rsid w:val="006743AB"/>
    <w:rsid w:val="00674D90"/>
    <w:rsid w:val="006770DB"/>
    <w:rsid w:val="00677350"/>
    <w:rsid w:val="006774CC"/>
    <w:rsid w:val="0068139E"/>
    <w:rsid w:val="006818A8"/>
    <w:rsid w:val="00681A51"/>
    <w:rsid w:val="00682424"/>
    <w:rsid w:val="00682469"/>
    <w:rsid w:val="0068337B"/>
    <w:rsid w:val="006837CF"/>
    <w:rsid w:val="00683D97"/>
    <w:rsid w:val="00684FCA"/>
    <w:rsid w:val="00685E4A"/>
    <w:rsid w:val="00686B5C"/>
    <w:rsid w:val="00686F01"/>
    <w:rsid w:val="00690276"/>
    <w:rsid w:val="00692850"/>
    <w:rsid w:val="0069347D"/>
    <w:rsid w:val="0069418C"/>
    <w:rsid w:val="00694FE9"/>
    <w:rsid w:val="00695271"/>
    <w:rsid w:val="00696997"/>
    <w:rsid w:val="00697B6F"/>
    <w:rsid w:val="006A02D6"/>
    <w:rsid w:val="006A1FE8"/>
    <w:rsid w:val="006A22B6"/>
    <w:rsid w:val="006A4295"/>
    <w:rsid w:val="006A4F51"/>
    <w:rsid w:val="006A6375"/>
    <w:rsid w:val="006A6D0E"/>
    <w:rsid w:val="006A6DCF"/>
    <w:rsid w:val="006A758C"/>
    <w:rsid w:val="006B191A"/>
    <w:rsid w:val="006B1D18"/>
    <w:rsid w:val="006B2718"/>
    <w:rsid w:val="006B3126"/>
    <w:rsid w:val="006B4493"/>
    <w:rsid w:val="006C0D0F"/>
    <w:rsid w:val="006C0F46"/>
    <w:rsid w:val="006C1EEC"/>
    <w:rsid w:val="006C352C"/>
    <w:rsid w:val="006C3FEA"/>
    <w:rsid w:val="006C65E9"/>
    <w:rsid w:val="006C69E7"/>
    <w:rsid w:val="006D10AE"/>
    <w:rsid w:val="006D1E54"/>
    <w:rsid w:val="006D24DC"/>
    <w:rsid w:val="006D29F2"/>
    <w:rsid w:val="006D3674"/>
    <w:rsid w:val="006D4B4A"/>
    <w:rsid w:val="006D5276"/>
    <w:rsid w:val="006D6F85"/>
    <w:rsid w:val="006D71F9"/>
    <w:rsid w:val="006D7CA2"/>
    <w:rsid w:val="006E025F"/>
    <w:rsid w:val="006E065B"/>
    <w:rsid w:val="006E09D3"/>
    <w:rsid w:val="006E1692"/>
    <w:rsid w:val="006E1E6C"/>
    <w:rsid w:val="006E20CB"/>
    <w:rsid w:val="006E5505"/>
    <w:rsid w:val="006E56CB"/>
    <w:rsid w:val="006E6BBE"/>
    <w:rsid w:val="006E71BB"/>
    <w:rsid w:val="006E7EC1"/>
    <w:rsid w:val="006F0815"/>
    <w:rsid w:val="006F0D0A"/>
    <w:rsid w:val="006F136D"/>
    <w:rsid w:val="006F226D"/>
    <w:rsid w:val="006F240A"/>
    <w:rsid w:val="006F2A5B"/>
    <w:rsid w:val="006F2D27"/>
    <w:rsid w:val="006F2FB3"/>
    <w:rsid w:val="006F3CE3"/>
    <w:rsid w:val="006F3D23"/>
    <w:rsid w:val="006F4E35"/>
    <w:rsid w:val="006F531B"/>
    <w:rsid w:val="006F56B6"/>
    <w:rsid w:val="006F5C09"/>
    <w:rsid w:val="006F62BC"/>
    <w:rsid w:val="006F70BD"/>
    <w:rsid w:val="0070023A"/>
    <w:rsid w:val="00700EE1"/>
    <w:rsid w:val="00702493"/>
    <w:rsid w:val="007034D1"/>
    <w:rsid w:val="00706A77"/>
    <w:rsid w:val="0071035D"/>
    <w:rsid w:val="007122F9"/>
    <w:rsid w:val="0071382F"/>
    <w:rsid w:val="00714652"/>
    <w:rsid w:val="00714A8A"/>
    <w:rsid w:val="00714B44"/>
    <w:rsid w:val="00714F3B"/>
    <w:rsid w:val="007166F7"/>
    <w:rsid w:val="00716AEF"/>
    <w:rsid w:val="00716B51"/>
    <w:rsid w:val="00717076"/>
    <w:rsid w:val="00717296"/>
    <w:rsid w:val="007172CB"/>
    <w:rsid w:val="00717FE7"/>
    <w:rsid w:val="00721FDF"/>
    <w:rsid w:val="007253B2"/>
    <w:rsid w:val="007253FF"/>
    <w:rsid w:val="00727370"/>
    <w:rsid w:val="007319AD"/>
    <w:rsid w:val="007320A9"/>
    <w:rsid w:val="007326A9"/>
    <w:rsid w:val="00732A29"/>
    <w:rsid w:val="007339F8"/>
    <w:rsid w:val="00735D9E"/>
    <w:rsid w:val="007374D3"/>
    <w:rsid w:val="00740561"/>
    <w:rsid w:val="0074109C"/>
    <w:rsid w:val="00742335"/>
    <w:rsid w:val="00742842"/>
    <w:rsid w:val="0074492D"/>
    <w:rsid w:val="00744FD2"/>
    <w:rsid w:val="00745A2F"/>
    <w:rsid w:val="00745E99"/>
    <w:rsid w:val="0074620D"/>
    <w:rsid w:val="00753376"/>
    <w:rsid w:val="00753909"/>
    <w:rsid w:val="007543B0"/>
    <w:rsid w:val="007568A9"/>
    <w:rsid w:val="00756DEC"/>
    <w:rsid w:val="00761514"/>
    <w:rsid w:val="0076267A"/>
    <w:rsid w:val="00763C22"/>
    <w:rsid w:val="00763CE7"/>
    <w:rsid w:val="007659E2"/>
    <w:rsid w:val="007673C3"/>
    <w:rsid w:val="00767696"/>
    <w:rsid w:val="00767793"/>
    <w:rsid w:val="00770127"/>
    <w:rsid w:val="00771830"/>
    <w:rsid w:val="00772177"/>
    <w:rsid w:val="0077265F"/>
    <w:rsid w:val="0077576E"/>
    <w:rsid w:val="00775C65"/>
    <w:rsid w:val="0077639A"/>
    <w:rsid w:val="007800AF"/>
    <w:rsid w:val="0078100C"/>
    <w:rsid w:val="0078157F"/>
    <w:rsid w:val="0078185E"/>
    <w:rsid w:val="00782799"/>
    <w:rsid w:val="00786F48"/>
    <w:rsid w:val="0078772C"/>
    <w:rsid w:val="00787866"/>
    <w:rsid w:val="007878E4"/>
    <w:rsid w:val="0079082B"/>
    <w:rsid w:val="0079090E"/>
    <w:rsid w:val="00791054"/>
    <w:rsid w:val="00792289"/>
    <w:rsid w:val="00792628"/>
    <w:rsid w:val="0079267C"/>
    <w:rsid w:val="0079345F"/>
    <w:rsid w:val="007963BD"/>
    <w:rsid w:val="007A0505"/>
    <w:rsid w:val="007A1190"/>
    <w:rsid w:val="007A3DCA"/>
    <w:rsid w:val="007A4783"/>
    <w:rsid w:val="007A5191"/>
    <w:rsid w:val="007A647F"/>
    <w:rsid w:val="007A64E0"/>
    <w:rsid w:val="007A6ED6"/>
    <w:rsid w:val="007B0500"/>
    <w:rsid w:val="007B111B"/>
    <w:rsid w:val="007B1441"/>
    <w:rsid w:val="007B25E8"/>
    <w:rsid w:val="007B25FE"/>
    <w:rsid w:val="007B330D"/>
    <w:rsid w:val="007B374F"/>
    <w:rsid w:val="007B376C"/>
    <w:rsid w:val="007B3AE8"/>
    <w:rsid w:val="007B4418"/>
    <w:rsid w:val="007B5DAC"/>
    <w:rsid w:val="007B5F62"/>
    <w:rsid w:val="007B621D"/>
    <w:rsid w:val="007B625E"/>
    <w:rsid w:val="007B66B3"/>
    <w:rsid w:val="007B7077"/>
    <w:rsid w:val="007B73FD"/>
    <w:rsid w:val="007C1042"/>
    <w:rsid w:val="007C20B1"/>
    <w:rsid w:val="007C3003"/>
    <w:rsid w:val="007C3F53"/>
    <w:rsid w:val="007C5923"/>
    <w:rsid w:val="007C6B60"/>
    <w:rsid w:val="007C6F85"/>
    <w:rsid w:val="007C7B99"/>
    <w:rsid w:val="007D16CC"/>
    <w:rsid w:val="007D23B3"/>
    <w:rsid w:val="007D3AA0"/>
    <w:rsid w:val="007D3B71"/>
    <w:rsid w:val="007D3FE2"/>
    <w:rsid w:val="007D4359"/>
    <w:rsid w:val="007D4EC2"/>
    <w:rsid w:val="007D5690"/>
    <w:rsid w:val="007D67EA"/>
    <w:rsid w:val="007D69FA"/>
    <w:rsid w:val="007D75E9"/>
    <w:rsid w:val="007D7CC9"/>
    <w:rsid w:val="007E1600"/>
    <w:rsid w:val="007E2F09"/>
    <w:rsid w:val="007E4641"/>
    <w:rsid w:val="007E5D6C"/>
    <w:rsid w:val="007F0CE1"/>
    <w:rsid w:val="007F1ABA"/>
    <w:rsid w:val="007F282F"/>
    <w:rsid w:val="007F2A03"/>
    <w:rsid w:val="007F3616"/>
    <w:rsid w:val="007F4847"/>
    <w:rsid w:val="007F4D92"/>
    <w:rsid w:val="007F77B2"/>
    <w:rsid w:val="007F7883"/>
    <w:rsid w:val="00800499"/>
    <w:rsid w:val="008014ED"/>
    <w:rsid w:val="008029DB"/>
    <w:rsid w:val="00802CA3"/>
    <w:rsid w:val="00805346"/>
    <w:rsid w:val="008072D7"/>
    <w:rsid w:val="00810603"/>
    <w:rsid w:val="00810D15"/>
    <w:rsid w:val="00811145"/>
    <w:rsid w:val="00811263"/>
    <w:rsid w:val="00811742"/>
    <w:rsid w:val="00812B83"/>
    <w:rsid w:val="00812C2D"/>
    <w:rsid w:val="00813813"/>
    <w:rsid w:val="00813C03"/>
    <w:rsid w:val="00814283"/>
    <w:rsid w:val="00816C67"/>
    <w:rsid w:val="00820209"/>
    <w:rsid w:val="008203C4"/>
    <w:rsid w:val="00820F35"/>
    <w:rsid w:val="00820FEC"/>
    <w:rsid w:val="00822832"/>
    <w:rsid w:val="0082393D"/>
    <w:rsid w:val="00823DE0"/>
    <w:rsid w:val="00824BFC"/>
    <w:rsid w:val="00824FAC"/>
    <w:rsid w:val="00830821"/>
    <w:rsid w:val="00831ED5"/>
    <w:rsid w:val="00832177"/>
    <w:rsid w:val="0083324D"/>
    <w:rsid w:val="00833AA0"/>
    <w:rsid w:val="00841733"/>
    <w:rsid w:val="00842484"/>
    <w:rsid w:val="00843447"/>
    <w:rsid w:val="0084487B"/>
    <w:rsid w:val="00844D38"/>
    <w:rsid w:val="00844D85"/>
    <w:rsid w:val="0084563E"/>
    <w:rsid w:val="008466C5"/>
    <w:rsid w:val="00850E71"/>
    <w:rsid w:val="00851B6E"/>
    <w:rsid w:val="008524BE"/>
    <w:rsid w:val="0085306F"/>
    <w:rsid w:val="00853243"/>
    <w:rsid w:val="00853BC2"/>
    <w:rsid w:val="00853C7E"/>
    <w:rsid w:val="00854278"/>
    <w:rsid w:val="00856063"/>
    <w:rsid w:val="008566B2"/>
    <w:rsid w:val="00857172"/>
    <w:rsid w:val="00860DE4"/>
    <w:rsid w:val="0086236A"/>
    <w:rsid w:val="00863F3B"/>
    <w:rsid w:val="0086569A"/>
    <w:rsid w:val="00867A36"/>
    <w:rsid w:val="00867C3F"/>
    <w:rsid w:val="00870002"/>
    <w:rsid w:val="008702A8"/>
    <w:rsid w:val="0087035A"/>
    <w:rsid w:val="00870FD4"/>
    <w:rsid w:val="00871C1E"/>
    <w:rsid w:val="00872B3E"/>
    <w:rsid w:val="00873456"/>
    <w:rsid w:val="0087347D"/>
    <w:rsid w:val="00873CA1"/>
    <w:rsid w:val="00877B0B"/>
    <w:rsid w:val="00880121"/>
    <w:rsid w:val="00882DAD"/>
    <w:rsid w:val="008843F5"/>
    <w:rsid w:val="00884F32"/>
    <w:rsid w:val="00885263"/>
    <w:rsid w:val="008868A8"/>
    <w:rsid w:val="00886EAF"/>
    <w:rsid w:val="008902F2"/>
    <w:rsid w:val="00890D93"/>
    <w:rsid w:val="00892C7F"/>
    <w:rsid w:val="00892DA5"/>
    <w:rsid w:val="00892FA4"/>
    <w:rsid w:val="00893AAE"/>
    <w:rsid w:val="00894822"/>
    <w:rsid w:val="008949B1"/>
    <w:rsid w:val="00896995"/>
    <w:rsid w:val="00896DA2"/>
    <w:rsid w:val="00896E2B"/>
    <w:rsid w:val="0089713E"/>
    <w:rsid w:val="008972AA"/>
    <w:rsid w:val="008972FB"/>
    <w:rsid w:val="008A10F3"/>
    <w:rsid w:val="008A28FA"/>
    <w:rsid w:val="008A306A"/>
    <w:rsid w:val="008A4D60"/>
    <w:rsid w:val="008A53EE"/>
    <w:rsid w:val="008A5C0F"/>
    <w:rsid w:val="008A67B2"/>
    <w:rsid w:val="008A714C"/>
    <w:rsid w:val="008B012A"/>
    <w:rsid w:val="008B1596"/>
    <w:rsid w:val="008B31A6"/>
    <w:rsid w:val="008B4062"/>
    <w:rsid w:val="008B5977"/>
    <w:rsid w:val="008B7A43"/>
    <w:rsid w:val="008C09C4"/>
    <w:rsid w:val="008C1598"/>
    <w:rsid w:val="008C1F44"/>
    <w:rsid w:val="008C2593"/>
    <w:rsid w:val="008C2FCC"/>
    <w:rsid w:val="008C646F"/>
    <w:rsid w:val="008D08DC"/>
    <w:rsid w:val="008D0EE3"/>
    <w:rsid w:val="008D12D7"/>
    <w:rsid w:val="008D2AC2"/>
    <w:rsid w:val="008D48FF"/>
    <w:rsid w:val="008D50EA"/>
    <w:rsid w:val="008D61A7"/>
    <w:rsid w:val="008E0007"/>
    <w:rsid w:val="008E0374"/>
    <w:rsid w:val="008E1426"/>
    <w:rsid w:val="008E145C"/>
    <w:rsid w:val="008E16B0"/>
    <w:rsid w:val="008E1AA7"/>
    <w:rsid w:val="008E3E4B"/>
    <w:rsid w:val="008E43A6"/>
    <w:rsid w:val="008E4923"/>
    <w:rsid w:val="008E4EF9"/>
    <w:rsid w:val="008E62F5"/>
    <w:rsid w:val="008E6DFC"/>
    <w:rsid w:val="008E7710"/>
    <w:rsid w:val="008F1E9C"/>
    <w:rsid w:val="008F2795"/>
    <w:rsid w:val="008F485A"/>
    <w:rsid w:val="008F7DB1"/>
    <w:rsid w:val="00900D4D"/>
    <w:rsid w:val="009012FC"/>
    <w:rsid w:val="00901D76"/>
    <w:rsid w:val="00902D59"/>
    <w:rsid w:val="00903483"/>
    <w:rsid w:val="0090380F"/>
    <w:rsid w:val="00903F34"/>
    <w:rsid w:val="00905449"/>
    <w:rsid w:val="009056DA"/>
    <w:rsid w:val="00905C0A"/>
    <w:rsid w:val="00906028"/>
    <w:rsid w:val="00906B32"/>
    <w:rsid w:val="00906F6E"/>
    <w:rsid w:val="009122F8"/>
    <w:rsid w:val="009124CB"/>
    <w:rsid w:val="00912568"/>
    <w:rsid w:val="00912915"/>
    <w:rsid w:val="00913870"/>
    <w:rsid w:val="00913A0B"/>
    <w:rsid w:val="009154B5"/>
    <w:rsid w:val="00915520"/>
    <w:rsid w:val="009155DC"/>
    <w:rsid w:val="009155F7"/>
    <w:rsid w:val="00917AA0"/>
    <w:rsid w:val="0092075A"/>
    <w:rsid w:val="00921131"/>
    <w:rsid w:val="009213FB"/>
    <w:rsid w:val="009238F7"/>
    <w:rsid w:val="00923C63"/>
    <w:rsid w:val="00924605"/>
    <w:rsid w:val="009247F5"/>
    <w:rsid w:val="00924966"/>
    <w:rsid w:val="00925717"/>
    <w:rsid w:val="00926AB2"/>
    <w:rsid w:val="00927A95"/>
    <w:rsid w:val="00927C5C"/>
    <w:rsid w:val="00927CEF"/>
    <w:rsid w:val="00932B80"/>
    <w:rsid w:val="0093409F"/>
    <w:rsid w:val="009356BA"/>
    <w:rsid w:val="009373D3"/>
    <w:rsid w:val="009407FE"/>
    <w:rsid w:val="00941E3E"/>
    <w:rsid w:val="00942436"/>
    <w:rsid w:val="00943263"/>
    <w:rsid w:val="00945827"/>
    <w:rsid w:val="009479D1"/>
    <w:rsid w:val="009507C1"/>
    <w:rsid w:val="00952B49"/>
    <w:rsid w:val="00952CA0"/>
    <w:rsid w:val="009535DE"/>
    <w:rsid w:val="0095361B"/>
    <w:rsid w:val="00953D70"/>
    <w:rsid w:val="00954A61"/>
    <w:rsid w:val="00956F14"/>
    <w:rsid w:val="00957603"/>
    <w:rsid w:val="009579A2"/>
    <w:rsid w:val="00957A1D"/>
    <w:rsid w:val="00957BC0"/>
    <w:rsid w:val="00960369"/>
    <w:rsid w:val="009607A2"/>
    <w:rsid w:val="00961671"/>
    <w:rsid w:val="00961AC1"/>
    <w:rsid w:val="0096487B"/>
    <w:rsid w:val="00965CD1"/>
    <w:rsid w:val="00966934"/>
    <w:rsid w:val="00970460"/>
    <w:rsid w:val="00970874"/>
    <w:rsid w:val="00971B48"/>
    <w:rsid w:val="00972583"/>
    <w:rsid w:val="00972963"/>
    <w:rsid w:val="00972ECE"/>
    <w:rsid w:val="009734B3"/>
    <w:rsid w:val="009757D1"/>
    <w:rsid w:val="00975EB9"/>
    <w:rsid w:val="00980754"/>
    <w:rsid w:val="00981535"/>
    <w:rsid w:val="009825C8"/>
    <w:rsid w:val="00983531"/>
    <w:rsid w:val="0098409F"/>
    <w:rsid w:val="00984A55"/>
    <w:rsid w:val="00984BF1"/>
    <w:rsid w:val="00985537"/>
    <w:rsid w:val="00985C01"/>
    <w:rsid w:val="009903BA"/>
    <w:rsid w:val="009903D4"/>
    <w:rsid w:val="009911B1"/>
    <w:rsid w:val="00991698"/>
    <w:rsid w:val="009917E7"/>
    <w:rsid w:val="00991AE2"/>
    <w:rsid w:val="00991C17"/>
    <w:rsid w:val="00992D1E"/>
    <w:rsid w:val="00992D66"/>
    <w:rsid w:val="00994D1A"/>
    <w:rsid w:val="00997EB2"/>
    <w:rsid w:val="009A036C"/>
    <w:rsid w:val="009A06F5"/>
    <w:rsid w:val="009A0788"/>
    <w:rsid w:val="009A0E92"/>
    <w:rsid w:val="009A17EC"/>
    <w:rsid w:val="009A25D3"/>
    <w:rsid w:val="009A3345"/>
    <w:rsid w:val="009A759F"/>
    <w:rsid w:val="009A7C0F"/>
    <w:rsid w:val="009B03DF"/>
    <w:rsid w:val="009B2232"/>
    <w:rsid w:val="009B3E2E"/>
    <w:rsid w:val="009B6AF0"/>
    <w:rsid w:val="009C09F3"/>
    <w:rsid w:val="009C0CD2"/>
    <w:rsid w:val="009C128C"/>
    <w:rsid w:val="009C292D"/>
    <w:rsid w:val="009C5F0C"/>
    <w:rsid w:val="009C67C0"/>
    <w:rsid w:val="009C6C4B"/>
    <w:rsid w:val="009D1035"/>
    <w:rsid w:val="009D13D0"/>
    <w:rsid w:val="009D1B09"/>
    <w:rsid w:val="009D2068"/>
    <w:rsid w:val="009D2836"/>
    <w:rsid w:val="009D7D33"/>
    <w:rsid w:val="009E01FC"/>
    <w:rsid w:val="009E1999"/>
    <w:rsid w:val="009E237C"/>
    <w:rsid w:val="009E324D"/>
    <w:rsid w:val="009E4DD4"/>
    <w:rsid w:val="009E4E3F"/>
    <w:rsid w:val="009E5B49"/>
    <w:rsid w:val="009E698B"/>
    <w:rsid w:val="009E7C2F"/>
    <w:rsid w:val="009F0BB6"/>
    <w:rsid w:val="009F0BED"/>
    <w:rsid w:val="009F0FBE"/>
    <w:rsid w:val="009F1547"/>
    <w:rsid w:val="009F1A08"/>
    <w:rsid w:val="009F47E8"/>
    <w:rsid w:val="009F4ABA"/>
    <w:rsid w:val="009F55FF"/>
    <w:rsid w:val="009F71BE"/>
    <w:rsid w:val="009F7706"/>
    <w:rsid w:val="00A00317"/>
    <w:rsid w:val="00A02D14"/>
    <w:rsid w:val="00A0598C"/>
    <w:rsid w:val="00A066AE"/>
    <w:rsid w:val="00A10DD9"/>
    <w:rsid w:val="00A1117F"/>
    <w:rsid w:val="00A11D21"/>
    <w:rsid w:val="00A12C6B"/>
    <w:rsid w:val="00A12E41"/>
    <w:rsid w:val="00A13151"/>
    <w:rsid w:val="00A13525"/>
    <w:rsid w:val="00A13E8A"/>
    <w:rsid w:val="00A14117"/>
    <w:rsid w:val="00A14757"/>
    <w:rsid w:val="00A149FA"/>
    <w:rsid w:val="00A16587"/>
    <w:rsid w:val="00A17630"/>
    <w:rsid w:val="00A17DF0"/>
    <w:rsid w:val="00A20C1A"/>
    <w:rsid w:val="00A20F78"/>
    <w:rsid w:val="00A218F1"/>
    <w:rsid w:val="00A22250"/>
    <w:rsid w:val="00A258FB"/>
    <w:rsid w:val="00A27DEE"/>
    <w:rsid w:val="00A31B93"/>
    <w:rsid w:val="00A31DB4"/>
    <w:rsid w:val="00A3202D"/>
    <w:rsid w:val="00A32EB7"/>
    <w:rsid w:val="00A33BD6"/>
    <w:rsid w:val="00A34C4D"/>
    <w:rsid w:val="00A34E06"/>
    <w:rsid w:val="00A34FFC"/>
    <w:rsid w:val="00A35910"/>
    <w:rsid w:val="00A35D32"/>
    <w:rsid w:val="00A375EF"/>
    <w:rsid w:val="00A41757"/>
    <w:rsid w:val="00A4342E"/>
    <w:rsid w:val="00A51751"/>
    <w:rsid w:val="00A517B6"/>
    <w:rsid w:val="00A519B0"/>
    <w:rsid w:val="00A528C2"/>
    <w:rsid w:val="00A52B18"/>
    <w:rsid w:val="00A53BEB"/>
    <w:rsid w:val="00A5433A"/>
    <w:rsid w:val="00A54AFD"/>
    <w:rsid w:val="00A54E69"/>
    <w:rsid w:val="00A61B06"/>
    <w:rsid w:val="00A61C8F"/>
    <w:rsid w:val="00A62113"/>
    <w:rsid w:val="00A630BE"/>
    <w:rsid w:val="00A63774"/>
    <w:rsid w:val="00A65B15"/>
    <w:rsid w:val="00A65EE2"/>
    <w:rsid w:val="00A66711"/>
    <w:rsid w:val="00A6759C"/>
    <w:rsid w:val="00A67923"/>
    <w:rsid w:val="00A7015E"/>
    <w:rsid w:val="00A713ED"/>
    <w:rsid w:val="00A714B8"/>
    <w:rsid w:val="00A72227"/>
    <w:rsid w:val="00A72CE7"/>
    <w:rsid w:val="00A74901"/>
    <w:rsid w:val="00A75031"/>
    <w:rsid w:val="00A75580"/>
    <w:rsid w:val="00A75733"/>
    <w:rsid w:val="00A76308"/>
    <w:rsid w:val="00A776C7"/>
    <w:rsid w:val="00A77AC1"/>
    <w:rsid w:val="00A77C08"/>
    <w:rsid w:val="00A80ACB"/>
    <w:rsid w:val="00A81527"/>
    <w:rsid w:val="00A82058"/>
    <w:rsid w:val="00A84AE7"/>
    <w:rsid w:val="00A84E8D"/>
    <w:rsid w:val="00A86576"/>
    <w:rsid w:val="00A8668D"/>
    <w:rsid w:val="00A869B0"/>
    <w:rsid w:val="00A90420"/>
    <w:rsid w:val="00A91051"/>
    <w:rsid w:val="00A910CB"/>
    <w:rsid w:val="00A91DC1"/>
    <w:rsid w:val="00A9289F"/>
    <w:rsid w:val="00A929FD"/>
    <w:rsid w:val="00A92C1D"/>
    <w:rsid w:val="00A93633"/>
    <w:rsid w:val="00A97301"/>
    <w:rsid w:val="00A9774D"/>
    <w:rsid w:val="00AA0B95"/>
    <w:rsid w:val="00AA0C77"/>
    <w:rsid w:val="00AA1D27"/>
    <w:rsid w:val="00AA204C"/>
    <w:rsid w:val="00AA2D57"/>
    <w:rsid w:val="00AA3941"/>
    <w:rsid w:val="00AA43EB"/>
    <w:rsid w:val="00AA538E"/>
    <w:rsid w:val="00AA56D0"/>
    <w:rsid w:val="00AA588E"/>
    <w:rsid w:val="00AA610F"/>
    <w:rsid w:val="00AB0C9F"/>
    <w:rsid w:val="00AB0F63"/>
    <w:rsid w:val="00AB143A"/>
    <w:rsid w:val="00AB155C"/>
    <w:rsid w:val="00AB1693"/>
    <w:rsid w:val="00AB5BCE"/>
    <w:rsid w:val="00AB68F9"/>
    <w:rsid w:val="00AB717A"/>
    <w:rsid w:val="00AB7E96"/>
    <w:rsid w:val="00AC003B"/>
    <w:rsid w:val="00AC003C"/>
    <w:rsid w:val="00AC0103"/>
    <w:rsid w:val="00AC1404"/>
    <w:rsid w:val="00AC31EA"/>
    <w:rsid w:val="00AC38BD"/>
    <w:rsid w:val="00AC4881"/>
    <w:rsid w:val="00AD039F"/>
    <w:rsid w:val="00AD0F88"/>
    <w:rsid w:val="00AD24F3"/>
    <w:rsid w:val="00AD3902"/>
    <w:rsid w:val="00AD3C07"/>
    <w:rsid w:val="00AD57F8"/>
    <w:rsid w:val="00AD58A0"/>
    <w:rsid w:val="00AD6010"/>
    <w:rsid w:val="00AD6DFC"/>
    <w:rsid w:val="00AE05F8"/>
    <w:rsid w:val="00AE319E"/>
    <w:rsid w:val="00AE339E"/>
    <w:rsid w:val="00AE33FF"/>
    <w:rsid w:val="00AE4B14"/>
    <w:rsid w:val="00AE4FF8"/>
    <w:rsid w:val="00AE5E94"/>
    <w:rsid w:val="00AF026B"/>
    <w:rsid w:val="00AF06D5"/>
    <w:rsid w:val="00AF09DD"/>
    <w:rsid w:val="00AF246B"/>
    <w:rsid w:val="00AF4BEE"/>
    <w:rsid w:val="00AF5B2F"/>
    <w:rsid w:val="00AF7DB4"/>
    <w:rsid w:val="00B01A94"/>
    <w:rsid w:val="00B02655"/>
    <w:rsid w:val="00B05102"/>
    <w:rsid w:val="00B06130"/>
    <w:rsid w:val="00B079F9"/>
    <w:rsid w:val="00B10263"/>
    <w:rsid w:val="00B10376"/>
    <w:rsid w:val="00B10D36"/>
    <w:rsid w:val="00B11A26"/>
    <w:rsid w:val="00B11C26"/>
    <w:rsid w:val="00B11DEE"/>
    <w:rsid w:val="00B12661"/>
    <w:rsid w:val="00B1348E"/>
    <w:rsid w:val="00B142AA"/>
    <w:rsid w:val="00B14BD1"/>
    <w:rsid w:val="00B14BDB"/>
    <w:rsid w:val="00B16A34"/>
    <w:rsid w:val="00B2042B"/>
    <w:rsid w:val="00B213F2"/>
    <w:rsid w:val="00B217D6"/>
    <w:rsid w:val="00B21CB5"/>
    <w:rsid w:val="00B23933"/>
    <w:rsid w:val="00B24FAF"/>
    <w:rsid w:val="00B25453"/>
    <w:rsid w:val="00B25E56"/>
    <w:rsid w:val="00B25ED6"/>
    <w:rsid w:val="00B3057E"/>
    <w:rsid w:val="00B30730"/>
    <w:rsid w:val="00B31B9C"/>
    <w:rsid w:val="00B31CD6"/>
    <w:rsid w:val="00B33653"/>
    <w:rsid w:val="00B34D6C"/>
    <w:rsid w:val="00B35559"/>
    <w:rsid w:val="00B3559C"/>
    <w:rsid w:val="00B36A96"/>
    <w:rsid w:val="00B3725B"/>
    <w:rsid w:val="00B4118A"/>
    <w:rsid w:val="00B45080"/>
    <w:rsid w:val="00B46905"/>
    <w:rsid w:val="00B4696B"/>
    <w:rsid w:val="00B47CC6"/>
    <w:rsid w:val="00B505B6"/>
    <w:rsid w:val="00B5384F"/>
    <w:rsid w:val="00B54421"/>
    <w:rsid w:val="00B552E3"/>
    <w:rsid w:val="00B5544F"/>
    <w:rsid w:val="00B55E5D"/>
    <w:rsid w:val="00B56826"/>
    <w:rsid w:val="00B56FF7"/>
    <w:rsid w:val="00B577A8"/>
    <w:rsid w:val="00B577EA"/>
    <w:rsid w:val="00B577FF"/>
    <w:rsid w:val="00B60A36"/>
    <w:rsid w:val="00B61155"/>
    <w:rsid w:val="00B6285D"/>
    <w:rsid w:val="00B64407"/>
    <w:rsid w:val="00B654EB"/>
    <w:rsid w:val="00B65540"/>
    <w:rsid w:val="00B66867"/>
    <w:rsid w:val="00B66994"/>
    <w:rsid w:val="00B66EF5"/>
    <w:rsid w:val="00B67D62"/>
    <w:rsid w:val="00B70757"/>
    <w:rsid w:val="00B7079D"/>
    <w:rsid w:val="00B707FE"/>
    <w:rsid w:val="00B71A1E"/>
    <w:rsid w:val="00B71AFB"/>
    <w:rsid w:val="00B71F3A"/>
    <w:rsid w:val="00B73C97"/>
    <w:rsid w:val="00B76340"/>
    <w:rsid w:val="00B76A88"/>
    <w:rsid w:val="00B80C43"/>
    <w:rsid w:val="00B80DF0"/>
    <w:rsid w:val="00B815B2"/>
    <w:rsid w:val="00B821F8"/>
    <w:rsid w:val="00B8264D"/>
    <w:rsid w:val="00B836F5"/>
    <w:rsid w:val="00B85B4E"/>
    <w:rsid w:val="00B865DB"/>
    <w:rsid w:val="00B868E2"/>
    <w:rsid w:val="00B87B6D"/>
    <w:rsid w:val="00B87E7C"/>
    <w:rsid w:val="00B93FF5"/>
    <w:rsid w:val="00B94786"/>
    <w:rsid w:val="00B9551C"/>
    <w:rsid w:val="00B9607E"/>
    <w:rsid w:val="00BA0D64"/>
    <w:rsid w:val="00BA202C"/>
    <w:rsid w:val="00BA2B9C"/>
    <w:rsid w:val="00BA44ED"/>
    <w:rsid w:val="00BA6505"/>
    <w:rsid w:val="00BA68A6"/>
    <w:rsid w:val="00BA7631"/>
    <w:rsid w:val="00BA7715"/>
    <w:rsid w:val="00BA774F"/>
    <w:rsid w:val="00BA78B6"/>
    <w:rsid w:val="00BA79B5"/>
    <w:rsid w:val="00BA7DE9"/>
    <w:rsid w:val="00BB016A"/>
    <w:rsid w:val="00BB20BA"/>
    <w:rsid w:val="00BB26AD"/>
    <w:rsid w:val="00BB3D25"/>
    <w:rsid w:val="00BB6D2B"/>
    <w:rsid w:val="00BB79BD"/>
    <w:rsid w:val="00BC10E6"/>
    <w:rsid w:val="00BC3516"/>
    <w:rsid w:val="00BC55A3"/>
    <w:rsid w:val="00BC666B"/>
    <w:rsid w:val="00BC7208"/>
    <w:rsid w:val="00BD0B48"/>
    <w:rsid w:val="00BD1E24"/>
    <w:rsid w:val="00BD271D"/>
    <w:rsid w:val="00BD2A0A"/>
    <w:rsid w:val="00BD3653"/>
    <w:rsid w:val="00BD462E"/>
    <w:rsid w:val="00BD4CE7"/>
    <w:rsid w:val="00BD5D0F"/>
    <w:rsid w:val="00BD7025"/>
    <w:rsid w:val="00BD75BA"/>
    <w:rsid w:val="00BD761A"/>
    <w:rsid w:val="00BD7863"/>
    <w:rsid w:val="00BD7C68"/>
    <w:rsid w:val="00BE08AA"/>
    <w:rsid w:val="00BE0CC9"/>
    <w:rsid w:val="00BE15B2"/>
    <w:rsid w:val="00BE1CBC"/>
    <w:rsid w:val="00BE1F49"/>
    <w:rsid w:val="00BE29DC"/>
    <w:rsid w:val="00BE5393"/>
    <w:rsid w:val="00BE5C7D"/>
    <w:rsid w:val="00BE6BD1"/>
    <w:rsid w:val="00BF1EA0"/>
    <w:rsid w:val="00BF697A"/>
    <w:rsid w:val="00BF6ADB"/>
    <w:rsid w:val="00BF6D5A"/>
    <w:rsid w:val="00C03776"/>
    <w:rsid w:val="00C03E66"/>
    <w:rsid w:val="00C04B9F"/>
    <w:rsid w:val="00C074D9"/>
    <w:rsid w:val="00C0753E"/>
    <w:rsid w:val="00C10A86"/>
    <w:rsid w:val="00C12078"/>
    <w:rsid w:val="00C12BED"/>
    <w:rsid w:val="00C13821"/>
    <w:rsid w:val="00C13A14"/>
    <w:rsid w:val="00C13BBA"/>
    <w:rsid w:val="00C14051"/>
    <w:rsid w:val="00C15667"/>
    <w:rsid w:val="00C15F73"/>
    <w:rsid w:val="00C2037B"/>
    <w:rsid w:val="00C2205A"/>
    <w:rsid w:val="00C22FF7"/>
    <w:rsid w:val="00C23C7A"/>
    <w:rsid w:val="00C23DC9"/>
    <w:rsid w:val="00C25F93"/>
    <w:rsid w:val="00C27A2F"/>
    <w:rsid w:val="00C27F75"/>
    <w:rsid w:val="00C27F76"/>
    <w:rsid w:val="00C3055E"/>
    <w:rsid w:val="00C30DA4"/>
    <w:rsid w:val="00C334EC"/>
    <w:rsid w:val="00C33D7F"/>
    <w:rsid w:val="00C34334"/>
    <w:rsid w:val="00C35F65"/>
    <w:rsid w:val="00C3788C"/>
    <w:rsid w:val="00C41688"/>
    <w:rsid w:val="00C427CE"/>
    <w:rsid w:val="00C4337B"/>
    <w:rsid w:val="00C44719"/>
    <w:rsid w:val="00C44A9B"/>
    <w:rsid w:val="00C4589D"/>
    <w:rsid w:val="00C46752"/>
    <w:rsid w:val="00C4690E"/>
    <w:rsid w:val="00C46EDD"/>
    <w:rsid w:val="00C47F43"/>
    <w:rsid w:val="00C50108"/>
    <w:rsid w:val="00C51610"/>
    <w:rsid w:val="00C51E37"/>
    <w:rsid w:val="00C51F6A"/>
    <w:rsid w:val="00C5211B"/>
    <w:rsid w:val="00C53422"/>
    <w:rsid w:val="00C560BC"/>
    <w:rsid w:val="00C57857"/>
    <w:rsid w:val="00C57AB0"/>
    <w:rsid w:val="00C57D74"/>
    <w:rsid w:val="00C60128"/>
    <w:rsid w:val="00C60ED4"/>
    <w:rsid w:val="00C61FDC"/>
    <w:rsid w:val="00C63309"/>
    <w:rsid w:val="00C63F77"/>
    <w:rsid w:val="00C6572C"/>
    <w:rsid w:val="00C66F88"/>
    <w:rsid w:val="00C674CB"/>
    <w:rsid w:val="00C67AC4"/>
    <w:rsid w:val="00C708F7"/>
    <w:rsid w:val="00C70CFF"/>
    <w:rsid w:val="00C71A6A"/>
    <w:rsid w:val="00C724D8"/>
    <w:rsid w:val="00C74092"/>
    <w:rsid w:val="00C75655"/>
    <w:rsid w:val="00C75D4E"/>
    <w:rsid w:val="00C761FB"/>
    <w:rsid w:val="00C7672B"/>
    <w:rsid w:val="00C7691A"/>
    <w:rsid w:val="00C76AF3"/>
    <w:rsid w:val="00C77A1F"/>
    <w:rsid w:val="00C80CA5"/>
    <w:rsid w:val="00C819B7"/>
    <w:rsid w:val="00C81DE1"/>
    <w:rsid w:val="00C8255A"/>
    <w:rsid w:val="00C837C3"/>
    <w:rsid w:val="00C83D70"/>
    <w:rsid w:val="00C84497"/>
    <w:rsid w:val="00C85651"/>
    <w:rsid w:val="00C868F6"/>
    <w:rsid w:val="00C86953"/>
    <w:rsid w:val="00C90D91"/>
    <w:rsid w:val="00C9137C"/>
    <w:rsid w:val="00C91644"/>
    <w:rsid w:val="00C930D3"/>
    <w:rsid w:val="00C9663B"/>
    <w:rsid w:val="00CA1356"/>
    <w:rsid w:val="00CA269E"/>
    <w:rsid w:val="00CA2E99"/>
    <w:rsid w:val="00CA35C7"/>
    <w:rsid w:val="00CA3669"/>
    <w:rsid w:val="00CA43A5"/>
    <w:rsid w:val="00CA5FDE"/>
    <w:rsid w:val="00CA7C0B"/>
    <w:rsid w:val="00CB0C94"/>
    <w:rsid w:val="00CB18EB"/>
    <w:rsid w:val="00CB18FC"/>
    <w:rsid w:val="00CB2039"/>
    <w:rsid w:val="00CB244C"/>
    <w:rsid w:val="00CB4F30"/>
    <w:rsid w:val="00CB56AB"/>
    <w:rsid w:val="00CB5C32"/>
    <w:rsid w:val="00CB65BF"/>
    <w:rsid w:val="00CB6E2B"/>
    <w:rsid w:val="00CB6FF7"/>
    <w:rsid w:val="00CB7302"/>
    <w:rsid w:val="00CB792D"/>
    <w:rsid w:val="00CC1E9F"/>
    <w:rsid w:val="00CC5684"/>
    <w:rsid w:val="00CC5896"/>
    <w:rsid w:val="00CC6F89"/>
    <w:rsid w:val="00CD045F"/>
    <w:rsid w:val="00CD12FE"/>
    <w:rsid w:val="00CD2B54"/>
    <w:rsid w:val="00CD4158"/>
    <w:rsid w:val="00CD50AF"/>
    <w:rsid w:val="00CD5A0D"/>
    <w:rsid w:val="00CE0483"/>
    <w:rsid w:val="00CE0C35"/>
    <w:rsid w:val="00CE3810"/>
    <w:rsid w:val="00CE3A1B"/>
    <w:rsid w:val="00CE52B4"/>
    <w:rsid w:val="00CE59BB"/>
    <w:rsid w:val="00CE5DCD"/>
    <w:rsid w:val="00CE6E0B"/>
    <w:rsid w:val="00CE701C"/>
    <w:rsid w:val="00CE7599"/>
    <w:rsid w:val="00CF2095"/>
    <w:rsid w:val="00CF414A"/>
    <w:rsid w:val="00CF47E1"/>
    <w:rsid w:val="00CF4FF0"/>
    <w:rsid w:val="00CF57B0"/>
    <w:rsid w:val="00CF5B47"/>
    <w:rsid w:val="00CF607B"/>
    <w:rsid w:val="00CF6869"/>
    <w:rsid w:val="00D013CF"/>
    <w:rsid w:val="00D04FDD"/>
    <w:rsid w:val="00D1017C"/>
    <w:rsid w:val="00D104F9"/>
    <w:rsid w:val="00D12A6E"/>
    <w:rsid w:val="00D12DD6"/>
    <w:rsid w:val="00D14323"/>
    <w:rsid w:val="00D1581D"/>
    <w:rsid w:val="00D15D9F"/>
    <w:rsid w:val="00D16008"/>
    <w:rsid w:val="00D166D4"/>
    <w:rsid w:val="00D2099C"/>
    <w:rsid w:val="00D20D57"/>
    <w:rsid w:val="00D22631"/>
    <w:rsid w:val="00D24991"/>
    <w:rsid w:val="00D2656C"/>
    <w:rsid w:val="00D30254"/>
    <w:rsid w:val="00D33768"/>
    <w:rsid w:val="00D33B0F"/>
    <w:rsid w:val="00D33D87"/>
    <w:rsid w:val="00D34C7A"/>
    <w:rsid w:val="00D34F4A"/>
    <w:rsid w:val="00D35077"/>
    <w:rsid w:val="00D35A6E"/>
    <w:rsid w:val="00D408A8"/>
    <w:rsid w:val="00D40B57"/>
    <w:rsid w:val="00D41458"/>
    <w:rsid w:val="00D415D6"/>
    <w:rsid w:val="00D41844"/>
    <w:rsid w:val="00D41A9C"/>
    <w:rsid w:val="00D43DC1"/>
    <w:rsid w:val="00D44A7C"/>
    <w:rsid w:val="00D45204"/>
    <w:rsid w:val="00D45DD3"/>
    <w:rsid w:val="00D4647A"/>
    <w:rsid w:val="00D46DAE"/>
    <w:rsid w:val="00D51346"/>
    <w:rsid w:val="00D51C8F"/>
    <w:rsid w:val="00D5204B"/>
    <w:rsid w:val="00D525BB"/>
    <w:rsid w:val="00D528B0"/>
    <w:rsid w:val="00D53460"/>
    <w:rsid w:val="00D54479"/>
    <w:rsid w:val="00D54C10"/>
    <w:rsid w:val="00D55191"/>
    <w:rsid w:val="00D55CD0"/>
    <w:rsid w:val="00D566E9"/>
    <w:rsid w:val="00D57275"/>
    <w:rsid w:val="00D57544"/>
    <w:rsid w:val="00D57973"/>
    <w:rsid w:val="00D60704"/>
    <w:rsid w:val="00D60758"/>
    <w:rsid w:val="00D60CE2"/>
    <w:rsid w:val="00D612EC"/>
    <w:rsid w:val="00D6153E"/>
    <w:rsid w:val="00D61B65"/>
    <w:rsid w:val="00D623C4"/>
    <w:rsid w:val="00D62932"/>
    <w:rsid w:val="00D62CE8"/>
    <w:rsid w:val="00D659A8"/>
    <w:rsid w:val="00D669D3"/>
    <w:rsid w:val="00D70501"/>
    <w:rsid w:val="00D7065C"/>
    <w:rsid w:val="00D722DF"/>
    <w:rsid w:val="00D72A2E"/>
    <w:rsid w:val="00D741FF"/>
    <w:rsid w:val="00D769B9"/>
    <w:rsid w:val="00D77699"/>
    <w:rsid w:val="00D80587"/>
    <w:rsid w:val="00D81C1D"/>
    <w:rsid w:val="00D82E05"/>
    <w:rsid w:val="00D83043"/>
    <w:rsid w:val="00D84675"/>
    <w:rsid w:val="00D8526A"/>
    <w:rsid w:val="00D86252"/>
    <w:rsid w:val="00D86EF5"/>
    <w:rsid w:val="00D87CC5"/>
    <w:rsid w:val="00D87DA9"/>
    <w:rsid w:val="00D917F3"/>
    <w:rsid w:val="00D92E61"/>
    <w:rsid w:val="00D95091"/>
    <w:rsid w:val="00D95CB0"/>
    <w:rsid w:val="00D96D38"/>
    <w:rsid w:val="00D973B2"/>
    <w:rsid w:val="00D97BAA"/>
    <w:rsid w:val="00DA0435"/>
    <w:rsid w:val="00DA1902"/>
    <w:rsid w:val="00DA3AF3"/>
    <w:rsid w:val="00DA495A"/>
    <w:rsid w:val="00DA4C31"/>
    <w:rsid w:val="00DA544F"/>
    <w:rsid w:val="00DA5455"/>
    <w:rsid w:val="00DA57F0"/>
    <w:rsid w:val="00DA5C2B"/>
    <w:rsid w:val="00DA6C17"/>
    <w:rsid w:val="00DA6F07"/>
    <w:rsid w:val="00DB1369"/>
    <w:rsid w:val="00DB169E"/>
    <w:rsid w:val="00DB3E83"/>
    <w:rsid w:val="00DB422A"/>
    <w:rsid w:val="00DB4754"/>
    <w:rsid w:val="00DB5EFB"/>
    <w:rsid w:val="00DB6EF1"/>
    <w:rsid w:val="00DB6F95"/>
    <w:rsid w:val="00DB7732"/>
    <w:rsid w:val="00DC188E"/>
    <w:rsid w:val="00DC19BB"/>
    <w:rsid w:val="00DC2172"/>
    <w:rsid w:val="00DC39C0"/>
    <w:rsid w:val="00DC4D3A"/>
    <w:rsid w:val="00DC6404"/>
    <w:rsid w:val="00DC72B1"/>
    <w:rsid w:val="00DC7B30"/>
    <w:rsid w:val="00DD113B"/>
    <w:rsid w:val="00DD2605"/>
    <w:rsid w:val="00DD2CC2"/>
    <w:rsid w:val="00DD332A"/>
    <w:rsid w:val="00DD3D8D"/>
    <w:rsid w:val="00DD4237"/>
    <w:rsid w:val="00DD4818"/>
    <w:rsid w:val="00DD57B3"/>
    <w:rsid w:val="00DD5848"/>
    <w:rsid w:val="00DD5D3F"/>
    <w:rsid w:val="00DD613D"/>
    <w:rsid w:val="00DD64C5"/>
    <w:rsid w:val="00DD701A"/>
    <w:rsid w:val="00DD7ABC"/>
    <w:rsid w:val="00DD7FDF"/>
    <w:rsid w:val="00DE0776"/>
    <w:rsid w:val="00DE0B09"/>
    <w:rsid w:val="00DE12A4"/>
    <w:rsid w:val="00DE1703"/>
    <w:rsid w:val="00DE25AC"/>
    <w:rsid w:val="00DE6744"/>
    <w:rsid w:val="00DF01D7"/>
    <w:rsid w:val="00DF03CC"/>
    <w:rsid w:val="00DF212C"/>
    <w:rsid w:val="00DF2791"/>
    <w:rsid w:val="00DF2B56"/>
    <w:rsid w:val="00DF568D"/>
    <w:rsid w:val="00DF67D2"/>
    <w:rsid w:val="00E0055D"/>
    <w:rsid w:val="00E00C1D"/>
    <w:rsid w:val="00E00CCB"/>
    <w:rsid w:val="00E03206"/>
    <w:rsid w:val="00E042C7"/>
    <w:rsid w:val="00E0781A"/>
    <w:rsid w:val="00E10B7B"/>
    <w:rsid w:val="00E11475"/>
    <w:rsid w:val="00E116C5"/>
    <w:rsid w:val="00E12A46"/>
    <w:rsid w:val="00E134E0"/>
    <w:rsid w:val="00E13E04"/>
    <w:rsid w:val="00E14881"/>
    <w:rsid w:val="00E149C5"/>
    <w:rsid w:val="00E167D3"/>
    <w:rsid w:val="00E175A7"/>
    <w:rsid w:val="00E20168"/>
    <w:rsid w:val="00E20695"/>
    <w:rsid w:val="00E20740"/>
    <w:rsid w:val="00E20E92"/>
    <w:rsid w:val="00E21106"/>
    <w:rsid w:val="00E245DA"/>
    <w:rsid w:val="00E24645"/>
    <w:rsid w:val="00E24817"/>
    <w:rsid w:val="00E24A2B"/>
    <w:rsid w:val="00E27177"/>
    <w:rsid w:val="00E274B5"/>
    <w:rsid w:val="00E27DF6"/>
    <w:rsid w:val="00E31BCB"/>
    <w:rsid w:val="00E32963"/>
    <w:rsid w:val="00E337BC"/>
    <w:rsid w:val="00E34E11"/>
    <w:rsid w:val="00E350CD"/>
    <w:rsid w:val="00E36DFD"/>
    <w:rsid w:val="00E372A9"/>
    <w:rsid w:val="00E4001B"/>
    <w:rsid w:val="00E43094"/>
    <w:rsid w:val="00E43E14"/>
    <w:rsid w:val="00E45A4C"/>
    <w:rsid w:val="00E461C0"/>
    <w:rsid w:val="00E47262"/>
    <w:rsid w:val="00E50B9E"/>
    <w:rsid w:val="00E50E3D"/>
    <w:rsid w:val="00E50F64"/>
    <w:rsid w:val="00E51E10"/>
    <w:rsid w:val="00E51FDE"/>
    <w:rsid w:val="00E534B2"/>
    <w:rsid w:val="00E53CBB"/>
    <w:rsid w:val="00E5659E"/>
    <w:rsid w:val="00E56B66"/>
    <w:rsid w:val="00E579AF"/>
    <w:rsid w:val="00E57CF3"/>
    <w:rsid w:val="00E60545"/>
    <w:rsid w:val="00E622CC"/>
    <w:rsid w:val="00E62523"/>
    <w:rsid w:val="00E63D14"/>
    <w:rsid w:val="00E64377"/>
    <w:rsid w:val="00E64563"/>
    <w:rsid w:val="00E6468A"/>
    <w:rsid w:val="00E65A5A"/>
    <w:rsid w:val="00E705B7"/>
    <w:rsid w:val="00E7086E"/>
    <w:rsid w:val="00E70ECC"/>
    <w:rsid w:val="00E71839"/>
    <w:rsid w:val="00E71A89"/>
    <w:rsid w:val="00E71C3C"/>
    <w:rsid w:val="00E71DE5"/>
    <w:rsid w:val="00E71FC7"/>
    <w:rsid w:val="00E724E0"/>
    <w:rsid w:val="00E754BA"/>
    <w:rsid w:val="00E7694D"/>
    <w:rsid w:val="00E770B5"/>
    <w:rsid w:val="00E77197"/>
    <w:rsid w:val="00E77A3E"/>
    <w:rsid w:val="00E81B1A"/>
    <w:rsid w:val="00E833E5"/>
    <w:rsid w:val="00E84FB3"/>
    <w:rsid w:val="00E86A3E"/>
    <w:rsid w:val="00E87037"/>
    <w:rsid w:val="00E940E0"/>
    <w:rsid w:val="00E96D70"/>
    <w:rsid w:val="00E9767C"/>
    <w:rsid w:val="00EA0F03"/>
    <w:rsid w:val="00EA1EF9"/>
    <w:rsid w:val="00EA2CA0"/>
    <w:rsid w:val="00EA3031"/>
    <w:rsid w:val="00EA5760"/>
    <w:rsid w:val="00EA60B4"/>
    <w:rsid w:val="00EA7237"/>
    <w:rsid w:val="00EB055B"/>
    <w:rsid w:val="00EB0DC2"/>
    <w:rsid w:val="00EB112A"/>
    <w:rsid w:val="00EB2FE6"/>
    <w:rsid w:val="00EB46AF"/>
    <w:rsid w:val="00EB47AB"/>
    <w:rsid w:val="00EB57D6"/>
    <w:rsid w:val="00EB6050"/>
    <w:rsid w:val="00EB67F6"/>
    <w:rsid w:val="00EB7AFB"/>
    <w:rsid w:val="00EC1212"/>
    <w:rsid w:val="00EC1D3D"/>
    <w:rsid w:val="00EC3151"/>
    <w:rsid w:val="00EC3331"/>
    <w:rsid w:val="00EC518F"/>
    <w:rsid w:val="00EC5B5B"/>
    <w:rsid w:val="00EC677E"/>
    <w:rsid w:val="00EC7071"/>
    <w:rsid w:val="00EC7E67"/>
    <w:rsid w:val="00ED05BA"/>
    <w:rsid w:val="00ED0903"/>
    <w:rsid w:val="00ED1435"/>
    <w:rsid w:val="00ED1D98"/>
    <w:rsid w:val="00ED1F5D"/>
    <w:rsid w:val="00ED3143"/>
    <w:rsid w:val="00ED3E97"/>
    <w:rsid w:val="00ED3F10"/>
    <w:rsid w:val="00ED4CE6"/>
    <w:rsid w:val="00ED5536"/>
    <w:rsid w:val="00ED56CF"/>
    <w:rsid w:val="00ED5B5C"/>
    <w:rsid w:val="00ED6B5A"/>
    <w:rsid w:val="00ED70BD"/>
    <w:rsid w:val="00ED7934"/>
    <w:rsid w:val="00EE0B3E"/>
    <w:rsid w:val="00EE1FD6"/>
    <w:rsid w:val="00EE37BB"/>
    <w:rsid w:val="00EE37C3"/>
    <w:rsid w:val="00EF3F1B"/>
    <w:rsid w:val="00EF4058"/>
    <w:rsid w:val="00EF4099"/>
    <w:rsid w:val="00EF5E81"/>
    <w:rsid w:val="00EF6012"/>
    <w:rsid w:val="00EF6BDC"/>
    <w:rsid w:val="00F00129"/>
    <w:rsid w:val="00F0190F"/>
    <w:rsid w:val="00F01C4C"/>
    <w:rsid w:val="00F02786"/>
    <w:rsid w:val="00F0434F"/>
    <w:rsid w:val="00F05D0A"/>
    <w:rsid w:val="00F05F44"/>
    <w:rsid w:val="00F063E9"/>
    <w:rsid w:val="00F0670F"/>
    <w:rsid w:val="00F0692E"/>
    <w:rsid w:val="00F07BE9"/>
    <w:rsid w:val="00F07FA6"/>
    <w:rsid w:val="00F107A7"/>
    <w:rsid w:val="00F11BB3"/>
    <w:rsid w:val="00F12DA2"/>
    <w:rsid w:val="00F13036"/>
    <w:rsid w:val="00F2127D"/>
    <w:rsid w:val="00F215DE"/>
    <w:rsid w:val="00F21D1A"/>
    <w:rsid w:val="00F22865"/>
    <w:rsid w:val="00F24D75"/>
    <w:rsid w:val="00F261E3"/>
    <w:rsid w:val="00F30EA8"/>
    <w:rsid w:val="00F30EB3"/>
    <w:rsid w:val="00F32E80"/>
    <w:rsid w:val="00F34B2F"/>
    <w:rsid w:val="00F34F33"/>
    <w:rsid w:val="00F366D8"/>
    <w:rsid w:val="00F369B6"/>
    <w:rsid w:val="00F36D1F"/>
    <w:rsid w:val="00F3769E"/>
    <w:rsid w:val="00F40F06"/>
    <w:rsid w:val="00F41172"/>
    <w:rsid w:val="00F42669"/>
    <w:rsid w:val="00F4374F"/>
    <w:rsid w:val="00F46A6E"/>
    <w:rsid w:val="00F47128"/>
    <w:rsid w:val="00F4749B"/>
    <w:rsid w:val="00F514FB"/>
    <w:rsid w:val="00F52B73"/>
    <w:rsid w:val="00F56CE9"/>
    <w:rsid w:val="00F61151"/>
    <w:rsid w:val="00F63723"/>
    <w:rsid w:val="00F64E44"/>
    <w:rsid w:val="00F64ECE"/>
    <w:rsid w:val="00F66DD9"/>
    <w:rsid w:val="00F67B6E"/>
    <w:rsid w:val="00F7174B"/>
    <w:rsid w:val="00F72953"/>
    <w:rsid w:val="00F72A85"/>
    <w:rsid w:val="00F73BBF"/>
    <w:rsid w:val="00F76A4E"/>
    <w:rsid w:val="00F77765"/>
    <w:rsid w:val="00F77907"/>
    <w:rsid w:val="00F77EC3"/>
    <w:rsid w:val="00F8049C"/>
    <w:rsid w:val="00F816B4"/>
    <w:rsid w:val="00F823C6"/>
    <w:rsid w:val="00F842C0"/>
    <w:rsid w:val="00F84E26"/>
    <w:rsid w:val="00F85141"/>
    <w:rsid w:val="00F853B8"/>
    <w:rsid w:val="00F85E98"/>
    <w:rsid w:val="00F90F30"/>
    <w:rsid w:val="00F91762"/>
    <w:rsid w:val="00F91943"/>
    <w:rsid w:val="00F92924"/>
    <w:rsid w:val="00F9388B"/>
    <w:rsid w:val="00F945ED"/>
    <w:rsid w:val="00F951A5"/>
    <w:rsid w:val="00F95989"/>
    <w:rsid w:val="00FA320A"/>
    <w:rsid w:val="00FA5C88"/>
    <w:rsid w:val="00FA6372"/>
    <w:rsid w:val="00FA6845"/>
    <w:rsid w:val="00FA7C8B"/>
    <w:rsid w:val="00FB0249"/>
    <w:rsid w:val="00FB1257"/>
    <w:rsid w:val="00FB3CE5"/>
    <w:rsid w:val="00FB6425"/>
    <w:rsid w:val="00FB793A"/>
    <w:rsid w:val="00FC0B12"/>
    <w:rsid w:val="00FC0E31"/>
    <w:rsid w:val="00FC2DFD"/>
    <w:rsid w:val="00FC5915"/>
    <w:rsid w:val="00FC5D6D"/>
    <w:rsid w:val="00FC7931"/>
    <w:rsid w:val="00FD07DD"/>
    <w:rsid w:val="00FD2233"/>
    <w:rsid w:val="00FD6657"/>
    <w:rsid w:val="00FD7187"/>
    <w:rsid w:val="00FE015F"/>
    <w:rsid w:val="00FE0276"/>
    <w:rsid w:val="00FE339F"/>
    <w:rsid w:val="00FE5873"/>
    <w:rsid w:val="00FE61B0"/>
    <w:rsid w:val="00FE6527"/>
    <w:rsid w:val="00FE6ADE"/>
    <w:rsid w:val="00FE6FB1"/>
    <w:rsid w:val="00FF0584"/>
    <w:rsid w:val="00FF1A54"/>
    <w:rsid w:val="00FF1FC4"/>
    <w:rsid w:val="00FF40EF"/>
    <w:rsid w:val="00FF659E"/>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semiHidden/>
    <w:unhideWhenUsed/>
    <w:rsid w:val="00F7174B"/>
  </w:style>
  <w:style w:type="character" w:customStyle="1" w:styleId="FootnoteTextChar">
    <w:name w:val="Footnote Text Char"/>
    <w:basedOn w:val="DefaultParagraphFont"/>
    <w:link w:val="FootnoteText"/>
    <w:uiPriority w:val="99"/>
    <w:semiHidden/>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semiHidden/>
    <w:unhideWhenUsed/>
    <w:rsid w:val="00F7174B"/>
  </w:style>
  <w:style w:type="character" w:customStyle="1" w:styleId="FootnoteTextChar">
    <w:name w:val="Footnote Text Char"/>
    <w:basedOn w:val="DefaultParagraphFont"/>
    <w:link w:val="FootnoteText"/>
    <w:uiPriority w:val="99"/>
    <w:semiHidden/>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F1CF2-AD8B-4954-B0E5-BAC4DA3B9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15</Pages>
  <Words>3720</Words>
  <Characters>21210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Hinds, Margaret</cp:lastModifiedBy>
  <cp:revision>7</cp:revision>
  <cp:lastPrinted>2013-06-05T17:51:00Z</cp:lastPrinted>
  <dcterms:created xsi:type="dcterms:W3CDTF">2013-06-18T17:24:00Z</dcterms:created>
  <dcterms:modified xsi:type="dcterms:W3CDTF">2013-07-16T18:25:00Z</dcterms:modified>
</cp:coreProperties>
</file>