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D42" w:rsidRPr="007B4D42" w:rsidRDefault="007B4D42" w:rsidP="007B4D42">
      <w:pPr>
        <w:spacing w:after="0" w:line="240" w:lineRule="auto"/>
        <w:jc w:val="center"/>
        <w:rPr>
          <w:rFonts w:ascii="Times New Roman" w:eastAsia="Times New Roman" w:hAnsi="Times New Roman" w:cs="Times New Roman"/>
          <w:b/>
          <w:sz w:val="24"/>
          <w:szCs w:val="24"/>
        </w:rPr>
      </w:pPr>
    </w:p>
    <w:p w:rsidR="007B4D42" w:rsidRPr="007B4D42" w:rsidRDefault="007B4D42" w:rsidP="007B4D42">
      <w:pPr>
        <w:spacing w:after="0" w:line="240" w:lineRule="auto"/>
        <w:jc w:val="center"/>
        <w:rPr>
          <w:rFonts w:ascii="Times New Roman" w:eastAsia="Times New Roman" w:hAnsi="Times New Roman" w:cs="Times New Roman"/>
          <w:b/>
          <w:sz w:val="24"/>
          <w:szCs w:val="24"/>
        </w:rPr>
      </w:pPr>
      <w:r w:rsidRPr="007B4D42">
        <w:rPr>
          <w:rFonts w:ascii="Times New Roman" w:eastAsia="Times New Roman" w:hAnsi="Times New Roman" w:cs="Times New Roman"/>
          <w:b/>
          <w:sz w:val="24"/>
          <w:szCs w:val="24"/>
        </w:rPr>
        <w:t>BEFORE THE</w:t>
      </w:r>
    </w:p>
    <w:p w:rsidR="007B4D42" w:rsidRPr="007B4D42" w:rsidRDefault="007B4D42" w:rsidP="007B4D42">
      <w:pPr>
        <w:spacing w:after="0" w:line="240" w:lineRule="auto"/>
        <w:jc w:val="center"/>
        <w:rPr>
          <w:rFonts w:ascii="Times New Roman" w:eastAsia="Times New Roman" w:hAnsi="Times New Roman" w:cs="Times New Roman"/>
          <w:b/>
          <w:sz w:val="24"/>
          <w:szCs w:val="24"/>
        </w:rPr>
      </w:pPr>
      <w:r w:rsidRPr="007B4D42">
        <w:rPr>
          <w:rFonts w:ascii="Times New Roman" w:eastAsia="Times New Roman" w:hAnsi="Times New Roman" w:cs="Times New Roman"/>
          <w:b/>
          <w:sz w:val="24"/>
          <w:szCs w:val="24"/>
        </w:rPr>
        <w:t>PENNSYLVANIA PUBLIC UTILITY COMMISSION</w:t>
      </w:r>
    </w:p>
    <w:p w:rsidR="007B4D42" w:rsidRPr="007B4D42" w:rsidRDefault="007B4D42" w:rsidP="007B4D42">
      <w:pPr>
        <w:spacing w:after="0" w:line="240" w:lineRule="auto"/>
        <w:jc w:val="center"/>
        <w:rPr>
          <w:rFonts w:ascii="Times New Roman" w:eastAsia="Times New Roman" w:hAnsi="Times New Roman" w:cs="Times New Roman"/>
          <w:b/>
          <w:sz w:val="24"/>
          <w:szCs w:val="24"/>
        </w:rPr>
      </w:pPr>
    </w:p>
    <w:p w:rsidR="007B4D42" w:rsidRPr="007B4D42" w:rsidRDefault="007B4D42" w:rsidP="007B4D42">
      <w:pPr>
        <w:spacing w:after="0" w:line="240" w:lineRule="auto"/>
        <w:rPr>
          <w:rFonts w:ascii="Times New Roman" w:eastAsia="Times New Roman" w:hAnsi="Times New Roman" w:cs="Times New Roman"/>
          <w:b/>
          <w:sz w:val="24"/>
          <w:szCs w:val="24"/>
        </w:rPr>
      </w:pPr>
    </w:p>
    <w:p w:rsidR="007B4D42" w:rsidRPr="00B755F7" w:rsidRDefault="007B4D42" w:rsidP="007B4D4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7B4D42" w:rsidRPr="00B755F7" w:rsidRDefault="007B4D42" w:rsidP="007B4D42">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Ilya</w:t>
      </w:r>
      <w:proofErr w:type="spellEnd"/>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3"/>
          <w:sz w:val="24"/>
          <w:szCs w:val="24"/>
        </w:rPr>
        <w:t>Pikus</w:t>
      </w:r>
      <w:proofErr w:type="spellEnd"/>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t>:</w:t>
      </w:r>
    </w:p>
    <w:p w:rsidR="007B4D42" w:rsidRPr="00B755F7" w:rsidRDefault="007B4D42" w:rsidP="007B4D42">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7B4D42" w:rsidRPr="00B755F7" w:rsidRDefault="007B4D42" w:rsidP="007B4D42">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t>v.</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F-2013-2359938</w:t>
      </w:r>
    </w:p>
    <w:p w:rsidR="007B4D42" w:rsidRPr="00B755F7" w:rsidRDefault="007B4D42" w:rsidP="007B4D42">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7B4D42" w:rsidRPr="00B755F7" w:rsidRDefault="007B4D42" w:rsidP="007B4D42">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Philadelphia Gas Works</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rsidR="007B4D42" w:rsidRPr="007B4D42" w:rsidRDefault="007B4D42" w:rsidP="007B4D42">
      <w:pPr>
        <w:spacing w:after="0" w:line="240" w:lineRule="auto"/>
        <w:jc w:val="both"/>
        <w:rPr>
          <w:rFonts w:ascii="Times New Roman" w:eastAsia="Times New Roman" w:hAnsi="Times New Roman" w:cs="Times New Roman"/>
          <w:sz w:val="24"/>
          <w:szCs w:val="24"/>
        </w:rPr>
      </w:pPr>
    </w:p>
    <w:p w:rsidR="007B4D42" w:rsidRPr="007B4D42" w:rsidRDefault="007B4D42" w:rsidP="007B4D42">
      <w:pPr>
        <w:spacing w:after="0" w:line="240" w:lineRule="auto"/>
        <w:jc w:val="both"/>
        <w:rPr>
          <w:rFonts w:ascii="Times New Roman" w:eastAsia="Times New Roman" w:hAnsi="Times New Roman" w:cs="Times New Roman"/>
          <w:sz w:val="24"/>
          <w:szCs w:val="24"/>
        </w:rPr>
      </w:pPr>
    </w:p>
    <w:p w:rsidR="007B4D42" w:rsidRPr="007B4D42" w:rsidRDefault="007B4D42" w:rsidP="007B4D42">
      <w:pPr>
        <w:spacing w:after="0" w:line="240" w:lineRule="auto"/>
        <w:jc w:val="center"/>
        <w:rPr>
          <w:rFonts w:ascii="Times New Roman" w:eastAsia="Times New Roman" w:hAnsi="Times New Roman" w:cs="Times New Roman"/>
          <w:sz w:val="24"/>
          <w:szCs w:val="24"/>
        </w:rPr>
      </w:pPr>
      <w:r w:rsidRPr="007B4D42">
        <w:rPr>
          <w:rFonts w:ascii="Times New Roman" w:eastAsia="Times New Roman" w:hAnsi="Times New Roman" w:cs="Times New Roman"/>
          <w:b/>
          <w:sz w:val="24"/>
          <w:szCs w:val="24"/>
          <w:u w:val="single"/>
        </w:rPr>
        <w:t xml:space="preserve">ORDER GRANTING MOTION </w:t>
      </w:r>
      <w:r>
        <w:rPr>
          <w:rFonts w:ascii="Times New Roman" w:eastAsia="Times New Roman" w:hAnsi="Times New Roman" w:cs="Times New Roman"/>
          <w:b/>
          <w:sz w:val="24"/>
          <w:szCs w:val="24"/>
          <w:u w:val="single"/>
        </w:rPr>
        <w:t>TO COMPEL</w:t>
      </w:r>
      <w:r w:rsidR="00C6783F">
        <w:rPr>
          <w:rFonts w:ascii="Times New Roman" w:eastAsia="Times New Roman" w:hAnsi="Times New Roman" w:cs="Times New Roman"/>
          <w:b/>
          <w:sz w:val="24"/>
          <w:szCs w:val="24"/>
          <w:u w:val="single"/>
        </w:rPr>
        <w:t xml:space="preserve"> DISCOVERY</w:t>
      </w:r>
    </w:p>
    <w:p w:rsidR="007B4D42" w:rsidRPr="007B4D42" w:rsidRDefault="007B4D42" w:rsidP="007B4D42">
      <w:pPr>
        <w:spacing w:after="0" w:line="240" w:lineRule="auto"/>
        <w:jc w:val="center"/>
        <w:rPr>
          <w:rFonts w:ascii="Times New Roman" w:eastAsia="Times New Roman" w:hAnsi="Times New Roman" w:cs="Times New Roman"/>
          <w:sz w:val="24"/>
          <w:szCs w:val="24"/>
        </w:rPr>
      </w:pPr>
    </w:p>
    <w:p w:rsidR="007B4D42" w:rsidRPr="007B4D42" w:rsidRDefault="007B4D42" w:rsidP="007B4D42">
      <w:pPr>
        <w:spacing w:after="0" w:line="240" w:lineRule="auto"/>
        <w:jc w:val="center"/>
        <w:rPr>
          <w:rFonts w:ascii="Times New Roman" w:eastAsia="Times New Roman" w:hAnsi="Times New Roman" w:cs="Times New Roman"/>
          <w:sz w:val="24"/>
          <w:szCs w:val="24"/>
        </w:rPr>
      </w:pPr>
    </w:p>
    <w:p w:rsidR="007B4D42" w:rsidRPr="007B4D42" w:rsidRDefault="007B4D42" w:rsidP="007B4D42">
      <w:pPr>
        <w:spacing w:after="0" w:line="360" w:lineRule="auto"/>
        <w:ind w:right="-18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b/>
      </w:r>
      <w:r w:rsidRPr="007B4D42">
        <w:rPr>
          <w:rFonts w:ascii="Times New Roman" w:eastAsia="Times New Roman" w:hAnsi="Times New Roman" w:cs="Times New Roman"/>
          <w:sz w:val="24"/>
          <w:szCs w:val="24"/>
        </w:rPr>
        <w:tab/>
        <w:t xml:space="preserve">On </w:t>
      </w:r>
      <w:r>
        <w:rPr>
          <w:rFonts w:ascii="Times New Roman" w:eastAsia="Times New Roman" w:hAnsi="Times New Roman" w:cs="Times New Roman"/>
          <w:sz w:val="24"/>
          <w:szCs w:val="24"/>
        </w:rPr>
        <w:t xml:space="preserve">July 8, 2013, </w:t>
      </w:r>
      <w:proofErr w:type="spellStart"/>
      <w:r>
        <w:rPr>
          <w:rFonts w:ascii="Times New Roman" w:eastAsia="Times New Roman" w:hAnsi="Times New Roman" w:cs="Times New Roman"/>
          <w:sz w:val="24"/>
          <w:szCs w:val="24"/>
        </w:rPr>
        <w:t>Ilya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Pikus</w:t>
      </w:r>
      <w:proofErr w:type="spellEnd"/>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Pikus</w:t>
      </w:r>
      <w:proofErr w:type="spellEnd"/>
      <w:r>
        <w:rPr>
          <w:rFonts w:ascii="Times New Roman" w:eastAsia="Times New Roman" w:hAnsi="Times New Roman" w:cs="Times New Roman"/>
          <w:sz w:val="24"/>
          <w:szCs w:val="24"/>
        </w:rPr>
        <w:t xml:space="preserve"> or Complainant) </w:t>
      </w:r>
      <w:r w:rsidRPr="007B4D42">
        <w:rPr>
          <w:rFonts w:ascii="Times New Roman" w:eastAsia="Times New Roman" w:hAnsi="Times New Roman" w:cs="Times New Roman"/>
          <w:sz w:val="24"/>
          <w:szCs w:val="24"/>
        </w:rPr>
        <w:t xml:space="preserve">filed </w:t>
      </w:r>
      <w:r>
        <w:rPr>
          <w:rFonts w:ascii="Times New Roman" w:eastAsia="Times New Roman" w:hAnsi="Times New Roman" w:cs="Times New Roman"/>
          <w:sz w:val="24"/>
          <w:szCs w:val="24"/>
        </w:rPr>
        <w:t xml:space="preserve">what is essentially </w:t>
      </w:r>
      <w:r w:rsidRPr="007B4D4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Motion to Compel</w:t>
      </w:r>
      <w:r w:rsidR="00C6783F">
        <w:rPr>
          <w:rFonts w:ascii="Times New Roman" w:eastAsia="Times New Roman" w:hAnsi="Times New Roman" w:cs="Times New Roman"/>
          <w:sz w:val="24"/>
          <w:szCs w:val="24"/>
        </w:rPr>
        <w:t xml:space="preserve"> Discovery</w:t>
      </w:r>
      <w:r>
        <w:rPr>
          <w:rFonts w:ascii="Times New Roman" w:eastAsia="Times New Roman" w:hAnsi="Times New Roman" w:cs="Times New Roman"/>
          <w:sz w:val="24"/>
          <w:szCs w:val="24"/>
        </w:rPr>
        <w:t xml:space="preserve"> </w:t>
      </w:r>
      <w:r w:rsidRPr="007B4D42">
        <w:rPr>
          <w:rFonts w:ascii="Times New Roman" w:eastAsia="Times New Roman" w:hAnsi="Times New Roman" w:cs="Times New Roman"/>
          <w:sz w:val="24"/>
          <w:szCs w:val="24"/>
        </w:rPr>
        <w:t>against</w:t>
      </w:r>
      <w:r>
        <w:rPr>
          <w:rFonts w:ascii="Times New Roman" w:eastAsia="Times New Roman" w:hAnsi="Times New Roman" w:cs="Times New Roman"/>
          <w:sz w:val="24"/>
          <w:szCs w:val="24"/>
        </w:rPr>
        <w:t xml:space="preserve"> Philadelphia Gas Works (PGW or Respondent</w:t>
      </w:r>
      <w:r w:rsidR="00D57FDC">
        <w:rPr>
          <w:rFonts w:ascii="Times New Roman" w:eastAsia="Times New Roman" w:hAnsi="Times New Roman" w:cs="Times New Roman"/>
          <w:sz w:val="24"/>
          <w:szCs w:val="24"/>
        </w:rPr>
        <w:t>)</w:t>
      </w:r>
      <w:r w:rsidRPr="007B4D42">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his</w:t>
      </w:r>
      <w:r w:rsidRPr="007B4D42">
        <w:rPr>
          <w:rFonts w:ascii="Times New Roman" w:eastAsia="Times New Roman" w:hAnsi="Times New Roman" w:cs="Times New Roman"/>
          <w:sz w:val="24"/>
          <w:szCs w:val="24"/>
        </w:rPr>
        <w:t xml:space="preserve"> Motion, </w:t>
      </w:r>
      <w:r>
        <w:rPr>
          <w:rFonts w:ascii="Times New Roman" w:eastAsia="Times New Roman" w:hAnsi="Times New Roman" w:cs="Times New Roman"/>
          <w:sz w:val="24"/>
          <w:szCs w:val="24"/>
        </w:rPr>
        <w:t xml:space="preserve">the Complainant </w:t>
      </w:r>
      <w:r w:rsidRPr="007B4D42">
        <w:rPr>
          <w:rFonts w:ascii="Times New Roman" w:eastAsia="Times New Roman" w:hAnsi="Times New Roman" w:cs="Times New Roman"/>
          <w:sz w:val="24"/>
          <w:szCs w:val="24"/>
        </w:rPr>
        <w:t>assert</w:t>
      </w:r>
      <w:r>
        <w:rPr>
          <w:rFonts w:ascii="Times New Roman" w:eastAsia="Times New Roman" w:hAnsi="Times New Roman" w:cs="Times New Roman"/>
          <w:sz w:val="24"/>
          <w:szCs w:val="24"/>
        </w:rPr>
        <w:t>s that PGW</w:t>
      </w:r>
      <w:r w:rsidRPr="007B4D42">
        <w:rPr>
          <w:rFonts w:ascii="Times New Roman" w:eastAsia="Times New Roman" w:hAnsi="Times New Roman" w:cs="Times New Roman"/>
          <w:sz w:val="24"/>
          <w:szCs w:val="24"/>
        </w:rPr>
        <w:t xml:space="preserve"> failed to respond or object to the </w:t>
      </w:r>
      <w:r>
        <w:rPr>
          <w:rFonts w:ascii="Times New Roman" w:eastAsia="Times New Roman" w:hAnsi="Times New Roman" w:cs="Times New Roman"/>
          <w:sz w:val="24"/>
          <w:szCs w:val="24"/>
        </w:rPr>
        <w:t>request for production of documents dated June 14, 2013</w:t>
      </w:r>
      <w:r>
        <w:rPr>
          <w:rStyle w:val="FootnoteReference"/>
          <w:rFonts w:ascii="Times New Roman" w:eastAsia="Times New Roman" w:hAnsi="Times New Roman" w:cs="Times New Roman"/>
          <w:sz w:val="24"/>
          <w:szCs w:val="24"/>
        </w:rPr>
        <w:footnoteReference w:id="1"/>
      </w:r>
      <w:r w:rsidRPr="007B4D42">
        <w:rPr>
          <w:rFonts w:ascii="Times New Roman" w:eastAsia="Times New Roman" w:hAnsi="Times New Roman" w:cs="Times New Roman"/>
          <w:sz w:val="24"/>
          <w:szCs w:val="24"/>
        </w:rPr>
        <w:t>.</w:t>
      </w:r>
    </w:p>
    <w:p w:rsidR="007B4D42" w:rsidRPr="007B4D42" w:rsidRDefault="007B4D42" w:rsidP="007B4D42">
      <w:pPr>
        <w:spacing w:after="0" w:line="360" w:lineRule="auto"/>
        <w:ind w:right="-180"/>
        <w:rPr>
          <w:rFonts w:ascii="Times New Roman" w:eastAsia="Times New Roman" w:hAnsi="Times New Roman" w:cs="Times New Roman"/>
          <w:sz w:val="24"/>
          <w:szCs w:val="24"/>
        </w:rPr>
      </w:pPr>
    </w:p>
    <w:p w:rsidR="007B4D42" w:rsidRPr="007B4D42" w:rsidRDefault="007B4D42" w:rsidP="007B4D42">
      <w:pPr>
        <w:spacing w:after="0" w:line="360" w:lineRule="auto"/>
        <w:ind w:right="-18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b/>
      </w:r>
      <w:r w:rsidRPr="007B4D42">
        <w:rPr>
          <w:rFonts w:ascii="Times New Roman" w:eastAsia="Times New Roman" w:hAnsi="Times New Roman" w:cs="Times New Roman"/>
          <w:sz w:val="24"/>
          <w:szCs w:val="24"/>
        </w:rPr>
        <w:tab/>
        <w:t xml:space="preserve">Pursuant to 52 Pa. Code §§ </w:t>
      </w:r>
      <w:r w:rsidR="00D57FDC">
        <w:rPr>
          <w:rFonts w:ascii="Times New Roman" w:eastAsia="Times New Roman" w:hAnsi="Times New Roman" w:cs="Times New Roman"/>
          <w:sz w:val="24"/>
          <w:szCs w:val="24"/>
        </w:rPr>
        <w:t>5.342(g</w:t>
      </w:r>
      <w:proofErr w:type="gramStart"/>
      <w:r w:rsidR="00D57FDC">
        <w:rPr>
          <w:rFonts w:ascii="Times New Roman" w:eastAsia="Times New Roman" w:hAnsi="Times New Roman" w:cs="Times New Roman"/>
          <w:sz w:val="24"/>
          <w:szCs w:val="24"/>
        </w:rPr>
        <w:t>)(</w:t>
      </w:r>
      <w:proofErr w:type="gramEnd"/>
      <w:r w:rsidR="00D57FDC">
        <w:rPr>
          <w:rFonts w:ascii="Times New Roman" w:eastAsia="Times New Roman" w:hAnsi="Times New Roman" w:cs="Times New Roman"/>
          <w:sz w:val="24"/>
          <w:szCs w:val="24"/>
        </w:rPr>
        <w:t>1</w:t>
      </w:r>
      <w:r w:rsidRPr="007B4D42">
        <w:rPr>
          <w:rFonts w:ascii="Times New Roman" w:eastAsia="Times New Roman" w:hAnsi="Times New Roman" w:cs="Times New Roman"/>
          <w:sz w:val="24"/>
          <w:szCs w:val="24"/>
        </w:rPr>
        <w:t>) and 1.56(b), a response to the Motion was due on or before</w:t>
      </w:r>
      <w:r w:rsidR="00D57FDC">
        <w:rPr>
          <w:rFonts w:ascii="Times New Roman" w:eastAsia="Times New Roman" w:hAnsi="Times New Roman" w:cs="Times New Roman"/>
          <w:sz w:val="24"/>
          <w:szCs w:val="24"/>
        </w:rPr>
        <w:t xml:space="preserve"> July 16, 2013</w:t>
      </w:r>
      <w:r w:rsidRPr="007B4D42">
        <w:rPr>
          <w:rFonts w:ascii="Times New Roman" w:eastAsia="Times New Roman" w:hAnsi="Times New Roman" w:cs="Times New Roman"/>
          <w:sz w:val="24"/>
          <w:szCs w:val="24"/>
        </w:rPr>
        <w:t>.  No response was filed with the Pennsylvania Public Utility Commission (Commission) by that date, nor was I served with any response.</w:t>
      </w:r>
    </w:p>
    <w:p w:rsidR="007B4D42" w:rsidRPr="007B4D42" w:rsidRDefault="007B4D42" w:rsidP="007B4D42">
      <w:pPr>
        <w:spacing w:after="0" w:line="360" w:lineRule="auto"/>
        <w:ind w:right="-180"/>
        <w:rPr>
          <w:rFonts w:ascii="Times New Roman" w:eastAsia="Times New Roman" w:hAnsi="Times New Roman" w:cs="Times New Roman"/>
          <w:sz w:val="24"/>
          <w:szCs w:val="24"/>
        </w:rPr>
      </w:pPr>
    </w:p>
    <w:p w:rsidR="007B4D42" w:rsidRPr="007B4D42" w:rsidRDefault="007B4D42" w:rsidP="007B4D42">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The Commission’s regulations permit a broad scope of discovery.  The Rules of Administrative Practice and Procedure provide at 52 Pa. Code §5.321 that:</w:t>
      </w:r>
    </w:p>
    <w:p w:rsidR="007B4D42" w:rsidRPr="007B4D42" w:rsidRDefault="007B4D42" w:rsidP="007B4D42">
      <w:pPr>
        <w:spacing w:after="0" w:line="360" w:lineRule="auto"/>
        <w:ind w:firstLine="1440"/>
        <w:rPr>
          <w:rFonts w:ascii="Times New Roman" w:eastAsia="Times New Roman" w:hAnsi="Times New Roman" w:cs="Times New Roman"/>
          <w:sz w:val="24"/>
          <w:szCs w:val="24"/>
        </w:rPr>
      </w:pPr>
    </w:p>
    <w:p w:rsidR="007B4D42" w:rsidRPr="007B4D42" w:rsidRDefault="007B4D42" w:rsidP="007B4D42">
      <w:pPr>
        <w:spacing w:after="0" w:line="240" w:lineRule="auto"/>
        <w:ind w:left="1440" w:right="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 participant may obtain discovery regarding any matter, not privileged, which is relevant to the subject matter involved in the pending action, whether it relates to the claim or defense of another party or participant . . . It is not ground for objection that the information sought will be inadmissible at hearing if the information sought appears reasonably calculated to lead to the discovery of admissible evidence.</w:t>
      </w:r>
    </w:p>
    <w:p w:rsidR="007B4D42" w:rsidRPr="007B4D42" w:rsidRDefault="007B4D42" w:rsidP="007B4D42">
      <w:pPr>
        <w:spacing w:after="0" w:line="360" w:lineRule="auto"/>
        <w:ind w:left="1440" w:right="1440"/>
        <w:rPr>
          <w:rFonts w:ascii="Times New Roman" w:eastAsia="Times New Roman" w:hAnsi="Times New Roman" w:cs="Times New Roman"/>
          <w:sz w:val="24"/>
          <w:szCs w:val="24"/>
        </w:rPr>
      </w:pPr>
    </w:p>
    <w:p w:rsidR="007B4D42" w:rsidRPr="007B4D42" w:rsidRDefault="007B4D42" w:rsidP="007B4D42">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lastRenderedPageBreak/>
        <w:t>Specific limitations on the scope of discovery are found at 52 Pa. Code § 5.361(a), which prohibits discovery which is sought in bad faith, would cause unreasonable burden or expense, relates to privileged material or would require the making of an unreasonable investigation by the answering party.</w:t>
      </w:r>
    </w:p>
    <w:p w:rsidR="007B4D42" w:rsidRPr="007B4D42" w:rsidRDefault="007B4D42" w:rsidP="007B4D42">
      <w:pPr>
        <w:spacing w:after="0" w:line="360" w:lineRule="auto"/>
        <w:ind w:firstLine="1440"/>
        <w:rPr>
          <w:rFonts w:ascii="Times New Roman" w:eastAsia="Times New Roman" w:hAnsi="Times New Roman" w:cs="Times New Roman"/>
          <w:sz w:val="24"/>
          <w:szCs w:val="24"/>
        </w:rPr>
      </w:pPr>
    </w:p>
    <w:p w:rsidR="007B4D42" w:rsidRPr="007B4D42" w:rsidRDefault="007B4D42" w:rsidP="007B4D42">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 xml:space="preserve">By failing to object to the </w:t>
      </w:r>
      <w:r w:rsidR="00C6783F">
        <w:rPr>
          <w:rFonts w:ascii="Times New Roman" w:eastAsia="Times New Roman" w:hAnsi="Times New Roman" w:cs="Times New Roman"/>
          <w:sz w:val="24"/>
          <w:szCs w:val="24"/>
        </w:rPr>
        <w:t xml:space="preserve">Complainant’s discovery request </w:t>
      </w:r>
      <w:r w:rsidRPr="007B4D42">
        <w:rPr>
          <w:rFonts w:ascii="Times New Roman" w:eastAsia="Times New Roman" w:hAnsi="Times New Roman" w:cs="Times New Roman"/>
          <w:sz w:val="24"/>
          <w:szCs w:val="24"/>
        </w:rPr>
        <w:t xml:space="preserve">within the time period set forth in 52 Pa. Code § 5.342(c) and (d), the </w:t>
      </w:r>
      <w:r w:rsidR="00D57FDC">
        <w:rPr>
          <w:rFonts w:ascii="Times New Roman" w:eastAsia="Times New Roman" w:hAnsi="Times New Roman" w:cs="Times New Roman"/>
          <w:sz w:val="24"/>
          <w:szCs w:val="24"/>
        </w:rPr>
        <w:t xml:space="preserve">Respondent </w:t>
      </w:r>
      <w:r w:rsidRPr="007B4D42">
        <w:rPr>
          <w:rFonts w:ascii="Times New Roman" w:eastAsia="Times New Roman" w:hAnsi="Times New Roman" w:cs="Times New Roman"/>
          <w:sz w:val="24"/>
          <w:szCs w:val="24"/>
        </w:rPr>
        <w:t>clearly has waived any possible objection that it</w:t>
      </w:r>
      <w:r w:rsidR="00C6783F">
        <w:rPr>
          <w:rFonts w:ascii="Times New Roman" w:eastAsia="Times New Roman" w:hAnsi="Times New Roman" w:cs="Times New Roman"/>
          <w:sz w:val="24"/>
          <w:szCs w:val="24"/>
        </w:rPr>
        <w:t xml:space="preserve"> may have had to the discovery</w:t>
      </w:r>
      <w:r w:rsidRPr="007B4D42">
        <w:rPr>
          <w:rFonts w:ascii="Times New Roman" w:eastAsia="Times New Roman" w:hAnsi="Times New Roman" w:cs="Times New Roman"/>
          <w:sz w:val="24"/>
          <w:szCs w:val="24"/>
        </w:rPr>
        <w:t>.  In addition, I hav</w:t>
      </w:r>
      <w:r w:rsidR="00C6783F">
        <w:rPr>
          <w:rFonts w:ascii="Times New Roman" w:eastAsia="Times New Roman" w:hAnsi="Times New Roman" w:cs="Times New Roman"/>
          <w:sz w:val="24"/>
          <w:szCs w:val="24"/>
        </w:rPr>
        <w:t xml:space="preserve">e reviewed Mr. Mr. </w:t>
      </w:r>
      <w:proofErr w:type="spellStart"/>
      <w:r w:rsidR="00C6783F">
        <w:rPr>
          <w:rFonts w:ascii="Times New Roman" w:eastAsia="Times New Roman" w:hAnsi="Times New Roman" w:cs="Times New Roman"/>
          <w:sz w:val="24"/>
          <w:szCs w:val="24"/>
        </w:rPr>
        <w:t>Pikus</w:t>
      </w:r>
      <w:proofErr w:type="spellEnd"/>
      <w:r w:rsidR="00C6783F">
        <w:rPr>
          <w:rFonts w:ascii="Times New Roman" w:eastAsia="Times New Roman" w:hAnsi="Times New Roman" w:cs="Times New Roman"/>
          <w:sz w:val="24"/>
          <w:szCs w:val="24"/>
        </w:rPr>
        <w:t xml:space="preserve"> request for production of documents</w:t>
      </w:r>
      <w:r w:rsidRPr="007B4D42">
        <w:rPr>
          <w:rFonts w:ascii="Times New Roman" w:eastAsia="Times New Roman" w:hAnsi="Times New Roman" w:cs="Times New Roman"/>
          <w:sz w:val="24"/>
          <w:szCs w:val="24"/>
        </w:rPr>
        <w:t>.  They are reasonable and simply worded, and are intended to identify facts and data relevant to the</w:t>
      </w:r>
      <w:r w:rsidR="00D57FDC">
        <w:rPr>
          <w:rFonts w:ascii="Times New Roman" w:eastAsia="Times New Roman" w:hAnsi="Times New Roman" w:cs="Times New Roman"/>
          <w:sz w:val="24"/>
          <w:szCs w:val="24"/>
        </w:rPr>
        <w:t xml:space="preserve"> Complaint</w:t>
      </w:r>
      <w:r w:rsidRPr="007B4D42">
        <w:rPr>
          <w:rFonts w:ascii="Times New Roman" w:eastAsia="Times New Roman" w:hAnsi="Times New Roman" w:cs="Times New Roman"/>
          <w:sz w:val="24"/>
          <w:szCs w:val="24"/>
        </w:rPr>
        <w:t xml:space="preserve">. </w:t>
      </w:r>
    </w:p>
    <w:p w:rsidR="007B4D42" w:rsidRPr="007B4D42" w:rsidRDefault="007B4D42" w:rsidP="007B4D42">
      <w:pPr>
        <w:spacing w:after="0" w:line="360" w:lineRule="auto"/>
        <w:ind w:firstLine="1440"/>
        <w:rPr>
          <w:rFonts w:ascii="Times New Roman" w:eastAsia="Times New Roman" w:hAnsi="Times New Roman" w:cs="Times New Roman"/>
          <w:sz w:val="24"/>
          <w:szCs w:val="24"/>
        </w:rPr>
      </w:pPr>
    </w:p>
    <w:p w:rsidR="007B4D42" w:rsidRPr="007B4D42" w:rsidRDefault="007B4D42" w:rsidP="007B4D42">
      <w:pPr>
        <w:spacing w:after="0" w:line="360" w:lineRule="auto"/>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b/>
      </w:r>
      <w:r w:rsidRPr="007B4D42">
        <w:rPr>
          <w:rFonts w:ascii="Times New Roman" w:eastAsia="Times New Roman" w:hAnsi="Times New Roman" w:cs="Times New Roman"/>
          <w:sz w:val="24"/>
          <w:szCs w:val="24"/>
        </w:rPr>
        <w:tab/>
        <w:t xml:space="preserve">The </w:t>
      </w:r>
      <w:r w:rsidR="00D57FDC">
        <w:rPr>
          <w:rFonts w:ascii="Times New Roman" w:eastAsia="Times New Roman" w:hAnsi="Times New Roman" w:cs="Times New Roman"/>
          <w:sz w:val="24"/>
          <w:szCs w:val="24"/>
        </w:rPr>
        <w:t xml:space="preserve">Complainant has </w:t>
      </w:r>
      <w:r w:rsidRPr="007B4D42">
        <w:rPr>
          <w:rFonts w:ascii="Times New Roman" w:eastAsia="Times New Roman" w:hAnsi="Times New Roman" w:cs="Times New Roman"/>
          <w:sz w:val="24"/>
          <w:szCs w:val="24"/>
        </w:rPr>
        <w:t>an abs</w:t>
      </w:r>
      <w:r w:rsidR="00D57FDC">
        <w:rPr>
          <w:rFonts w:ascii="Times New Roman" w:eastAsia="Times New Roman" w:hAnsi="Times New Roman" w:cs="Times New Roman"/>
          <w:sz w:val="24"/>
          <w:szCs w:val="24"/>
        </w:rPr>
        <w:t xml:space="preserve">olute due process right to have PGW </w:t>
      </w:r>
      <w:r w:rsidR="00C6783F">
        <w:rPr>
          <w:rFonts w:ascii="Times New Roman" w:eastAsia="Times New Roman" w:hAnsi="Times New Roman" w:cs="Times New Roman"/>
          <w:sz w:val="24"/>
          <w:szCs w:val="24"/>
        </w:rPr>
        <w:t>respond to his discovery request</w:t>
      </w:r>
      <w:r w:rsidRPr="007B4D42">
        <w:rPr>
          <w:rFonts w:ascii="Times New Roman" w:eastAsia="Times New Roman" w:hAnsi="Times New Roman" w:cs="Times New Roman"/>
          <w:sz w:val="24"/>
          <w:szCs w:val="24"/>
        </w:rPr>
        <w:t xml:space="preserve">.  This information </w:t>
      </w:r>
      <w:r w:rsidR="00C6783F">
        <w:rPr>
          <w:rFonts w:ascii="Times New Roman" w:eastAsia="Times New Roman" w:hAnsi="Times New Roman" w:cs="Times New Roman"/>
          <w:sz w:val="24"/>
          <w:szCs w:val="24"/>
        </w:rPr>
        <w:t xml:space="preserve">requested </w:t>
      </w:r>
      <w:r w:rsidRPr="007B4D42">
        <w:rPr>
          <w:rFonts w:ascii="Times New Roman" w:eastAsia="Times New Roman" w:hAnsi="Times New Roman" w:cs="Times New Roman"/>
          <w:sz w:val="24"/>
          <w:szCs w:val="24"/>
        </w:rPr>
        <w:t>is directly relevant and material to the</w:t>
      </w:r>
      <w:r w:rsidR="00D57FDC">
        <w:rPr>
          <w:rFonts w:ascii="Times New Roman" w:eastAsia="Times New Roman" w:hAnsi="Times New Roman" w:cs="Times New Roman"/>
          <w:sz w:val="24"/>
          <w:szCs w:val="24"/>
        </w:rPr>
        <w:t xml:space="preserve"> Complainant</w:t>
      </w:r>
      <w:r w:rsidRPr="007B4D42">
        <w:rPr>
          <w:rFonts w:ascii="Times New Roman" w:eastAsia="Times New Roman" w:hAnsi="Times New Roman" w:cs="Times New Roman"/>
          <w:sz w:val="24"/>
          <w:szCs w:val="24"/>
        </w:rPr>
        <w:t>’</w:t>
      </w:r>
      <w:r w:rsidR="00D57FDC">
        <w:rPr>
          <w:rFonts w:ascii="Times New Roman" w:eastAsia="Times New Roman" w:hAnsi="Times New Roman" w:cs="Times New Roman"/>
          <w:sz w:val="24"/>
          <w:szCs w:val="24"/>
        </w:rPr>
        <w:t>s case against the Respondent</w:t>
      </w:r>
      <w:r w:rsidRPr="007B4D42">
        <w:rPr>
          <w:rFonts w:ascii="Times New Roman" w:eastAsia="Times New Roman" w:hAnsi="Times New Roman" w:cs="Times New Roman"/>
          <w:sz w:val="24"/>
          <w:szCs w:val="24"/>
        </w:rPr>
        <w:t xml:space="preserve">.  </w:t>
      </w:r>
      <w:r w:rsidR="00D57FDC">
        <w:rPr>
          <w:rFonts w:ascii="Times New Roman" w:eastAsia="Times New Roman" w:hAnsi="Times New Roman" w:cs="Times New Roman"/>
          <w:sz w:val="24"/>
          <w:szCs w:val="24"/>
        </w:rPr>
        <w:t xml:space="preserve">Mr. </w:t>
      </w:r>
      <w:proofErr w:type="spellStart"/>
      <w:r w:rsidR="00D57FDC">
        <w:rPr>
          <w:rFonts w:ascii="Times New Roman" w:eastAsia="Times New Roman" w:hAnsi="Times New Roman" w:cs="Times New Roman"/>
          <w:sz w:val="24"/>
          <w:szCs w:val="24"/>
        </w:rPr>
        <w:t>Pikus</w:t>
      </w:r>
      <w:proofErr w:type="spellEnd"/>
      <w:r w:rsidR="00D57FDC">
        <w:rPr>
          <w:rFonts w:ascii="Times New Roman" w:eastAsia="Times New Roman" w:hAnsi="Times New Roman" w:cs="Times New Roman"/>
          <w:sz w:val="24"/>
          <w:szCs w:val="24"/>
        </w:rPr>
        <w:t xml:space="preserve"> </w:t>
      </w:r>
      <w:r w:rsidRPr="007B4D42">
        <w:rPr>
          <w:rFonts w:ascii="Times New Roman" w:eastAsia="Times New Roman" w:hAnsi="Times New Roman" w:cs="Times New Roman"/>
          <w:sz w:val="24"/>
          <w:szCs w:val="24"/>
        </w:rPr>
        <w:t xml:space="preserve">would be prejudiced in </w:t>
      </w:r>
      <w:r w:rsidR="00D57FDC">
        <w:rPr>
          <w:rFonts w:ascii="Times New Roman" w:eastAsia="Times New Roman" w:hAnsi="Times New Roman" w:cs="Times New Roman"/>
          <w:sz w:val="24"/>
          <w:szCs w:val="24"/>
        </w:rPr>
        <w:t xml:space="preserve">his </w:t>
      </w:r>
      <w:r w:rsidRPr="007B4D42">
        <w:rPr>
          <w:rFonts w:ascii="Times New Roman" w:eastAsia="Times New Roman" w:hAnsi="Times New Roman" w:cs="Times New Roman"/>
          <w:sz w:val="24"/>
          <w:szCs w:val="24"/>
        </w:rPr>
        <w:t xml:space="preserve">preparation and presentation of </w:t>
      </w:r>
      <w:r w:rsidR="00D57FDC">
        <w:rPr>
          <w:rFonts w:ascii="Times New Roman" w:eastAsia="Times New Roman" w:hAnsi="Times New Roman" w:cs="Times New Roman"/>
          <w:sz w:val="24"/>
          <w:szCs w:val="24"/>
        </w:rPr>
        <w:t xml:space="preserve">his </w:t>
      </w:r>
      <w:r w:rsidRPr="007B4D42">
        <w:rPr>
          <w:rFonts w:ascii="Times New Roman" w:eastAsia="Times New Roman" w:hAnsi="Times New Roman" w:cs="Times New Roman"/>
          <w:sz w:val="24"/>
          <w:szCs w:val="24"/>
        </w:rPr>
        <w:t xml:space="preserve">case </w:t>
      </w:r>
      <w:r w:rsidR="00D57FDC">
        <w:rPr>
          <w:rFonts w:ascii="Times New Roman" w:eastAsia="Times New Roman" w:hAnsi="Times New Roman" w:cs="Times New Roman"/>
          <w:sz w:val="24"/>
          <w:szCs w:val="24"/>
        </w:rPr>
        <w:t xml:space="preserve">in support of the Complaint </w:t>
      </w:r>
      <w:r w:rsidRPr="007B4D42">
        <w:rPr>
          <w:rFonts w:ascii="Times New Roman" w:eastAsia="Times New Roman" w:hAnsi="Times New Roman" w:cs="Times New Roman"/>
          <w:sz w:val="24"/>
          <w:szCs w:val="24"/>
        </w:rPr>
        <w:t xml:space="preserve">without this information, and valuable resources may be unnecessarily expended both by the </w:t>
      </w:r>
      <w:r w:rsidR="00D57FDC">
        <w:rPr>
          <w:rFonts w:ascii="Times New Roman" w:eastAsia="Times New Roman" w:hAnsi="Times New Roman" w:cs="Times New Roman"/>
          <w:sz w:val="24"/>
          <w:szCs w:val="24"/>
        </w:rPr>
        <w:t xml:space="preserve">Complainant </w:t>
      </w:r>
      <w:r w:rsidRPr="007B4D42">
        <w:rPr>
          <w:rFonts w:ascii="Times New Roman" w:eastAsia="Times New Roman" w:hAnsi="Times New Roman" w:cs="Times New Roman"/>
          <w:sz w:val="24"/>
          <w:szCs w:val="24"/>
        </w:rPr>
        <w:t xml:space="preserve">and the Commission without a clear articulation of the issues prior to hearing.  It is axiomatic that parties appearing before the Commission must at least make a good faith effort to comply with its procedures.  It does not appear that </w:t>
      </w:r>
      <w:r w:rsidR="00D57FDC">
        <w:rPr>
          <w:rFonts w:ascii="Times New Roman" w:eastAsia="Times New Roman" w:hAnsi="Times New Roman" w:cs="Times New Roman"/>
          <w:sz w:val="24"/>
          <w:szCs w:val="24"/>
        </w:rPr>
        <w:t>the Respondent</w:t>
      </w:r>
      <w:r w:rsidRPr="007B4D42">
        <w:rPr>
          <w:rFonts w:ascii="Times New Roman" w:eastAsia="Times New Roman" w:hAnsi="Times New Roman" w:cs="Times New Roman"/>
          <w:sz w:val="24"/>
          <w:szCs w:val="24"/>
        </w:rPr>
        <w:t xml:space="preserve"> has done that here.</w:t>
      </w:r>
    </w:p>
    <w:p w:rsidR="007B4D42" w:rsidRPr="007B4D42" w:rsidRDefault="007B4D42" w:rsidP="007B4D42">
      <w:pPr>
        <w:spacing w:after="0" w:line="360" w:lineRule="auto"/>
        <w:ind w:firstLine="1440"/>
        <w:rPr>
          <w:rFonts w:ascii="Times New Roman" w:eastAsia="Times New Roman" w:hAnsi="Times New Roman" w:cs="Times New Roman"/>
          <w:sz w:val="24"/>
          <w:szCs w:val="24"/>
        </w:rPr>
      </w:pPr>
    </w:p>
    <w:p w:rsidR="007B4D42" w:rsidRDefault="00D57FDC" w:rsidP="00F17479">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17479">
        <w:rPr>
          <w:rFonts w:ascii="Times New Roman" w:eastAsia="Times New Roman" w:hAnsi="Times New Roman" w:cs="Times New Roman"/>
          <w:sz w:val="24"/>
          <w:szCs w:val="24"/>
        </w:rPr>
        <w:t xml:space="preserve">This Order gives the Respondent </w:t>
      </w:r>
      <w:r w:rsidR="00F17479" w:rsidRPr="007B4D42">
        <w:rPr>
          <w:rFonts w:ascii="Times New Roman" w:eastAsia="Times New Roman" w:hAnsi="Times New Roman" w:cs="Times New Roman"/>
          <w:sz w:val="24"/>
          <w:szCs w:val="24"/>
        </w:rPr>
        <w:t>one final opportuni</w:t>
      </w:r>
      <w:r w:rsidR="00F17479">
        <w:rPr>
          <w:rFonts w:ascii="Times New Roman" w:eastAsia="Times New Roman" w:hAnsi="Times New Roman" w:cs="Times New Roman"/>
          <w:sz w:val="24"/>
          <w:szCs w:val="24"/>
        </w:rPr>
        <w:t xml:space="preserve">ty to answer Mr. </w:t>
      </w:r>
      <w:proofErr w:type="spellStart"/>
      <w:r w:rsidR="00F17479">
        <w:rPr>
          <w:rFonts w:ascii="Times New Roman" w:eastAsia="Times New Roman" w:hAnsi="Times New Roman" w:cs="Times New Roman"/>
          <w:sz w:val="24"/>
          <w:szCs w:val="24"/>
        </w:rPr>
        <w:t>Pikus</w:t>
      </w:r>
      <w:proofErr w:type="spellEnd"/>
      <w:r w:rsidR="00F17479">
        <w:rPr>
          <w:rFonts w:ascii="Times New Roman" w:eastAsia="Times New Roman" w:hAnsi="Times New Roman" w:cs="Times New Roman"/>
          <w:sz w:val="24"/>
          <w:szCs w:val="24"/>
        </w:rPr>
        <w:t xml:space="preserve">’ </w:t>
      </w:r>
      <w:r w:rsidR="00C6783F">
        <w:rPr>
          <w:rFonts w:ascii="Times New Roman" w:eastAsia="Times New Roman" w:hAnsi="Times New Roman" w:cs="Times New Roman"/>
          <w:sz w:val="24"/>
          <w:szCs w:val="24"/>
        </w:rPr>
        <w:t xml:space="preserve">discovery </w:t>
      </w:r>
      <w:r w:rsidR="00F17479">
        <w:rPr>
          <w:rFonts w:ascii="Times New Roman" w:eastAsia="Times New Roman" w:hAnsi="Times New Roman" w:cs="Times New Roman"/>
          <w:sz w:val="24"/>
          <w:szCs w:val="24"/>
        </w:rPr>
        <w:t>request.  The Complainant’</w:t>
      </w:r>
      <w:r w:rsidR="00C6783F">
        <w:rPr>
          <w:rFonts w:ascii="Times New Roman" w:eastAsia="Times New Roman" w:hAnsi="Times New Roman" w:cs="Times New Roman"/>
          <w:sz w:val="24"/>
          <w:szCs w:val="24"/>
        </w:rPr>
        <w:t>s discovery request</w:t>
      </w:r>
      <w:r w:rsidR="00F17479">
        <w:rPr>
          <w:rFonts w:ascii="Times New Roman" w:eastAsia="Times New Roman" w:hAnsi="Times New Roman" w:cs="Times New Roman"/>
          <w:sz w:val="24"/>
          <w:szCs w:val="24"/>
        </w:rPr>
        <w:t xml:space="preserve"> must be</w:t>
      </w:r>
      <w:r w:rsidR="00F17479" w:rsidRPr="007B4D42">
        <w:rPr>
          <w:rFonts w:ascii="Times New Roman" w:eastAsia="Times New Roman" w:hAnsi="Times New Roman" w:cs="Times New Roman"/>
          <w:sz w:val="24"/>
          <w:szCs w:val="24"/>
        </w:rPr>
        <w:t xml:space="preserve"> answered or objected to on or before</w:t>
      </w:r>
      <w:r w:rsidR="00F17479">
        <w:rPr>
          <w:rFonts w:ascii="Times New Roman" w:eastAsia="Times New Roman" w:hAnsi="Times New Roman" w:cs="Times New Roman"/>
          <w:sz w:val="24"/>
          <w:szCs w:val="24"/>
        </w:rPr>
        <w:t xml:space="preserve"> July 31</w:t>
      </w:r>
      <w:r w:rsidR="00F17479" w:rsidRPr="007B4D42">
        <w:rPr>
          <w:rFonts w:ascii="Times New Roman" w:eastAsia="Times New Roman" w:hAnsi="Times New Roman" w:cs="Times New Roman"/>
          <w:sz w:val="24"/>
          <w:szCs w:val="24"/>
        </w:rPr>
        <w:t>, 201</w:t>
      </w:r>
      <w:r w:rsidR="00F17479">
        <w:rPr>
          <w:rFonts w:ascii="Times New Roman" w:eastAsia="Times New Roman" w:hAnsi="Times New Roman" w:cs="Times New Roman"/>
          <w:sz w:val="24"/>
          <w:szCs w:val="24"/>
        </w:rPr>
        <w:t xml:space="preserve">3. </w:t>
      </w:r>
      <w:r w:rsidR="00F17479" w:rsidRPr="00F17479">
        <w:rPr>
          <w:rFonts w:ascii="Times New Roman" w:eastAsia="Times New Roman" w:hAnsi="Times New Roman" w:cs="Times New Roman"/>
          <w:sz w:val="24"/>
          <w:szCs w:val="24"/>
        </w:rPr>
        <w:t xml:space="preserve"> </w:t>
      </w:r>
      <w:r w:rsidR="00F17479" w:rsidRPr="007B4D42">
        <w:rPr>
          <w:rFonts w:ascii="Times New Roman" w:eastAsia="Times New Roman" w:hAnsi="Times New Roman" w:cs="Times New Roman"/>
          <w:sz w:val="24"/>
          <w:szCs w:val="24"/>
        </w:rPr>
        <w:t xml:space="preserve">If the </w:t>
      </w:r>
      <w:r w:rsidR="00F17479">
        <w:rPr>
          <w:rFonts w:ascii="Times New Roman" w:eastAsia="Times New Roman" w:hAnsi="Times New Roman" w:cs="Times New Roman"/>
          <w:sz w:val="24"/>
          <w:szCs w:val="24"/>
        </w:rPr>
        <w:t xml:space="preserve">Respondent </w:t>
      </w:r>
      <w:r w:rsidR="00F17479" w:rsidRPr="007B4D42">
        <w:rPr>
          <w:rFonts w:ascii="Times New Roman" w:eastAsia="Times New Roman" w:hAnsi="Times New Roman" w:cs="Times New Roman"/>
          <w:sz w:val="24"/>
          <w:szCs w:val="24"/>
        </w:rPr>
        <w:t xml:space="preserve">fails to provide adequate responses to </w:t>
      </w:r>
      <w:r w:rsidR="00F17479">
        <w:rPr>
          <w:rFonts w:ascii="Times New Roman" w:eastAsia="Times New Roman" w:hAnsi="Times New Roman" w:cs="Times New Roman"/>
          <w:sz w:val="24"/>
          <w:szCs w:val="24"/>
        </w:rPr>
        <w:t xml:space="preserve">Mr. </w:t>
      </w:r>
      <w:proofErr w:type="spellStart"/>
      <w:r w:rsidR="00F17479">
        <w:rPr>
          <w:rFonts w:ascii="Times New Roman" w:eastAsia="Times New Roman" w:hAnsi="Times New Roman" w:cs="Times New Roman"/>
          <w:sz w:val="24"/>
          <w:szCs w:val="24"/>
        </w:rPr>
        <w:t>Pikus</w:t>
      </w:r>
      <w:proofErr w:type="spellEnd"/>
      <w:r w:rsidR="00F17479">
        <w:rPr>
          <w:rFonts w:ascii="Times New Roman" w:eastAsia="Times New Roman" w:hAnsi="Times New Roman" w:cs="Times New Roman"/>
          <w:sz w:val="24"/>
          <w:szCs w:val="24"/>
        </w:rPr>
        <w:t xml:space="preserve">’ </w:t>
      </w:r>
      <w:r w:rsidR="00F17479" w:rsidRPr="007B4D42">
        <w:rPr>
          <w:rFonts w:ascii="Times New Roman" w:eastAsia="Times New Roman" w:hAnsi="Times New Roman" w:cs="Times New Roman"/>
          <w:sz w:val="24"/>
          <w:szCs w:val="24"/>
        </w:rPr>
        <w:t>discovery</w:t>
      </w:r>
      <w:r w:rsidR="00F17479">
        <w:rPr>
          <w:rFonts w:ascii="Times New Roman" w:eastAsia="Times New Roman" w:hAnsi="Times New Roman" w:cs="Times New Roman"/>
          <w:sz w:val="24"/>
          <w:szCs w:val="24"/>
        </w:rPr>
        <w:t xml:space="preserve"> request</w:t>
      </w:r>
      <w:r w:rsidR="00F17479" w:rsidRPr="007B4D42">
        <w:rPr>
          <w:rFonts w:ascii="Times New Roman" w:eastAsia="Times New Roman" w:hAnsi="Times New Roman" w:cs="Times New Roman"/>
          <w:sz w:val="24"/>
          <w:szCs w:val="24"/>
        </w:rPr>
        <w:t xml:space="preserve"> in compliance with this Order</w:t>
      </w:r>
      <w:r w:rsidR="00F17479">
        <w:rPr>
          <w:rFonts w:ascii="Times New Roman" w:eastAsia="Times New Roman" w:hAnsi="Times New Roman" w:cs="Times New Roman"/>
          <w:sz w:val="24"/>
          <w:szCs w:val="24"/>
        </w:rPr>
        <w:t xml:space="preserve">, Mr. </w:t>
      </w:r>
      <w:proofErr w:type="spellStart"/>
      <w:r w:rsidR="00F17479">
        <w:rPr>
          <w:rFonts w:ascii="Times New Roman" w:eastAsia="Times New Roman" w:hAnsi="Times New Roman" w:cs="Times New Roman"/>
          <w:sz w:val="24"/>
          <w:szCs w:val="24"/>
        </w:rPr>
        <w:t>Pikus</w:t>
      </w:r>
      <w:proofErr w:type="spellEnd"/>
      <w:r w:rsidR="00F17479">
        <w:rPr>
          <w:rFonts w:ascii="Times New Roman" w:eastAsia="Times New Roman" w:hAnsi="Times New Roman" w:cs="Times New Roman"/>
          <w:sz w:val="24"/>
          <w:szCs w:val="24"/>
        </w:rPr>
        <w:t xml:space="preserve"> may file a Motion for Sanctions in accordance with the provisions of 52 Pa. Code §§ 5.371, 5.372</w:t>
      </w:r>
    </w:p>
    <w:p w:rsidR="00C6783F" w:rsidRDefault="00C6783F" w:rsidP="00F17479">
      <w:pPr>
        <w:spacing w:after="0" w:line="360" w:lineRule="auto"/>
        <w:rPr>
          <w:rFonts w:ascii="Times New Roman" w:eastAsia="Times New Roman" w:hAnsi="Times New Roman" w:cs="Times New Roman"/>
          <w:sz w:val="24"/>
          <w:szCs w:val="24"/>
        </w:rPr>
      </w:pPr>
    </w:p>
    <w:p w:rsidR="00C6783F" w:rsidRDefault="00C6783F" w:rsidP="00F17479">
      <w:pPr>
        <w:spacing w:after="0" w:line="360" w:lineRule="auto"/>
        <w:rPr>
          <w:rFonts w:ascii="Times New Roman" w:eastAsia="Times New Roman" w:hAnsi="Times New Roman" w:cs="Times New Roman"/>
          <w:sz w:val="24"/>
          <w:szCs w:val="24"/>
        </w:rPr>
      </w:pPr>
    </w:p>
    <w:p w:rsidR="00C6783F" w:rsidRDefault="00C6783F" w:rsidP="00F17479">
      <w:pPr>
        <w:spacing w:after="0" w:line="360" w:lineRule="auto"/>
        <w:rPr>
          <w:rFonts w:ascii="Times New Roman" w:eastAsia="Times New Roman" w:hAnsi="Times New Roman" w:cs="Times New Roman"/>
          <w:sz w:val="24"/>
          <w:szCs w:val="24"/>
        </w:rPr>
      </w:pPr>
    </w:p>
    <w:p w:rsidR="00C6783F" w:rsidRDefault="00C6783F" w:rsidP="00F17479">
      <w:pPr>
        <w:spacing w:after="0" w:line="360" w:lineRule="auto"/>
        <w:rPr>
          <w:rFonts w:ascii="Times New Roman" w:eastAsia="Times New Roman" w:hAnsi="Times New Roman" w:cs="Times New Roman"/>
          <w:sz w:val="24"/>
          <w:szCs w:val="24"/>
        </w:rPr>
      </w:pPr>
    </w:p>
    <w:p w:rsidR="00C6783F" w:rsidRPr="007B4D42" w:rsidRDefault="00C6783F" w:rsidP="00F17479">
      <w:pPr>
        <w:spacing w:after="0" w:line="360" w:lineRule="auto"/>
        <w:rPr>
          <w:rFonts w:ascii="Times New Roman" w:eastAsia="Times New Roman" w:hAnsi="Times New Roman" w:cs="Times New Roman"/>
          <w:sz w:val="24"/>
          <w:szCs w:val="24"/>
        </w:rPr>
      </w:pPr>
    </w:p>
    <w:p w:rsidR="007B4D42" w:rsidRPr="007B4D42" w:rsidRDefault="007B4D42" w:rsidP="007B4D42">
      <w:pPr>
        <w:spacing w:after="0" w:line="360" w:lineRule="auto"/>
        <w:ind w:firstLine="1440"/>
        <w:rPr>
          <w:rFonts w:ascii="Times New Roman" w:eastAsia="Times New Roman" w:hAnsi="Times New Roman" w:cs="Times New Roman"/>
          <w:sz w:val="24"/>
          <w:szCs w:val="24"/>
        </w:rPr>
      </w:pPr>
    </w:p>
    <w:p w:rsidR="007B4D42" w:rsidRPr="007B4D42" w:rsidRDefault="007B4D42" w:rsidP="007B4D42">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lastRenderedPageBreak/>
        <w:t>THEREFORE,</w:t>
      </w:r>
    </w:p>
    <w:p w:rsidR="007B4D42" w:rsidRPr="007B4D42" w:rsidRDefault="007B4D42" w:rsidP="007B4D42">
      <w:pPr>
        <w:spacing w:after="0" w:line="360" w:lineRule="auto"/>
        <w:ind w:firstLine="1440"/>
        <w:rPr>
          <w:rFonts w:ascii="Times New Roman" w:eastAsia="Times New Roman" w:hAnsi="Times New Roman" w:cs="Times New Roman"/>
          <w:sz w:val="24"/>
          <w:szCs w:val="24"/>
        </w:rPr>
      </w:pPr>
    </w:p>
    <w:p w:rsidR="007B4D42" w:rsidRPr="007B4D42" w:rsidRDefault="007B4D42" w:rsidP="007B4D42">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IT IS ORDERED:</w:t>
      </w:r>
    </w:p>
    <w:p w:rsidR="007B4D42" w:rsidRPr="007B4D42" w:rsidRDefault="007B4D42" w:rsidP="007B4D42">
      <w:pPr>
        <w:spacing w:after="0" w:line="360" w:lineRule="auto"/>
        <w:ind w:firstLine="1440"/>
        <w:rPr>
          <w:rFonts w:ascii="Times New Roman" w:eastAsia="Times New Roman" w:hAnsi="Times New Roman" w:cs="Times New Roman"/>
          <w:sz w:val="24"/>
          <w:szCs w:val="24"/>
        </w:rPr>
      </w:pPr>
    </w:p>
    <w:p w:rsidR="007B4D42" w:rsidRPr="007B4D42" w:rsidRDefault="00C6783F" w:rsidP="007B4D4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That </w:t>
      </w:r>
      <w:proofErr w:type="spellStart"/>
      <w:r>
        <w:rPr>
          <w:rFonts w:ascii="Times New Roman" w:eastAsia="Times New Roman" w:hAnsi="Times New Roman" w:cs="Times New Roman"/>
          <w:sz w:val="24"/>
          <w:szCs w:val="24"/>
        </w:rPr>
        <w:t>Ilya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Pikus</w:t>
      </w:r>
      <w:proofErr w:type="spellEnd"/>
      <w:r>
        <w:rPr>
          <w:rFonts w:ascii="Times New Roman" w:eastAsia="Times New Roman" w:hAnsi="Times New Roman" w:cs="Times New Roman"/>
          <w:sz w:val="24"/>
          <w:szCs w:val="24"/>
        </w:rPr>
        <w:t xml:space="preserve"> Motion to Compel Discovery against Philadelphia Gas Works is granted.</w:t>
      </w:r>
      <w:r w:rsidR="007B4D42" w:rsidRPr="007B4D42">
        <w:rPr>
          <w:rFonts w:ascii="Times New Roman" w:eastAsia="Times New Roman" w:hAnsi="Times New Roman" w:cs="Times New Roman"/>
          <w:sz w:val="24"/>
          <w:szCs w:val="24"/>
        </w:rPr>
        <w:t xml:space="preserve"> </w:t>
      </w:r>
    </w:p>
    <w:p w:rsidR="007B4D42" w:rsidRPr="007B4D42" w:rsidRDefault="007B4D42" w:rsidP="007B4D42">
      <w:pPr>
        <w:spacing w:after="0" w:line="360" w:lineRule="auto"/>
        <w:ind w:firstLine="1440"/>
        <w:rPr>
          <w:rFonts w:ascii="Times New Roman" w:eastAsia="Times New Roman" w:hAnsi="Times New Roman" w:cs="Times New Roman"/>
          <w:sz w:val="24"/>
          <w:szCs w:val="24"/>
        </w:rPr>
      </w:pPr>
    </w:p>
    <w:p w:rsidR="007B4D42" w:rsidRPr="007B4D42" w:rsidRDefault="007B4D42" w:rsidP="007B4D42">
      <w:pPr>
        <w:spacing w:after="0" w:line="360" w:lineRule="auto"/>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b/>
      </w:r>
      <w:r w:rsidRPr="007B4D42">
        <w:rPr>
          <w:rFonts w:ascii="Times New Roman" w:eastAsia="Times New Roman" w:hAnsi="Times New Roman" w:cs="Times New Roman"/>
          <w:sz w:val="24"/>
          <w:szCs w:val="24"/>
        </w:rPr>
        <w:tab/>
        <w:t>2.</w:t>
      </w:r>
      <w:r w:rsidRPr="007B4D42">
        <w:rPr>
          <w:rFonts w:ascii="Times New Roman" w:eastAsia="Times New Roman" w:hAnsi="Times New Roman" w:cs="Times New Roman"/>
          <w:sz w:val="24"/>
          <w:szCs w:val="24"/>
        </w:rPr>
        <w:tab/>
        <w:t xml:space="preserve">That </w:t>
      </w:r>
      <w:r w:rsidR="00C6783F">
        <w:rPr>
          <w:rFonts w:ascii="Times New Roman" w:eastAsia="Times New Roman" w:hAnsi="Times New Roman" w:cs="Times New Roman"/>
          <w:sz w:val="24"/>
          <w:szCs w:val="24"/>
        </w:rPr>
        <w:t xml:space="preserve">Philadelphia Gas Works </w:t>
      </w:r>
      <w:r w:rsidRPr="007B4D42">
        <w:rPr>
          <w:rFonts w:ascii="Times New Roman" w:eastAsia="Times New Roman" w:hAnsi="Times New Roman" w:cs="Times New Roman"/>
          <w:sz w:val="24"/>
          <w:szCs w:val="24"/>
        </w:rPr>
        <w:t xml:space="preserve">is directed to </w:t>
      </w:r>
      <w:r w:rsidR="00C6783F">
        <w:rPr>
          <w:rFonts w:ascii="Times New Roman" w:eastAsia="Times New Roman" w:hAnsi="Times New Roman" w:cs="Times New Roman"/>
          <w:sz w:val="24"/>
          <w:szCs w:val="24"/>
        </w:rPr>
        <w:t xml:space="preserve">respond to </w:t>
      </w:r>
      <w:proofErr w:type="spellStart"/>
      <w:r w:rsidR="00C6783F">
        <w:rPr>
          <w:rFonts w:ascii="Times New Roman" w:eastAsia="Times New Roman" w:hAnsi="Times New Roman" w:cs="Times New Roman"/>
          <w:sz w:val="24"/>
          <w:szCs w:val="24"/>
        </w:rPr>
        <w:t>Ilya</w:t>
      </w:r>
      <w:proofErr w:type="spellEnd"/>
      <w:r w:rsidR="00C6783F">
        <w:rPr>
          <w:rFonts w:ascii="Times New Roman" w:eastAsia="Times New Roman" w:hAnsi="Times New Roman" w:cs="Times New Roman"/>
          <w:sz w:val="24"/>
          <w:szCs w:val="24"/>
        </w:rPr>
        <w:t xml:space="preserve"> </w:t>
      </w:r>
      <w:proofErr w:type="spellStart"/>
      <w:r w:rsidR="00C6783F">
        <w:rPr>
          <w:rFonts w:ascii="Times New Roman" w:eastAsia="Times New Roman" w:hAnsi="Times New Roman" w:cs="Times New Roman"/>
          <w:sz w:val="24"/>
          <w:szCs w:val="24"/>
        </w:rPr>
        <w:t>Pikus</w:t>
      </w:r>
      <w:proofErr w:type="spellEnd"/>
      <w:r w:rsidR="00C6783F">
        <w:rPr>
          <w:rFonts w:ascii="Times New Roman" w:eastAsia="Times New Roman" w:hAnsi="Times New Roman" w:cs="Times New Roman"/>
          <w:sz w:val="24"/>
          <w:szCs w:val="24"/>
        </w:rPr>
        <w:t xml:space="preserve">’ discovery request </w:t>
      </w:r>
      <w:r w:rsidRPr="007B4D42">
        <w:rPr>
          <w:rFonts w:ascii="Times New Roman" w:eastAsia="Times New Roman" w:hAnsi="Times New Roman" w:cs="Times New Roman"/>
          <w:sz w:val="24"/>
          <w:szCs w:val="24"/>
        </w:rPr>
        <w:t>on or before</w:t>
      </w:r>
      <w:r w:rsidR="00C6783F">
        <w:rPr>
          <w:rFonts w:ascii="Times New Roman" w:eastAsia="Times New Roman" w:hAnsi="Times New Roman" w:cs="Times New Roman"/>
          <w:sz w:val="24"/>
          <w:szCs w:val="24"/>
        </w:rPr>
        <w:t xml:space="preserve"> </w:t>
      </w:r>
      <w:r w:rsidR="00C6783F" w:rsidRPr="00C6783F">
        <w:rPr>
          <w:rFonts w:ascii="Times New Roman" w:eastAsia="Times New Roman" w:hAnsi="Times New Roman" w:cs="Times New Roman"/>
          <w:sz w:val="24"/>
          <w:szCs w:val="24"/>
        </w:rPr>
        <w:t>July 31, 2013</w:t>
      </w:r>
      <w:r w:rsidRPr="007B4D42">
        <w:rPr>
          <w:rFonts w:ascii="Times New Roman" w:eastAsia="Times New Roman" w:hAnsi="Times New Roman" w:cs="Times New Roman"/>
          <w:sz w:val="24"/>
          <w:szCs w:val="24"/>
        </w:rPr>
        <w:t xml:space="preserve">.  </w:t>
      </w:r>
    </w:p>
    <w:p w:rsidR="007B4D42" w:rsidRPr="007B4D42" w:rsidRDefault="007B4D42" w:rsidP="007B4D42">
      <w:pPr>
        <w:spacing w:after="0" w:line="360" w:lineRule="auto"/>
        <w:ind w:firstLine="1440"/>
        <w:rPr>
          <w:rFonts w:ascii="Times New Roman" w:eastAsia="Times New Roman" w:hAnsi="Times New Roman" w:cs="Times New Roman"/>
          <w:sz w:val="24"/>
          <w:szCs w:val="24"/>
        </w:rPr>
      </w:pPr>
    </w:p>
    <w:p w:rsidR="007B4D42" w:rsidRPr="007B4D42" w:rsidRDefault="007B4D42" w:rsidP="007B4D42">
      <w:pPr>
        <w:spacing w:after="0" w:line="360" w:lineRule="auto"/>
        <w:ind w:firstLine="1440"/>
        <w:jc w:val="both"/>
        <w:rPr>
          <w:rFonts w:ascii="Times New Roman" w:eastAsia="Times New Roman" w:hAnsi="Times New Roman" w:cs="Times New Roman"/>
          <w:sz w:val="24"/>
          <w:szCs w:val="24"/>
        </w:rPr>
      </w:pPr>
    </w:p>
    <w:p w:rsidR="007B4D42" w:rsidRPr="007B4D42" w:rsidRDefault="007B4D42" w:rsidP="007B4D42">
      <w:pPr>
        <w:spacing w:after="0" w:line="360" w:lineRule="auto"/>
        <w:ind w:firstLine="1440"/>
        <w:jc w:val="both"/>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1098"/>
        <w:gridCol w:w="2340"/>
        <w:gridCol w:w="1710"/>
        <w:gridCol w:w="4428"/>
      </w:tblGrid>
      <w:tr w:rsidR="007B4D42" w:rsidRPr="007B4D42" w:rsidTr="002C0B26">
        <w:tc>
          <w:tcPr>
            <w:tcW w:w="1098" w:type="dxa"/>
          </w:tcPr>
          <w:p w:rsidR="007B4D42" w:rsidRPr="007B4D42" w:rsidRDefault="007B4D42" w:rsidP="007B4D42">
            <w:pPr>
              <w:spacing w:after="0" w:line="360" w:lineRule="auto"/>
              <w:jc w:val="both"/>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Date:</w:t>
            </w:r>
          </w:p>
        </w:tc>
        <w:tc>
          <w:tcPr>
            <w:tcW w:w="2340" w:type="dxa"/>
          </w:tcPr>
          <w:p w:rsidR="007B4D42" w:rsidRPr="007B4D42" w:rsidRDefault="00C6783F" w:rsidP="007B4D4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 19, 2013</w:t>
            </w:r>
          </w:p>
        </w:tc>
        <w:tc>
          <w:tcPr>
            <w:tcW w:w="1710" w:type="dxa"/>
            <w:tcBorders>
              <w:left w:val="nil"/>
            </w:tcBorders>
          </w:tcPr>
          <w:p w:rsidR="007B4D42" w:rsidRPr="007B4D42" w:rsidRDefault="007B4D42" w:rsidP="007B4D42">
            <w:pPr>
              <w:spacing w:after="0" w:line="360" w:lineRule="auto"/>
              <w:jc w:val="both"/>
              <w:rPr>
                <w:rFonts w:ascii="Times New Roman" w:eastAsia="Times New Roman" w:hAnsi="Times New Roman" w:cs="Times New Roman"/>
                <w:sz w:val="24"/>
                <w:szCs w:val="24"/>
              </w:rPr>
            </w:pPr>
          </w:p>
        </w:tc>
        <w:tc>
          <w:tcPr>
            <w:tcW w:w="4428" w:type="dxa"/>
            <w:tcBorders>
              <w:bottom w:val="single" w:sz="6" w:space="0" w:color="auto"/>
            </w:tcBorders>
          </w:tcPr>
          <w:p w:rsidR="007B4D42" w:rsidRPr="007B4D42" w:rsidRDefault="007B4D42" w:rsidP="007B4D42">
            <w:pPr>
              <w:spacing w:after="0" w:line="360" w:lineRule="auto"/>
              <w:jc w:val="both"/>
              <w:rPr>
                <w:rFonts w:ascii="Times New Roman" w:eastAsia="Times New Roman" w:hAnsi="Times New Roman" w:cs="Times New Roman"/>
                <w:sz w:val="24"/>
                <w:szCs w:val="24"/>
              </w:rPr>
            </w:pPr>
          </w:p>
        </w:tc>
      </w:tr>
      <w:tr w:rsidR="007B4D42" w:rsidRPr="007B4D42" w:rsidTr="002C0B26">
        <w:tc>
          <w:tcPr>
            <w:tcW w:w="1098" w:type="dxa"/>
          </w:tcPr>
          <w:p w:rsidR="007B4D42" w:rsidRPr="007B4D42" w:rsidRDefault="007B4D42" w:rsidP="007B4D42">
            <w:pPr>
              <w:spacing w:after="0" w:line="360" w:lineRule="auto"/>
              <w:jc w:val="both"/>
              <w:rPr>
                <w:rFonts w:ascii="Times New Roman" w:eastAsia="Times New Roman" w:hAnsi="Times New Roman" w:cs="Times New Roman"/>
                <w:sz w:val="24"/>
                <w:szCs w:val="24"/>
              </w:rPr>
            </w:pPr>
          </w:p>
        </w:tc>
        <w:tc>
          <w:tcPr>
            <w:tcW w:w="2340" w:type="dxa"/>
          </w:tcPr>
          <w:p w:rsidR="007B4D42" w:rsidRPr="007B4D42" w:rsidRDefault="007B4D42" w:rsidP="007B4D42">
            <w:pPr>
              <w:spacing w:after="0" w:line="360" w:lineRule="auto"/>
              <w:jc w:val="both"/>
              <w:rPr>
                <w:rFonts w:ascii="Times New Roman" w:eastAsia="Times New Roman" w:hAnsi="Times New Roman" w:cs="Times New Roman"/>
                <w:sz w:val="24"/>
                <w:szCs w:val="24"/>
              </w:rPr>
            </w:pPr>
          </w:p>
        </w:tc>
        <w:tc>
          <w:tcPr>
            <w:tcW w:w="1710" w:type="dxa"/>
          </w:tcPr>
          <w:p w:rsidR="007B4D42" w:rsidRPr="007B4D42" w:rsidRDefault="007B4D42" w:rsidP="007B4D42">
            <w:pPr>
              <w:spacing w:after="0" w:line="360" w:lineRule="auto"/>
              <w:jc w:val="both"/>
              <w:rPr>
                <w:rFonts w:ascii="Times New Roman" w:eastAsia="Times New Roman" w:hAnsi="Times New Roman" w:cs="Times New Roman"/>
                <w:sz w:val="24"/>
                <w:szCs w:val="24"/>
              </w:rPr>
            </w:pPr>
          </w:p>
        </w:tc>
        <w:tc>
          <w:tcPr>
            <w:tcW w:w="4428" w:type="dxa"/>
          </w:tcPr>
          <w:p w:rsidR="007B4D42" w:rsidRPr="007B4D42" w:rsidRDefault="007B4D42" w:rsidP="007B4D42">
            <w:pPr>
              <w:spacing w:after="0" w:line="240" w:lineRule="auto"/>
              <w:jc w:val="both"/>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Eranda Vero</w:t>
            </w:r>
          </w:p>
          <w:p w:rsidR="007B4D42" w:rsidRPr="007B4D42" w:rsidRDefault="007B4D42" w:rsidP="007B4D42">
            <w:pPr>
              <w:spacing w:after="0" w:line="240" w:lineRule="auto"/>
              <w:jc w:val="both"/>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Administrative Law Judge</w:t>
            </w:r>
          </w:p>
        </w:tc>
      </w:tr>
    </w:tbl>
    <w:p w:rsidR="007B4D42" w:rsidRPr="007B4D42" w:rsidRDefault="007B4D42" w:rsidP="007B4D42">
      <w:pPr>
        <w:tabs>
          <w:tab w:val="left" w:pos="720"/>
          <w:tab w:val="left" w:pos="5040"/>
        </w:tabs>
        <w:suppressAutoHyphens/>
        <w:autoSpaceDE w:val="0"/>
        <w:autoSpaceDN w:val="0"/>
        <w:spacing w:after="0" w:line="240" w:lineRule="auto"/>
        <w:rPr>
          <w:rFonts w:ascii="CG Times" w:eastAsia="Times New Roman" w:hAnsi="CG Times" w:cs="CG Times"/>
          <w:sz w:val="24"/>
          <w:szCs w:val="24"/>
        </w:rPr>
      </w:pPr>
    </w:p>
    <w:p w:rsidR="007B4D42" w:rsidRPr="007B4D42" w:rsidRDefault="007B4D42" w:rsidP="007B4D42">
      <w:pPr>
        <w:spacing w:after="0" w:line="360" w:lineRule="auto"/>
        <w:jc w:val="both"/>
        <w:rPr>
          <w:rFonts w:ascii="Times New Roman" w:eastAsia="Times New Roman" w:hAnsi="Times New Roman" w:cs="Times New Roman"/>
          <w:sz w:val="26"/>
          <w:szCs w:val="20"/>
        </w:rPr>
      </w:pPr>
    </w:p>
    <w:p w:rsidR="00FE639B" w:rsidRDefault="00FE639B">
      <w:pPr>
        <w:sectPr w:rsidR="00FE639B" w:rsidSect="006F59F3">
          <w:footerReference w:type="even" r:id="rId7"/>
          <w:footerReference w:type="default" r:id="rId8"/>
          <w:pgSz w:w="12240" w:h="15840"/>
          <w:pgMar w:top="1440" w:right="1440" w:bottom="1440" w:left="1440" w:header="720" w:footer="720" w:gutter="0"/>
          <w:cols w:space="720"/>
          <w:docGrid w:linePitch="360"/>
        </w:sectPr>
      </w:pPr>
    </w:p>
    <w:p w:rsidR="00FE639B" w:rsidRPr="00FE639B" w:rsidRDefault="00FE639B" w:rsidP="00FE639B">
      <w:pPr>
        <w:spacing w:after="0" w:line="240" w:lineRule="auto"/>
        <w:contextualSpacing/>
        <w:rPr>
          <w:rFonts w:eastAsiaTheme="minorEastAsia"/>
          <w:b/>
          <w:i/>
          <w:u w:val="single"/>
        </w:rPr>
      </w:pPr>
      <w:r w:rsidRPr="00FE639B">
        <w:rPr>
          <w:rFonts w:ascii="Microsoft Sans Serif" w:eastAsiaTheme="minorEastAsia"/>
          <w:b/>
          <w:sz w:val="24"/>
          <w:u w:val="single"/>
        </w:rPr>
        <w:lastRenderedPageBreak/>
        <w:t>F-2013-2359938 - ILYA PIKUS v. PHILADELPHIA GAS WORKS</w:t>
      </w:r>
      <w:r w:rsidRPr="00FE639B">
        <w:rPr>
          <w:rFonts w:ascii="Microsoft Sans Serif" w:eastAsiaTheme="minorEastAsia"/>
          <w:b/>
          <w:sz w:val="24"/>
          <w:u w:val="single"/>
        </w:rPr>
        <w:cr/>
      </w:r>
      <w:r w:rsidRPr="00FE639B">
        <w:rPr>
          <w:rFonts w:ascii="Microsoft Sans Serif" w:eastAsiaTheme="minorEastAsia"/>
          <w:b/>
          <w:sz w:val="24"/>
          <w:u w:val="single"/>
        </w:rPr>
        <w:cr/>
      </w:r>
      <w:bookmarkStart w:id="0" w:name="_GoBack"/>
      <w:r w:rsidRPr="00FE639B">
        <w:rPr>
          <w:rFonts w:ascii="Microsoft Sans Serif" w:eastAsiaTheme="minorEastAsia"/>
          <w:sz w:val="24"/>
        </w:rPr>
        <w:t>ILYA PIKUS</w:t>
      </w:r>
      <w:r w:rsidRPr="00FE639B">
        <w:rPr>
          <w:rFonts w:ascii="Microsoft Sans Serif" w:eastAsiaTheme="minorEastAsia"/>
          <w:sz w:val="24"/>
        </w:rPr>
        <w:cr/>
        <w:t>2112 VERONA DRIVE</w:t>
      </w:r>
      <w:r w:rsidRPr="00FE639B">
        <w:rPr>
          <w:rFonts w:ascii="Microsoft Sans Serif" w:eastAsiaTheme="minorEastAsia"/>
          <w:sz w:val="24"/>
        </w:rPr>
        <w:cr/>
        <w:t>PHILADELPHIA PA  19145</w:t>
      </w:r>
      <w:bookmarkEnd w:id="0"/>
      <w:r w:rsidRPr="00FE639B">
        <w:rPr>
          <w:rFonts w:ascii="Microsoft Sans Serif" w:eastAsiaTheme="minorEastAsia"/>
          <w:sz w:val="24"/>
        </w:rPr>
        <w:cr/>
        <w:t>215.389.0793</w:t>
      </w:r>
      <w:r w:rsidRPr="00FE639B">
        <w:rPr>
          <w:rFonts w:ascii="Microsoft Sans Serif" w:eastAsiaTheme="minorEastAsia"/>
          <w:sz w:val="24"/>
        </w:rPr>
        <w:cr/>
      </w:r>
      <w:r w:rsidRPr="00FE639B">
        <w:rPr>
          <w:rFonts w:ascii="Microsoft Sans Serif" w:eastAsiaTheme="minorEastAsia"/>
          <w:sz w:val="24"/>
        </w:rPr>
        <w:cr/>
        <w:t>LAURETO FARINAS ESQUIRE</w:t>
      </w:r>
      <w:r w:rsidRPr="00FE639B">
        <w:rPr>
          <w:rFonts w:ascii="Microsoft Sans Serif" w:eastAsiaTheme="minorEastAsia"/>
          <w:sz w:val="24"/>
        </w:rPr>
        <w:cr/>
        <w:t>PHILADELPHIA GAS WORKS</w:t>
      </w:r>
      <w:r w:rsidRPr="00FE639B">
        <w:rPr>
          <w:rFonts w:ascii="Microsoft Sans Serif" w:eastAsiaTheme="minorEastAsia"/>
          <w:sz w:val="24"/>
        </w:rPr>
        <w:cr/>
        <w:t>4TH FLOOR</w:t>
      </w:r>
      <w:r w:rsidRPr="00FE639B">
        <w:rPr>
          <w:rFonts w:ascii="Microsoft Sans Serif" w:eastAsiaTheme="minorEastAsia"/>
          <w:sz w:val="24"/>
        </w:rPr>
        <w:cr/>
        <w:t>800 W MONTGOMERY AVENUE</w:t>
      </w:r>
      <w:r w:rsidRPr="00FE639B">
        <w:rPr>
          <w:rFonts w:ascii="Microsoft Sans Serif" w:eastAsiaTheme="minorEastAsia"/>
          <w:sz w:val="24"/>
        </w:rPr>
        <w:cr/>
        <w:t>PHILADELPHIA PA  19122</w:t>
      </w:r>
      <w:r w:rsidRPr="00FE639B">
        <w:rPr>
          <w:rFonts w:ascii="Microsoft Sans Serif" w:eastAsiaTheme="minorEastAsia"/>
          <w:sz w:val="24"/>
        </w:rPr>
        <w:cr/>
        <w:t>215.684.6982</w:t>
      </w:r>
      <w:r w:rsidRPr="00FE639B">
        <w:rPr>
          <w:rFonts w:ascii="Microsoft Sans Serif" w:eastAsiaTheme="minorEastAsia"/>
          <w:sz w:val="24"/>
        </w:rPr>
        <w:cr/>
      </w:r>
      <w:r w:rsidRPr="00FE639B">
        <w:rPr>
          <w:rFonts w:ascii="Microsoft Sans Serif" w:eastAsiaTheme="minorEastAsia"/>
          <w:b/>
          <w:i/>
          <w:sz w:val="24"/>
          <w:u w:val="single"/>
        </w:rPr>
        <w:t>E-Serve</w:t>
      </w:r>
    </w:p>
    <w:p w:rsidR="00FE639B" w:rsidRPr="00FE639B" w:rsidRDefault="00FE639B" w:rsidP="00FE639B">
      <w:pPr>
        <w:spacing w:after="0" w:line="240" w:lineRule="auto"/>
        <w:contextualSpacing/>
        <w:rPr>
          <w:rFonts w:eastAsiaTheme="minorEastAsia"/>
        </w:rPr>
      </w:pPr>
    </w:p>
    <w:p w:rsidR="004B76E1" w:rsidRDefault="004B76E1"/>
    <w:sectPr w:rsidR="004B76E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C8" w:rsidRDefault="00521FC8" w:rsidP="007B4D42">
      <w:pPr>
        <w:spacing w:after="0" w:line="240" w:lineRule="auto"/>
      </w:pPr>
      <w:r>
        <w:separator/>
      </w:r>
    </w:p>
  </w:endnote>
  <w:endnote w:type="continuationSeparator" w:id="0">
    <w:p w:rsidR="00521FC8" w:rsidRDefault="00521FC8" w:rsidP="007B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AC" w:rsidRDefault="00AB62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15AC" w:rsidRDefault="00521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AC" w:rsidRDefault="00AB62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10D7">
      <w:rPr>
        <w:rStyle w:val="PageNumber"/>
        <w:noProof/>
      </w:rPr>
      <w:t>3</w:t>
    </w:r>
    <w:r>
      <w:rPr>
        <w:rStyle w:val="PageNumber"/>
      </w:rPr>
      <w:fldChar w:fldCharType="end"/>
    </w:r>
  </w:p>
  <w:p w:rsidR="00C315AC" w:rsidRDefault="00521F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39B" w:rsidRDefault="00FE6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C8" w:rsidRDefault="00521FC8" w:rsidP="007B4D42">
      <w:pPr>
        <w:spacing w:after="0" w:line="240" w:lineRule="auto"/>
      </w:pPr>
      <w:r>
        <w:separator/>
      </w:r>
    </w:p>
  </w:footnote>
  <w:footnote w:type="continuationSeparator" w:id="0">
    <w:p w:rsidR="00521FC8" w:rsidRDefault="00521FC8" w:rsidP="007B4D42">
      <w:pPr>
        <w:spacing w:after="0" w:line="240" w:lineRule="auto"/>
      </w:pPr>
      <w:r>
        <w:continuationSeparator/>
      </w:r>
    </w:p>
  </w:footnote>
  <w:footnote w:id="1">
    <w:p w:rsidR="007B4D42" w:rsidRDefault="007B4D42">
      <w:pPr>
        <w:pStyle w:val="FootnoteText"/>
      </w:pPr>
      <w:r>
        <w:rPr>
          <w:rStyle w:val="FootnoteReference"/>
        </w:rPr>
        <w:footnoteRef/>
      </w:r>
      <w:r>
        <w:t xml:space="preserve"> </w:t>
      </w:r>
      <w:r>
        <w:tab/>
      </w:r>
      <w:r w:rsidRPr="007B4D42">
        <w:rPr>
          <w:rFonts w:ascii="Times New Roman" w:hAnsi="Times New Roman" w:cs="Times New Roman"/>
        </w:rPr>
        <w:t xml:space="preserve">On June 18, 2013, PGW’s counsel in this matter confirmed the receipt of Mr. </w:t>
      </w:r>
      <w:proofErr w:type="spellStart"/>
      <w:r w:rsidRPr="007B4D42">
        <w:rPr>
          <w:rFonts w:ascii="Times New Roman" w:hAnsi="Times New Roman" w:cs="Times New Roman"/>
        </w:rPr>
        <w:t>Pikus</w:t>
      </w:r>
      <w:proofErr w:type="spellEnd"/>
      <w:r w:rsidR="00D57FDC">
        <w:rPr>
          <w:rFonts w:ascii="Times New Roman" w:hAnsi="Times New Roman" w:cs="Times New Roman"/>
        </w:rPr>
        <w:t>’</w:t>
      </w:r>
      <w:r w:rsidRPr="007B4D42">
        <w:rPr>
          <w:rFonts w:ascii="Times New Roman" w:hAnsi="Times New Roman" w:cs="Times New Roman"/>
        </w:rPr>
        <w:t xml:space="preserve"> discovery request by the Respondent.</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D42"/>
    <w:rsid w:val="004B76E1"/>
    <w:rsid w:val="00521FC8"/>
    <w:rsid w:val="007B4D42"/>
    <w:rsid w:val="00944848"/>
    <w:rsid w:val="009D10D7"/>
    <w:rsid w:val="00AB622C"/>
    <w:rsid w:val="00C6783F"/>
    <w:rsid w:val="00D57FDC"/>
    <w:rsid w:val="00F17479"/>
    <w:rsid w:val="00FE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4D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D42"/>
    <w:rPr>
      <w:sz w:val="20"/>
      <w:szCs w:val="20"/>
    </w:rPr>
  </w:style>
  <w:style w:type="paragraph" w:styleId="Footer">
    <w:name w:val="footer"/>
    <w:basedOn w:val="Normal"/>
    <w:link w:val="FooterChar"/>
    <w:uiPriority w:val="99"/>
    <w:unhideWhenUsed/>
    <w:rsid w:val="007B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D42"/>
  </w:style>
  <w:style w:type="character" w:styleId="PageNumber">
    <w:name w:val="page number"/>
    <w:basedOn w:val="DefaultParagraphFont"/>
    <w:rsid w:val="007B4D42"/>
  </w:style>
  <w:style w:type="character" w:styleId="FootnoteReference">
    <w:name w:val="footnote reference"/>
    <w:basedOn w:val="DefaultParagraphFont"/>
    <w:semiHidden/>
    <w:rsid w:val="007B4D42"/>
    <w:rPr>
      <w:vertAlign w:val="superscript"/>
    </w:rPr>
  </w:style>
  <w:style w:type="paragraph" w:styleId="Header">
    <w:name w:val="header"/>
    <w:basedOn w:val="Normal"/>
    <w:link w:val="HeaderChar"/>
    <w:uiPriority w:val="99"/>
    <w:unhideWhenUsed/>
    <w:rsid w:val="00FE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3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4D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D42"/>
    <w:rPr>
      <w:sz w:val="20"/>
      <w:szCs w:val="20"/>
    </w:rPr>
  </w:style>
  <w:style w:type="paragraph" w:styleId="Footer">
    <w:name w:val="footer"/>
    <w:basedOn w:val="Normal"/>
    <w:link w:val="FooterChar"/>
    <w:uiPriority w:val="99"/>
    <w:unhideWhenUsed/>
    <w:rsid w:val="007B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D42"/>
  </w:style>
  <w:style w:type="character" w:styleId="PageNumber">
    <w:name w:val="page number"/>
    <w:basedOn w:val="DefaultParagraphFont"/>
    <w:rsid w:val="007B4D42"/>
  </w:style>
  <w:style w:type="character" w:styleId="FootnoteReference">
    <w:name w:val="footnote reference"/>
    <w:basedOn w:val="DefaultParagraphFont"/>
    <w:semiHidden/>
    <w:rsid w:val="007B4D42"/>
    <w:rPr>
      <w:vertAlign w:val="superscript"/>
    </w:rPr>
  </w:style>
  <w:style w:type="paragraph" w:styleId="Header">
    <w:name w:val="header"/>
    <w:basedOn w:val="Normal"/>
    <w:link w:val="HeaderChar"/>
    <w:uiPriority w:val="99"/>
    <w:unhideWhenUsed/>
    <w:rsid w:val="00FE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Leonard, Allyson</cp:lastModifiedBy>
  <cp:revision>3</cp:revision>
  <cp:lastPrinted>2013-07-19T17:41:00Z</cp:lastPrinted>
  <dcterms:created xsi:type="dcterms:W3CDTF">2013-07-19T17:40:00Z</dcterms:created>
  <dcterms:modified xsi:type="dcterms:W3CDTF">2013-07-19T17:49:00Z</dcterms:modified>
</cp:coreProperties>
</file>