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B4" w:rsidRDefault="00F65DB4" w:rsidP="00F65DB4">
      <w:pPr>
        <w:jc w:val="center"/>
        <w:rPr>
          <w:b/>
          <w:bCs/>
          <w:sz w:val="24"/>
          <w:szCs w:val="24"/>
        </w:rPr>
      </w:pPr>
      <w:r>
        <w:rPr>
          <w:b/>
          <w:bCs/>
          <w:sz w:val="24"/>
          <w:szCs w:val="24"/>
        </w:rPr>
        <w:t>BEFORE THE</w:t>
      </w:r>
    </w:p>
    <w:p w:rsidR="00F65DB4" w:rsidRDefault="00F65DB4" w:rsidP="00F65DB4">
      <w:pPr>
        <w:jc w:val="center"/>
        <w:rPr>
          <w:b/>
          <w:bCs/>
          <w:sz w:val="24"/>
          <w:szCs w:val="24"/>
        </w:rPr>
      </w:pPr>
      <w:r>
        <w:rPr>
          <w:b/>
          <w:bCs/>
          <w:sz w:val="24"/>
          <w:szCs w:val="24"/>
        </w:rPr>
        <w:t>PENNSYLVANIA PUBLIC UTILITY COMMISSION</w:t>
      </w:r>
    </w:p>
    <w:p w:rsidR="00F65DB4" w:rsidRDefault="00F65DB4" w:rsidP="00F65DB4">
      <w:pPr>
        <w:ind w:firstLine="1440"/>
        <w:rPr>
          <w:sz w:val="24"/>
          <w:szCs w:val="24"/>
        </w:rPr>
      </w:pPr>
    </w:p>
    <w:p w:rsidR="00F65DB4" w:rsidRDefault="00F65DB4" w:rsidP="00F65DB4">
      <w:pPr>
        <w:ind w:firstLine="1440"/>
        <w:rPr>
          <w:sz w:val="24"/>
          <w:szCs w:val="24"/>
        </w:rPr>
      </w:pPr>
    </w:p>
    <w:p w:rsidR="00F65DB4" w:rsidRDefault="00F65DB4" w:rsidP="00F65DB4">
      <w:pPr>
        <w:ind w:firstLine="1440"/>
        <w:rPr>
          <w:sz w:val="24"/>
          <w:szCs w:val="24"/>
        </w:rPr>
      </w:pPr>
    </w:p>
    <w:p w:rsidR="00F65DB4" w:rsidRDefault="00F65DB4" w:rsidP="00F65DB4">
      <w:pPr>
        <w:jc w:val="both"/>
        <w:rPr>
          <w:sz w:val="24"/>
          <w:szCs w:val="24"/>
        </w:rPr>
      </w:pPr>
      <w:r>
        <w:rPr>
          <w:sz w:val="24"/>
          <w:szCs w:val="24"/>
        </w:rPr>
        <w:t>Michele Jones</w:t>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End"/>
      <w:r>
        <w:rPr>
          <w:sz w:val="24"/>
          <w:szCs w:val="24"/>
        </w:rPr>
        <w:tab/>
        <w:t>:</w:t>
      </w:r>
    </w:p>
    <w:p w:rsidR="00F65DB4" w:rsidRDefault="00F65DB4" w:rsidP="00F65DB4">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C-2013-2356361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65DB4" w:rsidRDefault="00F65DB4" w:rsidP="00F65DB4">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F65DB4" w:rsidRDefault="00F65DB4" w:rsidP="00F65DB4">
      <w:pPr>
        <w:ind w:firstLine="1440"/>
        <w:rPr>
          <w:sz w:val="24"/>
          <w:szCs w:val="24"/>
        </w:rPr>
      </w:pPr>
    </w:p>
    <w:p w:rsidR="00F65DB4" w:rsidRDefault="00F65DB4" w:rsidP="00F65DB4">
      <w:pPr>
        <w:ind w:firstLine="1440"/>
        <w:rPr>
          <w:sz w:val="24"/>
          <w:szCs w:val="24"/>
        </w:rPr>
      </w:pPr>
    </w:p>
    <w:p w:rsidR="00F65DB4" w:rsidRDefault="00F65DB4" w:rsidP="00F65DB4">
      <w:pPr>
        <w:ind w:firstLine="1440"/>
        <w:rPr>
          <w:sz w:val="24"/>
          <w:szCs w:val="24"/>
        </w:rPr>
      </w:pPr>
    </w:p>
    <w:p w:rsidR="00F65DB4" w:rsidRDefault="00F65DB4" w:rsidP="00F65DB4">
      <w:pPr>
        <w:jc w:val="center"/>
        <w:rPr>
          <w:b/>
          <w:bCs/>
          <w:sz w:val="24"/>
          <w:szCs w:val="24"/>
          <w:u w:val="single"/>
        </w:rPr>
      </w:pPr>
      <w:r>
        <w:rPr>
          <w:b/>
          <w:bCs/>
          <w:sz w:val="24"/>
          <w:szCs w:val="24"/>
          <w:u w:val="single"/>
        </w:rPr>
        <w:t>INITIAL DECISION GRANTING PRELIMINARY OBJECTIONS</w:t>
      </w:r>
    </w:p>
    <w:p w:rsidR="00F65DB4" w:rsidRDefault="00F65DB4" w:rsidP="00F65DB4">
      <w:pPr>
        <w:jc w:val="center"/>
        <w:rPr>
          <w:b/>
          <w:bCs/>
          <w:sz w:val="24"/>
          <w:szCs w:val="24"/>
          <w:u w:val="single"/>
        </w:rPr>
      </w:pPr>
    </w:p>
    <w:p w:rsidR="00F65DB4" w:rsidRDefault="00F65DB4" w:rsidP="00F65DB4">
      <w:pPr>
        <w:jc w:val="center"/>
        <w:rPr>
          <w:b/>
          <w:bCs/>
          <w:sz w:val="24"/>
          <w:szCs w:val="24"/>
          <w:u w:val="single"/>
        </w:rPr>
      </w:pPr>
    </w:p>
    <w:p w:rsidR="00F65DB4" w:rsidRDefault="00F65DB4" w:rsidP="00F65DB4">
      <w:pPr>
        <w:jc w:val="center"/>
        <w:rPr>
          <w:sz w:val="24"/>
          <w:szCs w:val="24"/>
        </w:rPr>
      </w:pPr>
      <w:r>
        <w:rPr>
          <w:sz w:val="24"/>
          <w:szCs w:val="24"/>
        </w:rPr>
        <w:t>Before</w:t>
      </w:r>
    </w:p>
    <w:p w:rsidR="00F65DB4" w:rsidRDefault="00F65DB4" w:rsidP="00F65DB4">
      <w:pPr>
        <w:jc w:val="center"/>
        <w:rPr>
          <w:sz w:val="24"/>
          <w:szCs w:val="24"/>
        </w:rPr>
      </w:pPr>
      <w:r>
        <w:rPr>
          <w:sz w:val="24"/>
          <w:szCs w:val="24"/>
        </w:rPr>
        <w:t>Elizabeth Barnes</w:t>
      </w:r>
    </w:p>
    <w:p w:rsidR="00F65DB4" w:rsidRDefault="00F65DB4" w:rsidP="00F65DB4">
      <w:pPr>
        <w:jc w:val="center"/>
        <w:rPr>
          <w:sz w:val="24"/>
          <w:szCs w:val="24"/>
        </w:rPr>
      </w:pPr>
      <w:r>
        <w:rPr>
          <w:sz w:val="24"/>
          <w:szCs w:val="24"/>
        </w:rPr>
        <w:t>Administrative Law Judge</w:t>
      </w:r>
    </w:p>
    <w:p w:rsidR="00F65DB4" w:rsidRDefault="00F65DB4" w:rsidP="00F65DB4">
      <w:pPr>
        <w:ind w:firstLine="1440"/>
        <w:rPr>
          <w:sz w:val="24"/>
          <w:szCs w:val="24"/>
        </w:rPr>
      </w:pPr>
    </w:p>
    <w:p w:rsidR="00F65DB4" w:rsidRDefault="00F65DB4" w:rsidP="00F65DB4">
      <w:pPr>
        <w:ind w:firstLine="1440"/>
        <w:rPr>
          <w:sz w:val="24"/>
          <w:szCs w:val="24"/>
        </w:rPr>
      </w:pPr>
    </w:p>
    <w:p w:rsidR="00F65DB4" w:rsidRDefault="00F65DB4" w:rsidP="00F65DB4">
      <w:pPr>
        <w:jc w:val="center"/>
        <w:rPr>
          <w:sz w:val="24"/>
          <w:szCs w:val="24"/>
          <w:u w:val="single"/>
        </w:rPr>
      </w:pPr>
      <w:r>
        <w:rPr>
          <w:sz w:val="24"/>
          <w:szCs w:val="24"/>
          <w:u w:val="single"/>
        </w:rPr>
        <w:t>HISTORY OF THE PROCEEDING</w:t>
      </w:r>
    </w:p>
    <w:p w:rsidR="00F65DB4" w:rsidRDefault="00F65DB4" w:rsidP="00F65DB4">
      <w:pPr>
        <w:ind w:firstLine="1440"/>
        <w:rPr>
          <w:sz w:val="24"/>
          <w:szCs w:val="24"/>
          <w:u w:val="single"/>
        </w:rPr>
      </w:pPr>
    </w:p>
    <w:p w:rsidR="00F65DB4" w:rsidRDefault="00F65DB4" w:rsidP="00F65DB4">
      <w:pPr>
        <w:ind w:firstLine="1440"/>
        <w:rPr>
          <w:sz w:val="24"/>
          <w:szCs w:val="24"/>
          <w:u w:val="single"/>
        </w:rPr>
      </w:pPr>
    </w:p>
    <w:p w:rsidR="00F65DB4" w:rsidRDefault="00F65DB4" w:rsidP="00F65DB4">
      <w:pPr>
        <w:spacing w:line="360" w:lineRule="auto"/>
        <w:ind w:firstLine="1440"/>
        <w:rPr>
          <w:sz w:val="24"/>
          <w:szCs w:val="24"/>
        </w:rPr>
      </w:pPr>
      <w:r>
        <w:rPr>
          <w:sz w:val="24"/>
          <w:szCs w:val="24"/>
        </w:rPr>
        <w:t xml:space="preserve">On March 11, 2013, Michele Jones (Complainant), </w:t>
      </w:r>
      <w:r>
        <w:rPr>
          <w:i/>
          <w:sz w:val="24"/>
          <w:szCs w:val="24"/>
        </w:rPr>
        <w:t>pro se</w:t>
      </w:r>
      <w:r>
        <w:rPr>
          <w:sz w:val="24"/>
          <w:szCs w:val="24"/>
        </w:rPr>
        <w:t xml:space="preserve"> filed a formal Complaint (Complaint) against PECO Energy Company (PECO), (Respondent), with the Pennsylvania Public Utility Commission (Commission) at Docket No. </w:t>
      </w:r>
      <w:proofErr w:type="gramStart"/>
      <w:r>
        <w:rPr>
          <w:sz w:val="24"/>
          <w:szCs w:val="24"/>
        </w:rPr>
        <w:t>C-2013-2356361.</w:t>
      </w:r>
      <w:proofErr w:type="gramEnd"/>
      <w:r>
        <w:rPr>
          <w:sz w:val="24"/>
          <w:szCs w:val="24"/>
        </w:rPr>
        <w:t xml:space="preserve">  The Complaint was served upon Respondent on April 8, 2013.</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 xml:space="preserve">Complainant, a landlord, seeks a reduction in a bill of approximately $199.15 which consists of the amount for service provided to her first floor tenant.  She argues the bill is unreasonable given that she believed she was timely paying for public lighting service, and was unaware that foreign load of public lighting was connected to her first floor tenant’s meter, instead of the landlord’s meter, and that all she had been paying for was a meter service charge, but no usage.  Complainant avers, “I would like PECO to take account that I have paid for public lighting service and I feel that I should not have to pay for another service.”  </w:t>
      </w:r>
      <w:proofErr w:type="gramStart"/>
      <w:r>
        <w:rPr>
          <w:sz w:val="24"/>
          <w:szCs w:val="24"/>
        </w:rPr>
        <w:t>Complaint p. 5.</w:t>
      </w:r>
      <w:proofErr w:type="gramEnd"/>
    </w:p>
    <w:p w:rsidR="00F65DB4" w:rsidRDefault="00F65DB4" w:rsidP="00F65DB4">
      <w:pPr>
        <w:spacing w:line="360" w:lineRule="auto"/>
        <w:rPr>
          <w:sz w:val="24"/>
          <w:szCs w:val="24"/>
        </w:rPr>
      </w:pPr>
    </w:p>
    <w:p w:rsidR="00F65DB4" w:rsidRDefault="00F65DB4" w:rsidP="00F65DB4">
      <w:pPr>
        <w:spacing w:line="360" w:lineRule="auto"/>
        <w:ind w:firstLine="1440"/>
        <w:rPr>
          <w:sz w:val="24"/>
          <w:szCs w:val="24"/>
        </w:rPr>
      </w:pPr>
      <w:r>
        <w:rPr>
          <w:sz w:val="24"/>
          <w:szCs w:val="24"/>
        </w:rPr>
        <w:t xml:space="preserve">Respondent timely filed an Answer and New Matter.  Respondent also filed preliminarily objections on the grounds that the Complaint lacks legal sufficiency.  Respondent </w:t>
      </w:r>
      <w:r>
        <w:rPr>
          <w:sz w:val="24"/>
          <w:szCs w:val="24"/>
        </w:rPr>
        <w:lastRenderedPageBreak/>
        <w:t>contends its actions are consistent with Pennsylvania law and requests the Complaint be dismissed.</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 xml:space="preserve">In accordance with the Commission’s Rules of Administrative Practice and Procedure, Complainant’s answer to PECO’s New Matter and Preliminary Objections was due no later than April 22, 2013.  </w:t>
      </w:r>
      <w:proofErr w:type="gramStart"/>
      <w:r>
        <w:rPr>
          <w:sz w:val="24"/>
          <w:szCs w:val="24"/>
        </w:rPr>
        <w:t xml:space="preserve">52 </w:t>
      </w:r>
      <w:proofErr w:type="spellStart"/>
      <w:r>
        <w:rPr>
          <w:sz w:val="24"/>
          <w:szCs w:val="24"/>
        </w:rPr>
        <w:t>Pa.Code</w:t>
      </w:r>
      <w:proofErr w:type="spellEnd"/>
      <w:r>
        <w:rPr>
          <w:sz w:val="24"/>
          <w:szCs w:val="24"/>
        </w:rPr>
        <w:t xml:space="preserve"> §§1.12(a), 1.56(a) (1) and (b), 5.101(d).</w:t>
      </w:r>
      <w:proofErr w:type="gramEnd"/>
      <w:r>
        <w:rPr>
          <w:sz w:val="24"/>
          <w:szCs w:val="24"/>
        </w:rPr>
        <w:t xml:space="preserve">  To date, no Answer has been received by the Commission.  Therefore, all of the non-moving party’s averments in the Complaint must be viewed as true for purposes of deciding the preliminary objections, and only those facts specifically admitted may be considered against the non-moving party.  </w:t>
      </w:r>
      <w:proofErr w:type="gramStart"/>
      <w:r>
        <w:rPr>
          <w:i/>
          <w:sz w:val="24"/>
          <w:szCs w:val="24"/>
        </w:rPr>
        <w:t xml:space="preserve">Ridge v. State Employees’ Retirement Board, </w:t>
      </w:r>
      <w:r>
        <w:rPr>
          <w:sz w:val="24"/>
          <w:szCs w:val="24"/>
        </w:rPr>
        <w:t>690 A.2d 1312 (</w:t>
      </w:r>
      <w:proofErr w:type="spellStart"/>
      <w:r>
        <w:rPr>
          <w:sz w:val="24"/>
          <w:szCs w:val="24"/>
        </w:rPr>
        <w:t>Pa.Cmwlth</w:t>
      </w:r>
      <w:proofErr w:type="spellEnd"/>
      <w:r>
        <w:rPr>
          <w:sz w:val="24"/>
          <w:szCs w:val="24"/>
        </w:rPr>
        <w:t xml:space="preserve">. 1997) (1997 </w:t>
      </w:r>
      <w:proofErr w:type="spellStart"/>
      <w:r>
        <w:rPr>
          <w:sz w:val="24"/>
          <w:szCs w:val="24"/>
        </w:rPr>
        <w:t>Pa.Cmwlth</w:t>
      </w:r>
      <w:proofErr w:type="spellEnd"/>
      <w:r>
        <w:rPr>
          <w:sz w:val="24"/>
          <w:szCs w:val="24"/>
        </w:rPr>
        <w:t>.</w:t>
      </w:r>
      <w:proofErr w:type="gramEnd"/>
      <w:r>
        <w:rPr>
          <w:sz w:val="24"/>
          <w:szCs w:val="24"/>
        </w:rPr>
        <w:t xml:space="preserve"> </w:t>
      </w:r>
      <w:proofErr w:type="gramStart"/>
      <w:r>
        <w:rPr>
          <w:sz w:val="24"/>
          <w:szCs w:val="24"/>
        </w:rPr>
        <w:t>LEXIS 148).</w:t>
      </w:r>
      <w:proofErr w:type="gramEnd"/>
      <w:r>
        <w:rPr>
          <w:sz w:val="24"/>
          <w:szCs w:val="24"/>
        </w:rPr>
        <w:t xml:space="preserve">  PECO’s Preliminary Objections are ripe for a decision.</w:t>
      </w:r>
    </w:p>
    <w:p w:rsidR="00F65DB4" w:rsidRDefault="00F65DB4" w:rsidP="00F65DB4">
      <w:pPr>
        <w:spacing w:line="360" w:lineRule="auto"/>
        <w:jc w:val="center"/>
        <w:rPr>
          <w:sz w:val="24"/>
          <w:szCs w:val="24"/>
          <w:u w:val="single"/>
        </w:rPr>
      </w:pPr>
    </w:p>
    <w:p w:rsidR="00F65DB4" w:rsidRDefault="00F65DB4" w:rsidP="00F65DB4">
      <w:pPr>
        <w:spacing w:line="360" w:lineRule="auto"/>
        <w:jc w:val="center"/>
        <w:rPr>
          <w:sz w:val="24"/>
          <w:szCs w:val="24"/>
          <w:u w:val="single"/>
        </w:rPr>
      </w:pPr>
      <w:r>
        <w:rPr>
          <w:sz w:val="24"/>
          <w:szCs w:val="24"/>
          <w:u w:val="single"/>
        </w:rPr>
        <w:t>FINDINGS OF FACT</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1.</w:t>
      </w:r>
      <w:r>
        <w:rPr>
          <w:sz w:val="24"/>
          <w:szCs w:val="24"/>
        </w:rPr>
        <w:tab/>
        <w:t xml:space="preserve">Complainant is Michele Jones, landlord for the service property of 130 Abbey Trail, First Floor, </w:t>
      </w:r>
      <w:proofErr w:type="gramStart"/>
      <w:r>
        <w:rPr>
          <w:sz w:val="24"/>
          <w:szCs w:val="24"/>
        </w:rPr>
        <w:t>Drexel</w:t>
      </w:r>
      <w:proofErr w:type="gramEnd"/>
      <w:r>
        <w:rPr>
          <w:sz w:val="24"/>
          <w:szCs w:val="24"/>
        </w:rPr>
        <w:t xml:space="preserve"> Hill, PA.</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2.</w:t>
      </w:r>
      <w:r>
        <w:rPr>
          <w:sz w:val="24"/>
          <w:szCs w:val="24"/>
        </w:rPr>
        <w:tab/>
        <w:t>Respondent is PECO Energy Company, an electric distribution company.</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3.</w:t>
      </w:r>
      <w:r>
        <w:rPr>
          <w:sz w:val="24"/>
          <w:szCs w:val="24"/>
        </w:rPr>
        <w:tab/>
        <w:t>Complainant has a tenant on the first floor of the service property.</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4.</w:t>
      </w:r>
      <w:r>
        <w:rPr>
          <w:sz w:val="24"/>
          <w:szCs w:val="24"/>
        </w:rPr>
        <w:tab/>
        <w:t>On March 11, 2013, Complainant filed a formal Complaint against PECO.</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5.</w:t>
      </w:r>
      <w:r>
        <w:rPr>
          <w:sz w:val="24"/>
          <w:szCs w:val="24"/>
        </w:rPr>
        <w:tab/>
        <w:t>A timely Answer and New Matter and Preliminary Objections were filed by PECO on April 12, 2013.</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6.</w:t>
      </w:r>
      <w:r>
        <w:rPr>
          <w:sz w:val="24"/>
          <w:szCs w:val="24"/>
        </w:rPr>
        <w:tab/>
        <w:t>Complainant did not file an Answer to the New Matter or to the Preliminary Objections.</w:t>
      </w:r>
    </w:p>
    <w:p w:rsidR="00F65DB4" w:rsidRDefault="00F65DB4" w:rsidP="00F65DB4">
      <w:pPr>
        <w:tabs>
          <w:tab w:val="left" w:pos="-1440"/>
          <w:tab w:val="left" w:pos="-720"/>
        </w:tabs>
        <w:suppressAutoHyphens/>
        <w:spacing w:line="360" w:lineRule="auto"/>
        <w:rPr>
          <w:sz w:val="24"/>
          <w:szCs w:val="24"/>
        </w:rPr>
      </w:pPr>
    </w:p>
    <w:p w:rsidR="00F65DB4" w:rsidRDefault="00F65DB4" w:rsidP="00F65DB4">
      <w:pPr>
        <w:tabs>
          <w:tab w:val="left" w:pos="-1440"/>
          <w:tab w:val="left" w:pos="-720"/>
        </w:tabs>
        <w:suppressAutoHyphens/>
        <w:spacing w:line="360" w:lineRule="auto"/>
        <w:jc w:val="center"/>
        <w:rPr>
          <w:sz w:val="24"/>
          <w:szCs w:val="24"/>
          <w:u w:val="single"/>
        </w:rPr>
      </w:pPr>
    </w:p>
    <w:p w:rsidR="00F65DB4" w:rsidRDefault="00F65DB4" w:rsidP="00F65DB4">
      <w:pPr>
        <w:tabs>
          <w:tab w:val="left" w:pos="-1440"/>
          <w:tab w:val="left" w:pos="-720"/>
        </w:tabs>
        <w:suppressAutoHyphens/>
        <w:spacing w:line="360" w:lineRule="auto"/>
        <w:jc w:val="center"/>
        <w:rPr>
          <w:sz w:val="24"/>
          <w:szCs w:val="24"/>
          <w:u w:val="single"/>
        </w:rPr>
      </w:pPr>
    </w:p>
    <w:p w:rsidR="00F65DB4" w:rsidRDefault="00F65DB4" w:rsidP="00F65DB4">
      <w:pPr>
        <w:tabs>
          <w:tab w:val="left" w:pos="-1440"/>
          <w:tab w:val="left" w:pos="-720"/>
        </w:tabs>
        <w:suppressAutoHyphens/>
        <w:spacing w:line="360" w:lineRule="auto"/>
        <w:jc w:val="center"/>
        <w:rPr>
          <w:sz w:val="24"/>
          <w:szCs w:val="24"/>
          <w:u w:val="single"/>
        </w:rPr>
      </w:pPr>
      <w:r>
        <w:rPr>
          <w:sz w:val="24"/>
          <w:szCs w:val="24"/>
          <w:u w:val="single"/>
        </w:rPr>
        <w:lastRenderedPageBreak/>
        <w:t>DISCUSSION</w:t>
      </w:r>
    </w:p>
    <w:p w:rsidR="00F65DB4" w:rsidRDefault="00F65DB4" w:rsidP="00F65DB4">
      <w:pPr>
        <w:tabs>
          <w:tab w:val="left" w:pos="-1440"/>
          <w:tab w:val="left" w:pos="-720"/>
        </w:tabs>
        <w:suppressAutoHyphens/>
        <w:spacing w:line="360" w:lineRule="auto"/>
        <w:ind w:firstLine="1440"/>
        <w:rPr>
          <w:sz w:val="24"/>
          <w:szCs w:val="24"/>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t xml:space="preserve">Commission preliminary motion practice is comparable to Pennsylvania civil practice respecting the filing of preliminary objections.  </w:t>
      </w:r>
      <w:r>
        <w:rPr>
          <w:i/>
          <w:sz w:val="24"/>
          <w:szCs w:val="24"/>
        </w:rPr>
        <w:t xml:space="preserve">Equitable Small Transportation </w:t>
      </w:r>
      <w:proofErr w:type="spellStart"/>
      <w:r>
        <w:rPr>
          <w:i/>
          <w:sz w:val="24"/>
          <w:szCs w:val="24"/>
        </w:rPr>
        <w:t>Intervenors</w:t>
      </w:r>
      <w:proofErr w:type="spellEnd"/>
      <w:r>
        <w:rPr>
          <w:i/>
          <w:sz w:val="24"/>
          <w:szCs w:val="24"/>
        </w:rPr>
        <w:t xml:space="preserve"> v. Equitable Gas Company, </w:t>
      </w:r>
      <w:r>
        <w:rPr>
          <w:sz w:val="24"/>
          <w:szCs w:val="24"/>
        </w:rPr>
        <w:t xml:space="preserve">1994 Pa. PUC LEXIS 69, Docket No. </w:t>
      </w:r>
      <w:proofErr w:type="gramStart"/>
      <w:r>
        <w:rPr>
          <w:sz w:val="24"/>
          <w:szCs w:val="24"/>
        </w:rPr>
        <w:t>C-00935435 (July 18, 1994).</w:t>
      </w:r>
      <w:proofErr w:type="gramEnd"/>
    </w:p>
    <w:p w:rsidR="00F65DB4" w:rsidRDefault="00F65DB4" w:rsidP="00F65DB4">
      <w:pPr>
        <w:tabs>
          <w:tab w:val="left" w:pos="-1440"/>
          <w:tab w:val="left" w:pos="-720"/>
        </w:tabs>
        <w:suppressAutoHyphens/>
        <w:spacing w:line="360" w:lineRule="auto"/>
        <w:ind w:firstLine="1440"/>
        <w:rPr>
          <w:sz w:val="24"/>
          <w:szCs w:val="24"/>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t>The Commission’s regulations provide in pertinent part:</w:t>
      </w:r>
    </w:p>
    <w:p w:rsidR="00F65DB4" w:rsidRDefault="00F65DB4" w:rsidP="00F65DB4">
      <w:pPr>
        <w:tabs>
          <w:tab w:val="left" w:pos="-1440"/>
          <w:tab w:val="left" w:pos="-720"/>
        </w:tabs>
        <w:suppressAutoHyphens/>
        <w:spacing w:line="360" w:lineRule="auto"/>
        <w:ind w:firstLine="1440"/>
        <w:rPr>
          <w:sz w:val="24"/>
          <w:szCs w:val="24"/>
        </w:rPr>
      </w:pPr>
    </w:p>
    <w:p w:rsidR="00F65DB4" w:rsidRDefault="00F65DB4" w:rsidP="00F65DB4">
      <w:pPr>
        <w:tabs>
          <w:tab w:val="left" w:pos="-1440"/>
          <w:tab w:val="left" w:pos="-720"/>
        </w:tabs>
        <w:suppressAutoHyphens/>
        <w:ind w:left="720" w:right="720"/>
        <w:rPr>
          <w:sz w:val="24"/>
          <w:szCs w:val="24"/>
        </w:rPr>
      </w:pPr>
      <w:r>
        <w:rPr>
          <w:sz w:val="24"/>
          <w:szCs w:val="24"/>
        </w:rPr>
        <w:tab/>
        <w:t>(a)</w:t>
      </w:r>
      <w:r>
        <w:rPr>
          <w:sz w:val="24"/>
          <w:szCs w:val="24"/>
        </w:rPr>
        <w:tab/>
        <w:t xml:space="preserve">A preliminary motion is available to participants.  The </w:t>
      </w:r>
      <w:r>
        <w:rPr>
          <w:sz w:val="24"/>
          <w:szCs w:val="24"/>
        </w:rPr>
        <w:tab/>
      </w:r>
      <w:r>
        <w:rPr>
          <w:sz w:val="24"/>
          <w:szCs w:val="24"/>
        </w:rPr>
        <w:tab/>
      </w:r>
      <w:r>
        <w:rPr>
          <w:sz w:val="24"/>
          <w:szCs w:val="24"/>
        </w:rPr>
        <w:tab/>
        <w:t xml:space="preserve">preliminary motion shall state specifically the grounds relied upon, </w:t>
      </w:r>
      <w:r>
        <w:rPr>
          <w:sz w:val="24"/>
          <w:szCs w:val="24"/>
        </w:rPr>
        <w:tab/>
      </w:r>
      <w:r>
        <w:rPr>
          <w:sz w:val="24"/>
          <w:szCs w:val="24"/>
        </w:rPr>
        <w:tab/>
        <w:t>the standing of the party and shall be limited to the following:</w:t>
      </w:r>
    </w:p>
    <w:p w:rsidR="00F65DB4" w:rsidRDefault="00F65DB4" w:rsidP="00F65DB4">
      <w:pPr>
        <w:tabs>
          <w:tab w:val="left" w:pos="-1440"/>
          <w:tab w:val="left" w:pos="-720"/>
        </w:tabs>
        <w:suppressAutoHyphens/>
        <w:ind w:left="720" w:right="720" w:firstLine="1440"/>
        <w:rPr>
          <w:sz w:val="24"/>
          <w:szCs w:val="24"/>
        </w:rPr>
      </w:pPr>
      <w:r>
        <w:rPr>
          <w:sz w:val="24"/>
          <w:szCs w:val="24"/>
        </w:rPr>
        <w:tab/>
      </w:r>
    </w:p>
    <w:p w:rsidR="00F65DB4" w:rsidRDefault="00F65DB4" w:rsidP="00F65DB4">
      <w:pPr>
        <w:tabs>
          <w:tab w:val="left" w:pos="-1440"/>
          <w:tab w:val="left" w:pos="-720"/>
        </w:tabs>
        <w:suppressAutoHyphens/>
        <w:ind w:left="720" w:right="720" w:firstLine="1440"/>
        <w:rPr>
          <w:sz w:val="24"/>
          <w:szCs w:val="24"/>
        </w:rPr>
      </w:pPr>
      <w:r>
        <w:rPr>
          <w:sz w:val="24"/>
          <w:szCs w:val="24"/>
        </w:rPr>
        <w:t>(1)</w:t>
      </w:r>
      <w:r>
        <w:rPr>
          <w:sz w:val="24"/>
          <w:szCs w:val="24"/>
        </w:rPr>
        <w:tab/>
        <w:t xml:space="preserve">A motion questioning the jurisdiction of the </w:t>
      </w:r>
      <w:r>
        <w:rPr>
          <w:sz w:val="24"/>
          <w:szCs w:val="24"/>
        </w:rPr>
        <w:tab/>
      </w:r>
      <w:r>
        <w:rPr>
          <w:sz w:val="24"/>
          <w:szCs w:val="24"/>
        </w:rPr>
        <w:tab/>
      </w:r>
      <w:r>
        <w:rPr>
          <w:sz w:val="24"/>
          <w:szCs w:val="24"/>
        </w:rPr>
        <w:tab/>
      </w:r>
      <w:r>
        <w:rPr>
          <w:sz w:val="24"/>
          <w:szCs w:val="24"/>
        </w:rPr>
        <w:tab/>
      </w:r>
      <w:r>
        <w:rPr>
          <w:sz w:val="24"/>
          <w:szCs w:val="24"/>
        </w:rPr>
        <w:tab/>
        <w:t>Commission.</w:t>
      </w:r>
    </w:p>
    <w:p w:rsidR="00F65DB4" w:rsidRDefault="00F65DB4" w:rsidP="00F65DB4">
      <w:pPr>
        <w:tabs>
          <w:tab w:val="left" w:pos="-1440"/>
          <w:tab w:val="left" w:pos="-720"/>
        </w:tabs>
        <w:suppressAutoHyphens/>
        <w:ind w:left="720" w:right="720" w:firstLine="1440"/>
        <w:rPr>
          <w:sz w:val="24"/>
          <w:szCs w:val="24"/>
        </w:rPr>
      </w:pPr>
    </w:p>
    <w:p w:rsidR="00F65DB4" w:rsidRDefault="00F65DB4" w:rsidP="00F65DB4">
      <w:pPr>
        <w:tabs>
          <w:tab w:val="left" w:pos="-1440"/>
          <w:tab w:val="left" w:pos="-720"/>
        </w:tabs>
        <w:suppressAutoHyphens/>
        <w:ind w:left="720" w:right="720" w:firstLine="1440"/>
        <w:rPr>
          <w:sz w:val="24"/>
          <w:szCs w:val="24"/>
        </w:rPr>
      </w:pPr>
      <w:r>
        <w:rPr>
          <w:sz w:val="24"/>
          <w:szCs w:val="24"/>
        </w:rPr>
        <w:tab/>
      </w:r>
      <w:r>
        <w:rPr>
          <w:sz w:val="24"/>
          <w:szCs w:val="24"/>
        </w:rPr>
        <w:tab/>
        <w:t>* * *</w:t>
      </w:r>
    </w:p>
    <w:p w:rsidR="00F65DB4" w:rsidRDefault="00F65DB4" w:rsidP="00F65DB4">
      <w:pPr>
        <w:ind w:left="720" w:firstLine="1440"/>
        <w:rPr>
          <w:sz w:val="24"/>
          <w:szCs w:val="24"/>
        </w:rPr>
      </w:pPr>
    </w:p>
    <w:p w:rsidR="00F65DB4" w:rsidRDefault="00F65DB4" w:rsidP="00F65DB4">
      <w:pPr>
        <w:ind w:left="1440" w:right="1440"/>
        <w:rPr>
          <w:sz w:val="24"/>
          <w:szCs w:val="24"/>
        </w:rPr>
      </w:pPr>
      <w:r>
        <w:rPr>
          <w:sz w:val="24"/>
          <w:szCs w:val="24"/>
        </w:rPr>
        <w:tab/>
        <w:t>(3)</w:t>
      </w:r>
      <w:r>
        <w:rPr>
          <w:sz w:val="24"/>
          <w:szCs w:val="24"/>
        </w:rPr>
        <w:tab/>
        <w:t>Insufficient specificity of a pleading.</w:t>
      </w:r>
    </w:p>
    <w:p w:rsidR="00F65DB4" w:rsidRDefault="00F65DB4" w:rsidP="00F65DB4">
      <w:pPr>
        <w:tabs>
          <w:tab w:val="left" w:pos="-1440"/>
          <w:tab w:val="left" w:pos="-720"/>
        </w:tabs>
        <w:suppressAutoHyphens/>
        <w:ind w:left="720" w:right="720" w:firstLine="1440"/>
        <w:rPr>
          <w:sz w:val="24"/>
          <w:szCs w:val="24"/>
        </w:rPr>
      </w:pPr>
    </w:p>
    <w:p w:rsidR="00F65DB4" w:rsidRDefault="00F65DB4" w:rsidP="00F65DB4">
      <w:pPr>
        <w:tabs>
          <w:tab w:val="left" w:pos="-1440"/>
          <w:tab w:val="left" w:pos="-720"/>
        </w:tabs>
        <w:suppressAutoHyphens/>
        <w:ind w:left="720" w:right="720" w:firstLine="1440"/>
        <w:rPr>
          <w:sz w:val="24"/>
          <w:szCs w:val="24"/>
        </w:rPr>
      </w:pPr>
      <w:r>
        <w:rPr>
          <w:sz w:val="24"/>
          <w:szCs w:val="24"/>
        </w:rPr>
        <w:t>(4)</w:t>
      </w:r>
      <w:r>
        <w:rPr>
          <w:sz w:val="24"/>
          <w:szCs w:val="24"/>
        </w:rPr>
        <w:tab/>
        <w:t>Legal insufficiency of a pleading.</w:t>
      </w:r>
    </w:p>
    <w:p w:rsidR="00F65DB4" w:rsidRDefault="00F65DB4" w:rsidP="00F65DB4">
      <w:pPr>
        <w:tabs>
          <w:tab w:val="left" w:pos="-1440"/>
          <w:tab w:val="left" w:pos="-720"/>
        </w:tabs>
        <w:suppressAutoHyphens/>
        <w:spacing w:line="360" w:lineRule="auto"/>
        <w:ind w:left="720" w:right="720" w:firstLine="1440"/>
        <w:rPr>
          <w:sz w:val="24"/>
          <w:szCs w:val="24"/>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t xml:space="preserve">52 </w:t>
      </w:r>
      <w:proofErr w:type="spellStart"/>
      <w:r>
        <w:rPr>
          <w:sz w:val="24"/>
          <w:szCs w:val="24"/>
        </w:rPr>
        <w:t>Pa.Code</w:t>
      </w:r>
      <w:proofErr w:type="spellEnd"/>
      <w:r>
        <w:rPr>
          <w:sz w:val="24"/>
          <w:szCs w:val="24"/>
        </w:rPr>
        <w:t xml:space="preserve"> § 5.101(a</w:t>
      </w:r>
      <w:proofErr w:type="gramStart"/>
      <w:r>
        <w:rPr>
          <w:sz w:val="24"/>
          <w:szCs w:val="24"/>
        </w:rPr>
        <w:t>)(</w:t>
      </w:r>
      <w:proofErr w:type="gramEnd"/>
      <w:r>
        <w:rPr>
          <w:sz w:val="24"/>
          <w:szCs w:val="24"/>
        </w:rPr>
        <w:t>1);(3) and (4).</w:t>
      </w:r>
    </w:p>
    <w:p w:rsidR="00F65DB4" w:rsidRDefault="00F65DB4" w:rsidP="00F65DB4">
      <w:pPr>
        <w:tabs>
          <w:tab w:val="left" w:pos="-1440"/>
          <w:tab w:val="left" w:pos="-720"/>
        </w:tabs>
        <w:suppressAutoHyphens/>
        <w:spacing w:line="360" w:lineRule="auto"/>
        <w:ind w:firstLine="1440"/>
        <w:rPr>
          <w:sz w:val="24"/>
          <w:szCs w:val="24"/>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t xml:space="preserve">The Commission must act within, and cannot exceed its jurisdiction.  </w:t>
      </w:r>
      <w:proofErr w:type="gramStart"/>
      <w:r>
        <w:rPr>
          <w:i/>
          <w:sz w:val="24"/>
          <w:szCs w:val="24"/>
        </w:rPr>
        <w:t xml:space="preserve">City of Pittsburgh v. PUC, </w:t>
      </w:r>
      <w:r>
        <w:rPr>
          <w:sz w:val="24"/>
          <w:szCs w:val="24"/>
        </w:rPr>
        <w:t>157 Pa. Super 595, 43 A.2d 348 (1945).</w:t>
      </w:r>
      <w:proofErr w:type="gramEnd"/>
      <w:r>
        <w:rPr>
          <w:sz w:val="24"/>
          <w:szCs w:val="24"/>
        </w:rPr>
        <w:t xml:space="preserve">  Jurisdiction may not be conferred by the parties where none exists.  </w:t>
      </w:r>
      <w:proofErr w:type="gramStart"/>
      <w:r>
        <w:rPr>
          <w:i/>
          <w:sz w:val="24"/>
          <w:szCs w:val="24"/>
        </w:rPr>
        <w:t xml:space="preserve">Roberts v. </w:t>
      </w:r>
      <w:proofErr w:type="spellStart"/>
      <w:r>
        <w:rPr>
          <w:i/>
          <w:sz w:val="24"/>
          <w:szCs w:val="24"/>
        </w:rPr>
        <w:t>Martorano</w:t>
      </w:r>
      <w:proofErr w:type="spellEnd"/>
      <w:r>
        <w:rPr>
          <w:i/>
          <w:sz w:val="24"/>
          <w:szCs w:val="24"/>
        </w:rPr>
        <w:t xml:space="preserve">, </w:t>
      </w:r>
      <w:r>
        <w:rPr>
          <w:sz w:val="24"/>
          <w:szCs w:val="24"/>
        </w:rPr>
        <w:t>427 Pa. 581, 235 A.2d 602(1967).</w:t>
      </w:r>
      <w:proofErr w:type="gramEnd"/>
    </w:p>
    <w:p w:rsidR="00F65DB4" w:rsidRDefault="00F65DB4" w:rsidP="00F65DB4">
      <w:pPr>
        <w:tabs>
          <w:tab w:val="left" w:pos="-1440"/>
          <w:tab w:val="left" w:pos="-720"/>
        </w:tabs>
        <w:suppressAutoHyphens/>
        <w:spacing w:line="360" w:lineRule="auto"/>
        <w:ind w:firstLine="1440"/>
        <w:rPr>
          <w:sz w:val="24"/>
          <w:szCs w:val="24"/>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t xml:space="preserve">Preliminary objections in civil practice requesting dismissal of a pleading will be granted only where the right to relief is clearly warranted and free from doubt.  </w:t>
      </w:r>
      <w:proofErr w:type="gramStart"/>
      <w:r>
        <w:rPr>
          <w:i/>
          <w:sz w:val="24"/>
          <w:szCs w:val="24"/>
        </w:rPr>
        <w:t xml:space="preserve">Interstate </w:t>
      </w:r>
      <w:proofErr w:type="spellStart"/>
      <w:r>
        <w:rPr>
          <w:i/>
          <w:sz w:val="24"/>
          <w:szCs w:val="24"/>
        </w:rPr>
        <w:t>Traveller</w:t>
      </w:r>
      <w:proofErr w:type="spellEnd"/>
      <w:r>
        <w:rPr>
          <w:i/>
          <w:sz w:val="24"/>
          <w:szCs w:val="24"/>
        </w:rPr>
        <w:t xml:space="preserve"> Services, Inc. v. Pa. Dept. of Environment Resources,</w:t>
      </w:r>
      <w:r>
        <w:rPr>
          <w:sz w:val="24"/>
          <w:szCs w:val="24"/>
        </w:rPr>
        <w:t xml:space="preserve"> 406 A.2d 1020 (Pa. 1979); </w:t>
      </w:r>
      <w:r>
        <w:rPr>
          <w:i/>
          <w:sz w:val="24"/>
          <w:szCs w:val="24"/>
        </w:rPr>
        <w:t xml:space="preserve">Rivera v. Philadelphia Theological Seminary of St. Charles </w:t>
      </w:r>
      <w:proofErr w:type="spellStart"/>
      <w:r>
        <w:rPr>
          <w:i/>
          <w:sz w:val="24"/>
          <w:szCs w:val="24"/>
        </w:rPr>
        <w:t>Borromeo</w:t>
      </w:r>
      <w:proofErr w:type="spellEnd"/>
      <w:r>
        <w:rPr>
          <w:i/>
          <w:sz w:val="24"/>
          <w:szCs w:val="24"/>
        </w:rPr>
        <w:t>, Inc.</w:t>
      </w:r>
      <w:r>
        <w:rPr>
          <w:sz w:val="24"/>
          <w:szCs w:val="24"/>
        </w:rPr>
        <w:t>, 595 A.2d 172 (Pa. Super 1991).</w:t>
      </w:r>
      <w:proofErr w:type="gramEnd"/>
      <w:r>
        <w:rPr>
          <w:sz w:val="24"/>
          <w:szCs w:val="24"/>
        </w:rPr>
        <w:t xml:space="preserve">  The Commission follows this standard.  </w:t>
      </w:r>
      <w:proofErr w:type="gramStart"/>
      <w:r>
        <w:rPr>
          <w:i/>
          <w:sz w:val="24"/>
          <w:szCs w:val="24"/>
        </w:rPr>
        <w:t>Montague v. Philadelphia Electric Company,</w:t>
      </w:r>
      <w:r>
        <w:rPr>
          <w:sz w:val="24"/>
          <w:szCs w:val="24"/>
        </w:rPr>
        <w:t xml:space="preserve"> 66 </w:t>
      </w:r>
      <w:proofErr w:type="spellStart"/>
      <w:r>
        <w:rPr>
          <w:sz w:val="24"/>
          <w:szCs w:val="24"/>
        </w:rPr>
        <w:t>Pa.PUC</w:t>
      </w:r>
      <w:proofErr w:type="spellEnd"/>
      <w:r>
        <w:rPr>
          <w:sz w:val="24"/>
          <w:szCs w:val="24"/>
        </w:rPr>
        <w:t xml:space="preserve"> 24 (1988).</w:t>
      </w:r>
      <w:proofErr w:type="gramEnd"/>
    </w:p>
    <w:p w:rsidR="00F65DB4" w:rsidRDefault="00F65DB4" w:rsidP="00F65DB4">
      <w:pPr>
        <w:tabs>
          <w:tab w:val="left" w:pos="-1440"/>
          <w:tab w:val="left" w:pos="-720"/>
        </w:tabs>
        <w:suppressAutoHyphens/>
        <w:spacing w:line="360" w:lineRule="auto"/>
        <w:ind w:firstLine="1440"/>
        <w:rPr>
          <w:sz w:val="24"/>
          <w:szCs w:val="24"/>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lastRenderedPageBreak/>
        <w:t xml:space="preserve">The Commission must view the complaint in the light most favorable to Complainant and should dismiss the complaint only if it appears that the Complainant would not be entitled to relief under any circumstances as a matter of law.  </w:t>
      </w:r>
      <w:r>
        <w:rPr>
          <w:i/>
          <w:sz w:val="24"/>
          <w:szCs w:val="24"/>
        </w:rPr>
        <w:t xml:space="preserve">Equitable Small Transportation </w:t>
      </w:r>
      <w:proofErr w:type="spellStart"/>
      <w:r>
        <w:rPr>
          <w:i/>
          <w:sz w:val="24"/>
          <w:szCs w:val="24"/>
        </w:rPr>
        <w:t>Intervenors</w:t>
      </w:r>
      <w:proofErr w:type="spellEnd"/>
      <w:r>
        <w:rPr>
          <w:i/>
          <w:sz w:val="24"/>
          <w:szCs w:val="24"/>
        </w:rPr>
        <w:t xml:space="preserve"> v. Equitable Gas Company, </w:t>
      </w:r>
      <w:r>
        <w:rPr>
          <w:sz w:val="24"/>
          <w:szCs w:val="24"/>
        </w:rPr>
        <w:t xml:space="preserve">1994 Pa PUC LEXIS 69, Docket No. </w:t>
      </w:r>
      <w:proofErr w:type="gramStart"/>
      <w:r>
        <w:rPr>
          <w:sz w:val="24"/>
          <w:szCs w:val="24"/>
        </w:rPr>
        <w:t>C-00935435 (1994).</w:t>
      </w:r>
      <w:proofErr w:type="gramEnd"/>
    </w:p>
    <w:p w:rsidR="00F65DB4" w:rsidRDefault="00F65DB4" w:rsidP="00F65DB4">
      <w:pPr>
        <w:tabs>
          <w:tab w:val="left" w:pos="-1440"/>
          <w:tab w:val="left" w:pos="-720"/>
        </w:tabs>
        <w:suppressAutoHyphens/>
        <w:spacing w:line="360" w:lineRule="auto"/>
        <w:rPr>
          <w:sz w:val="24"/>
          <w:szCs w:val="24"/>
          <w:u w:val="single"/>
        </w:rPr>
      </w:pPr>
    </w:p>
    <w:p w:rsidR="00F65DB4" w:rsidRDefault="00F65DB4" w:rsidP="00F65DB4">
      <w:pPr>
        <w:spacing w:line="360" w:lineRule="auto"/>
        <w:ind w:firstLine="1440"/>
        <w:rPr>
          <w:sz w:val="24"/>
          <w:szCs w:val="24"/>
        </w:rPr>
      </w:pPr>
      <w:r>
        <w:rPr>
          <w:sz w:val="24"/>
          <w:szCs w:val="24"/>
        </w:rPr>
        <w:t>In the instant case, Complainant avers she is the landlord who owns the service residence at 130 Abbey Trail, Drexel Hill, PA at account number 65137-00303.  Complainant seeks a reduction in a bill in the amount of $199.15 for service to her tenant that she believes is unreasonable given that she believed she was paying for public lighting service charges under her account number 65137-00303 at the time foreign wiring was found on September 7, 2012.  Complainant does not dispute that foreign wiring existed on her tenant’s account.</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 xml:space="preserve">In </w:t>
      </w:r>
      <w:r>
        <w:rPr>
          <w:i/>
          <w:sz w:val="24"/>
          <w:szCs w:val="24"/>
        </w:rPr>
        <w:t>Ace Check Cashing Inc. v. Philadelphia Gas Works,</w:t>
      </w:r>
      <w:r>
        <w:rPr>
          <w:sz w:val="24"/>
          <w:szCs w:val="24"/>
        </w:rPr>
        <w:t xml:space="preserve"> Docket No. C-2008-2056428, Order (May 21, 2010)</w:t>
      </w:r>
      <w:r>
        <w:rPr>
          <w:i/>
          <w:sz w:val="24"/>
          <w:szCs w:val="24"/>
        </w:rPr>
        <w:t xml:space="preserve">, </w:t>
      </w:r>
      <w:r>
        <w:rPr>
          <w:sz w:val="24"/>
          <w:szCs w:val="24"/>
        </w:rPr>
        <w:t xml:space="preserve">the Commission found that the ultimate dispute in a foreign load case is the financial responsibility for an established amount of charges for past utility service between a landlord and tenant.  The dispute does not concern the utility or the utility’s service, and, therefore, its resolution does not require the Commission’s regulatory expertise.  The approach of determining what portion of the tenant’s arrearage was related to foreign load was abandoned in </w:t>
      </w:r>
      <w:r>
        <w:rPr>
          <w:i/>
          <w:sz w:val="24"/>
          <w:szCs w:val="24"/>
        </w:rPr>
        <w:t>Ace Check Cashing</w:t>
      </w:r>
      <w:r>
        <w:rPr>
          <w:sz w:val="24"/>
          <w:szCs w:val="24"/>
        </w:rPr>
        <w:t xml:space="preserve"> because the Commission was being inserted into a dispute between the tenant and the landlord, and it was reasoned that those disputes are better left to courts of common pleas and district magistrates to manage concerning contractual disputes between landlords and tenants.</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 xml:space="preserve">The policy adopted by the Commission in </w:t>
      </w:r>
      <w:r>
        <w:rPr>
          <w:i/>
          <w:sz w:val="24"/>
          <w:szCs w:val="24"/>
        </w:rPr>
        <w:t>Ace Check Cashing</w:t>
      </w:r>
      <w:r>
        <w:rPr>
          <w:sz w:val="24"/>
          <w:szCs w:val="24"/>
        </w:rPr>
        <w:t xml:space="preserve"> is consistent with the plain meaning of Section 1529.1 of the Public Utility Code, which holds the landlord financially responsible for a tenant’s entire account, once foreign load is verified on the tenant’s service.  The account is returned to the tenant after the foreign load is corrected but any arrearage stays with the landlord/owner even through the amount might exceed the portion of the arrearage attributable to the foreign load.  Although this may seem unreasonable to the landlord, he or she is not without legal recourse.  A civil lawsuit may be brought before a district magistrate or court of common pleas for compensation.</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Section 1529.1 of the Code, 66 Pa. C.S. § 1529.1 states the following:</w:t>
      </w:r>
    </w:p>
    <w:p w:rsidR="00F65DB4" w:rsidRDefault="00F65DB4" w:rsidP="00F65DB4">
      <w:pPr>
        <w:spacing w:line="360" w:lineRule="auto"/>
        <w:ind w:firstLine="1440"/>
        <w:rPr>
          <w:sz w:val="24"/>
          <w:szCs w:val="24"/>
        </w:rPr>
      </w:pPr>
    </w:p>
    <w:p w:rsidR="00F65DB4" w:rsidRDefault="00F65DB4" w:rsidP="00F65DB4">
      <w:pPr>
        <w:adjustRightInd w:val="0"/>
        <w:ind w:left="1440" w:right="1440"/>
        <w:rPr>
          <w:b/>
          <w:bCs/>
          <w:color w:val="000000"/>
          <w:sz w:val="24"/>
          <w:szCs w:val="24"/>
        </w:rPr>
      </w:pPr>
      <w:r>
        <w:rPr>
          <w:b/>
          <w:bCs/>
          <w:color w:val="000000"/>
          <w:sz w:val="24"/>
          <w:szCs w:val="24"/>
        </w:rPr>
        <w:t xml:space="preserve">§ 1529.1.  </w:t>
      </w:r>
      <w:proofErr w:type="gramStart"/>
      <w:r>
        <w:rPr>
          <w:b/>
          <w:bCs/>
          <w:color w:val="000000"/>
          <w:sz w:val="24"/>
          <w:szCs w:val="24"/>
        </w:rPr>
        <w:t>Duty of owners of rental property.</w:t>
      </w:r>
      <w:proofErr w:type="gramEnd"/>
    </w:p>
    <w:p w:rsidR="00F65DB4" w:rsidRDefault="00F65DB4" w:rsidP="00F65DB4">
      <w:pPr>
        <w:adjustRightInd w:val="0"/>
        <w:ind w:left="1440" w:right="1440"/>
        <w:rPr>
          <w:b/>
          <w:bCs/>
          <w:color w:val="000000"/>
          <w:sz w:val="24"/>
          <w:szCs w:val="24"/>
        </w:rPr>
      </w:pPr>
    </w:p>
    <w:p w:rsidR="00F65DB4" w:rsidRDefault="00F65DB4" w:rsidP="00F65DB4">
      <w:pPr>
        <w:adjustRightInd w:val="0"/>
        <w:ind w:left="1440" w:right="1440" w:firstLine="720"/>
        <w:rPr>
          <w:color w:val="000000"/>
          <w:sz w:val="24"/>
          <w:szCs w:val="24"/>
        </w:rPr>
      </w:pPr>
      <w:r>
        <w:rPr>
          <w:b/>
          <w:bCs/>
          <w:color w:val="000000"/>
          <w:sz w:val="24"/>
          <w:szCs w:val="24"/>
        </w:rPr>
        <w:t>(a)  Notice to public utility.—</w:t>
      </w:r>
      <w:proofErr w:type="gramStart"/>
      <w:r>
        <w:rPr>
          <w:color w:val="000000"/>
          <w:sz w:val="24"/>
          <w:szCs w:val="24"/>
        </w:rPr>
        <w:t>It</w:t>
      </w:r>
      <w:proofErr w:type="gramEnd"/>
      <w:r>
        <w:rPr>
          <w:color w:val="000000"/>
          <w:sz w:val="24"/>
          <w:szCs w:val="24"/>
        </w:rPr>
        <w:t xml:space="preserve">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0" w:name="IN;3"/>
      <w:bookmarkStart w:id="1" w:name="SP;a83b000018c76"/>
      <w:bookmarkEnd w:id="0"/>
      <w:bookmarkEnd w:id="1"/>
    </w:p>
    <w:p w:rsidR="00F65DB4" w:rsidRDefault="00F65DB4" w:rsidP="00F65DB4">
      <w:pPr>
        <w:adjustRightInd w:val="0"/>
        <w:ind w:left="1440" w:right="1440"/>
        <w:rPr>
          <w:b/>
          <w:bCs/>
          <w:color w:val="000000"/>
          <w:sz w:val="24"/>
          <w:szCs w:val="24"/>
        </w:rPr>
      </w:pPr>
    </w:p>
    <w:p w:rsidR="00F65DB4" w:rsidRDefault="00F65DB4" w:rsidP="00F65DB4">
      <w:pPr>
        <w:ind w:left="1440" w:right="1440" w:firstLine="720"/>
        <w:rPr>
          <w:color w:val="000000"/>
          <w:sz w:val="24"/>
          <w:szCs w:val="24"/>
        </w:rPr>
      </w:pPr>
      <w:r>
        <w:rPr>
          <w:b/>
          <w:bCs/>
          <w:color w:val="000000"/>
          <w:sz w:val="24"/>
          <w:szCs w:val="24"/>
        </w:rPr>
        <w:t>(b)  History of account.—</w:t>
      </w:r>
      <w:r>
        <w:rPr>
          <w:color w:val="000000"/>
          <w:sz w:val="24"/>
          <w:szCs w:val="24"/>
        </w:rPr>
        <w:t xml:space="preserve">Upon receipt of the notice provided in this section, if the mobile home park or residential building contains one or more dwelling </w:t>
      </w:r>
      <w:bookmarkStart w:id="2" w:name="SDU_2"/>
      <w:bookmarkEnd w:id="2"/>
      <w:r>
        <w:rPr>
          <w:color w:val="000000"/>
          <w:sz w:val="24"/>
          <w:szCs w:val="24"/>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3" w:name="IN;4"/>
      <w:bookmarkStart w:id="4" w:name="SP;4b24000003ba5"/>
      <w:bookmarkEnd w:id="3"/>
      <w:bookmarkEnd w:id="4"/>
    </w:p>
    <w:p w:rsidR="00F65DB4" w:rsidRDefault="00F65DB4" w:rsidP="00F65DB4">
      <w:pPr>
        <w:ind w:left="1440" w:right="1440"/>
        <w:rPr>
          <w:b/>
          <w:bCs/>
          <w:color w:val="000000"/>
          <w:sz w:val="24"/>
          <w:szCs w:val="24"/>
        </w:rPr>
      </w:pPr>
    </w:p>
    <w:p w:rsidR="00F65DB4" w:rsidRDefault="00F65DB4" w:rsidP="00F65DB4">
      <w:pPr>
        <w:ind w:left="1440" w:right="1440" w:firstLine="720"/>
        <w:rPr>
          <w:rFonts w:eastAsia="Calibri"/>
          <w:sz w:val="24"/>
          <w:szCs w:val="24"/>
        </w:rPr>
      </w:pPr>
      <w:r>
        <w:rPr>
          <w:b/>
          <w:bCs/>
          <w:color w:val="000000"/>
          <w:sz w:val="24"/>
          <w:szCs w:val="24"/>
        </w:rPr>
        <w:t>(c)  Failure to give notice.—</w:t>
      </w:r>
      <w:proofErr w:type="gramStart"/>
      <w:r>
        <w:rPr>
          <w:color w:val="000000"/>
          <w:sz w:val="24"/>
          <w:szCs w:val="24"/>
        </w:rPr>
        <w:t>Any</w:t>
      </w:r>
      <w:proofErr w:type="gramEnd"/>
      <w:r>
        <w:rPr>
          <w:color w:val="000000"/>
          <w:sz w:val="24"/>
          <w:szCs w:val="24"/>
        </w:rPr>
        <w:t xml:space="preserve"> owner of a residential building or mobile home park failing to notify affected public utilities as required by this section shall nonetheless be responsible for payment of the utility services as if the required notice had been given.</w:t>
      </w:r>
    </w:p>
    <w:p w:rsidR="00F65DB4" w:rsidRDefault="00F65DB4" w:rsidP="00F65DB4">
      <w:pPr>
        <w:spacing w:line="360" w:lineRule="auto"/>
        <w:rPr>
          <w:sz w:val="24"/>
          <w:szCs w:val="24"/>
        </w:rPr>
      </w:pPr>
      <w:r>
        <w:rPr>
          <w:sz w:val="24"/>
          <w:szCs w:val="24"/>
        </w:rPr>
        <w:tab/>
      </w:r>
    </w:p>
    <w:p w:rsidR="00F65DB4" w:rsidRDefault="00F65DB4" w:rsidP="00F65DB4">
      <w:pPr>
        <w:spacing w:line="360" w:lineRule="auto"/>
        <w:rPr>
          <w:sz w:val="24"/>
          <w:szCs w:val="24"/>
        </w:rPr>
      </w:pPr>
      <w:r>
        <w:rPr>
          <w:sz w:val="24"/>
          <w:szCs w:val="24"/>
        </w:rPr>
        <w:tab/>
      </w:r>
      <w:r>
        <w:rPr>
          <w:sz w:val="24"/>
          <w:szCs w:val="24"/>
        </w:rPr>
        <w:tab/>
        <w:t>The express language of this statutory provision provides that the owner of the rental property is responsible for the payment of all utility services provided to the property when the usage of several tenants is recorded on one meter and billed accordingly, regardless of whether or not the owner has notified the utility providing the service.</w:t>
      </w:r>
    </w:p>
    <w:p w:rsidR="00F65DB4" w:rsidRDefault="00F65DB4" w:rsidP="00F65DB4">
      <w:pPr>
        <w:spacing w:line="360" w:lineRule="auto"/>
        <w:rPr>
          <w:sz w:val="24"/>
          <w:szCs w:val="24"/>
        </w:rPr>
      </w:pPr>
    </w:p>
    <w:p w:rsidR="00F65DB4" w:rsidRDefault="00F65DB4" w:rsidP="00F65DB4">
      <w:pPr>
        <w:spacing w:line="360" w:lineRule="auto"/>
        <w:rPr>
          <w:sz w:val="24"/>
          <w:szCs w:val="24"/>
        </w:rPr>
      </w:pPr>
      <w:r>
        <w:rPr>
          <w:sz w:val="24"/>
          <w:szCs w:val="24"/>
        </w:rPr>
        <w:tab/>
      </w:r>
      <w:r>
        <w:rPr>
          <w:sz w:val="24"/>
          <w:szCs w:val="24"/>
        </w:rPr>
        <w:tab/>
        <w:t xml:space="preserve">In interpreting this provision, the Commission has determined that well-established precedent “holds the property owner financially responsible for a tenant’s entire account, once foreign load is verified on the tenant’s service.”  </w:t>
      </w:r>
      <w:proofErr w:type="gramStart"/>
      <w:r>
        <w:rPr>
          <w:i/>
          <w:sz w:val="24"/>
          <w:szCs w:val="24"/>
        </w:rPr>
        <w:t xml:space="preserve">Ace Check Cashing, Inc. </w:t>
      </w:r>
      <w:r>
        <w:rPr>
          <w:sz w:val="24"/>
          <w:szCs w:val="24"/>
        </w:rPr>
        <w:t>at 6.</w:t>
      </w:r>
      <w:proofErr w:type="gramEnd"/>
      <w:r>
        <w:rPr>
          <w:sz w:val="24"/>
          <w:szCs w:val="24"/>
        </w:rPr>
        <w:t xml:space="preserve">  </w:t>
      </w:r>
      <w:r>
        <w:rPr>
          <w:i/>
          <w:sz w:val="24"/>
          <w:szCs w:val="24"/>
        </w:rPr>
        <w:t>See also, Santos v. Metropolitan Edison Co.</w:t>
      </w:r>
      <w:r>
        <w:rPr>
          <w:sz w:val="24"/>
          <w:szCs w:val="24"/>
        </w:rPr>
        <w:t xml:space="preserve">, 1997 Pa. PUC LEXIS 184 at *21 (finding that, upon discovery of foreign load and identification that the dwelling unit is not separately metered, the utility must </w:t>
      </w:r>
      <w:r>
        <w:rPr>
          <w:sz w:val="24"/>
          <w:szCs w:val="24"/>
        </w:rPr>
        <w:lastRenderedPageBreak/>
        <w:t xml:space="preserve">switch the account into the name of the landlord and bill the landlord’s account for any unpaid billing on the account).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proofErr w:type="gramStart"/>
      <w:r>
        <w:rPr>
          <w:i/>
          <w:sz w:val="24"/>
          <w:szCs w:val="24"/>
        </w:rPr>
        <w:t>Id</w:t>
      </w:r>
      <w:r>
        <w:rPr>
          <w:sz w:val="24"/>
          <w:szCs w:val="24"/>
        </w:rPr>
        <w:t>. at 7.</w:t>
      </w:r>
      <w:proofErr w:type="gramEnd"/>
      <w:r>
        <w:rPr>
          <w:sz w:val="24"/>
          <w:szCs w:val="24"/>
        </w:rPr>
        <w:t xml:space="preserve">  However, the landlord remains responsible for any arrearages on the tenant’s account.  </w:t>
      </w:r>
      <w:r>
        <w:rPr>
          <w:i/>
          <w:sz w:val="24"/>
          <w:szCs w:val="24"/>
        </w:rPr>
        <w:t>Id</w:t>
      </w:r>
      <w:r>
        <w:rPr>
          <w:sz w:val="24"/>
          <w:szCs w:val="24"/>
        </w:rPr>
        <w:t xml:space="preserve">. at 7-8.  This rule applies even if the amount of usage attributable to foreign load is considered </w:t>
      </w:r>
      <w:r>
        <w:rPr>
          <w:i/>
          <w:sz w:val="24"/>
          <w:szCs w:val="24"/>
        </w:rPr>
        <w:t xml:space="preserve">de </w:t>
      </w:r>
      <w:proofErr w:type="spellStart"/>
      <w:r>
        <w:rPr>
          <w:i/>
          <w:sz w:val="24"/>
          <w:szCs w:val="24"/>
        </w:rPr>
        <w:t>minimus</w:t>
      </w:r>
      <w:proofErr w:type="spellEnd"/>
      <w:r>
        <w:rPr>
          <w:sz w:val="24"/>
          <w:szCs w:val="24"/>
        </w:rPr>
        <w:t xml:space="preserve">.  The Commission does not have jurisdiction over disputes concerning the financial responsibilities of private parties, such as the landlord and tenant, and such matters are to be resolved in the Court of Common Pleas.  </w:t>
      </w:r>
      <w:proofErr w:type="gramStart"/>
      <w:r>
        <w:rPr>
          <w:i/>
          <w:sz w:val="24"/>
          <w:szCs w:val="24"/>
        </w:rPr>
        <w:t>Id</w:t>
      </w:r>
      <w:r>
        <w:rPr>
          <w:sz w:val="24"/>
          <w:szCs w:val="24"/>
        </w:rPr>
        <w:t>. at 8.</w:t>
      </w:r>
      <w:proofErr w:type="gramEnd"/>
    </w:p>
    <w:p w:rsidR="00F65DB4" w:rsidRDefault="00F65DB4" w:rsidP="00F65DB4">
      <w:pPr>
        <w:spacing w:line="360" w:lineRule="auto"/>
        <w:rPr>
          <w:sz w:val="24"/>
          <w:szCs w:val="24"/>
        </w:rPr>
      </w:pPr>
    </w:p>
    <w:p w:rsidR="00F65DB4" w:rsidRDefault="00F65DB4" w:rsidP="00F65DB4">
      <w:pPr>
        <w:spacing w:line="360" w:lineRule="auto"/>
        <w:rPr>
          <w:sz w:val="24"/>
          <w:szCs w:val="24"/>
        </w:rPr>
      </w:pPr>
      <w:r>
        <w:rPr>
          <w:sz w:val="24"/>
          <w:szCs w:val="24"/>
        </w:rPr>
        <w:tab/>
      </w:r>
      <w:r>
        <w:rPr>
          <w:sz w:val="24"/>
          <w:szCs w:val="24"/>
        </w:rPr>
        <w:tab/>
        <w:t xml:space="preserve">Based on the evidence in the instant case, PECO complied with the law by placing the first floor tenant’s account into the landlord’s name.  There is no dispute as to the existence of foreign load on September 7, 2012, when PECO’s technician found that the tenant was also paying for all outdoor, hallway, stairway and basement electric lighting.  The Complainant did not deny that foreign load existed on September 7, 2012.  Accordingly, PECO was required to place the tenant’s entire account balance of approximately $200, into the landlord’s name, regardless of the amount of the balance that may have been attributable to foreign load.  This action is within the legal constraints of </w:t>
      </w:r>
      <w:r>
        <w:rPr>
          <w:i/>
          <w:sz w:val="24"/>
          <w:szCs w:val="24"/>
        </w:rPr>
        <w:t>Ace Check Cashing</w:t>
      </w:r>
      <w:r>
        <w:rPr>
          <w:sz w:val="24"/>
          <w:szCs w:val="24"/>
        </w:rPr>
        <w:t xml:space="preserve"> and </w:t>
      </w:r>
      <w:r>
        <w:rPr>
          <w:i/>
          <w:sz w:val="24"/>
          <w:szCs w:val="24"/>
        </w:rPr>
        <w:t>Santos.</w:t>
      </w:r>
      <w:r>
        <w:rPr>
          <w:sz w:val="24"/>
          <w:szCs w:val="24"/>
        </w:rPr>
        <w:t xml:space="preserve">  As such, the complaint fails to state a claim upon which relief can be granted and is legally insufficient.</w:t>
      </w:r>
    </w:p>
    <w:p w:rsidR="00F65DB4" w:rsidRDefault="00F65DB4" w:rsidP="00F65DB4">
      <w:pPr>
        <w:spacing w:line="360" w:lineRule="auto"/>
        <w:jc w:val="center"/>
        <w:rPr>
          <w:sz w:val="24"/>
          <w:szCs w:val="24"/>
          <w:u w:val="single"/>
        </w:rPr>
      </w:pPr>
    </w:p>
    <w:p w:rsidR="00F65DB4" w:rsidRDefault="00F65DB4" w:rsidP="00F65DB4">
      <w:pPr>
        <w:tabs>
          <w:tab w:val="left" w:pos="-1440"/>
          <w:tab w:val="left" w:pos="-720"/>
        </w:tabs>
        <w:suppressAutoHyphens/>
        <w:spacing w:line="360" w:lineRule="auto"/>
        <w:ind w:firstLine="1440"/>
        <w:rPr>
          <w:sz w:val="24"/>
          <w:szCs w:val="24"/>
        </w:rPr>
      </w:pPr>
      <w:r>
        <w:rPr>
          <w:sz w:val="24"/>
          <w:szCs w:val="24"/>
        </w:rPr>
        <w:t xml:space="preserve">This Commission has discretion to “dismiss any complaint without a hearing if, in its opinion, a hearing is not necessary in the public interest.”  </w:t>
      </w:r>
      <w:proofErr w:type="gramStart"/>
      <w:r>
        <w:rPr>
          <w:sz w:val="24"/>
          <w:szCs w:val="24"/>
        </w:rPr>
        <w:t>66 Pa. C.S. §703(b); 52 Pa. Code §5.21(d).</w:t>
      </w:r>
      <w:proofErr w:type="gramEnd"/>
      <w:r>
        <w:rPr>
          <w:sz w:val="24"/>
          <w:szCs w:val="24"/>
        </w:rPr>
        <w:t xml:space="preserve">  A hearing is necessary only to resolve disputed questions of fact, and when the question presented is one of law, the Commission need not hold a hearing  </w:t>
      </w:r>
      <w:r>
        <w:rPr>
          <w:i/>
          <w:sz w:val="24"/>
          <w:szCs w:val="24"/>
        </w:rPr>
        <w:t xml:space="preserve">Lehigh Valley Power Comm. v. PUC, </w:t>
      </w:r>
      <w:r>
        <w:rPr>
          <w:sz w:val="24"/>
          <w:szCs w:val="24"/>
        </w:rPr>
        <w:t xml:space="preserve">128 </w:t>
      </w:r>
      <w:proofErr w:type="spellStart"/>
      <w:r>
        <w:rPr>
          <w:sz w:val="24"/>
          <w:szCs w:val="24"/>
        </w:rPr>
        <w:t>Pa.Cmwlth</w:t>
      </w:r>
      <w:proofErr w:type="spellEnd"/>
      <w:r>
        <w:rPr>
          <w:sz w:val="24"/>
          <w:szCs w:val="24"/>
        </w:rPr>
        <w:t xml:space="preserve">. </w:t>
      </w:r>
      <w:proofErr w:type="gramStart"/>
      <w:r>
        <w:rPr>
          <w:sz w:val="24"/>
          <w:szCs w:val="24"/>
        </w:rPr>
        <w:t>259, 563 A.2d 548 (1989).</w:t>
      </w:r>
      <w:proofErr w:type="gramEnd"/>
      <w:r>
        <w:rPr>
          <w:sz w:val="24"/>
          <w:szCs w:val="24"/>
        </w:rPr>
        <w:t xml:space="preserve">  As there are no additional allegations in the instant case, there is no reason to hold a hearing.</w:t>
      </w:r>
    </w:p>
    <w:p w:rsidR="00F65DB4" w:rsidRDefault="00F65DB4" w:rsidP="00F65DB4">
      <w:pPr>
        <w:spacing w:line="360" w:lineRule="auto"/>
        <w:jc w:val="center"/>
        <w:rPr>
          <w:sz w:val="24"/>
          <w:szCs w:val="24"/>
          <w:u w:val="single"/>
        </w:rPr>
      </w:pPr>
    </w:p>
    <w:p w:rsidR="00F65DB4" w:rsidRDefault="00F65DB4" w:rsidP="00F65DB4">
      <w:pPr>
        <w:spacing w:line="360" w:lineRule="auto"/>
        <w:jc w:val="center"/>
        <w:rPr>
          <w:sz w:val="24"/>
          <w:szCs w:val="24"/>
        </w:rPr>
      </w:pPr>
      <w:r>
        <w:rPr>
          <w:sz w:val="24"/>
          <w:szCs w:val="24"/>
          <w:u w:val="single"/>
        </w:rPr>
        <w:t>CONCLUSION OF LAW</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1.</w:t>
      </w:r>
      <w:r>
        <w:rPr>
          <w:sz w:val="24"/>
          <w:szCs w:val="24"/>
        </w:rPr>
        <w:tab/>
        <w:t xml:space="preserve">The complaint is legally insufficient.  52 </w:t>
      </w:r>
      <w:proofErr w:type="spellStart"/>
      <w:r>
        <w:rPr>
          <w:sz w:val="24"/>
          <w:szCs w:val="24"/>
        </w:rPr>
        <w:t>Pa.Code</w:t>
      </w:r>
      <w:proofErr w:type="spellEnd"/>
      <w:r>
        <w:rPr>
          <w:sz w:val="24"/>
          <w:szCs w:val="24"/>
        </w:rPr>
        <w:t xml:space="preserve"> §5.101(a</w:t>
      </w:r>
      <w:proofErr w:type="gramStart"/>
      <w:r>
        <w:rPr>
          <w:sz w:val="24"/>
          <w:szCs w:val="24"/>
        </w:rPr>
        <w:t>)(</w:t>
      </w:r>
      <w:proofErr w:type="gramEnd"/>
      <w:r>
        <w:rPr>
          <w:sz w:val="24"/>
          <w:szCs w:val="24"/>
        </w:rPr>
        <w:t>4).</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sz w:val="24"/>
          <w:szCs w:val="24"/>
        </w:rPr>
      </w:pPr>
      <w:r>
        <w:rPr>
          <w:sz w:val="24"/>
          <w:szCs w:val="24"/>
        </w:rPr>
        <w:t>2.</w:t>
      </w:r>
      <w:r>
        <w:rPr>
          <w:sz w:val="24"/>
          <w:szCs w:val="24"/>
        </w:rPr>
        <w:tab/>
        <w:t>The face of the Complaint shows that the law will not permit recovery.</w:t>
      </w:r>
    </w:p>
    <w:p w:rsidR="00F65DB4" w:rsidRDefault="00F65DB4" w:rsidP="00F65DB4">
      <w:pPr>
        <w:spacing w:line="360" w:lineRule="auto"/>
        <w:rPr>
          <w:bCs/>
          <w:sz w:val="24"/>
          <w:szCs w:val="24"/>
          <w:u w:val="single"/>
        </w:rPr>
      </w:pPr>
    </w:p>
    <w:p w:rsidR="00F65DB4" w:rsidRDefault="00F65DB4" w:rsidP="00F65DB4">
      <w:pPr>
        <w:spacing w:line="360" w:lineRule="auto"/>
        <w:jc w:val="center"/>
        <w:rPr>
          <w:bCs/>
          <w:sz w:val="24"/>
          <w:szCs w:val="24"/>
          <w:u w:val="single"/>
        </w:rPr>
      </w:pPr>
      <w:r>
        <w:rPr>
          <w:bCs/>
          <w:sz w:val="24"/>
          <w:szCs w:val="24"/>
          <w:u w:val="single"/>
        </w:rPr>
        <w:t>ORDER</w:t>
      </w:r>
    </w:p>
    <w:p w:rsidR="00F65DB4" w:rsidRDefault="00F65DB4" w:rsidP="00F65DB4">
      <w:pPr>
        <w:spacing w:line="360" w:lineRule="auto"/>
        <w:ind w:firstLine="1440"/>
        <w:rPr>
          <w:sz w:val="24"/>
          <w:szCs w:val="24"/>
          <w:u w:val="single"/>
        </w:rPr>
      </w:pPr>
    </w:p>
    <w:p w:rsidR="00F65DB4" w:rsidRDefault="00F65DB4" w:rsidP="00F65DB4">
      <w:pPr>
        <w:spacing w:line="360" w:lineRule="auto"/>
        <w:ind w:firstLine="1440"/>
        <w:rPr>
          <w:sz w:val="24"/>
          <w:szCs w:val="24"/>
          <w:u w:val="single"/>
        </w:rPr>
      </w:pPr>
    </w:p>
    <w:p w:rsidR="00F65DB4" w:rsidRDefault="00F65DB4" w:rsidP="00F65DB4">
      <w:pPr>
        <w:spacing w:line="360" w:lineRule="auto"/>
        <w:ind w:firstLine="1440"/>
        <w:rPr>
          <w:sz w:val="24"/>
          <w:szCs w:val="24"/>
        </w:rPr>
      </w:pPr>
      <w:r>
        <w:rPr>
          <w:bCs/>
          <w:sz w:val="24"/>
          <w:szCs w:val="24"/>
        </w:rPr>
        <w:t>THEREFORE,</w:t>
      </w:r>
    </w:p>
    <w:p w:rsidR="00F65DB4" w:rsidRDefault="00F65DB4" w:rsidP="00F65DB4">
      <w:pPr>
        <w:spacing w:line="360" w:lineRule="auto"/>
        <w:ind w:firstLine="1440"/>
        <w:rPr>
          <w:sz w:val="24"/>
          <w:szCs w:val="24"/>
        </w:rPr>
      </w:pPr>
    </w:p>
    <w:p w:rsidR="00F65DB4" w:rsidRDefault="00F65DB4" w:rsidP="00F65DB4">
      <w:pPr>
        <w:spacing w:line="360" w:lineRule="auto"/>
        <w:ind w:firstLine="1440"/>
        <w:rPr>
          <w:bCs/>
          <w:sz w:val="24"/>
          <w:szCs w:val="24"/>
        </w:rPr>
      </w:pPr>
      <w:r>
        <w:rPr>
          <w:bCs/>
          <w:sz w:val="24"/>
          <w:szCs w:val="24"/>
        </w:rPr>
        <w:t>IT IS ORDERED:</w:t>
      </w:r>
    </w:p>
    <w:p w:rsidR="00F65DB4" w:rsidRDefault="00F65DB4" w:rsidP="00F65DB4">
      <w:pPr>
        <w:spacing w:line="360" w:lineRule="auto"/>
        <w:ind w:firstLine="1440"/>
        <w:rPr>
          <w:sz w:val="24"/>
          <w:szCs w:val="24"/>
        </w:rPr>
      </w:pPr>
    </w:p>
    <w:p w:rsidR="00F65DB4" w:rsidRDefault="00F65DB4" w:rsidP="00F65DB4">
      <w:pPr>
        <w:pStyle w:val="ListParagraph"/>
        <w:numPr>
          <w:ilvl w:val="0"/>
          <w:numId w:val="4"/>
        </w:numPr>
        <w:spacing w:line="360" w:lineRule="auto"/>
        <w:ind w:left="0" w:firstLine="1440"/>
        <w:rPr>
          <w:sz w:val="24"/>
          <w:szCs w:val="24"/>
        </w:rPr>
      </w:pPr>
      <w:r>
        <w:rPr>
          <w:sz w:val="24"/>
          <w:szCs w:val="24"/>
        </w:rPr>
        <w:t>That PECO Energy Company’s Preliminary Objections are hereby sustained.</w:t>
      </w:r>
    </w:p>
    <w:p w:rsidR="00F65DB4" w:rsidRDefault="00F65DB4" w:rsidP="00F65DB4">
      <w:pPr>
        <w:pStyle w:val="ListParagraph"/>
        <w:spacing w:line="360" w:lineRule="auto"/>
        <w:ind w:left="3600"/>
        <w:rPr>
          <w:sz w:val="24"/>
          <w:szCs w:val="24"/>
        </w:rPr>
      </w:pPr>
    </w:p>
    <w:p w:rsidR="00F65DB4" w:rsidRDefault="00F65DB4" w:rsidP="00F65DB4">
      <w:pPr>
        <w:spacing w:line="360" w:lineRule="auto"/>
        <w:ind w:firstLine="1440"/>
        <w:rPr>
          <w:sz w:val="24"/>
          <w:szCs w:val="24"/>
        </w:rPr>
      </w:pPr>
      <w:r>
        <w:rPr>
          <w:sz w:val="24"/>
          <w:szCs w:val="24"/>
        </w:rPr>
        <w:t>2.</w:t>
      </w:r>
      <w:r>
        <w:rPr>
          <w:sz w:val="24"/>
          <w:szCs w:val="24"/>
        </w:rPr>
        <w:tab/>
        <w:t>That the Complaint filed by Michele Jones against PECO Energy Company docketed at Docket Number C-2013-2356361 is dismissed and the docket be marked closed.</w:t>
      </w:r>
    </w:p>
    <w:p w:rsidR="00F65DB4" w:rsidRDefault="00F65DB4" w:rsidP="00F65DB4">
      <w:pPr>
        <w:spacing w:line="360" w:lineRule="auto"/>
        <w:ind w:firstLine="1440"/>
        <w:rPr>
          <w:sz w:val="24"/>
          <w:szCs w:val="24"/>
        </w:rPr>
      </w:pPr>
    </w:p>
    <w:p w:rsidR="00F65DB4" w:rsidRDefault="00F65DB4" w:rsidP="00F65DB4">
      <w:pPr>
        <w:spacing w:line="360" w:lineRule="auto"/>
        <w:rPr>
          <w:sz w:val="24"/>
          <w:szCs w:val="24"/>
        </w:rPr>
      </w:pPr>
      <w:r>
        <w:rPr>
          <w:sz w:val="24"/>
          <w:szCs w:val="24"/>
        </w:rPr>
        <w:tab/>
      </w:r>
      <w:r>
        <w:rPr>
          <w:sz w:val="24"/>
          <w:szCs w:val="24"/>
        </w:rPr>
        <w:tab/>
      </w:r>
    </w:p>
    <w:p w:rsidR="00F65DB4" w:rsidRDefault="00F65DB4" w:rsidP="00F65DB4">
      <w:pPr>
        <w:rPr>
          <w:sz w:val="24"/>
          <w:szCs w:val="24"/>
        </w:rPr>
      </w:pPr>
      <w:r>
        <w:rPr>
          <w:sz w:val="24"/>
          <w:szCs w:val="24"/>
        </w:rPr>
        <w:t xml:space="preserve">Date:  </w:t>
      </w:r>
      <w:r>
        <w:rPr>
          <w:sz w:val="24"/>
          <w:szCs w:val="24"/>
          <w:u w:val="single"/>
        </w:rPr>
        <w:t>July 16, 2013</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____/s/___________________________</w:t>
      </w:r>
    </w:p>
    <w:p w:rsidR="00F65DB4" w:rsidRDefault="00F65DB4" w:rsidP="00F65DB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Elizabeth Barnes</w:t>
      </w:r>
    </w:p>
    <w:p w:rsidR="00F65DB4" w:rsidRDefault="00F65DB4" w:rsidP="00F65DB4">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03D99" w:rsidRPr="00F65DB4" w:rsidRDefault="00303D99" w:rsidP="00F65DB4">
      <w:bookmarkStart w:id="5" w:name="_GoBack"/>
      <w:bookmarkEnd w:id="5"/>
    </w:p>
    <w:sectPr w:rsidR="00303D99" w:rsidRPr="00F65DB4">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847" w:rsidRDefault="00407847">
      <w:r>
        <w:separator/>
      </w:r>
    </w:p>
  </w:endnote>
  <w:endnote w:type="continuationSeparator" w:id="0">
    <w:p w:rsidR="00407847" w:rsidRDefault="0040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303D99">
    <w:pPr>
      <w:pStyle w:val="Footer"/>
      <w:framePr w:wrap="auto" w:vAnchor="text" w:hAnchor="margin" w:xAlign="center" w:y="1"/>
      <w:rPr>
        <w:rStyle w:val="PageNumber"/>
        <w:sz w:val="20"/>
        <w:szCs w:val="20"/>
      </w:rPr>
    </w:pPr>
    <w:r w:rsidRPr="00B446A3">
      <w:rPr>
        <w:rStyle w:val="PageNumber"/>
        <w:sz w:val="20"/>
        <w:szCs w:val="20"/>
      </w:rPr>
      <w:fldChar w:fldCharType="begin"/>
    </w:r>
    <w:r w:rsidRPr="00B446A3">
      <w:rPr>
        <w:rStyle w:val="PageNumber"/>
        <w:sz w:val="20"/>
        <w:szCs w:val="20"/>
      </w:rPr>
      <w:instrText xml:space="preserve">PAGE  </w:instrText>
    </w:r>
    <w:r w:rsidRPr="00B446A3">
      <w:rPr>
        <w:rStyle w:val="PageNumber"/>
        <w:sz w:val="20"/>
        <w:szCs w:val="20"/>
      </w:rPr>
      <w:fldChar w:fldCharType="separate"/>
    </w:r>
    <w:r w:rsidR="00F65DB4">
      <w:rPr>
        <w:rStyle w:val="PageNumber"/>
        <w:noProof/>
        <w:sz w:val="20"/>
        <w:szCs w:val="20"/>
      </w:rPr>
      <w:t>2</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847" w:rsidRDefault="00407847">
      <w:r>
        <w:separator/>
      </w:r>
    </w:p>
  </w:footnote>
  <w:footnote w:type="continuationSeparator" w:id="0">
    <w:p w:rsidR="00407847" w:rsidRDefault="00407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596709C"/>
    <w:multiLevelType w:val="hybridMultilevel"/>
    <w:tmpl w:val="5E3A65BC"/>
    <w:lvl w:ilvl="0" w:tplc="2CAE9D2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8D31C15"/>
    <w:multiLevelType w:val="hybridMultilevel"/>
    <w:tmpl w:val="8C94758C"/>
    <w:lvl w:ilvl="0" w:tplc="A92A4BB4">
      <w:start w:val="6"/>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05ECA"/>
    <w:rsid w:val="00016631"/>
    <w:rsid w:val="000274AA"/>
    <w:rsid w:val="00037F84"/>
    <w:rsid w:val="00042D7B"/>
    <w:rsid w:val="000441FB"/>
    <w:rsid w:val="00053B0B"/>
    <w:rsid w:val="00070759"/>
    <w:rsid w:val="00094B62"/>
    <w:rsid w:val="000C374F"/>
    <w:rsid w:val="000D4264"/>
    <w:rsid w:val="000D53DB"/>
    <w:rsid w:val="00112B63"/>
    <w:rsid w:val="001144F6"/>
    <w:rsid w:val="00122A73"/>
    <w:rsid w:val="00123231"/>
    <w:rsid w:val="0012779F"/>
    <w:rsid w:val="00161E0D"/>
    <w:rsid w:val="001629C2"/>
    <w:rsid w:val="00176F56"/>
    <w:rsid w:val="00187230"/>
    <w:rsid w:val="001B155A"/>
    <w:rsid w:val="001C0D7E"/>
    <w:rsid w:val="001D56D9"/>
    <w:rsid w:val="001F24D6"/>
    <w:rsid w:val="001F56E5"/>
    <w:rsid w:val="002139BC"/>
    <w:rsid w:val="002220FC"/>
    <w:rsid w:val="002247C3"/>
    <w:rsid w:val="00225385"/>
    <w:rsid w:val="0027532C"/>
    <w:rsid w:val="0029358C"/>
    <w:rsid w:val="00295C99"/>
    <w:rsid w:val="002A5A01"/>
    <w:rsid w:val="002A781B"/>
    <w:rsid w:val="002B7515"/>
    <w:rsid w:val="002C24EB"/>
    <w:rsid w:val="00303D99"/>
    <w:rsid w:val="00326CCF"/>
    <w:rsid w:val="00340300"/>
    <w:rsid w:val="00347F0F"/>
    <w:rsid w:val="003502EF"/>
    <w:rsid w:val="00385A02"/>
    <w:rsid w:val="003B2B7B"/>
    <w:rsid w:val="003E5671"/>
    <w:rsid w:val="00404908"/>
    <w:rsid w:val="00407847"/>
    <w:rsid w:val="00411B25"/>
    <w:rsid w:val="0044213D"/>
    <w:rsid w:val="004514C6"/>
    <w:rsid w:val="00474823"/>
    <w:rsid w:val="00481A75"/>
    <w:rsid w:val="00483D24"/>
    <w:rsid w:val="00491988"/>
    <w:rsid w:val="004925A0"/>
    <w:rsid w:val="00493A3B"/>
    <w:rsid w:val="00493F55"/>
    <w:rsid w:val="004957C0"/>
    <w:rsid w:val="00497F46"/>
    <w:rsid w:val="004A5EDA"/>
    <w:rsid w:val="004B0531"/>
    <w:rsid w:val="004C00DF"/>
    <w:rsid w:val="004E0670"/>
    <w:rsid w:val="004E27B6"/>
    <w:rsid w:val="004E7477"/>
    <w:rsid w:val="004F333D"/>
    <w:rsid w:val="004F53DA"/>
    <w:rsid w:val="00513DEE"/>
    <w:rsid w:val="00521F83"/>
    <w:rsid w:val="00532303"/>
    <w:rsid w:val="005344E8"/>
    <w:rsid w:val="0054043D"/>
    <w:rsid w:val="0054561F"/>
    <w:rsid w:val="00546CD2"/>
    <w:rsid w:val="00553982"/>
    <w:rsid w:val="00561E56"/>
    <w:rsid w:val="005637C7"/>
    <w:rsid w:val="005747BC"/>
    <w:rsid w:val="0057507A"/>
    <w:rsid w:val="005929F8"/>
    <w:rsid w:val="0059545E"/>
    <w:rsid w:val="005A24C5"/>
    <w:rsid w:val="005C7F8E"/>
    <w:rsid w:val="005E21EB"/>
    <w:rsid w:val="0062473A"/>
    <w:rsid w:val="00636FE2"/>
    <w:rsid w:val="0065487E"/>
    <w:rsid w:val="006E50EC"/>
    <w:rsid w:val="00717FB5"/>
    <w:rsid w:val="007511C7"/>
    <w:rsid w:val="0075731D"/>
    <w:rsid w:val="007937DD"/>
    <w:rsid w:val="007A05A8"/>
    <w:rsid w:val="007C1125"/>
    <w:rsid w:val="007D106D"/>
    <w:rsid w:val="007E15F0"/>
    <w:rsid w:val="007F166B"/>
    <w:rsid w:val="007F27A1"/>
    <w:rsid w:val="008078FA"/>
    <w:rsid w:val="00807F10"/>
    <w:rsid w:val="008112AC"/>
    <w:rsid w:val="00840F5E"/>
    <w:rsid w:val="00844EBF"/>
    <w:rsid w:val="008500B2"/>
    <w:rsid w:val="008548A8"/>
    <w:rsid w:val="00862109"/>
    <w:rsid w:val="00864061"/>
    <w:rsid w:val="008762D9"/>
    <w:rsid w:val="008A6E6F"/>
    <w:rsid w:val="008B6677"/>
    <w:rsid w:val="008C0ADE"/>
    <w:rsid w:val="008C4952"/>
    <w:rsid w:val="008C5DC0"/>
    <w:rsid w:val="008E53AB"/>
    <w:rsid w:val="008F196D"/>
    <w:rsid w:val="00906B96"/>
    <w:rsid w:val="00906F34"/>
    <w:rsid w:val="009109D7"/>
    <w:rsid w:val="00915B3F"/>
    <w:rsid w:val="009205C2"/>
    <w:rsid w:val="0092091F"/>
    <w:rsid w:val="009212A8"/>
    <w:rsid w:val="00923824"/>
    <w:rsid w:val="00927C1A"/>
    <w:rsid w:val="00930409"/>
    <w:rsid w:val="009308EE"/>
    <w:rsid w:val="0093532C"/>
    <w:rsid w:val="00935895"/>
    <w:rsid w:val="00936B9D"/>
    <w:rsid w:val="009D2A5F"/>
    <w:rsid w:val="009D451A"/>
    <w:rsid w:val="009E0982"/>
    <w:rsid w:val="00A02C92"/>
    <w:rsid w:val="00A2296E"/>
    <w:rsid w:val="00A51629"/>
    <w:rsid w:val="00A82FC1"/>
    <w:rsid w:val="00A9235D"/>
    <w:rsid w:val="00AE09CB"/>
    <w:rsid w:val="00AF00AB"/>
    <w:rsid w:val="00B1033E"/>
    <w:rsid w:val="00B22B46"/>
    <w:rsid w:val="00B40106"/>
    <w:rsid w:val="00B446A3"/>
    <w:rsid w:val="00B600DC"/>
    <w:rsid w:val="00B6388B"/>
    <w:rsid w:val="00B7070A"/>
    <w:rsid w:val="00B76C72"/>
    <w:rsid w:val="00B8286E"/>
    <w:rsid w:val="00B83877"/>
    <w:rsid w:val="00B846BD"/>
    <w:rsid w:val="00B90BED"/>
    <w:rsid w:val="00BC1949"/>
    <w:rsid w:val="00BE1F66"/>
    <w:rsid w:val="00BE327D"/>
    <w:rsid w:val="00C10E88"/>
    <w:rsid w:val="00C401B1"/>
    <w:rsid w:val="00C8377B"/>
    <w:rsid w:val="00C94893"/>
    <w:rsid w:val="00CF3B5C"/>
    <w:rsid w:val="00D37681"/>
    <w:rsid w:val="00D434EA"/>
    <w:rsid w:val="00D624B7"/>
    <w:rsid w:val="00D64A6F"/>
    <w:rsid w:val="00D86100"/>
    <w:rsid w:val="00D94420"/>
    <w:rsid w:val="00DC38FC"/>
    <w:rsid w:val="00DD1C12"/>
    <w:rsid w:val="00DE27A8"/>
    <w:rsid w:val="00DF34E4"/>
    <w:rsid w:val="00E61247"/>
    <w:rsid w:val="00E61BE9"/>
    <w:rsid w:val="00E66AAC"/>
    <w:rsid w:val="00E67772"/>
    <w:rsid w:val="00E7031B"/>
    <w:rsid w:val="00E769BB"/>
    <w:rsid w:val="00E778B6"/>
    <w:rsid w:val="00E91B72"/>
    <w:rsid w:val="00E960C3"/>
    <w:rsid w:val="00ED34D3"/>
    <w:rsid w:val="00ED597B"/>
    <w:rsid w:val="00EE1020"/>
    <w:rsid w:val="00F05A04"/>
    <w:rsid w:val="00F2377F"/>
    <w:rsid w:val="00F25872"/>
    <w:rsid w:val="00F25A16"/>
    <w:rsid w:val="00F40EB8"/>
    <w:rsid w:val="00F4542D"/>
    <w:rsid w:val="00F65DB4"/>
    <w:rsid w:val="00F801F9"/>
    <w:rsid w:val="00F8731A"/>
    <w:rsid w:val="00F90D60"/>
    <w:rsid w:val="00F94253"/>
    <w:rsid w:val="00FC2C9F"/>
    <w:rsid w:val="00FC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ListParagraph">
    <w:name w:val="List Paragraph"/>
    <w:basedOn w:val="Normal"/>
    <w:uiPriority w:val="34"/>
    <w:qFormat/>
    <w:rsid w:val="00027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ListParagraph">
    <w:name w:val="List Paragraph"/>
    <w:basedOn w:val="Normal"/>
    <w:uiPriority w:val="34"/>
    <w:qFormat/>
    <w:rsid w:val="0002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6EE3-4A32-47B1-A958-83465B4E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Park, Pokim</cp:lastModifiedBy>
  <cp:revision>3</cp:revision>
  <cp:lastPrinted>2013-07-17T13:07:00Z</cp:lastPrinted>
  <dcterms:created xsi:type="dcterms:W3CDTF">2013-07-17T13:20:00Z</dcterms:created>
  <dcterms:modified xsi:type="dcterms:W3CDTF">2013-07-25T15:01:00Z</dcterms:modified>
</cp:coreProperties>
</file>