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3D2E73" w:rsidP="00E00F6E">
      <w:pPr>
        <w:pStyle w:val="Title"/>
        <w:ind w:right="-90"/>
        <w:rPr>
          <w:szCs w:val="26"/>
        </w:rPr>
      </w:pPr>
      <w:r>
        <w:rPr>
          <w:szCs w:val="26"/>
        </w:rPr>
        <w:t xml:space="preserve"> </w:t>
      </w:r>
      <w:r w:rsidR="00E00F6E"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AD345F" w:rsidP="00964AD0">
      <w:pPr>
        <w:jc w:val="right"/>
        <w:rPr>
          <w:szCs w:val="26"/>
        </w:rPr>
      </w:pPr>
      <w:r>
        <w:rPr>
          <w:szCs w:val="26"/>
        </w:rPr>
        <w:t xml:space="preserve"> </w:t>
      </w:r>
      <w:r w:rsidR="00D52BD2">
        <w:rPr>
          <w:szCs w:val="26"/>
        </w:rPr>
        <w:t xml:space="preserve">   </w:t>
      </w:r>
      <w:r w:rsidR="00E00F6E" w:rsidRPr="003472DA">
        <w:rPr>
          <w:szCs w:val="26"/>
        </w:rPr>
        <w:t xml:space="preserve">Public Meeting held </w:t>
      </w:r>
      <w:r w:rsidR="00466170">
        <w:rPr>
          <w:szCs w:val="26"/>
        </w:rPr>
        <w:t>Ju</w:t>
      </w:r>
      <w:r w:rsidR="00583F6E">
        <w:rPr>
          <w:szCs w:val="26"/>
        </w:rPr>
        <w:t>ly</w:t>
      </w:r>
      <w:r w:rsidR="00D52BD2">
        <w:rPr>
          <w:szCs w:val="26"/>
        </w:rPr>
        <w:t xml:space="preserve"> 16</w:t>
      </w:r>
      <w:r w:rsidR="00764FDB">
        <w:rPr>
          <w:szCs w:val="26"/>
        </w:rPr>
        <w:t>, 201</w:t>
      </w:r>
      <w:r>
        <w:rPr>
          <w:szCs w:val="26"/>
        </w:rPr>
        <w:t>3</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ind w:firstLine="720"/>
        <w:rPr>
          <w:szCs w:val="26"/>
        </w:rPr>
      </w:pPr>
      <w:r w:rsidRPr="003472DA">
        <w:rPr>
          <w:szCs w:val="26"/>
        </w:rPr>
        <w:t>Wayne E. Gardner</w:t>
      </w:r>
      <w:r w:rsidR="005A612B">
        <w:rPr>
          <w:szCs w:val="26"/>
        </w:rPr>
        <w:t>, Statement</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r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Default="00B23CA3" w:rsidP="00F94F57">
            <w:pPr>
              <w:tabs>
                <w:tab w:val="left" w:pos="330"/>
              </w:tabs>
              <w:ind w:left="720" w:right="-720" w:hanging="720"/>
              <w:rPr>
                <w:szCs w:val="26"/>
              </w:rPr>
            </w:pPr>
          </w:p>
          <w:p w:rsidR="00AD345F" w:rsidRDefault="00AD345F" w:rsidP="00F94F57">
            <w:pPr>
              <w:tabs>
                <w:tab w:val="left" w:pos="330"/>
              </w:tabs>
              <w:ind w:left="720" w:right="-720" w:hanging="720"/>
              <w:rPr>
                <w:szCs w:val="26"/>
              </w:rPr>
            </w:pPr>
            <w:r>
              <w:rPr>
                <w:szCs w:val="26"/>
              </w:rPr>
              <w:t xml:space="preserve">Pennsylvania Public Utility Commission, </w:t>
            </w:r>
          </w:p>
          <w:p w:rsidR="007B6A3C" w:rsidRDefault="00AD345F" w:rsidP="00F94F57">
            <w:pPr>
              <w:tabs>
                <w:tab w:val="left" w:pos="330"/>
              </w:tabs>
              <w:ind w:left="720" w:right="-720" w:hanging="720"/>
              <w:rPr>
                <w:szCs w:val="26"/>
              </w:rPr>
            </w:pPr>
            <w:r>
              <w:rPr>
                <w:szCs w:val="26"/>
              </w:rPr>
              <w:t xml:space="preserve">Bureau of Investigation and Enforcement </w:t>
            </w:r>
            <w:r w:rsidR="00851E54">
              <w:rPr>
                <w:szCs w:val="26"/>
              </w:rPr>
              <w:t xml:space="preserve"> </w:t>
            </w:r>
            <w:r w:rsidR="006814B0">
              <w:rPr>
                <w:szCs w:val="26"/>
              </w:rPr>
              <w:t xml:space="preserve"> </w:t>
            </w:r>
          </w:p>
          <w:p w:rsidR="007B6A3C" w:rsidRDefault="007B6A3C" w:rsidP="00F94F57">
            <w:pPr>
              <w:tabs>
                <w:tab w:val="left" w:pos="330"/>
              </w:tabs>
              <w:ind w:left="720" w:right="-720" w:hanging="720"/>
              <w:rPr>
                <w:szCs w:val="26"/>
              </w:rPr>
            </w:pPr>
          </w:p>
          <w:p w:rsidR="007B6A3C" w:rsidRDefault="00DB7CBC" w:rsidP="00E476F3">
            <w:pPr>
              <w:tabs>
                <w:tab w:val="left" w:pos="1440"/>
              </w:tabs>
              <w:ind w:left="1440" w:right="-720" w:hanging="720"/>
              <w:rPr>
                <w:szCs w:val="26"/>
              </w:rPr>
            </w:pPr>
            <w:r>
              <w:rPr>
                <w:szCs w:val="26"/>
              </w:rPr>
              <w:tab/>
            </w:r>
            <w:r w:rsidR="007B6A3C">
              <w:rPr>
                <w:szCs w:val="26"/>
              </w:rPr>
              <w:t>v.</w:t>
            </w:r>
          </w:p>
          <w:p w:rsidR="007B6A3C" w:rsidRDefault="007B6A3C" w:rsidP="00F94F57">
            <w:pPr>
              <w:tabs>
                <w:tab w:val="left" w:pos="330"/>
              </w:tabs>
              <w:ind w:left="720" w:right="-720" w:hanging="720"/>
              <w:rPr>
                <w:szCs w:val="26"/>
              </w:rPr>
            </w:pPr>
          </w:p>
          <w:p w:rsidR="009737E6" w:rsidRPr="003472DA" w:rsidRDefault="00466170" w:rsidP="00851E54">
            <w:pPr>
              <w:tabs>
                <w:tab w:val="left" w:pos="330"/>
              </w:tabs>
              <w:ind w:left="720" w:right="-720" w:hanging="720"/>
              <w:rPr>
                <w:szCs w:val="26"/>
              </w:rPr>
            </w:pPr>
            <w:r>
              <w:rPr>
                <w:szCs w:val="26"/>
              </w:rPr>
              <w:t xml:space="preserve">Philadelphia Gas Works </w:t>
            </w:r>
            <w:r w:rsidR="00AD345F">
              <w:rPr>
                <w:szCs w:val="26"/>
              </w:rPr>
              <w:t xml:space="preserve"> </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851E54">
              <w:rPr>
                <w:szCs w:val="26"/>
              </w:rPr>
              <w:t>C-201</w:t>
            </w:r>
            <w:r w:rsidR="00466170">
              <w:rPr>
                <w:szCs w:val="26"/>
              </w:rPr>
              <w:t>1</w:t>
            </w:r>
            <w:r w:rsidR="00851E54">
              <w:rPr>
                <w:szCs w:val="26"/>
              </w:rPr>
              <w:t>-</w:t>
            </w:r>
            <w:r w:rsidR="00466170">
              <w:rPr>
                <w:szCs w:val="26"/>
              </w:rPr>
              <w:t>22</w:t>
            </w:r>
            <w:r w:rsidR="00AD345F">
              <w:rPr>
                <w:szCs w:val="26"/>
              </w:rPr>
              <w:t>7</w:t>
            </w:r>
            <w:r w:rsidR="00466170">
              <w:rPr>
                <w:szCs w:val="26"/>
              </w:rPr>
              <w:t>8312</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9737E6">
            <w:pPr>
              <w:ind w:right="-720"/>
              <w:rPr>
                <w:b/>
                <w:szCs w:val="26"/>
              </w:rPr>
            </w:pPr>
            <w:r w:rsidRPr="0024045B">
              <w:rPr>
                <w:b/>
                <w:szCs w:val="26"/>
              </w:rPr>
              <w:t xml:space="preserve">            </w:t>
            </w:r>
          </w:p>
          <w:p w:rsidR="009737E6" w:rsidRPr="0024045B" w:rsidRDefault="009737E6" w:rsidP="0024045B">
            <w:pPr>
              <w:ind w:left="792" w:right="-720" w:hanging="792"/>
              <w:rPr>
                <w:b/>
                <w:szCs w:val="26"/>
              </w:rPr>
            </w:pPr>
            <w:r w:rsidRPr="0024045B">
              <w:rPr>
                <w:b/>
                <w:szCs w:val="26"/>
              </w:rPr>
              <w:t xml:space="preserve">            </w:t>
            </w:r>
          </w:p>
        </w:tc>
      </w:tr>
      <w:tr w:rsidR="009737E6" w:rsidRPr="0024045B" w:rsidTr="00F94F57">
        <w:tc>
          <w:tcPr>
            <w:tcW w:w="6768" w:type="dxa"/>
          </w:tcPr>
          <w:p w:rsidR="009737E6" w:rsidRPr="003472DA" w:rsidRDefault="009737E6" w:rsidP="00F94F57">
            <w:pPr>
              <w:tabs>
                <w:tab w:val="left" w:pos="330"/>
              </w:tabs>
              <w:ind w:left="720" w:right="-720" w:hanging="720"/>
              <w:rPr>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4014CD"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466170">
        <w:rPr>
          <w:szCs w:val="26"/>
        </w:rPr>
        <w:t>Philadelphia Gas Works</w:t>
      </w:r>
      <w:r w:rsidR="005B10A7">
        <w:rPr>
          <w:szCs w:val="26"/>
        </w:rPr>
        <w:t xml:space="preserve"> (</w:t>
      </w:r>
      <w:r w:rsidR="00466170">
        <w:rPr>
          <w:szCs w:val="26"/>
        </w:rPr>
        <w:t>PGW or Company</w:t>
      </w:r>
      <w:r w:rsidR="005B10A7">
        <w:rPr>
          <w:szCs w:val="26"/>
        </w:rPr>
        <w:t>)</w:t>
      </w:r>
      <w:r w:rsidR="00D944C0">
        <w:rPr>
          <w:szCs w:val="26"/>
        </w:rPr>
        <w:t xml:space="preserve">, </w:t>
      </w:r>
      <w:r w:rsidR="00611B06">
        <w:rPr>
          <w:szCs w:val="26"/>
        </w:rPr>
        <w:t>filed</w:t>
      </w:r>
      <w:r w:rsidR="007F5118">
        <w:rPr>
          <w:szCs w:val="26"/>
        </w:rPr>
        <w:t xml:space="preserve"> </w:t>
      </w:r>
      <w:r w:rsidRPr="00571F5C">
        <w:rPr>
          <w:szCs w:val="26"/>
        </w:rPr>
        <w:t xml:space="preserve">on </w:t>
      </w:r>
      <w:r w:rsidR="00466170">
        <w:rPr>
          <w:szCs w:val="26"/>
        </w:rPr>
        <w:t>February 4</w:t>
      </w:r>
      <w:r w:rsidR="00611B06">
        <w:rPr>
          <w:szCs w:val="26"/>
        </w:rPr>
        <w:t>, 201</w:t>
      </w:r>
      <w:r w:rsidR="00466170">
        <w:rPr>
          <w:szCs w:val="26"/>
        </w:rPr>
        <w:t>3</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466170">
        <w:rPr>
          <w:szCs w:val="26"/>
        </w:rPr>
        <w:t>Angela T. Jones</w:t>
      </w:r>
      <w:r w:rsidR="00101D54">
        <w:rPr>
          <w:szCs w:val="26"/>
        </w:rPr>
        <w:t>,</w:t>
      </w:r>
      <w:r w:rsidR="008F7A43">
        <w:rPr>
          <w:szCs w:val="26"/>
        </w:rPr>
        <w:t xml:space="preserve"> </w:t>
      </w:r>
      <w:r w:rsidR="00C55576">
        <w:rPr>
          <w:szCs w:val="26"/>
        </w:rPr>
        <w:t>issued</w:t>
      </w:r>
      <w:r w:rsidR="008F7A43">
        <w:rPr>
          <w:szCs w:val="26"/>
        </w:rPr>
        <w:t xml:space="preserve"> </w:t>
      </w:r>
      <w:r w:rsidR="00466170">
        <w:rPr>
          <w:szCs w:val="26"/>
        </w:rPr>
        <w:t>January 28, 2013</w:t>
      </w:r>
      <w:r w:rsidR="00101D54">
        <w:rPr>
          <w:szCs w:val="26"/>
        </w:rPr>
        <w:t>, in the above-captioned proceeding</w:t>
      </w:r>
      <w:r w:rsidR="00B47B46">
        <w:rPr>
          <w:szCs w:val="26"/>
        </w:rPr>
        <w:t>.</w:t>
      </w:r>
      <w:r w:rsidRPr="00571F5C">
        <w:rPr>
          <w:szCs w:val="26"/>
        </w:rPr>
        <w:t xml:space="preserve"> </w:t>
      </w:r>
      <w:r w:rsidR="006814B0">
        <w:rPr>
          <w:szCs w:val="26"/>
        </w:rPr>
        <w:t xml:space="preserve"> </w:t>
      </w:r>
      <w:r w:rsidR="009248AD">
        <w:rPr>
          <w:szCs w:val="26"/>
        </w:rPr>
        <w:t>The Commission’s Bureau of Investigation and Enforcement</w:t>
      </w:r>
      <w:r w:rsidR="00D944C0">
        <w:rPr>
          <w:szCs w:val="26"/>
        </w:rPr>
        <w:t xml:space="preserve"> </w:t>
      </w:r>
      <w:r w:rsidR="009248AD">
        <w:rPr>
          <w:szCs w:val="26"/>
        </w:rPr>
        <w:t xml:space="preserve">(I&amp;E) </w:t>
      </w:r>
      <w:r w:rsidR="006814B0">
        <w:rPr>
          <w:szCs w:val="26"/>
        </w:rPr>
        <w:t xml:space="preserve">filed </w:t>
      </w:r>
      <w:r w:rsidR="00170C7D">
        <w:rPr>
          <w:szCs w:val="26"/>
        </w:rPr>
        <w:t xml:space="preserve">Replies to Exceptions </w:t>
      </w:r>
      <w:r w:rsidR="006814B0">
        <w:rPr>
          <w:szCs w:val="26"/>
        </w:rPr>
        <w:t xml:space="preserve">on </w:t>
      </w:r>
      <w:r w:rsidR="009248AD">
        <w:rPr>
          <w:szCs w:val="26"/>
        </w:rPr>
        <w:t>February 11, 2013</w:t>
      </w:r>
      <w:r w:rsidRPr="00571F5C">
        <w:rPr>
          <w:szCs w:val="26"/>
        </w:rPr>
        <w:t>.</w:t>
      </w:r>
      <w:r w:rsidR="009248AD">
        <w:rPr>
          <w:szCs w:val="26"/>
        </w:rPr>
        <w:t xml:space="preserve">  </w:t>
      </w:r>
    </w:p>
    <w:p w:rsidR="009E7364" w:rsidRDefault="00D76068" w:rsidP="003C55F4">
      <w:pPr>
        <w:spacing w:line="360" w:lineRule="auto"/>
        <w:ind w:firstLine="1440"/>
        <w:rPr>
          <w:szCs w:val="26"/>
        </w:rPr>
      </w:pPr>
      <w:r>
        <w:rPr>
          <w:szCs w:val="26"/>
        </w:rPr>
        <w:t xml:space="preserve">  </w:t>
      </w:r>
    </w:p>
    <w:p w:rsidR="00A46304" w:rsidRDefault="00A46304">
      <w:pPr>
        <w:spacing w:after="200" w:line="276" w:lineRule="auto"/>
        <w:rPr>
          <w:b/>
          <w:szCs w:val="26"/>
        </w:rPr>
      </w:pPr>
      <w:r>
        <w:rPr>
          <w:b/>
          <w:szCs w:val="26"/>
        </w:rPr>
        <w:br w:type="page"/>
      </w:r>
    </w:p>
    <w:p w:rsidR="00524BED" w:rsidRDefault="002C26E3" w:rsidP="00F04717">
      <w:pPr>
        <w:tabs>
          <w:tab w:val="left" w:pos="2880"/>
        </w:tabs>
        <w:spacing w:line="360" w:lineRule="auto"/>
        <w:ind w:left="720" w:hanging="720"/>
        <w:jc w:val="center"/>
        <w:rPr>
          <w:b/>
          <w:szCs w:val="26"/>
        </w:rPr>
      </w:pPr>
      <w:r>
        <w:rPr>
          <w:b/>
          <w:szCs w:val="26"/>
        </w:rPr>
        <w:lastRenderedPageBreak/>
        <w:t>I.</w:t>
      </w:r>
      <w:r>
        <w:rPr>
          <w:b/>
          <w:szCs w:val="26"/>
        </w:rPr>
        <w:tab/>
      </w:r>
      <w:r w:rsidR="00524BED">
        <w:rPr>
          <w:b/>
          <w:szCs w:val="26"/>
        </w:rPr>
        <w:t>History of the Proceeding</w:t>
      </w:r>
    </w:p>
    <w:p w:rsidR="00526D80" w:rsidRDefault="00526D80" w:rsidP="003C55F4">
      <w:pPr>
        <w:spacing w:line="360" w:lineRule="auto"/>
        <w:ind w:left="720" w:hanging="720"/>
        <w:jc w:val="center"/>
        <w:rPr>
          <w:b/>
          <w:szCs w:val="26"/>
        </w:rPr>
      </w:pPr>
    </w:p>
    <w:p w:rsidR="004B0CD0" w:rsidRDefault="003E6AA7" w:rsidP="003E6AA7">
      <w:pPr>
        <w:tabs>
          <w:tab w:val="left" w:pos="-720"/>
        </w:tabs>
        <w:suppressAutoHyphens/>
        <w:spacing w:line="360" w:lineRule="auto"/>
        <w:ind w:firstLine="1440"/>
        <w:rPr>
          <w:szCs w:val="24"/>
        </w:rPr>
      </w:pPr>
      <w:r w:rsidRPr="003E6AA7">
        <w:rPr>
          <w:szCs w:val="24"/>
        </w:rPr>
        <w:t>On December 15, 2011, I&amp;E filed a Complaint</w:t>
      </w:r>
      <w:r w:rsidR="005A3FEF">
        <w:rPr>
          <w:rStyle w:val="FootnoteReference"/>
          <w:szCs w:val="24"/>
        </w:rPr>
        <w:footnoteReference w:id="1"/>
      </w:r>
      <w:r w:rsidRPr="003E6AA7">
        <w:rPr>
          <w:szCs w:val="24"/>
        </w:rPr>
        <w:t xml:space="preserve"> against PGW regarding a natural gas explosion at a two-story row home located at 6932 Torresdale Avenue, Philadelphia, Pennsylvania.  </w:t>
      </w:r>
      <w:r w:rsidR="004B0CD0">
        <w:rPr>
          <w:szCs w:val="24"/>
        </w:rPr>
        <w:t>The explosion leveled that building, damaged several surrounding properties and damaged six vehicles.  In addition, a nineteen-year old employee of PGW was killed, and five other PGW employees were injured.  Settlement at ¶ 11.</w:t>
      </w:r>
    </w:p>
    <w:p w:rsidR="004B0CD0" w:rsidRDefault="004B0CD0" w:rsidP="003E6AA7">
      <w:pPr>
        <w:tabs>
          <w:tab w:val="left" w:pos="-720"/>
        </w:tabs>
        <w:suppressAutoHyphens/>
        <w:spacing w:line="360" w:lineRule="auto"/>
        <w:ind w:firstLine="1440"/>
        <w:rPr>
          <w:szCs w:val="24"/>
        </w:rPr>
      </w:pPr>
    </w:p>
    <w:p w:rsidR="003E6AA7" w:rsidRPr="003E6AA7" w:rsidRDefault="003E6AA7" w:rsidP="003E6AA7">
      <w:pPr>
        <w:tabs>
          <w:tab w:val="left" w:pos="-720"/>
        </w:tabs>
        <w:suppressAutoHyphens/>
        <w:spacing w:line="360" w:lineRule="auto"/>
        <w:ind w:firstLine="1440"/>
        <w:rPr>
          <w:szCs w:val="24"/>
        </w:rPr>
      </w:pPr>
      <w:r>
        <w:rPr>
          <w:szCs w:val="24"/>
        </w:rPr>
        <w:t>I&amp;E</w:t>
      </w:r>
      <w:r w:rsidRPr="003E6AA7">
        <w:rPr>
          <w:szCs w:val="24"/>
        </w:rPr>
        <w:t xml:space="preserve"> alleged that a gas expl</w:t>
      </w:r>
      <w:r w:rsidR="00894F1F">
        <w:rPr>
          <w:szCs w:val="24"/>
        </w:rPr>
        <w:t>osion occurred at or about 8:35 </w:t>
      </w:r>
      <w:r w:rsidRPr="003E6AA7">
        <w:rPr>
          <w:szCs w:val="24"/>
        </w:rPr>
        <w:t>p</w:t>
      </w:r>
      <w:r>
        <w:rPr>
          <w:szCs w:val="24"/>
        </w:rPr>
        <w:t>.</w:t>
      </w:r>
      <w:r w:rsidRPr="003E6AA7">
        <w:rPr>
          <w:szCs w:val="24"/>
        </w:rPr>
        <w:t>m</w:t>
      </w:r>
      <w:r>
        <w:rPr>
          <w:szCs w:val="24"/>
        </w:rPr>
        <w:t>.</w:t>
      </w:r>
      <w:r w:rsidR="005E7F70">
        <w:rPr>
          <w:szCs w:val="24"/>
        </w:rPr>
        <w:t xml:space="preserve"> on January </w:t>
      </w:r>
      <w:r w:rsidRPr="003E6AA7">
        <w:rPr>
          <w:szCs w:val="24"/>
        </w:rPr>
        <w:t>18, 2011</w:t>
      </w:r>
      <w:r>
        <w:rPr>
          <w:szCs w:val="24"/>
        </w:rPr>
        <w:t>,</w:t>
      </w:r>
      <w:r w:rsidRPr="003E6AA7">
        <w:rPr>
          <w:szCs w:val="24"/>
        </w:rPr>
        <w:t xml:space="preserve"> when natural gas migrating from a ruptured </w:t>
      </w:r>
      <w:r>
        <w:rPr>
          <w:szCs w:val="24"/>
        </w:rPr>
        <w:t>twelve</w:t>
      </w:r>
      <w:r w:rsidRPr="003E6AA7">
        <w:rPr>
          <w:szCs w:val="24"/>
        </w:rPr>
        <w:t xml:space="preserve">-inch cast iron underground main near the intersection of Torresdale Avenue and Disston Street in Philadelphia came in contact with an ignition source in the basement of the row home.  </w:t>
      </w:r>
      <w:r>
        <w:rPr>
          <w:szCs w:val="24"/>
        </w:rPr>
        <w:t>I&amp;E</w:t>
      </w:r>
      <w:r w:rsidRPr="003E6AA7">
        <w:rPr>
          <w:szCs w:val="24"/>
        </w:rPr>
        <w:t xml:space="preserve"> alleged 334 counts against PGW </w:t>
      </w:r>
      <w:r>
        <w:rPr>
          <w:szCs w:val="24"/>
        </w:rPr>
        <w:t xml:space="preserve">for </w:t>
      </w:r>
      <w:r w:rsidR="00492859">
        <w:rPr>
          <w:szCs w:val="24"/>
        </w:rPr>
        <w:t xml:space="preserve">various gas safety </w:t>
      </w:r>
      <w:r>
        <w:rPr>
          <w:szCs w:val="24"/>
        </w:rPr>
        <w:t xml:space="preserve">violations of </w:t>
      </w:r>
      <w:r w:rsidR="00492859">
        <w:rPr>
          <w:szCs w:val="24"/>
        </w:rPr>
        <w:t xml:space="preserve">Commission Regulations and Federal Regulations, as follows:  </w:t>
      </w:r>
      <w:r w:rsidRPr="003E6AA7">
        <w:rPr>
          <w:szCs w:val="24"/>
        </w:rPr>
        <w:t xml:space="preserve"> </w:t>
      </w:r>
    </w:p>
    <w:p w:rsidR="003E6AA7" w:rsidRPr="003E6AA7" w:rsidRDefault="003E6AA7" w:rsidP="003E6AA7">
      <w:pPr>
        <w:tabs>
          <w:tab w:val="left" w:pos="-720"/>
        </w:tabs>
        <w:suppressAutoHyphens/>
        <w:spacing w:line="360" w:lineRule="auto"/>
        <w:ind w:firstLine="1440"/>
        <w:rPr>
          <w:szCs w:val="24"/>
        </w:rPr>
      </w:pPr>
    </w:p>
    <w:p w:rsidR="004C3B08" w:rsidRPr="004C3B08" w:rsidRDefault="004C3B08" w:rsidP="004C3B08">
      <w:pPr>
        <w:tabs>
          <w:tab w:val="left" w:pos="-720"/>
        </w:tabs>
        <w:suppressAutoHyphens/>
        <w:ind w:left="1440" w:right="1440"/>
        <w:rPr>
          <w:szCs w:val="24"/>
          <w:u w:val="single"/>
        </w:rPr>
      </w:pPr>
      <w:r>
        <w:rPr>
          <w:szCs w:val="24"/>
        </w:rPr>
        <w:t>a.</w:t>
      </w:r>
      <w:r>
        <w:rPr>
          <w:szCs w:val="24"/>
        </w:rPr>
        <w:tab/>
      </w:r>
      <w:r w:rsidR="003E6AA7" w:rsidRPr="004C3B08">
        <w:rPr>
          <w:szCs w:val="24"/>
          <w:u w:val="single"/>
        </w:rPr>
        <w:t xml:space="preserve">Count 1 </w:t>
      </w:r>
    </w:p>
    <w:p w:rsidR="004C3B08" w:rsidRDefault="004C3B08" w:rsidP="004C3B08">
      <w:pPr>
        <w:tabs>
          <w:tab w:val="left" w:pos="-720"/>
        </w:tabs>
        <w:suppressAutoHyphens/>
        <w:ind w:left="1440" w:right="1440"/>
        <w:rPr>
          <w:szCs w:val="24"/>
        </w:rPr>
      </w:pPr>
    </w:p>
    <w:p w:rsidR="004C3B08" w:rsidRDefault="004C3B08" w:rsidP="004C3B08">
      <w:pPr>
        <w:tabs>
          <w:tab w:val="left" w:pos="-720"/>
        </w:tabs>
        <w:suppressAutoHyphens/>
        <w:ind w:left="2160" w:right="1440" w:hanging="720"/>
        <w:rPr>
          <w:szCs w:val="24"/>
        </w:rPr>
      </w:pPr>
      <w:r>
        <w:rPr>
          <w:szCs w:val="24"/>
        </w:rPr>
        <w:tab/>
      </w:r>
      <w:r w:rsidR="003E6AA7" w:rsidRPr="003E6AA7">
        <w:rPr>
          <w:szCs w:val="24"/>
        </w:rPr>
        <w:t>PGW failed to maintain an adequate exposed main condition report for the damaged pipe</w:t>
      </w:r>
      <w:r>
        <w:rPr>
          <w:szCs w:val="24"/>
        </w:rPr>
        <w:t xml:space="preserve"> in </w:t>
      </w:r>
      <w:r w:rsidR="003E6AA7" w:rsidRPr="003E6AA7">
        <w:rPr>
          <w:szCs w:val="24"/>
        </w:rPr>
        <w:t xml:space="preserve">that the Company </w:t>
      </w:r>
      <w:r>
        <w:rPr>
          <w:szCs w:val="24"/>
        </w:rPr>
        <w:t>did not</w:t>
      </w:r>
      <w:r w:rsidR="003E6AA7" w:rsidRPr="003E6AA7">
        <w:rPr>
          <w:szCs w:val="24"/>
        </w:rPr>
        <w:t xml:space="preserve"> record details of each inspection performed on the pipe in sufficient detail.  </w:t>
      </w:r>
      <w:r>
        <w:rPr>
          <w:szCs w:val="24"/>
        </w:rPr>
        <w:t>Specifically, d</w:t>
      </w:r>
      <w:r w:rsidR="003E6AA7" w:rsidRPr="003E6AA7">
        <w:rPr>
          <w:szCs w:val="24"/>
        </w:rPr>
        <w:t>etails of graphitization, coating disbondment, pitting, cathodic potential reads, etc. were not recorded on the inspection form to show what PGW inspected</w:t>
      </w:r>
      <w:r>
        <w:rPr>
          <w:szCs w:val="24"/>
        </w:rPr>
        <w:t>.</w:t>
      </w:r>
    </w:p>
    <w:p w:rsidR="004C3B08" w:rsidRDefault="004C3B08" w:rsidP="004C3B08">
      <w:pPr>
        <w:tabs>
          <w:tab w:val="left" w:pos="-720"/>
        </w:tabs>
        <w:suppressAutoHyphens/>
        <w:ind w:left="2160" w:right="1440" w:hanging="720"/>
        <w:rPr>
          <w:szCs w:val="24"/>
        </w:rPr>
      </w:pPr>
    </w:p>
    <w:p w:rsidR="003E6AA7" w:rsidRPr="003E6AA7" w:rsidRDefault="004C3B08" w:rsidP="004C3B08">
      <w:pPr>
        <w:tabs>
          <w:tab w:val="left" w:pos="-720"/>
        </w:tabs>
        <w:suppressAutoHyphens/>
        <w:ind w:left="2160" w:right="1440" w:hanging="720"/>
        <w:rPr>
          <w:szCs w:val="24"/>
        </w:rPr>
      </w:pPr>
      <w:r>
        <w:rPr>
          <w:szCs w:val="24"/>
        </w:rPr>
        <w:tab/>
        <w:t xml:space="preserve">This is a </w:t>
      </w:r>
      <w:r w:rsidR="003E6AA7" w:rsidRPr="003E6AA7">
        <w:rPr>
          <w:szCs w:val="24"/>
        </w:rPr>
        <w:t xml:space="preserve">violation of 49 CFR § 192.491(c).  </w:t>
      </w:r>
    </w:p>
    <w:p w:rsidR="003E6AA7" w:rsidRPr="003E6AA7" w:rsidRDefault="003E6AA7" w:rsidP="003E6AA7">
      <w:pPr>
        <w:tabs>
          <w:tab w:val="left" w:pos="-720"/>
        </w:tabs>
        <w:suppressAutoHyphens/>
        <w:ind w:left="1440"/>
        <w:rPr>
          <w:szCs w:val="24"/>
        </w:rPr>
      </w:pPr>
    </w:p>
    <w:p w:rsidR="004C3B08" w:rsidRDefault="004C3B08" w:rsidP="004C3B08">
      <w:pPr>
        <w:tabs>
          <w:tab w:val="left" w:pos="-720"/>
        </w:tabs>
        <w:suppressAutoHyphens/>
        <w:ind w:left="1440" w:right="1440"/>
        <w:rPr>
          <w:szCs w:val="24"/>
        </w:rPr>
      </w:pPr>
      <w:r>
        <w:rPr>
          <w:szCs w:val="24"/>
        </w:rPr>
        <w:t>b.</w:t>
      </w:r>
      <w:r>
        <w:rPr>
          <w:szCs w:val="24"/>
        </w:rPr>
        <w:tab/>
      </w:r>
      <w:r w:rsidR="003E6AA7" w:rsidRPr="004C3B08">
        <w:rPr>
          <w:szCs w:val="24"/>
          <w:u w:val="single"/>
        </w:rPr>
        <w:t>Count 2</w:t>
      </w:r>
      <w:r w:rsidR="003E6AA7" w:rsidRPr="003E6AA7">
        <w:rPr>
          <w:szCs w:val="24"/>
        </w:rPr>
        <w:t xml:space="preserve"> </w:t>
      </w:r>
    </w:p>
    <w:p w:rsidR="004C3B08" w:rsidRDefault="004C3B08" w:rsidP="004C3B08">
      <w:pPr>
        <w:tabs>
          <w:tab w:val="left" w:pos="-720"/>
        </w:tabs>
        <w:suppressAutoHyphens/>
        <w:ind w:left="1440" w:right="1440"/>
        <w:rPr>
          <w:szCs w:val="24"/>
        </w:rPr>
      </w:pPr>
    </w:p>
    <w:p w:rsidR="004C3B08" w:rsidRDefault="003E6AA7" w:rsidP="004C3B08">
      <w:pPr>
        <w:tabs>
          <w:tab w:val="left" w:pos="-720"/>
        </w:tabs>
        <w:suppressAutoHyphens/>
        <w:ind w:left="2160" w:right="1440"/>
        <w:rPr>
          <w:szCs w:val="24"/>
        </w:rPr>
      </w:pPr>
      <w:r w:rsidRPr="003E6AA7">
        <w:rPr>
          <w:szCs w:val="24"/>
        </w:rPr>
        <w:t xml:space="preserve">PGW failed to </w:t>
      </w:r>
      <w:r w:rsidR="004C3B08">
        <w:rPr>
          <w:szCs w:val="24"/>
        </w:rPr>
        <w:t xml:space="preserve">provide sufficient detail to </w:t>
      </w:r>
      <w:r w:rsidRPr="003E6AA7">
        <w:rPr>
          <w:szCs w:val="24"/>
        </w:rPr>
        <w:t xml:space="preserve">demonstrate the adequacy of corrosion control measures for the </w:t>
      </w:r>
      <w:r w:rsidRPr="003E6AA7">
        <w:rPr>
          <w:szCs w:val="24"/>
        </w:rPr>
        <w:lastRenderedPageBreak/>
        <w:t xml:space="preserve">pipe </w:t>
      </w:r>
      <w:r w:rsidR="004C3B08">
        <w:rPr>
          <w:szCs w:val="24"/>
        </w:rPr>
        <w:t>in question</w:t>
      </w:r>
      <w:r w:rsidRPr="003E6AA7">
        <w:rPr>
          <w:szCs w:val="24"/>
        </w:rPr>
        <w:t xml:space="preserve"> </w:t>
      </w:r>
      <w:r w:rsidR="004C3B08">
        <w:rPr>
          <w:szCs w:val="24"/>
        </w:rPr>
        <w:t xml:space="preserve">in </w:t>
      </w:r>
      <w:r w:rsidRPr="003E6AA7">
        <w:rPr>
          <w:szCs w:val="24"/>
        </w:rPr>
        <w:t xml:space="preserve">that PGW’s current procedure for its exposed main condition report only reports “satisfactory” or “unsatisfactory” which </w:t>
      </w:r>
      <w:r w:rsidR="004C3B08">
        <w:rPr>
          <w:szCs w:val="24"/>
        </w:rPr>
        <w:t>is not</w:t>
      </w:r>
      <w:r w:rsidRPr="003E6AA7">
        <w:rPr>
          <w:szCs w:val="24"/>
        </w:rPr>
        <w:t xml:space="preserve"> </w:t>
      </w:r>
      <w:r w:rsidR="004C3B08">
        <w:rPr>
          <w:szCs w:val="24"/>
        </w:rPr>
        <w:t>“</w:t>
      </w:r>
      <w:r w:rsidRPr="003E6AA7">
        <w:rPr>
          <w:szCs w:val="24"/>
        </w:rPr>
        <w:t>sufficient detail to demonstrate the adequacy of corrosion control measures</w:t>
      </w:r>
      <w:r w:rsidR="004C3B08">
        <w:rPr>
          <w:szCs w:val="24"/>
        </w:rPr>
        <w:t>”</w:t>
      </w:r>
      <w:r w:rsidRPr="003E6AA7">
        <w:rPr>
          <w:szCs w:val="24"/>
        </w:rPr>
        <w:t xml:space="preserve"> for the pipe in question.</w:t>
      </w:r>
    </w:p>
    <w:p w:rsidR="004C3B08" w:rsidRDefault="004C3B08" w:rsidP="004C3B08">
      <w:pPr>
        <w:tabs>
          <w:tab w:val="left" w:pos="-720"/>
        </w:tabs>
        <w:suppressAutoHyphens/>
        <w:ind w:left="2160" w:right="1440"/>
        <w:rPr>
          <w:szCs w:val="24"/>
        </w:rPr>
      </w:pPr>
    </w:p>
    <w:p w:rsidR="003E6AA7" w:rsidRPr="003E6AA7" w:rsidRDefault="003E6AA7" w:rsidP="004C3B08">
      <w:pPr>
        <w:tabs>
          <w:tab w:val="left" w:pos="-720"/>
        </w:tabs>
        <w:suppressAutoHyphens/>
        <w:ind w:left="2160" w:right="1440"/>
        <w:rPr>
          <w:szCs w:val="24"/>
        </w:rPr>
      </w:pPr>
      <w:r w:rsidRPr="003E6AA7">
        <w:rPr>
          <w:szCs w:val="24"/>
        </w:rPr>
        <w:t>This is a violation of 49 CFR § 192.605(b)(2) with respect to § 192.491(c).</w:t>
      </w:r>
    </w:p>
    <w:p w:rsidR="003E6AA7" w:rsidRPr="003E6AA7" w:rsidRDefault="003E6AA7" w:rsidP="003E6AA7">
      <w:pPr>
        <w:pStyle w:val="ListParagraph"/>
        <w:rPr>
          <w:szCs w:val="24"/>
        </w:rPr>
      </w:pPr>
    </w:p>
    <w:p w:rsidR="00360BF4" w:rsidRDefault="00360BF4" w:rsidP="00360BF4">
      <w:pPr>
        <w:tabs>
          <w:tab w:val="left" w:pos="-720"/>
        </w:tabs>
        <w:suppressAutoHyphens/>
        <w:ind w:left="1440" w:right="1440"/>
        <w:rPr>
          <w:szCs w:val="24"/>
        </w:rPr>
      </w:pPr>
      <w:r>
        <w:rPr>
          <w:szCs w:val="24"/>
        </w:rPr>
        <w:t>c.</w:t>
      </w:r>
      <w:r>
        <w:rPr>
          <w:szCs w:val="24"/>
        </w:rPr>
        <w:tab/>
      </w:r>
      <w:r w:rsidR="003E6AA7" w:rsidRPr="00360BF4">
        <w:rPr>
          <w:szCs w:val="24"/>
          <w:u w:val="single"/>
        </w:rPr>
        <w:t>Counts 3</w:t>
      </w:r>
      <w:r w:rsidR="00935A67">
        <w:rPr>
          <w:szCs w:val="24"/>
          <w:u w:val="single"/>
        </w:rPr>
        <w:t xml:space="preserve"> through </w:t>
      </w:r>
      <w:r w:rsidR="003E6AA7" w:rsidRPr="00360BF4">
        <w:rPr>
          <w:szCs w:val="24"/>
          <w:u w:val="single"/>
        </w:rPr>
        <w:t>5</w:t>
      </w:r>
      <w:r w:rsidR="003E6AA7" w:rsidRPr="003E6AA7">
        <w:rPr>
          <w:szCs w:val="24"/>
        </w:rPr>
        <w:t xml:space="preserve"> </w:t>
      </w:r>
    </w:p>
    <w:p w:rsidR="00360BF4" w:rsidRDefault="00360BF4" w:rsidP="00360BF4">
      <w:pPr>
        <w:tabs>
          <w:tab w:val="left" w:pos="-720"/>
        </w:tabs>
        <w:suppressAutoHyphens/>
        <w:ind w:left="1440" w:right="1440"/>
        <w:rPr>
          <w:szCs w:val="24"/>
        </w:rPr>
      </w:pPr>
    </w:p>
    <w:p w:rsidR="00360BF4" w:rsidRDefault="003E6AA7" w:rsidP="00360BF4">
      <w:pPr>
        <w:tabs>
          <w:tab w:val="left" w:pos="-720"/>
        </w:tabs>
        <w:suppressAutoHyphens/>
        <w:ind w:left="2160" w:right="1440"/>
        <w:rPr>
          <w:szCs w:val="24"/>
        </w:rPr>
      </w:pPr>
      <w:r w:rsidRPr="003E6AA7">
        <w:rPr>
          <w:szCs w:val="24"/>
        </w:rPr>
        <w:t xml:space="preserve">PGW failed to take </w:t>
      </w:r>
      <w:r w:rsidR="00360BF4">
        <w:rPr>
          <w:szCs w:val="24"/>
        </w:rPr>
        <w:t xml:space="preserve">the </w:t>
      </w:r>
      <w:r w:rsidRPr="003E6AA7">
        <w:rPr>
          <w:szCs w:val="24"/>
        </w:rPr>
        <w:t xml:space="preserve">required steps to minimize the danger of accidental ignition of gas in an area where the presence of gas constituted a hazard of fire or explosion and failed to comply with Bulletin 212 of the Company’s manual of written procedures, </w:t>
      </w:r>
      <w:r w:rsidRPr="003E6AA7">
        <w:rPr>
          <w:i/>
          <w:szCs w:val="24"/>
        </w:rPr>
        <w:t xml:space="preserve">Leak Response and Investigation Procedure, </w:t>
      </w:r>
      <w:r w:rsidR="00360BF4">
        <w:rPr>
          <w:szCs w:val="24"/>
        </w:rPr>
        <w:t>in that</w:t>
      </w:r>
      <w:r w:rsidRPr="003E6AA7">
        <w:rPr>
          <w:szCs w:val="24"/>
        </w:rPr>
        <w:t xml:space="preserve"> the Company used drill bits prone to sparking while attempting to ventilate the street above the cracked main though its procedure states that PGW must eliminate ignition sources during gas emergencies</w:t>
      </w:r>
      <w:r w:rsidR="00360BF4">
        <w:rPr>
          <w:szCs w:val="24"/>
        </w:rPr>
        <w:t xml:space="preserve"> and</w:t>
      </w:r>
      <w:r w:rsidRPr="003E6AA7">
        <w:rPr>
          <w:szCs w:val="24"/>
        </w:rPr>
        <w:t xml:space="preserve"> </w:t>
      </w:r>
      <w:r w:rsidR="00360BF4">
        <w:rPr>
          <w:szCs w:val="24"/>
        </w:rPr>
        <w:t>b</w:t>
      </w:r>
      <w:r w:rsidRPr="003E6AA7">
        <w:rPr>
          <w:szCs w:val="24"/>
        </w:rPr>
        <w:t xml:space="preserve">y </w:t>
      </w:r>
      <w:r w:rsidR="00360BF4">
        <w:rPr>
          <w:szCs w:val="24"/>
        </w:rPr>
        <w:t xml:space="preserve">so doing </w:t>
      </w:r>
      <w:r w:rsidRPr="003E6AA7">
        <w:rPr>
          <w:szCs w:val="24"/>
        </w:rPr>
        <w:t>failed to reasonably protect the public from danger</w:t>
      </w:r>
      <w:r w:rsidR="00360BF4">
        <w:rPr>
          <w:szCs w:val="24"/>
        </w:rPr>
        <w:t>.</w:t>
      </w:r>
    </w:p>
    <w:p w:rsidR="00360BF4" w:rsidRDefault="00360BF4" w:rsidP="00360BF4">
      <w:pPr>
        <w:tabs>
          <w:tab w:val="left" w:pos="-720"/>
        </w:tabs>
        <w:suppressAutoHyphens/>
        <w:ind w:left="2160" w:right="1440"/>
        <w:rPr>
          <w:szCs w:val="24"/>
        </w:rPr>
      </w:pPr>
    </w:p>
    <w:p w:rsidR="00360BF4" w:rsidRDefault="00360BF4" w:rsidP="00360BF4">
      <w:pPr>
        <w:tabs>
          <w:tab w:val="left" w:pos="-720"/>
        </w:tabs>
        <w:suppressAutoHyphens/>
        <w:ind w:left="2160" w:right="1440"/>
        <w:rPr>
          <w:szCs w:val="24"/>
        </w:rPr>
      </w:pPr>
      <w:r>
        <w:rPr>
          <w:szCs w:val="24"/>
        </w:rPr>
        <w:t>This is a</w:t>
      </w:r>
      <w:r w:rsidR="003E6AA7" w:rsidRPr="003E6AA7">
        <w:rPr>
          <w:szCs w:val="24"/>
        </w:rPr>
        <w:t xml:space="preserve"> violation of 49 CFR § 192.751(a), 49 CFR </w:t>
      </w:r>
    </w:p>
    <w:p w:rsidR="003E6AA7" w:rsidRPr="003E6AA7" w:rsidRDefault="003E6AA7" w:rsidP="00360BF4">
      <w:pPr>
        <w:tabs>
          <w:tab w:val="left" w:pos="-720"/>
        </w:tabs>
        <w:suppressAutoHyphens/>
        <w:ind w:left="2160" w:right="1440"/>
        <w:rPr>
          <w:szCs w:val="24"/>
        </w:rPr>
      </w:pPr>
      <w:r w:rsidRPr="003E6AA7">
        <w:rPr>
          <w:szCs w:val="24"/>
        </w:rPr>
        <w:t>§ 192.605(a) and 52 Pa.</w:t>
      </w:r>
      <w:r w:rsidR="00360BF4">
        <w:rPr>
          <w:szCs w:val="24"/>
        </w:rPr>
        <w:t xml:space="preserve"> </w:t>
      </w:r>
      <w:r w:rsidRPr="003E6AA7">
        <w:rPr>
          <w:szCs w:val="24"/>
        </w:rPr>
        <w:t>Code § 59.33.</w:t>
      </w:r>
    </w:p>
    <w:p w:rsidR="003E6AA7" w:rsidRPr="003E6AA7" w:rsidRDefault="003E6AA7" w:rsidP="003E6AA7">
      <w:pPr>
        <w:pStyle w:val="ListParagraph"/>
        <w:rPr>
          <w:szCs w:val="24"/>
        </w:rPr>
      </w:pPr>
    </w:p>
    <w:p w:rsidR="00935A67" w:rsidRDefault="00935A67" w:rsidP="00935A67">
      <w:pPr>
        <w:tabs>
          <w:tab w:val="left" w:pos="-720"/>
        </w:tabs>
        <w:suppressAutoHyphens/>
        <w:ind w:left="1440" w:right="1440"/>
        <w:rPr>
          <w:szCs w:val="24"/>
        </w:rPr>
      </w:pPr>
      <w:r>
        <w:rPr>
          <w:szCs w:val="24"/>
        </w:rPr>
        <w:t>d.</w:t>
      </w:r>
      <w:r>
        <w:rPr>
          <w:szCs w:val="24"/>
        </w:rPr>
        <w:tab/>
      </w:r>
      <w:r w:rsidR="003E6AA7" w:rsidRPr="00935A67">
        <w:rPr>
          <w:szCs w:val="24"/>
          <w:u w:val="single"/>
        </w:rPr>
        <w:t>Counts 6</w:t>
      </w:r>
      <w:r>
        <w:rPr>
          <w:szCs w:val="24"/>
          <w:u w:val="single"/>
        </w:rPr>
        <w:t xml:space="preserve"> through </w:t>
      </w:r>
      <w:r w:rsidR="003E6AA7" w:rsidRPr="00935A67">
        <w:rPr>
          <w:szCs w:val="24"/>
          <w:u w:val="single"/>
        </w:rPr>
        <w:t>8</w:t>
      </w:r>
      <w:r w:rsidR="003E6AA7" w:rsidRPr="003E6AA7">
        <w:rPr>
          <w:szCs w:val="24"/>
        </w:rPr>
        <w:t xml:space="preserve"> </w:t>
      </w:r>
    </w:p>
    <w:p w:rsidR="00935A67" w:rsidRDefault="00935A67" w:rsidP="00935A67">
      <w:pPr>
        <w:tabs>
          <w:tab w:val="left" w:pos="-720"/>
        </w:tabs>
        <w:suppressAutoHyphens/>
        <w:ind w:left="1440" w:right="1440"/>
        <w:rPr>
          <w:szCs w:val="24"/>
        </w:rPr>
      </w:pPr>
    </w:p>
    <w:p w:rsidR="00935A67" w:rsidRDefault="003E6AA7" w:rsidP="00935A67">
      <w:pPr>
        <w:tabs>
          <w:tab w:val="left" w:pos="-720"/>
        </w:tabs>
        <w:suppressAutoHyphens/>
        <w:ind w:left="2160" w:right="1440"/>
        <w:rPr>
          <w:szCs w:val="24"/>
        </w:rPr>
      </w:pPr>
      <w:r w:rsidRPr="003E6AA7">
        <w:rPr>
          <w:szCs w:val="24"/>
        </w:rPr>
        <w:t xml:space="preserve">PGW failed to take </w:t>
      </w:r>
      <w:r w:rsidR="00935A67">
        <w:rPr>
          <w:szCs w:val="24"/>
        </w:rPr>
        <w:t xml:space="preserve">the </w:t>
      </w:r>
      <w:r w:rsidRPr="003E6AA7">
        <w:rPr>
          <w:szCs w:val="24"/>
        </w:rPr>
        <w:t xml:space="preserve">required steps to minimize the danger of accidental ignition of gas in an area where the presence of gas constituted a hazard of fire or explosion and failed to comply with Bulletin 212 of the Company’s manual of written procedures, </w:t>
      </w:r>
      <w:r w:rsidRPr="003E6AA7">
        <w:rPr>
          <w:i/>
          <w:szCs w:val="24"/>
        </w:rPr>
        <w:t xml:space="preserve">Leak Response and Investigation Procedure, </w:t>
      </w:r>
      <w:r w:rsidR="00935A67">
        <w:rPr>
          <w:szCs w:val="24"/>
        </w:rPr>
        <w:t>in that</w:t>
      </w:r>
      <w:r w:rsidRPr="003E6AA7">
        <w:rPr>
          <w:szCs w:val="24"/>
        </w:rPr>
        <w:t xml:space="preserve"> the Company failed to contact PECO Energy to shut off electric supply to the affected area though its procedure state</w:t>
      </w:r>
      <w:r w:rsidR="00935A67">
        <w:rPr>
          <w:szCs w:val="24"/>
        </w:rPr>
        <w:t>s</w:t>
      </w:r>
      <w:r w:rsidRPr="003E6AA7">
        <w:rPr>
          <w:szCs w:val="24"/>
        </w:rPr>
        <w:t xml:space="preserve"> that PGW must eliminate ignition sources during gas emergencies and by so doing failed to reasonably protect the public from danger</w:t>
      </w:r>
      <w:r w:rsidR="00935A67">
        <w:rPr>
          <w:szCs w:val="24"/>
        </w:rPr>
        <w:t>.</w:t>
      </w:r>
    </w:p>
    <w:p w:rsidR="0086256C" w:rsidRDefault="0086256C" w:rsidP="00935A67">
      <w:pPr>
        <w:tabs>
          <w:tab w:val="left" w:pos="-720"/>
        </w:tabs>
        <w:suppressAutoHyphens/>
        <w:ind w:left="2160" w:right="1440"/>
        <w:rPr>
          <w:szCs w:val="24"/>
        </w:rPr>
      </w:pPr>
    </w:p>
    <w:p w:rsidR="00935A67" w:rsidRDefault="00935A67" w:rsidP="00935A67">
      <w:pPr>
        <w:tabs>
          <w:tab w:val="left" w:pos="-720"/>
        </w:tabs>
        <w:suppressAutoHyphens/>
        <w:ind w:left="2160" w:right="1440"/>
        <w:rPr>
          <w:szCs w:val="24"/>
        </w:rPr>
      </w:pPr>
      <w:r>
        <w:rPr>
          <w:szCs w:val="24"/>
        </w:rPr>
        <w:t>This is a</w:t>
      </w:r>
      <w:r w:rsidR="003E6AA7" w:rsidRPr="003E6AA7">
        <w:rPr>
          <w:szCs w:val="24"/>
        </w:rPr>
        <w:t xml:space="preserve"> violation of 49 CFR § 192.751(a), 49 CFR </w:t>
      </w:r>
    </w:p>
    <w:p w:rsidR="003E6AA7" w:rsidRPr="003E6AA7" w:rsidRDefault="003E6AA7" w:rsidP="00935A67">
      <w:pPr>
        <w:tabs>
          <w:tab w:val="left" w:pos="-720"/>
        </w:tabs>
        <w:suppressAutoHyphens/>
        <w:ind w:left="2160" w:right="1440"/>
        <w:rPr>
          <w:szCs w:val="24"/>
        </w:rPr>
      </w:pPr>
      <w:r w:rsidRPr="003E6AA7">
        <w:rPr>
          <w:szCs w:val="24"/>
        </w:rPr>
        <w:t>§ 192.605(a) and 52 Pa.</w:t>
      </w:r>
      <w:r w:rsidR="00935A67">
        <w:rPr>
          <w:szCs w:val="24"/>
        </w:rPr>
        <w:t xml:space="preserve"> </w:t>
      </w:r>
      <w:r w:rsidRPr="003E6AA7">
        <w:rPr>
          <w:szCs w:val="24"/>
        </w:rPr>
        <w:t>Code § 59.33.</w:t>
      </w:r>
    </w:p>
    <w:p w:rsidR="00996378" w:rsidRDefault="00996378" w:rsidP="00996378">
      <w:pPr>
        <w:tabs>
          <w:tab w:val="left" w:pos="-720"/>
        </w:tabs>
        <w:suppressAutoHyphens/>
        <w:ind w:left="1440" w:right="1440"/>
        <w:rPr>
          <w:szCs w:val="24"/>
        </w:rPr>
      </w:pPr>
      <w:r>
        <w:rPr>
          <w:szCs w:val="24"/>
        </w:rPr>
        <w:lastRenderedPageBreak/>
        <w:t>e.</w:t>
      </w:r>
      <w:r>
        <w:rPr>
          <w:szCs w:val="24"/>
        </w:rPr>
        <w:tab/>
      </w:r>
      <w:r w:rsidR="003E6AA7" w:rsidRPr="00996378">
        <w:rPr>
          <w:szCs w:val="24"/>
          <w:u w:val="single"/>
        </w:rPr>
        <w:t>Counts 9</w:t>
      </w:r>
      <w:r w:rsidRPr="00996378">
        <w:rPr>
          <w:szCs w:val="24"/>
          <w:u w:val="single"/>
        </w:rPr>
        <w:t xml:space="preserve"> through </w:t>
      </w:r>
      <w:r w:rsidR="003E6AA7" w:rsidRPr="00996378">
        <w:rPr>
          <w:szCs w:val="24"/>
          <w:u w:val="single"/>
        </w:rPr>
        <w:t>14</w:t>
      </w:r>
      <w:r w:rsidR="003E6AA7" w:rsidRPr="003E6AA7">
        <w:rPr>
          <w:szCs w:val="24"/>
        </w:rPr>
        <w:t xml:space="preserve"> </w:t>
      </w:r>
    </w:p>
    <w:p w:rsidR="00996378" w:rsidRDefault="00996378" w:rsidP="00996378">
      <w:pPr>
        <w:tabs>
          <w:tab w:val="left" w:pos="-720"/>
        </w:tabs>
        <w:suppressAutoHyphens/>
        <w:ind w:left="1440" w:right="1440"/>
        <w:rPr>
          <w:szCs w:val="24"/>
        </w:rPr>
      </w:pPr>
    </w:p>
    <w:p w:rsidR="00D64BEC" w:rsidRDefault="003E6AA7" w:rsidP="00996378">
      <w:pPr>
        <w:tabs>
          <w:tab w:val="left" w:pos="-720"/>
        </w:tabs>
        <w:suppressAutoHyphens/>
        <w:ind w:left="2160" w:right="1440"/>
        <w:rPr>
          <w:szCs w:val="24"/>
        </w:rPr>
      </w:pPr>
      <w:r w:rsidRPr="003E6AA7">
        <w:rPr>
          <w:szCs w:val="24"/>
        </w:rPr>
        <w:t>PGW failed to comply with its emergency procedures that require actions be directed to</w:t>
      </w:r>
      <w:r w:rsidR="00996378">
        <w:rPr>
          <w:szCs w:val="24"/>
        </w:rPr>
        <w:t>ward</w:t>
      </w:r>
      <w:r w:rsidRPr="003E6AA7">
        <w:rPr>
          <w:szCs w:val="24"/>
        </w:rPr>
        <w:t xml:space="preserve"> protect</w:t>
      </w:r>
      <w:r w:rsidR="00996378">
        <w:rPr>
          <w:szCs w:val="24"/>
        </w:rPr>
        <w:t>ing</w:t>
      </w:r>
      <w:r w:rsidRPr="003E6AA7">
        <w:rPr>
          <w:szCs w:val="24"/>
        </w:rPr>
        <w:t xml:space="preserve"> people first and then property in that four </w:t>
      </w:r>
      <w:r w:rsidR="00996378">
        <w:rPr>
          <w:szCs w:val="24"/>
        </w:rPr>
        <w:t xml:space="preserve">PGW </w:t>
      </w:r>
      <w:r w:rsidRPr="003E6AA7">
        <w:rPr>
          <w:szCs w:val="24"/>
        </w:rPr>
        <w:t xml:space="preserve">employees </w:t>
      </w:r>
      <w:r w:rsidR="00996378">
        <w:rPr>
          <w:szCs w:val="24"/>
        </w:rPr>
        <w:t xml:space="preserve">… , </w:t>
      </w:r>
      <w:r w:rsidRPr="003E6AA7">
        <w:rPr>
          <w:szCs w:val="24"/>
        </w:rPr>
        <w:t xml:space="preserve">each acting under the scope of </w:t>
      </w:r>
      <w:r w:rsidR="00996378">
        <w:rPr>
          <w:szCs w:val="24"/>
        </w:rPr>
        <w:t xml:space="preserve">their </w:t>
      </w:r>
      <w:r w:rsidRPr="003E6AA7">
        <w:rPr>
          <w:szCs w:val="24"/>
        </w:rPr>
        <w:t xml:space="preserve">employment, </w:t>
      </w:r>
      <w:r w:rsidR="00996378">
        <w:rPr>
          <w:szCs w:val="24"/>
        </w:rPr>
        <w:t xml:space="preserve">all </w:t>
      </w:r>
      <w:r w:rsidRPr="003E6AA7">
        <w:rPr>
          <w:szCs w:val="24"/>
        </w:rPr>
        <w:t xml:space="preserve">entered after detecting gas readings greater than 40% LEL (“Lower Explosive Limit”) inside the </w:t>
      </w:r>
      <w:r w:rsidR="00996378">
        <w:rPr>
          <w:szCs w:val="24"/>
        </w:rPr>
        <w:t xml:space="preserve">building </w:t>
      </w:r>
      <w:r w:rsidRPr="003E6AA7">
        <w:rPr>
          <w:szCs w:val="24"/>
        </w:rPr>
        <w:t xml:space="preserve">and after the </w:t>
      </w:r>
      <w:r w:rsidR="00996378">
        <w:rPr>
          <w:szCs w:val="24"/>
        </w:rPr>
        <w:t>[</w:t>
      </w:r>
      <w:r w:rsidRPr="003E6AA7">
        <w:rPr>
          <w:szCs w:val="24"/>
        </w:rPr>
        <w:t>Philadelphia Fire Department (PFD)</w:t>
      </w:r>
      <w:r w:rsidR="007A5A6E">
        <w:rPr>
          <w:szCs w:val="24"/>
        </w:rPr>
        <w:t>]</w:t>
      </w:r>
      <w:r w:rsidRPr="003E6AA7">
        <w:rPr>
          <w:szCs w:val="24"/>
        </w:rPr>
        <w:t xml:space="preserve"> </w:t>
      </w:r>
      <w:r w:rsidR="00996378">
        <w:rPr>
          <w:szCs w:val="24"/>
        </w:rPr>
        <w:t xml:space="preserve">had </w:t>
      </w:r>
      <w:r w:rsidRPr="003E6AA7">
        <w:rPr>
          <w:szCs w:val="24"/>
        </w:rPr>
        <w:t xml:space="preserve">evacuated the building.  </w:t>
      </w:r>
      <w:r w:rsidR="00996378">
        <w:rPr>
          <w:szCs w:val="24"/>
        </w:rPr>
        <w:t>Moreover, [Supervisor One]</w:t>
      </w:r>
      <w:r w:rsidRPr="003E6AA7">
        <w:rPr>
          <w:szCs w:val="24"/>
        </w:rPr>
        <w:t xml:space="preserve"> </w:t>
      </w:r>
      <w:r w:rsidR="00996378">
        <w:rPr>
          <w:szCs w:val="24"/>
        </w:rPr>
        <w:t>was aware of</w:t>
      </w:r>
      <w:r w:rsidRPr="003E6AA7">
        <w:rPr>
          <w:szCs w:val="24"/>
        </w:rPr>
        <w:t xml:space="preserve"> readings</w:t>
      </w:r>
      <w:r w:rsidR="00996378">
        <w:rPr>
          <w:szCs w:val="24"/>
        </w:rPr>
        <w:t xml:space="preserve"> above 40% LEL</w:t>
      </w:r>
      <w:r w:rsidRPr="003E6AA7">
        <w:rPr>
          <w:szCs w:val="24"/>
        </w:rPr>
        <w:t xml:space="preserve"> </w:t>
      </w:r>
      <w:r w:rsidR="00996378">
        <w:rPr>
          <w:szCs w:val="24"/>
        </w:rPr>
        <w:t>in 6932</w:t>
      </w:r>
      <w:r w:rsidR="00996378" w:rsidRPr="003E6AA7">
        <w:rPr>
          <w:szCs w:val="24"/>
        </w:rPr>
        <w:t xml:space="preserve"> </w:t>
      </w:r>
      <w:r w:rsidR="00996378">
        <w:rPr>
          <w:szCs w:val="24"/>
        </w:rPr>
        <w:t>Torresdale Avenue.  T</w:t>
      </w:r>
      <w:r w:rsidRPr="003E6AA7">
        <w:rPr>
          <w:szCs w:val="24"/>
        </w:rPr>
        <w:t xml:space="preserve">his was not communicated to </w:t>
      </w:r>
      <w:r w:rsidR="00996378">
        <w:rPr>
          <w:szCs w:val="24"/>
        </w:rPr>
        <w:t xml:space="preserve">[Foreman Two] and [Crew Member Five] </w:t>
      </w:r>
      <w:r w:rsidRPr="003E6AA7">
        <w:rPr>
          <w:szCs w:val="24"/>
        </w:rPr>
        <w:t xml:space="preserve">and they were permitted to enter </w:t>
      </w:r>
      <w:r w:rsidR="00996378">
        <w:rPr>
          <w:szCs w:val="24"/>
        </w:rPr>
        <w:t>even though</w:t>
      </w:r>
      <w:r w:rsidRPr="003E6AA7">
        <w:rPr>
          <w:szCs w:val="24"/>
        </w:rPr>
        <w:t xml:space="preserve"> </w:t>
      </w:r>
      <w:r w:rsidR="00D64BEC">
        <w:rPr>
          <w:szCs w:val="24"/>
        </w:rPr>
        <w:t xml:space="preserve">[Supervisor One] knew </w:t>
      </w:r>
      <w:r w:rsidRPr="003E6AA7">
        <w:rPr>
          <w:szCs w:val="24"/>
        </w:rPr>
        <w:t xml:space="preserve">the PFD had evacuated the building.  </w:t>
      </w:r>
    </w:p>
    <w:p w:rsidR="00D64BEC" w:rsidRDefault="00D64BEC" w:rsidP="00996378">
      <w:pPr>
        <w:tabs>
          <w:tab w:val="left" w:pos="-720"/>
        </w:tabs>
        <w:suppressAutoHyphens/>
        <w:ind w:left="2160" w:right="1440"/>
        <w:rPr>
          <w:szCs w:val="24"/>
        </w:rPr>
      </w:pPr>
    </w:p>
    <w:p w:rsidR="003E6AA7" w:rsidRPr="003E6AA7" w:rsidRDefault="003E6AA7" w:rsidP="00996378">
      <w:pPr>
        <w:tabs>
          <w:tab w:val="left" w:pos="-720"/>
        </w:tabs>
        <w:suppressAutoHyphens/>
        <w:ind w:left="2160" w:right="1440"/>
        <w:rPr>
          <w:szCs w:val="24"/>
        </w:rPr>
      </w:pPr>
      <w:r w:rsidRPr="003E6AA7">
        <w:rPr>
          <w:szCs w:val="24"/>
        </w:rPr>
        <w:t>This is a violation of</w:t>
      </w:r>
      <w:r w:rsidR="00894F1F">
        <w:rPr>
          <w:szCs w:val="24"/>
        </w:rPr>
        <w:t xml:space="preserve"> 49 CFR § 192.615(a)(5), and 49 </w:t>
      </w:r>
      <w:r w:rsidRPr="003E6AA7">
        <w:rPr>
          <w:szCs w:val="24"/>
        </w:rPr>
        <w:t xml:space="preserve">CFR § 192.605(a), with respect to Section 192.615(a)(5).    </w:t>
      </w:r>
    </w:p>
    <w:p w:rsidR="003E6AA7" w:rsidRPr="003E6AA7" w:rsidRDefault="003E6AA7" w:rsidP="003E6AA7">
      <w:pPr>
        <w:pStyle w:val="ListParagraph"/>
        <w:rPr>
          <w:szCs w:val="24"/>
        </w:rPr>
      </w:pPr>
    </w:p>
    <w:p w:rsidR="004F00A0" w:rsidRDefault="004F00A0" w:rsidP="004F00A0">
      <w:pPr>
        <w:tabs>
          <w:tab w:val="left" w:pos="-720"/>
        </w:tabs>
        <w:suppressAutoHyphens/>
        <w:ind w:left="1440" w:right="1440"/>
        <w:rPr>
          <w:szCs w:val="24"/>
        </w:rPr>
      </w:pPr>
      <w:r>
        <w:rPr>
          <w:szCs w:val="24"/>
        </w:rPr>
        <w:t>f.</w:t>
      </w:r>
      <w:r>
        <w:rPr>
          <w:szCs w:val="24"/>
        </w:rPr>
        <w:tab/>
      </w:r>
      <w:r w:rsidR="003E6AA7" w:rsidRPr="004F00A0">
        <w:rPr>
          <w:szCs w:val="24"/>
          <w:u w:val="single"/>
        </w:rPr>
        <w:t>Counts 15</w:t>
      </w:r>
      <w:r w:rsidRPr="004F00A0">
        <w:rPr>
          <w:szCs w:val="24"/>
          <w:u w:val="single"/>
        </w:rPr>
        <w:t xml:space="preserve"> through </w:t>
      </w:r>
      <w:r w:rsidR="003E6AA7" w:rsidRPr="004F00A0">
        <w:rPr>
          <w:szCs w:val="24"/>
          <w:u w:val="single"/>
        </w:rPr>
        <w:t>20</w:t>
      </w:r>
      <w:r w:rsidR="003E6AA7" w:rsidRPr="003E6AA7">
        <w:rPr>
          <w:szCs w:val="24"/>
        </w:rPr>
        <w:t xml:space="preserve"> </w:t>
      </w:r>
    </w:p>
    <w:p w:rsidR="004F00A0" w:rsidRDefault="004F00A0" w:rsidP="004F00A0">
      <w:pPr>
        <w:tabs>
          <w:tab w:val="left" w:pos="-720"/>
        </w:tabs>
        <w:suppressAutoHyphens/>
        <w:ind w:left="1440" w:right="1440"/>
        <w:rPr>
          <w:szCs w:val="24"/>
        </w:rPr>
      </w:pPr>
    </w:p>
    <w:p w:rsidR="001D75BA" w:rsidRDefault="004F00A0" w:rsidP="004F00A0">
      <w:pPr>
        <w:tabs>
          <w:tab w:val="left" w:pos="-720"/>
        </w:tabs>
        <w:suppressAutoHyphens/>
        <w:ind w:left="2160" w:right="1440"/>
        <w:rPr>
          <w:szCs w:val="24"/>
        </w:rPr>
      </w:pPr>
      <w:r>
        <w:rPr>
          <w:szCs w:val="24"/>
        </w:rPr>
        <w:t>In r</w:t>
      </w:r>
      <w:r w:rsidR="003E6AA7" w:rsidRPr="003E6AA7">
        <w:rPr>
          <w:szCs w:val="24"/>
        </w:rPr>
        <w:t>egard</w:t>
      </w:r>
      <w:r>
        <w:rPr>
          <w:szCs w:val="24"/>
        </w:rPr>
        <w:t xml:space="preserve"> to</w:t>
      </w:r>
      <w:r w:rsidR="003E6AA7" w:rsidRPr="003E6AA7">
        <w:rPr>
          <w:szCs w:val="24"/>
        </w:rPr>
        <w:t xml:space="preserve"> two employees, </w:t>
      </w:r>
      <w:r>
        <w:rPr>
          <w:szCs w:val="24"/>
        </w:rPr>
        <w:t>PGW</w:t>
      </w:r>
      <w:r w:rsidR="003E6AA7" w:rsidRPr="003E6AA7">
        <w:rPr>
          <w:szCs w:val="24"/>
        </w:rPr>
        <w:t xml:space="preserve"> failed in two separate actions to comply with its emergency procedures that require action</w:t>
      </w:r>
      <w:r>
        <w:rPr>
          <w:szCs w:val="24"/>
        </w:rPr>
        <w:t>s</w:t>
      </w:r>
      <w:r w:rsidR="003E6AA7" w:rsidRPr="003E6AA7">
        <w:rPr>
          <w:szCs w:val="24"/>
        </w:rPr>
        <w:t xml:space="preserve"> be directed toward</w:t>
      </w:r>
      <w:r>
        <w:rPr>
          <w:szCs w:val="24"/>
        </w:rPr>
        <w:t>s</w:t>
      </w:r>
      <w:r w:rsidR="003E6AA7" w:rsidRPr="003E6AA7">
        <w:rPr>
          <w:szCs w:val="24"/>
        </w:rPr>
        <w:t xml:space="preserve"> protecting </w:t>
      </w:r>
      <w:r>
        <w:rPr>
          <w:szCs w:val="24"/>
        </w:rPr>
        <w:t>people</w:t>
      </w:r>
      <w:r w:rsidR="003E6AA7" w:rsidRPr="003E6AA7">
        <w:rPr>
          <w:szCs w:val="24"/>
        </w:rPr>
        <w:t xml:space="preserve"> first and then property</w:t>
      </w:r>
      <w:r>
        <w:rPr>
          <w:szCs w:val="24"/>
        </w:rPr>
        <w:t xml:space="preserve"> in that</w:t>
      </w:r>
      <w:r w:rsidR="003E6AA7" w:rsidRPr="003E6AA7">
        <w:rPr>
          <w:szCs w:val="24"/>
        </w:rPr>
        <w:t xml:space="preserve"> two</w:t>
      </w:r>
      <w:r>
        <w:rPr>
          <w:szCs w:val="24"/>
        </w:rPr>
        <w:t xml:space="preserve"> PGW</w:t>
      </w:r>
      <w:r w:rsidR="003E6AA7" w:rsidRPr="003E6AA7">
        <w:rPr>
          <w:szCs w:val="24"/>
        </w:rPr>
        <w:t xml:space="preserve"> employees</w:t>
      </w:r>
      <w:r>
        <w:rPr>
          <w:szCs w:val="24"/>
        </w:rPr>
        <w:t>, …,</w:t>
      </w:r>
      <w:r w:rsidR="003E6AA7" w:rsidRPr="003E6AA7">
        <w:rPr>
          <w:szCs w:val="24"/>
        </w:rPr>
        <w:t xml:space="preserve"> each acting </w:t>
      </w:r>
      <w:r>
        <w:rPr>
          <w:szCs w:val="24"/>
        </w:rPr>
        <w:t xml:space="preserve">under </w:t>
      </w:r>
      <w:r w:rsidR="003E6AA7" w:rsidRPr="003E6AA7">
        <w:rPr>
          <w:szCs w:val="24"/>
        </w:rPr>
        <w:t>the</w:t>
      </w:r>
      <w:r>
        <w:rPr>
          <w:szCs w:val="24"/>
        </w:rPr>
        <w:t>ir</w:t>
      </w:r>
      <w:r w:rsidR="003E6AA7" w:rsidRPr="003E6AA7">
        <w:rPr>
          <w:szCs w:val="24"/>
        </w:rPr>
        <w:t xml:space="preserve"> scope of employment, put themselves in danger by remaining in the building, operating the meter valve inside the building and ventilating the building by opening windows after they detected 70% LEL in the basement of the building.  </w:t>
      </w:r>
      <w:r>
        <w:rPr>
          <w:szCs w:val="24"/>
        </w:rPr>
        <w:t>Moreover, PGW did not e</w:t>
      </w:r>
      <w:r w:rsidR="003E6AA7" w:rsidRPr="003E6AA7">
        <w:rPr>
          <w:szCs w:val="24"/>
        </w:rPr>
        <w:t>ffective</w:t>
      </w:r>
      <w:r>
        <w:rPr>
          <w:szCs w:val="24"/>
        </w:rPr>
        <w:t>ly communicate</w:t>
      </w:r>
      <w:r w:rsidR="003E6AA7" w:rsidRPr="003E6AA7">
        <w:rPr>
          <w:szCs w:val="24"/>
        </w:rPr>
        <w:t xml:space="preserve"> between </w:t>
      </w:r>
      <w:r>
        <w:rPr>
          <w:szCs w:val="24"/>
        </w:rPr>
        <w:t>its</w:t>
      </w:r>
      <w:r w:rsidR="003E6AA7" w:rsidRPr="003E6AA7">
        <w:rPr>
          <w:szCs w:val="24"/>
        </w:rPr>
        <w:t xml:space="preserve"> employees </w:t>
      </w:r>
      <w:r>
        <w:rPr>
          <w:szCs w:val="24"/>
        </w:rPr>
        <w:t>on site in that, although [Supervisor One] was</w:t>
      </w:r>
      <w:r w:rsidR="003E6AA7" w:rsidRPr="003E6AA7">
        <w:rPr>
          <w:szCs w:val="24"/>
        </w:rPr>
        <w:t xml:space="preserve"> aware of reading</w:t>
      </w:r>
      <w:r>
        <w:rPr>
          <w:szCs w:val="24"/>
        </w:rPr>
        <w:t>s</w:t>
      </w:r>
      <w:r w:rsidR="003E6AA7" w:rsidRPr="003E6AA7">
        <w:rPr>
          <w:szCs w:val="24"/>
        </w:rPr>
        <w:t xml:space="preserve"> above 40% LEL </w:t>
      </w:r>
      <w:r>
        <w:rPr>
          <w:szCs w:val="24"/>
        </w:rPr>
        <w:t>in 6932 Torresdale Avenue, this was not communicated to [Foreman Two] and [Crew Member Five] and they were</w:t>
      </w:r>
      <w:r w:rsidR="003E6AA7" w:rsidRPr="003E6AA7">
        <w:rPr>
          <w:szCs w:val="24"/>
        </w:rPr>
        <w:t xml:space="preserve"> permitted to enter </w:t>
      </w:r>
      <w:r>
        <w:rPr>
          <w:szCs w:val="24"/>
        </w:rPr>
        <w:t xml:space="preserve">even though [Supervisor One] </w:t>
      </w:r>
      <w:r w:rsidR="003E6AA7" w:rsidRPr="003E6AA7">
        <w:rPr>
          <w:szCs w:val="24"/>
        </w:rPr>
        <w:t xml:space="preserve">knew </w:t>
      </w:r>
      <w:r>
        <w:rPr>
          <w:szCs w:val="24"/>
        </w:rPr>
        <w:t xml:space="preserve">the </w:t>
      </w:r>
      <w:r w:rsidR="003E6AA7" w:rsidRPr="003E6AA7">
        <w:rPr>
          <w:szCs w:val="24"/>
        </w:rPr>
        <w:t>PFD had evacuated the building.  These two employees</w:t>
      </w:r>
      <w:r>
        <w:rPr>
          <w:szCs w:val="24"/>
        </w:rPr>
        <w:t xml:space="preserve"> …,</w:t>
      </w:r>
      <w:r w:rsidR="003E6AA7" w:rsidRPr="003E6AA7">
        <w:rPr>
          <w:szCs w:val="24"/>
        </w:rPr>
        <w:t xml:space="preserve"> </w:t>
      </w:r>
      <w:r>
        <w:rPr>
          <w:szCs w:val="24"/>
        </w:rPr>
        <w:t>acting</w:t>
      </w:r>
      <w:r w:rsidR="003E6AA7" w:rsidRPr="003E6AA7">
        <w:rPr>
          <w:szCs w:val="24"/>
        </w:rPr>
        <w:t xml:space="preserve"> under the</w:t>
      </w:r>
      <w:r>
        <w:rPr>
          <w:szCs w:val="24"/>
        </w:rPr>
        <w:t>ir</w:t>
      </w:r>
      <w:r w:rsidR="003E6AA7" w:rsidRPr="003E6AA7">
        <w:rPr>
          <w:szCs w:val="24"/>
        </w:rPr>
        <w:t xml:space="preserve"> scope of employment</w:t>
      </w:r>
      <w:r>
        <w:rPr>
          <w:szCs w:val="24"/>
        </w:rPr>
        <w:t>,</w:t>
      </w:r>
      <w:r w:rsidR="003E6AA7" w:rsidRPr="003E6AA7">
        <w:rPr>
          <w:szCs w:val="24"/>
        </w:rPr>
        <w:t xml:space="preserve"> re-entered </w:t>
      </w:r>
      <w:r>
        <w:rPr>
          <w:szCs w:val="24"/>
        </w:rPr>
        <w:t>6932 Torresdale Avenue</w:t>
      </w:r>
      <w:r w:rsidR="003E6AA7" w:rsidRPr="003E6AA7">
        <w:rPr>
          <w:szCs w:val="24"/>
        </w:rPr>
        <w:t xml:space="preserve"> after </w:t>
      </w:r>
      <w:r>
        <w:rPr>
          <w:szCs w:val="24"/>
        </w:rPr>
        <w:t xml:space="preserve">[Foreman Two] had </w:t>
      </w:r>
      <w:r w:rsidR="003E6AA7" w:rsidRPr="003E6AA7">
        <w:rPr>
          <w:szCs w:val="24"/>
        </w:rPr>
        <w:t>obtain</w:t>
      </w:r>
      <w:r>
        <w:rPr>
          <w:szCs w:val="24"/>
        </w:rPr>
        <w:t>ed</w:t>
      </w:r>
      <w:r w:rsidR="003E6AA7" w:rsidRPr="003E6AA7">
        <w:rPr>
          <w:szCs w:val="24"/>
        </w:rPr>
        <w:t xml:space="preserve"> readings of 80% gas at the second floor exterior doorway.  </w:t>
      </w:r>
      <w:r>
        <w:rPr>
          <w:szCs w:val="24"/>
        </w:rPr>
        <w:lastRenderedPageBreak/>
        <w:t xml:space="preserve">[Foreman Two] and </w:t>
      </w:r>
      <w:r w:rsidR="001D75BA">
        <w:rPr>
          <w:szCs w:val="24"/>
        </w:rPr>
        <w:t xml:space="preserve">[Crew Member Five] </w:t>
      </w:r>
      <w:r w:rsidR="003E6AA7" w:rsidRPr="003E6AA7">
        <w:rPr>
          <w:szCs w:val="24"/>
        </w:rPr>
        <w:t xml:space="preserve">endangered themselves by entering </w:t>
      </w:r>
      <w:r w:rsidR="001D75BA">
        <w:rPr>
          <w:szCs w:val="24"/>
        </w:rPr>
        <w:t>a</w:t>
      </w:r>
      <w:r w:rsidR="003E6AA7" w:rsidRPr="003E6AA7">
        <w:rPr>
          <w:szCs w:val="24"/>
        </w:rPr>
        <w:t xml:space="preserve">nd opening windows to ventilate.  </w:t>
      </w:r>
    </w:p>
    <w:p w:rsidR="001D75BA" w:rsidRDefault="001D75BA" w:rsidP="004F00A0">
      <w:pPr>
        <w:tabs>
          <w:tab w:val="left" w:pos="-720"/>
        </w:tabs>
        <w:suppressAutoHyphens/>
        <w:ind w:left="2160" w:right="1440"/>
        <w:rPr>
          <w:szCs w:val="24"/>
        </w:rPr>
      </w:pPr>
    </w:p>
    <w:p w:rsidR="003E6AA7" w:rsidRPr="003E6AA7" w:rsidRDefault="003E6AA7" w:rsidP="001D75BA">
      <w:pPr>
        <w:tabs>
          <w:tab w:val="left" w:pos="-720"/>
        </w:tabs>
        <w:suppressAutoHyphens/>
        <w:ind w:left="2160" w:right="1440"/>
        <w:rPr>
          <w:szCs w:val="24"/>
        </w:rPr>
      </w:pPr>
      <w:r w:rsidRPr="003E6AA7">
        <w:rPr>
          <w:szCs w:val="24"/>
        </w:rPr>
        <w:t xml:space="preserve">Each </w:t>
      </w:r>
      <w:r w:rsidR="001D75BA">
        <w:rPr>
          <w:szCs w:val="24"/>
        </w:rPr>
        <w:t xml:space="preserve">separate </w:t>
      </w:r>
      <w:r w:rsidRPr="003E6AA7">
        <w:rPr>
          <w:szCs w:val="24"/>
        </w:rPr>
        <w:t>action constitutes a violation of 49 CFR § 192.605(a) and 49 CFR § 192.615(a)(5).</w:t>
      </w:r>
    </w:p>
    <w:p w:rsidR="003E6AA7" w:rsidRPr="003E6AA7" w:rsidRDefault="003E6AA7" w:rsidP="003E6AA7">
      <w:pPr>
        <w:tabs>
          <w:tab w:val="left" w:pos="-720"/>
        </w:tabs>
        <w:suppressAutoHyphens/>
        <w:ind w:left="1440"/>
        <w:rPr>
          <w:szCs w:val="24"/>
        </w:rPr>
      </w:pPr>
    </w:p>
    <w:p w:rsidR="000B544B" w:rsidRDefault="000B544B" w:rsidP="000B544B">
      <w:pPr>
        <w:tabs>
          <w:tab w:val="left" w:pos="-720"/>
        </w:tabs>
        <w:suppressAutoHyphens/>
        <w:ind w:left="1440" w:right="1440"/>
        <w:rPr>
          <w:szCs w:val="24"/>
        </w:rPr>
      </w:pPr>
      <w:r>
        <w:rPr>
          <w:szCs w:val="24"/>
        </w:rPr>
        <w:t>g.</w:t>
      </w:r>
      <w:r>
        <w:rPr>
          <w:szCs w:val="24"/>
        </w:rPr>
        <w:tab/>
      </w:r>
      <w:r w:rsidR="003E6AA7" w:rsidRPr="000B544B">
        <w:rPr>
          <w:szCs w:val="24"/>
          <w:u w:val="single"/>
        </w:rPr>
        <w:t>Counts 21</w:t>
      </w:r>
      <w:r w:rsidRPr="000B544B">
        <w:rPr>
          <w:szCs w:val="24"/>
          <w:u w:val="single"/>
        </w:rPr>
        <w:t xml:space="preserve"> and </w:t>
      </w:r>
      <w:r w:rsidR="003E6AA7" w:rsidRPr="000B544B">
        <w:rPr>
          <w:szCs w:val="24"/>
          <w:u w:val="single"/>
        </w:rPr>
        <w:t>22</w:t>
      </w:r>
      <w:r w:rsidR="003E6AA7" w:rsidRPr="003E6AA7">
        <w:rPr>
          <w:szCs w:val="24"/>
        </w:rPr>
        <w:t xml:space="preserve"> </w:t>
      </w:r>
    </w:p>
    <w:p w:rsidR="000B544B" w:rsidRDefault="000B544B" w:rsidP="000B544B">
      <w:pPr>
        <w:tabs>
          <w:tab w:val="left" w:pos="-720"/>
        </w:tabs>
        <w:suppressAutoHyphens/>
        <w:ind w:left="1440" w:right="1440"/>
        <w:rPr>
          <w:szCs w:val="24"/>
        </w:rPr>
      </w:pPr>
    </w:p>
    <w:p w:rsidR="000B544B" w:rsidRDefault="003E6AA7" w:rsidP="000B544B">
      <w:pPr>
        <w:tabs>
          <w:tab w:val="left" w:pos="-720"/>
        </w:tabs>
        <w:suppressAutoHyphens/>
        <w:ind w:left="2160" w:right="1440"/>
        <w:rPr>
          <w:szCs w:val="24"/>
        </w:rPr>
      </w:pPr>
      <w:r w:rsidRPr="003E6AA7">
        <w:rPr>
          <w:szCs w:val="24"/>
        </w:rPr>
        <w:t xml:space="preserve">PGW violated Bulletin 212, </w:t>
      </w:r>
      <w:r w:rsidRPr="003E6AA7">
        <w:rPr>
          <w:i/>
          <w:szCs w:val="24"/>
        </w:rPr>
        <w:t xml:space="preserve">Leak Response and Investigation Procedure, </w:t>
      </w:r>
      <w:r w:rsidR="000B544B">
        <w:rPr>
          <w:szCs w:val="24"/>
        </w:rPr>
        <w:t>Section III.C.1, wherein</w:t>
      </w:r>
      <w:r w:rsidRPr="003E6AA7">
        <w:rPr>
          <w:szCs w:val="24"/>
        </w:rPr>
        <w:t xml:space="preserve"> outside leak investigation requires exchanging information with PGW employee</w:t>
      </w:r>
      <w:r w:rsidR="000B544B">
        <w:rPr>
          <w:szCs w:val="24"/>
        </w:rPr>
        <w:t>(</w:t>
      </w:r>
      <w:r w:rsidRPr="003E6AA7">
        <w:rPr>
          <w:szCs w:val="24"/>
        </w:rPr>
        <w:t>s</w:t>
      </w:r>
      <w:r w:rsidR="000B544B">
        <w:rPr>
          <w:szCs w:val="24"/>
        </w:rPr>
        <w:t>)</w:t>
      </w:r>
      <w:r w:rsidRPr="003E6AA7">
        <w:rPr>
          <w:szCs w:val="24"/>
        </w:rPr>
        <w:t xml:space="preserve"> already on location</w:t>
      </w:r>
      <w:r w:rsidR="000B544B">
        <w:rPr>
          <w:szCs w:val="24"/>
        </w:rPr>
        <w:t>, in</w:t>
      </w:r>
      <w:r w:rsidRPr="003E6AA7">
        <w:rPr>
          <w:szCs w:val="24"/>
        </w:rPr>
        <w:t xml:space="preserve"> th</w:t>
      </w:r>
      <w:r w:rsidR="000B544B">
        <w:rPr>
          <w:szCs w:val="24"/>
        </w:rPr>
        <w:t>at</w:t>
      </w:r>
      <w:r w:rsidRPr="003E6AA7">
        <w:rPr>
          <w:szCs w:val="24"/>
        </w:rPr>
        <w:t xml:space="preserve"> PGW did not effectively communicate among its distribution divisions.  There were </w:t>
      </w:r>
      <w:r w:rsidR="000B544B">
        <w:rPr>
          <w:szCs w:val="24"/>
        </w:rPr>
        <w:t xml:space="preserve">also </w:t>
      </w:r>
      <w:r w:rsidRPr="003E6AA7">
        <w:rPr>
          <w:szCs w:val="24"/>
        </w:rPr>
        <w:t>discrepancies, based on Gas Safety Inspector interviews</w:t>
      </w:r>
      <w:r w:rsidR="000B544B">
        <w:rPr>
          <w:szCs w:val="24"/>
        </w:rPr>
        <w:t>,</w:t>
      </w:r>
      <w:r w:rsidRPr="003E6AA7">
        <w:rPr>
          <w:szCs w:val="24"/>
        </w:rPr>
        <w:t xml:space="preserve"> in the communication </w:t>
      </w:r>
      <w:r w:rsidR="000B544B">
        <w:rPr>
          <w:szCs w:val="24"/>
        </w:rPr>
        <w:t>[</w:t>
      </w:r>
      <w:r w:rsidRPr="003E6AA7">
        <w:rPr>
          <w:szCs w:val="24"/>
        </w:rPr>
        <w:t>between two employees</w:t>
      </w:r>
      <w:r w:rsidR="000B544B">
        <w:rPr>
          <w:szCs w:val="24"/>
        </w:rPr>
        <w:t>]</w:t>
      </w:r>
      <w:r w:rsidRPr="003E6AA7">
        <w:rPr>
          <w:szCs w:val="24"/>
        </w:rPr>
        <w:t xml:space="preserve"> regarding the 70% LEL reading.  </w:t>
      </w:r>
      <w:r w:rsidR="000B544B">
        <w:rPr>
          <w:szCs w:val="24"/>
        </w:rPr>
        <w:t xml:space="preserve">All of the above resulted in an </w:t>
      </w:r>
      <w:r w:rsidRPr="003E6AA7">
        <w:rPr>
          <w:szCs w:val="24"/>
        </w:rPr>
        <w:t>increased danger to the public</w:t>
      </w:r>
      <w:r w:rsidR="000B544B">
        <w:rPr>
          <w:szCs w:val="24"/>
        </w:rPr>
        <w:t>.</w:t>
      </w:r>
    </w:p>
    <w:p w:rsidR="000B544B" w:rsidRDefault="000B544B" w:rsidP="000B544B">
      <w:pPr>
        <w:tabs>
          <w:tab w:val="left" w:pos="-720"/>
        </w:tabs>
        <w:suppressAutoHyphens/>
        <w:ind w:left="2160" w:right="1440"/>
        <w:rPr>
          <w:szCs w:val="24"/>
        </w:rPr>
      </w:pPr>
    </w:p>
    <w:p w:rsidR="003E6AA7" w:rsidRPr="003E6AA7" w:rsidRDefault="000B544B" w:rsidP="000B544B">
      <w:pPr>
        <w:tabs>
          <w:tab w:val="left" w:pos="-720"/>
        </w:tabs>
        <w:suppressAutoHyphens/>
        <w:ind w:left="2160" w:right="1440"/>
        <w:rPr>
          <w:szCs w:val="24"/>
        </w:rPr>
      </w:pPr>
      <w:r>
        <w:rPr>
          <w:szCs w:val="24"/>
        </w:rPr>
        <w:t xml:space="preserve">This is </w:t>
      </w:r>
      <w:r w:rsidR="003E6AA7" w:rsidRPr="003E6AA7">
        <w:rPr>
          <w:szCs w:val="24"/>
        </w:rPr>
        <w:t>a violation of 49 CFR § 192.605(a) and 52 Pa.</w:t>
      </w:r>
      <w:r>
        <w:rPr>
          <w:szCs w:val="24"/>
        </w:rPr>
        <w:t xml:space="preserve"> </w:t>
      </w:r>
      <w:r w:rsidR="003E6AA7" w:rsidRPr="003E6AA7">
        <w:rPr>
          <w:szCs w:val="24"/>
        </w:rPr>
        <w:t>Code § 59.33.</w:t>
      </w:r>
    </w:p>
    <w:p w:rsidR="003E6AA7" w:rsidRPr="003E6AA7" w:rsidRDefault="003E6AA7" w:rsidP="003E6AA7">
      <w:pPr>
        <w:pStyle w:val="ListParagraph"/>
        <w:rPr>
          <w:szCs w:val="24"/>
        </w:rPr>
      </w:pPr>
    </w:p>
    <w:p w:rsidR="00E80DA1" w:rsidRDefault="00E80DA1" w:rsidP="00E80DA1">
      <w:pPr>
        <w:tabs>
          <w:tab w:val="left" w:pos="-720"/>
        </w:tabs>
        <w:suppressAutoHyphens/>
        <w:ind w:left="1440" w:right="1440"/>
        <w:rPr>
          <w:szCs w:val="24"/>
        </w:rPr>
      </w:pPr>
      <w:r>
        <w:rPr>
          <w:szCs w:val="24"/>
        </w:rPr>
        <w:t>h.</w:t>
      </w:r>
      <w:r>
        <w:rPr>
          <w:szCs w:val="24"/>
        </w:rPr>
        <w:tab/>
      </w:r>
      <w:r w:rsidR="003E6AA7" w:rsidRPr="00E80DA1">
        <w:rPr>
          <w:szCs w:val="24"/>
          <w:u w:val="single"/>
        </w:rPr>
        <w:t>Counts 23</w:t>
      </w:r>
      <w:r>
        <w:rPr>
          <w:szCs w:val="24"/>
          <w:u w:val="single"/>
        </w:rPr>
        <w:t xml:space="preserve"> and </w:t>
      </w:r>
      <w:r w:rsidR="003E6AA7" w:rsidRPr="00E80DA1">
        <w:rPr>
          <w:szCs w:val="24"/>
          <w:u w:val="single"/>
        </w:rPr>
        <w:t>24</w:t>
      </w:r>
      <w:r w:rsidR="003E6AA7" w:rsidRPr="003E6AA7">
        <w:rPr>
          <w:szCs w:val="24"/>
        </w:rPr>
        <w:t xml:space="preserve"> </w:t>
      </w:r>
    </w:p>
    <w:p w:rsidR="00E80DA1" w:rsidRDefault="00E80DA1" w:rsidP="00E80DA1">
      <w:pPr>
        <w:tabs>
          <w:tab w:val="left" w:pos="-720"/>
        </w:tabs>
        <w:suppressAutoHyphens/>
        <w:ind w:left="1440" w:right="1440"/>
        <w:rPr>
          <w:szCs w:val="24"/>
        </w:rPr>
      </w:pPr>
    </w:p>
    <w:p w:rsidR="00EA27BD" w:rsidRDefault="003E6AA7" w:rsidP="00E80DA1">
      <w:pPr>
        <w:tabs>
          <w:tab w:val="left" w:pos="-720"/>
        </w:tabs>
        <w:suppressAutoHyphens/>
        <w:ind w:left="2160" w:right="1440"/>
        <w:rPr>
          <w:szCs w:val="24"/>
        </w:rPr>
      </w:pPr>
      <w:r w:rsidRPr="003E6AA7">
        <w:rPr>
          <w:szCs w:val="24"/>
        </w:rPr>
        <w:t xml:space="preserve">PGW’s written procedures for emergency plans were deficient </w:t>
      </w:r>
      <w:r w:rsidR="00E80DA1">
        <w:rPr>
          <w:szCs w:val="24"/>
        </w:rPr>
        <w:t>in that</w:t>
      </w:r>
      <w:r w:rsidRPr="003E6AA7">
        <w:rPr>
          <w:szCs w:val="24"/>
        </w:rPr>
        <w:t xml:space="preserve"> they </w:t>
      </w:r>
      <w:r w:rsidR="00E80DA1">
        <w:rPr>
          <w:szCs w:val="24"/>
        </w:rPr>
        <w:t>failed to</w:t>
      </w:r>
      <w:r w:rsidRPr="003E6AA7">
        <w:rPr>
          <w:szCs w:val="24"/>
        </w:rPr>
        <w:t xml:space="preserve"> require prompt and effective response by Pressure Force to </w:t>
      </w:r>
      <w:r w:rsidR="00E80DA1">
        <w:rPr>
          <w:szCs w:val="24"/>
        </w:rPr>
        <w:t>an incident of this type</w:t>
      </w:r>
      <w:r w:rsidRPr="003E6AA7">
        <w:rPr>
          <w:szCs w:val="24"/>
        </w:rPr>
        <w:t xml:space="preserve">, resulting in a delay in the operation of the main line valves necessary to reduce pressure in the failed main.  </w:t>
      </w:r>
    </w:p>
    <w:p w:rsidR="00EA27BD" w:rsidRDefault="00EA27BD" w:rsidP="00E80DA1">
      <w:pPr>
        <w:tabs>
          <w:tab w:val="left" w:pos="-720"/>
        </w:tabs>
        <w:suppressAutoHyphens/>
        <w:ind w:left="2160" w:right="1440"/>
        <w:rPr>
          <w:szCs w:val="24"/>
        </w:rPr>
      </w:pPr>
    </w:p>
    <w:p w:rsidR="003E6AA7" w:rsidRPr="003E6AA7" w:rsidRDefault="003E6AA7" w:rsidP="00E80DA1">
      <w:pPr>
        <w:tabs>
          <w:tab w:val="left" w:pos="-720"/>
        </w:tabs>
        <w:suppressAutoHyphens/>
        <w:ind w:left="2160" w:right="1440"/>
        <w:rPr>
          <w:szCs w:val="24"/>
        </w:rPr>
      </w:pPr>
      <w:r w:rsidRPr="003E6AA7">
        <w:rPr>
          <w:szCs w:val="24"/>
        </w:rPr>
        <w:t>This is a violation of 49 CFR §§ 192.615(a)(3)(i) and (a)(6).</w:t>
      </w:r>
    </w:p>
    <w:p w:rsidR="003E6AA7" w:rsidRPr="003E6AA7" w:rsidRDefault="003E6AA7" w:rsidP="003E6AA7">
      <w:pPr>
        <w:pStyle w:val="ListParagraph"/>
        <w:rPr>
          <w:szCs w:val="24"/>
        </w:rPr>
      </w:pPr>
    </w:p>
    <w:p w:rsidR="00EA27BD" w:rsidRDefault="00EA27BD" w:rsidP="00EA27BD">
      <w:pPr>
        <w:tabs>
          <w:tab w:val="left" w:pos="-720"/>
        </w:tabs>
        <w:suppressAutoHyphens/>
        <w:ind w:left="1440" w:right="1440"/>
        <w:rPr>
          <w:szCs w:val="24"/>
        </w:rPr>
      </w:pPr>
      <w:r>
        <w:rPr>
          <w:szCs w:val="24"/>
        </w:rPr>
        <w:t>i.</w:t>
      </w:r>
      <w:r>
        <w:rPr>
          <w:szCs w:val="24"/>
        </w:rPr>
        <w:tab/>
      </w:r>
      <w:r w:rsidR="003E6AA7" w:rsidRPr="00EA27BD">
        <w:rPr>
          <w:szCs w:val="24"/>
          <w:u w:val="single"/>
        </w:rPr>
        <w:t>Counts 25</w:t>
      </w:r>
      <w:r w:rsidRPr="00EA27BD">
        <w:rPr>
          <w:szCs w:val="24"/>
          <w:u w:val="single"/>
        </w:rPr>
        <w:t xml:space="preserve"> and </w:t>
      </w:r>
      <w:r w:rsidR="003E6AA7" w:rsidRPr="00EA27BD">
        <w:rPr>
          <w:szCs w:val="24"/>
          <w:u w:val="single"/>
        </w:rPr>
        <w:t>26</w:t>
      </w:r>
      <w:r w:rsidR="003E6AA7" w:rsidRPr="003E6AA7">
        <w:rPr>
          <w:szCs w:val="24"/>
        </w:rPr>
        <w:t xml:space="preserve"> </w:t>
      </w:r>
    </w:p>
    <w:p w:rsidR="00EA27BD" w:rsidRDefault="00EA27BD" w:rsidP="00EA27BD">
      <w:pPr>
        <w:tabs>
          <w:tab w:val="left" w:pos="-720"/>
        </w:tabs>
        <w:suppressAutoHyphens/>
        <w:ind w:left="1440" w:right="1440"/>
        <w:rPr>
          <w:szCs w:val="24"/>
        </w:rPr>
      </w:pPr>
    </w:p>
    <w:p w:rsidR="00EA27BD" w:rsidRDefault="003E6AA7" w:rsidP="00EA27BD">
      <w:pPr>
        <w:tabs>
          <w:tab w:val="left" w:pos="-720"/>
        </w:tabs>
        <w:suppressAutoHyphens/>
        <w:ind w:left="2160" w:right="1440"/>
        <w:rPr>
          <w:szCs w:val="24"/>
        </w:rPr>
      </w:pPr>
      <w:r w:rsidRPr="003E6AA7">
        <w:rPr>
          <w:szCs w:val="24"/>
        </w:rPr>
        <w:t xml:space="preserve">PGW failed to follow </w:t>
      </w:r>
      <w:r w:rsidR="00EA27BD">
        <w:rPr>
          <w:szCs w:val="24"/>
        </w:rPr>
        <w:t xml:space="preserve">the </w:t>
      </w:r>
      <w:r w:rsidRPr="003E6AA7">
        <w:rPr>
          <w:szCs w:val="24"/>
        </w:rPr>
        <w:t xml:space="preserve">procedures </w:t>
      </w:r>
      <w:r w:rsidR="00EA27BD">
        <w:rPr>
          <w:szCs w:val="24"/>
        </w:rPr>
        <w:t xml:space="preserve">set forth </w:t>
      </w:r>
      <w:r w:rsidRPr="003E6AA7">
        <w:rPr>
          <w:szCs w:val="24"/>
        </w:rPr>
        <w:t xml:space="preserve">in its Foreman’s Handbook when it failed to use shoring, make available or ready for use a fire extinguisher and </w:t>
      </w:r>
      <w:r w:rsidR="00EA27BD">
        <w:rPr>
          <w:szCs w:val="24"/>
        </w:rPr>
        <w:t xml:space="preserve">where </w:t>
      </w:r>
      <w:r w:rsidRPr="003E6AA7">
        <w:rPr>
          <w:szCs w:val="24"/>
        </w:rPr>
        <w:t>an employee d</w:t>
      </w:r>
      <w:r w:rsidR="00EA27BD">
        <w:rPr>
          <w:szCs w:val="24"/>
        </w:rPr>
        <w:t>id not</w:t>
      </w:r>
      <w:r w:rsidRPr="003E6AA7">
        <w:rPr>
          <w:szCs w:val="24"/>
        </w:rPr>
        <w:t xml:space="preserve"> wear a hard hat, all while working in an excavated trench at the southeast corner of Torresdale Avenue and Disston Street.  </w:t>
      </w:r>
    </w:p>
    <w:p w:rsidR="003E6AA7" w:rsidRDefault="003E6AA7" w:rsidP="00EA27BD">
      <w:pPr>
        <w:tabs>
          <w:tab w:val="left" w:pos="-720"/>
        </w:tabs>
        <w:suppressAutoHyphens/>
        <w:ind w:left="2160" w:right="1440"/>
        <w:rPr>
          <w:szCs w:val="24"/>
        </w:rPr>
      </w:pPr>
      <w:r w:rsidRPr="003E6AA7">
        <w:rPr>
          <w:szCs w:val="24"/>
        </w:rPr>
        <w:lastRenderedPageBreak/>
        <w:t>This is a violation of 49 CFR §§ 192.605(a) and (b)(9).</w:t>
      </w:r>
    </w:p>
    <w:p w:rsidR="0086256C" w:rsidRPr="003E6AA7" w:rsidRDefault="0086256C" w:rsidP="00EA27BD">
      <w:pPr>
        <w:tabs>
          <w:tab w:val="left" w:pos="-720"/>
        </w:tabs>
        <w:suppressAutoHyphens/>
        <w:ind w:left="2160" w:right="1440"/>
        <w:rPr>
          <w:szCs w:val="24"/>
        </w:rPr>
      </w:pPr>
    </w:p>
    <w:p w:rsidR="003E6AA7" w:rsidRPr="003E6AA7" w:rsidRDefault="003E6AA7" w:rsidP="003E6AA7">
      <w:pPr>
        <w:pStyle w:val="ListParagraph"/>
        <w:rPr>
          <w:szCs w:val="24"/>
        </w:rPr>
      </w:pPr>
    </w:p>
    <w:p w:rsidR="00EA27BD" w:rsidRDefault="00EA27BD" w:rsidP="00EA27BD">
      <w:pPr>
        <w:tabs>
          <w:tab w:val="left" w:pos="-720"/>
        </w:tabs>
        <w:suppressAutoHyphens/>
        <w:ind w:left="1440" w:right="1440"/>
        <w:rPr>
          <w:szCs w:val="24"/>
        </w:rPr>
      </w:pPr>
      <w:r>
        <w:rPr>
          <w:szCs w:val="24"/>
        </w:rPr>
        <w:t>j.</w:t>
      </w:r>
      <w:r>
        <w:rPr>
          <w:szCs w:val="24"/>
        </w:rPr>
        <w:tab/>
      </w:r>
      <w:r w:rsidR="003E6AA7" w:rsidRPr="00EA27BD">
        <w:rPr>
          <w:szCs w:val="24"/>
          <w:u w:val="single"/>
        </w:rPr>
        <w:t>Counts 27</w:t>
      </w:r>
      <w:r w:rsidRPr="00EA27BD">
        <w:rPr>
          <w:szCs w:val="24"/>
          <w:u w:val="single"/>
        </w:rPr>
        <w:t xml:space="preserve"> through </w:t>
      </w:r>
      <w:r w:rsidR="003E6AA7" w:rsidRPr="00EA27BD">
        <w:rPr>
          <w:szCs w:val="24"/>
          <w:u w:val="single"/>
        </w:rPr>
        <w:t>32</w:t>
      </w:r>
      <w:r w:rsidR="003E6AA7" w:rsidRPr="003E6AA7">
        <w:rPr>
          <w:szCs w:val="24"/>
        </w:rPr>
        <w:t xml:space="preserve"> </w:t>
      </w:r>
    </w:p>
    <w:p w:rsidR="00EA27BD" w:rsidRDefault="00EA27BD" w:rsidP="00EA27BD">
      <w:pPr>
        <w:tabs>
          <w:tab w:val="left" w:pos="-720"/>
        </w:tabs>
        <w:suppressAutoHyphens/>
        <w:ind w:left="1440" w:right="1440"/>
        <w:rPr>
          <w:szCs w:val="24"/>
        </w:rPr>
      </w:pPr>
    </w:p>
    <w:p w:rsidR="00EA27BD" w:rsidRDefault="003E6AA7" w:rsidP="00EA27BD">
      <w:pPr>
        <w:tabs>
          <w:tab w:val="left" w:pos="-720"/>
        </w:tabs>
        <w:suppressAutoHyphens/>
        <w:ind w:left="2160" w:right="1440"/>
        <w:rPr>
          <w:szCs w:val="24"/>
        </w:rPr>
      </w:pPr>
      <w:r w:rsidRPr="003E6AA7">
        <w:rPr>
          <w:szCs w:val="24"/>
        </w:rPr>
        <w:t xml:space="preserve">PGW failed to establish written procedures to minimize the hazard </w:t>
      </w:r>
      <w:r w:rsidR="00EA27BD">
        <w:rPr>
          <w:szCs w:val="24"/>
        </w:rPr>
        <w:t xml:space="preserve">resulting </w:t>
      </w:r>
      <w:r w:rsidRPr="003E6AA7">
        <w:rPr>
          <w:szCs w:val="24"/>
        </w:rPr>
        <w:t xml:space="preserve">from a pipeline emergency and failed to reasonably protect the public from danger </w:t>
      </w:r>
      <w:r w:rsidR="00EA27BD">
        <w:rPr>
          <w:szCs w:val="24"/>
        </w:rPr>
        <w:t>in that</w:t>
      </w:r>
      <w:r w:rsidRPr="003E6AA7">
        <w:rPr>
          <w:szCs w:val="24"/>
        </w:rPr>
        <w:t xml:space="preserve"> PGW Bulletin 212, </w:t>
      </w:r>
      <w:r w:rsidRPr="003E6AA7">
        <w:rPr>
          <w:i/>
          <w:szCs w:val="24"/>
        </w:rPr>
        <w:t xml:space="preserve">Leak Response and Investigation Procedure, </w:t>
      </w:r>
      <w:r w:rsidRPr="003E6AA7">
        <w:rPr>
          <w:szCs w:val="24"/>
        </w:rPr>
        <w:t xml:space="preserve">Section III.B.2, fails to include explicit provisions in the procedures to contact the Company’s electric supplier to shut off electric supply to the affected area during a gas emergency.  </w:t>
      </w:r>
    </w:p>
    <w:p w:rsidR="00EA27BD" w:rsidRDefault="00EA27BD" w:rsidP="00EA27BD">
      <w:pPr>
        <w:tabs>
          <w:tab w:val="left" w:pos="-720"/>
        </w:tabs>
        <w:suppressAutoHyphens/>
        <w:ind w:left="2160" w:right="1440"/>
        <w:rPr>
          <w:szCs w:val="24"/>
        </w:rPr>
      </w:pPr>
    </w:p>
    <w:p w:rsidR="003E6AA7" w:rsidRPr="003E6AA7" w:rsidRDefault="003E6AA7" w:rsidP="00EA27BD">
      <w:pPr>
        <w:tabs>
          <w:tab w:val="left" w:pos="-720"/>
        </w:tabs>
        <w:suppressAutoHyphens/>
        <w:ind w:left="2160" w:right="1440"/>
        <w:rPr>
          <w:szCs w:val="24"/>
        </w:rPr>
      </w:pPr>
      <w:r w:rsidRPr="003E6AA7">
        <w:rPr>
          <w:szCs w:val="24"/>
        </w:rPr>
        <w:t>This is a violation of 49 CFR §§ 192.615(a)(5), (7) and (8), 49 CFR §§ 192.615(c)(3) and (4), and 52 Pa.</w:t>
      </w:r>
      <w:r w:rsidR="00EA27BD">
        <w:rPr>
          <w:szCs w:val="24"/>
        </w:rPr>
        <w:t xml:space="preserve"> </w:t>
      </w:r>
      <w:r w:rsidRPr="003E6AA7">
        <w:rPr>
          <w:szCs w:val="24"/>
        </w:rPr>
        <w:t>Code § 59.33.</w:t>
      </w:r>
    </w:p>
    <w:p w:rsidR="003E6AA7" w:rsidRPr="003E6AA7" w:rsidRDefault="003E6AA7" w:rsidP="003E6AA7">
      <w:pPr>
        <w:pStyle w:val="ListParagraph"/>
        <w:rPr>
          <w:szCs w:val="24"/>
        </w:rPr>
      </w:pPr>
    </w:p>
    <w:p w:rsidR="00D24813" w:rsidRDefault="00D24813" w:rsidP="00D24813">
      <w:pPr>
        <w:tabs>
          <w:tab w:val="left" w:pos="-720"/>
        </w:tabs>
        <w:suppressAutoHyphens/>
        <w:ind w:left="1440" w:right="1440"/>
        <w:rPr>
          <w:szCs w:val="24"/>
        </w:rPr>
      </w:pPr>
      <w:r>
        <w:rPr>
          <w:szCs w:val="24"/>
        </w:rPr>
        <w:t>k.</w:t>
      </w:r>
      <w:r>
        <w:rPr>
          <w:szCs w:val="24"/>
        </w:rPr>
        <w:tab/>
      </w:r>
      <w:r w:rsidR="003E6AA7" w:rsidRPr="00D24813">
        <w:rPr>
          <w:szCs w:val="24"/>
          <w:u w:val="single"/>
        </w:rPr>
        <w:t>Counts 33</w:t>
      </w:r>
      <w:r>
        <w:rPr>
          <w:szCs w:val="24"/>
          <w:u w:val="single"/>
        </w:rPr>
        <w:t xml:space="preserve"> through </w:t>
      </w:r>
      <w:r w:rsidR="003E6AA7" w:rsidRPr="00D24813">
        <w:rPr>
          <w:szCs w:val="24"/>
          <w:u w:val="single"/>
        </w:rPr>
        <w:t>35</w:t>
      </w:r>
      <w:r w:rsidR="003E6AA7" w:rsidRPr="003E6AA7">
        <w:rPr>
          <w:szCs w:val="24"/>
        </w:rPr>
        <w:t xml:space="preserve"> </w:t>
      </w:r>
    </w:p>
    <w:p w:rsidR="00D24813" w:rsidRDefault="00D24813" w:rsidP="00D24813">
      <w:pPr>
        <w:tabs>
          <w:tab w:val="left" w:pos="-720"/>
        </w:tabs>
        <w:suppressAutoHyphens/>
        <w:ind w:left="1440" w:right="1440"/>
        <w:rPr>
          <w:szCs w:val="24"/>
        </w:rPr>
      </w:pPr>
    </w:p>
    <w:p w:rsidR="00D24813" w:rsidRDefault="003E6AA7" w:rsidP="00D24813">
      <w:pPr>
        <w:tabs>
          <w:tab w:val="left" w:pos="-720"/>
        </w:tabs>
        <w:suppressAutoHyphens/>
        <w:ind w:left="2160" w:right="1440"/>
        <w:rPr>
          <w:szCs w:val="24"/>
        </w:rPr>
      </w:pPr>
      <w:r w:rsidRPr="003E6AA7">
        <w:rPr>
          <w:szCs w:val="24"/>
        </w:rPr>
        <w:t xml:space="preserve">PGW’s written procedures for emergency plans are deficient </w:t>
      </w:r>
      <w:r w:rsidR="00D24813">
        <w:rPr>
          <w:szCs w:val="24"/>
        </w:rPr>
        <w:t>in that</w:t>
      </w:r>
      <w:r w:rsidRPr="003E6AA7">
        <w:rPr>
          <w:szCs w:val="24"/>
        </w:rPr>
        <w:t xml:space="preserve"> PGW Bulletin 212, </w:t>
      </w:r>
      <w:r w:rsidRPr="003E6AA7">
        <w:rPr>
          <w:i/>
          <w:szCs w:val="24"/>
        </w:rPr>
        <w:t xml:space="preserve">Leak Response and Investigation Procedure, </w:t>
      </w:r>
      <w:r w:rsidRPr="003E6AA7">
        <w:rPr>
          <w:szCs w:val="24"/>
        </w:rPr>
        <w:t xml:space="preserve">fails to include explicit requirements that PGW employees first detect gas readings at doorways, foundations, windows, or other structure openings prior to entering a building during an outside leak investigation.  </w:t>
      </w:r>
      <w:r w:rsidR="00D24813">
        <w:rPr>
          <w:szCs w:val="24"/>
        </w:rPr>
        <w:t>Moreover, i</w:t>
      </w:r>
      <w:r w:rsidRPr="003E6AA7">
        <w:rPr>
          <w:szCs w:val="24"/>
        </w:rPr>
        <w:t xml:space="preserve">n Section III.B.3 of the evacuation procedure, employees are told to evacuate and ventilate at the same time.  PGW Bulletin 258, </w:t>
      </w:r>
      <w:r w:rsidRPr="003E6AA7">
        <w:rPr>
          <w:i/>
          <w:szCs w:val="24"/>
        </w:rPr>
        <w:t xml:space="preserve">Laminated Reference Card to be Used When Responding to an Emergency, </w:t>
      </w:r>
      <w:r w:rsidRPr="003E6AA7">
        <w:rPr>
          <w:szCs w:val="24"/>
        </w:rPr>
        <w:t xml:space="preserve">does not protect people first because it does not require that evacuation take priority over ventilation.  </w:t>
      </w:r>
    </w:p>
    <w:p w:rsidR="00D24813" w:rsidRDefault="00D24813" w:rsidP="00D24813">
      <w:pPr>
        <w:tabs>
          <w:tab w:val="left" w:pos="-720"/>
        </w:tabs>
        <w:suppressAutoHyphens/>
        <w:ind w:left="2160" w:right="1440"/>
        <w:rPr>
          <w:szCs w:val="24"/>
        </w:rPr>
      </w:pPr>
    </w:p>
    <w:p w:rsidR="003E6AA7" w:rsidRPr="003E6AA7" w:rsidRDefault="003E6AA7" w:rsidP="00D24813">
      <w:pPr>
        <w:tabs>
          <w:tab w:val="left" w:pos="-720"/>
        </w:tabs>
        <w:suppressAutoHyphens/>
        <w:ind w:left="2160" w:right="1440"/>
        <w:rPr>
          <w:szCs w:val="24"/>
        </w:rPr>
      </w:pPr>
      <w:r w:rsidRPr="003E6AA7">
        <w:rPr>
          <w:szCs w:val="24"/>
        </w:rPr>
        <w:t>This is a violation of 49 CFR §§ 192.615(a)(5) and (7) and 52 Pa.</w:t>
      </w:r>
      <w:r w:rsidR="00D24813">
        <w:rPr>
          <w:szCs w:val="24"/>
        </w:rPr>
        <w:t xml:space="preserve"> </w:t>
      </w:r>
      <w:r w:rsidRPr="003E6AA7">
        <w:rPr>
          <w:szCs w:val="24"/>
        </w:rPr>
        <w:t>Code § 59.33.</w:t>
      </w:r>
    </w:p>
    <w:p w:rsidR="003E6AA7" w:rsidRPr="003E6AA7" w:rsidRDefault="003E6AA7" w:rsidP="003E6AA7">
      <w:pPr>
        <w:tabs>
          <w:tab w:val="left" w:pos="-720"/>
        </w:tabs>
        <w:suppressAutoHyphens/>
        <w:ind w:right="1440"/>
        <w:rPr>
          <w:szCs w:val="24"/>
        </w:rPr>
      </w:pPr>
    </w:p>
    <w:p w:rsidR="008F2485" w:rsidRDefault="008F2485" w:rsidP="00FE23DB">
      <w:pPr>
        <w:pageBreakBefore/>
        <w:tabs>
          <w:tab w:val="left" w:pos="-720"/>
        </w:tabs>
        <w:suppressAutoHyphens/>
        <w:ind w:left="1440" w:right="1440"/>
        <w:rPr>
          <w:szCs w:val="24"/>
        </w:rPr>
      </w:pPr>
      <w:r>
        <w:rPr>
          <w:szCs w:val="24"/>
        </w:rPr>
        <w:lastRenderedPageBreak/>
        <w:t>l.</w:t>
      </w:r>
      <w:r>
        <w:rPr>
          <w:szCs w:val="24"/>
        </w:rPr>
        <w:tab/>
      </w:r>
      <w:r w:rsidR="003E6AA7" w:rsidRPr="008F2485">
        <w:rPr>
          <w:szCs w:val="24"/>
          <w:u w:val="single"/>
        </w:rPr>
        <w:t>Counts 36</w:t>
      </w:r>
      <w:r>
        <w:rPr>
          <w:szCs w:val="24"/>
          <w:u w:val="single"/>
        </w:rPr>
        <w:t xml:space="preserve"> and </w:t>
      </w:r>
      <w:r w:rsidR="003E6AA7" w:rsidRPr="008F2485">
        <w:rPr>
          <w:szCs w:val="24"/>
          <w:u w:val="single"/>
        </w:rPr>
        <w:t>37</w:t>
      </w:r>
      <w:r w:rsidR="003E6AA7" w:rsidRPr="003E6AA7">
        <w:rPr>
          <w:szCs w:val="24"/>
        </w:rPr>
        <w:t xml:space="preserve"> </w:t>
      </w:r>
    </w:p>
    <w:p w:rsidR="008F2485" w:rsidRDefault="008F2485" w:rsidP="008F2485">
      <w:pPr>
        <w:tabs>
          <w:tab w:val="left" w:pos="-720"/>
        </w:tabs>
        <w:suppressAutoHyphens/>
        <w:ind w:left="1440" w:right="1440"/>
        <w:rPr>
          <w:szCs w:val="24"/>
        </w:rPr>
      </w:pPr>
    </w:p>
    <w:p w:rsidR="008F2485" w:rsidRDefault="003E6AA7" w:rsidP="008F2485">
      <w:pPr>
        <w:tabs>
          <w:tab w:val="left" w:pos="-720"/>
        </w:tabs>
        <w:suppressAutoHyphens/>
        <w:ind w:left="2160" w:right="1440"/>
        <w:rPr>
          <w:szCs w:val="24"/>
        </w:rPr>
      </w:pPr>
      <w:r w:rsidRPr="003E6AA7">
        <w:rPr>
          <w:szCs w:val="24"/>
        </w:rPr>
        <w:t xml:space="preserve">PGW Bulletin 63, </w:t>
      </w:r>
      <w:r w:rsidRPr="003E6AA7">
        <w:rPr>
          <w:i/>
          <w:szCs w:val="24"/>
        </w:rPr>
        <w:t xml:space="preserve">Notification Procedure of a Potential Emergency Involving a Pressure Operation, </w:t>
      </w:r>
      <w:r w:rsidRPr="003E6AA7">
        <w:rPr>
          <w:szCs w:val="24"/>
        </w:rPr>
        <w:t xml:space="preserve">was deficient </w:t>
      </w:r>
      <w:r w:rsidR="008F2485">
        <w:rPr>
          <w:szCs w:val="24"/>
        </w:rPr>
        <w:t>in that</w:t>
      </w:r>
      <w:r w:rsidRPr="003E6AA7">
        <w:rPr>
          <w:szCs w:val="24"/>
        </w:rPr>
        <w:t xml:space="preserve"> the procedure only require</w:t>
      </w:r>
      <w:r w:rsidR="008F2485">
        <w:rPr>
          <w:szCs w:val="24"/>
        </w:rPr>
        <w:t>s</w:t>
      </w:r>
      <w:r w:rsidRPr="003E6AA7">
        <w:rPr>
          <w:szCs w:val="24"/>
        </w:rPr>
        <w:t xml:space="preserve"> Pressure Force to be notified and dispatched in the event of a leak on a 35 psig or higher main or service.  There was no written procedure for emergency pipeline pressure reduction under 35 psig but greater than inches water column.  </w:t>
      </w:r>
    </w:p>
    <w:p w:rsidR="008F2485" w:rsidRDefault="008F2485" w:rsidP="008F2485">
      <w:pPr>
        <w:tabs>
          <w:tab w:val="left" w:pos="-720"/>
        </w:tabs>
        <w:suppressAutoHyphens/>
        <w:ind w:left="2160" w:right="1440"/>
        <w:rPr>
          <w:szCs w:val="24"/>
        </w:rPr>
      </w:pPr>
    </w:p>
    <w:p w:rsidR="003E6AA7" w:rsidRPr="003E6AA7" w:rsidRDefault="003E6AA7" w:rsidP="008F2485">
      <w:pPr>
        <w:tabs>
          <w:tab w:val="left" w:pos="-720"/>
        </w:tabs>
        <w:suppressAutoHyphens/>
        <w:ind w:left="2160" w:right="1440"/>
        <w:rPr>
          <w:szCs w:val="24"/>
        </w:rPr>
      </w:pPr>
      <w:r w:rsidRPr="003E6AA7">
        <w:rPr>
          <w:szCs w:val="24"/>
        </w:rPr>
        <w:t>This is a violation of 49 CFR §§ 192.615(a)(6) and (a)(7).</w:t>
      </w:r>
    </w:p>
    <w:p w:rsidR="003E6AA7" w:rsidRPr="003E6AA7" w:rsidRDefault="003E6AA7" w:rsidP="003E6AA7">
      <w:pPr>
        <w:pStyle w:val="ListParagraph"/>
        <w:rPr>
          <w:szCs w:val="24"/>
        </w:rPr>
      </w:pPr>
    </w:p>
    <w:p w:rsidR="008F2485" w:rsidRDefault="008F2485" w:rsidP="008F2485">
      <w:pPr>
        <w:tabs>
          <w:tab w:val="left" w:pos="-720"/>
        </w:tabs>
        <w:suppressAutoHyphens/>
        <w:ind w:left="1440" w:right="1440"/>
        <w:rPr>
          <w:szCs w:val="24"/>
        </w:rPr>
      </w:pPr>
      <w:r>
        <w:rPr>
          <w:szCs w:val="24"/>
        </w:rPr>
        <w:t>m.</w:t>
      </w:r>
      <w:r>
        <w:rPr>
          <w:szCs w:val="24"/>
        </w:rPr>
        <w:tab/>
      </w:r>
      <w:r w:rsidR="003E6AA7" w:rsidRPr="008F2485">
        <w:rPr>
          <w:szCs w:val="24"/>
          <w:u w:val="single"/>
        </w:rPr>
        <w:t>Counts 38</w:t>
      </w:r>
      <w:r>
        <w:rPr>
          <w:szCs w:val="24"/>
          <w:u w:val="single"/>
        </w:rPr>
        <w:t xml:space="preserve"> through </w:t>
      </w:r>
      <w:r w:rsidR="003E6AA7" w:rsidRPr="008F2485">
        <w:rPr>
          <w:szCs w:val="24"/>
          <w:u w:val="single"/>
        </w:rPr>
        <w:t>41</w:t>
      </w:r>
      <w:r w:rsidR="003E6AA7" w:rsidRPr="003E6AA7">
        <w:rPr>
          <w:szCs w:val="24"/>
        </w:rPr>
        <w:t xml:space="preserve"> </w:t>
      </w:r>
    </w:p>
    <w:p w:rsidR="008F2485" w:rsidRDefault="008F2485" w:rsidP="008F2485">
      <w:pPr>
        <w:tabs>
          <w:tab w:val="left" w:pos="-720"/>
        </w:tabs>
        <w:suppressAutoHyphens/>
        <w:ind w:left="1440" w:right="1440"/>
        <w:rPr>
          <w:szCs w:val="24"/>
        </w:rPr>
      </w:pPr>
    </w:p>
    <w:p w:rsidR="008F2485" w:rsidRDefault="003E6AA7" w:rsidP="008F2485">
      <w:pPr>
        <w:tabs>
          <w:tab w:val="left" w:pos="-720"/>
        </w:tabs>
        <w:suppressAutoHyphens/>
        <w:ind w:left="2160" w:right="1440"/>
        <w:rPr>
          <w:szCs w:val="24"/>
        </w:rPr>
      </w:pPr>
      <w:r w:rsidRPr="003E6AA7">
        <w:rPr>
          <w:szCs w:val="24"/>
        </w:rPr>
        <w:t xml:space="preserve">PGW failed to adequately protect the public </w:t>
      </w:r>
      <w:r w:rsidR="008F2485">
        <w:rPr>
          <w:szCs w:val="24"/>
        </w:rPr>
        <w:t>in that</w:t>
      </w:r>
      <w:r w:rsidRPr="003E6AA7">
        <w:rPr>
          <w:szCs w:val="24"/>
        </w:rPr>
        <w:t xml:space="preserve"> the Company did not have a written procedure included in its emergency response plan regarding how to recognize a controllable and non-controllable incident and the necessary actions to be taken.  </w:t>
      </w:r>
    </w:p>
    <w:p w:rsidR="008F2485" w:rsidRDefault="008F2485" w:rsidP="008F2485">
      <w:pPr>
        <w:tabs>
          <w:tab w:val="left" w:pos="-720"/>
        </w:tabs>
        <w:suppressAutoHyphens/>
        <w:ind w:left="2160" w:right="1440"/>
        <w:rPr>
          <w:szCs w:val="24"/>
        </w:rPr>
      </w:pPr>
    </w:p>
    <w:p w:rsidR="003E6AA7" w:rsidRPr="003E6AA7" w:rsidRDefault="003E6AA7" w:rsidP="008F2485">
      <w:pPr>
        <w:tabs>
          <w:tab w:val="left" w:pos="-720"/>
        </w:tabs>
        <w:suppressAutoHyphens/>
        <w:ind w:left="2160" w:right="1440"/>
        <w:rPr>
          <w:szCs w:val="24"/>
        </w:rPr>
      </w:pPr>
      <w:r w:rsidRPr="003E6AA7">
        <w:rPr>
          <w:szCs w:val="24"/>
        </w:rPr>
        <w:t>This is a violation of 49 CFR §§ 192.615(a)(1), (3)(i) and (5) and 52 Pa.</w:t>
      </w:r>
      <w:r w:rsidR="008F2485">
        <w:rPr>
          <w:szCs w:val="24"/>
        </w:rPr>
        <w:t xml:space="preserve"> </w:t>
      </w:r>
      <w:r w:rsidRPr="003E6AA7">
        <w:rPr>
          <w:szCs w:val="24"/>
        </w:rPr>
        <w:t>Code § 59.33.</w:t>
      </w:r>
    </w:p>
    <w:p w:rsidR="003E6AA7" w:rsidRPr="003E6AA7" w:rsidRDefault="003E6AA7" w:rsidP="003E6AA7">
      <w:pPr>
        <w:pStyle w:val="ListParagraph"/>
        <w:rPr>
          <w:szCs w:val="24"/>
        </w:rPr>
      </w:pPr>
    </w:p>
    <w:p w:rsidR="008F2485" w:rsidRDefault="008F2485" w:rsidP="008F2485">
      <w:pPr>
        <w:tabs>
          <w:tab w:val="left" w:pos="-720"/>
        </w:tabs>
        <w:suppressAutoHyphens/>
        <w:ind w:left="1440" w:right="1440"/>
        <w:rPr>
          <w:szCs w:val="24"/>
        </w:rPr>
      </w:pPr>
      <w:r>
        <w:rPr>
          <w:szCs w:val="24"/>
        </w:rPr>
        <w:t>n.</w:t>
      </w:r>
      <w:r>
        <w:rPr>
          <w:szCs w:val="24"/>
        </w:rPr>
        <w:tab/>
      </w:r>
      <w:r w:rsidR="003E6AA7" w:rsidRPr="008F2485">
        <w:rPr>
          <w:szCs w:val="24"/>
          <w:u w:val="single"/>
        </w:rPr>
        <w:t>Count 42</w:t>
      </w:r>
      <w:r w:rsidR="003E6AA7" w:rsidRPr="003E6AA7">
        <w:rPr>
          <w:szCs w:val="24"/>
        </w:rPr>
        <w:t xml:space="preserve"> </w:t>
      </w:r>
    </w:p>
    <w:p w:rsidR="008F2485" w:rsidRDefault="008F2485" w:rsidP="008F2485">
      <w:pPr>
        <w:tabs>
          <w:tab w:val="left" w:pos="-720"/>
        </w:tabs>
        <w:suppressAutoHyphens/>
        <w:ind w:left="1440" w:right="1440"/>
        <w:rPr>
          <w:szCs w:val="24"/>
        </w:rPr>
      </w:pPr>
    </w:p>
    <w:p w:rsidR="008F2485" w:rsidRDefault="003E6AA7" w:rsidP="008F2485">
      <w:pPr>
        <w:tabs>
          <w:tab w:val="left" w:pos="-720"/>
        </w:tabs>
        <w:suppressAutoHyphens/>
        <w:ind w:left="2160" w:right="1440"/>
        <w:rPr>
          <w:szCs w:val="24"/>
        </w:rPr>
      </w:pPr>
      <w:r w:rsidRPr="003E6AA7">
        <w:rPr>
          <w:szCs w:val="24"/>
        </w:rPr>
        <w:t>PGW did not have a written procedure t</w:t>
      </w:r>
      <w:r w:rsidR="008F2485">
        <w:rPr>
          <w:szCs w:val="24"/>
        </w:rPr>
        <w:t>o</w:t>
      </w:r>
      <w:r w:rsidRPr="003E6AA7">
        <w:rPr>
          <w:szCs w:val="24"/>
        </w:rPr>
        <w:t xml:space="preserve"> require a PGW liaison to maintain constant communication with the Commission Gas Safety Inspectors on site during a reportable incident investigation.  </w:t>
      </w:r>
    </w:p>
    <w:p w:rsidR="008F2485" w:rsidRDefault="008F2485" w:rsidP="008F2485">
      <w:pPr>
        <w:tabs>
          <w:tab w:val="left" w:pos="-720"/>
        </w:tabs>
        <w:suppressAutoHyphens/>
        <w:ind w:left="2160" w:right="1440"/>
        <w:rPr>
          <w:szCs w:val="24"/>
        </w:rPr>
      </w:pPr>
    </w:p>
    <w:p w:rsidR="003E6AA7" w:rsidRPr="003E6AA7" w:rsidRDefault="003E6AA7" w:rsidP="008F2485">
      <w:pPr>
        <w:tabs>
          <w:tab w:val="left" w:pos="-720"/>
        </w:tabs>
        <w:suppressAutoHyphens/>
        <w:ind w:left="2160" w:right="1440"/>
        <w:rPr>
          <w:szCs w:val="24"/>
        </w:rPr>
      </w:pPr>
      <w:r w:rsidRPr="003E6AA7">
        <w:rPr>
          <w:szCs w:val="24"/>
        </w:rPr>
        <w:t>This is a violation of 49 CFR § 192.615(a)(2).</w:t>
      </w:r>
    </w:p>
    <w:p w:rsidR="003E6AA7" w:rsidRPr="003E6AA7" w:rsidRDefault="003E6AA7" w:rsidP="003E6AA7">
      <w:pPr>
        <w:pStyle w:val="ListParagraph"/>
        <w:rPr>
          <w:szCs w:val="24"/>
        </w:rPr>
      </w:pPr>
    </w:p>
    <w:p w:rsidR="0019167B" w:rsidRDefault="0019167B" w:rsidP="0019167B">
      <w:pPr>
        <w:tabs>
          <w:tab w:val="left" w:pos="-720"/>
        </w:tabs>
        <w:suppressAutoHyphens/>
        <w:ind w:left="1440" w:right="1440"/>
        <w:rPr>
          <w:szCs w:val="24"/>
        </w:rPr>
      </w:pPr>
      <w:r>
        <w:rPr>
          <w:szCs w:val="24"/>
        </w:rPr>
        <w:t>o.</w:t>
      </w:r>
      <w:r>
        <w:rPr>
          <w:szCs w:val="24"/>
        </w:rPr>
        <w:tab/>
      </w:r>
      <w:r w:rsidR="003E6AA7" w:rsidRPr="0019167B">
        <w:rPr>
          <w:szCs w:val="24"/>
          <w:u w:val="single"/>
        </w:rPr>
        <w:t>Counts 43</w:t>
      </w:r>
      <w:r>
        <w:rPr>
          <w:szCs w:val="24"/>
          <w:u w:val="single"/>
        </w:rPr>
        <w:t xml:space="preserve"> and </w:t>
      </w:r>
      <w:r w:rsidR="003E6AA7" w:rsidRPr="0019167B">
        <w:rPr>
          <w:szCs w:val="24"/>
          <w:u w:val="single"/>
        </w:rPr>
        <w:t>44</w:t>
      </w:r>
      <w:r w:rsidR="003E6AA7" w:rsidRPr="003E6AA7">
        <w:rPr>
          <w:szCs w:val="24"/>
        </w:rPr>
        <w:t xml:space="preserve"> </w:t>
      </w:r>
    </w:p>
    <w:p w:rsidR="0019167B" w:rsidRDefault="0019167B" w:rsidP="0019167B">
      <w:pPr>
        <w:tabs>
          <w:tab w:val="left" w:pos="-720"/>
        </w:tabs>
        <w:suppressAutoHyphens/>
        <w:ind w:left="1440" w:right="1440"/>
        <w:rPr>
          <w:szCs w:val="24"/>
        </w:rPr>
      </w:pPr>
    </w:p>
    <w:p w:rsidR="0019167B" w:rsidRDefault="003E6AA7" w:rsidP="0019167B">
      <w:pPr>
        <w:tabs>
          <w:tab w:val="left" w:pos="-720"/>
        </w:tabs>
        <w:suppressAutoHyphens/>
        <w:ind w:left="2160" w:right="1440"/>
        <w:rPr>
          <w:szCs w:val="24"/>
        </w:rPr>
      </w:pPr>
      <w:r w:rsidRPr="003E6AA7">
        <w:rPr>
          <w:szCs w:val="24"/>
        </w:rPr>
        <w:t xml:space="preserve">PGW failed to adequately protect its employees and the general public </w:t>
      </w:r>
      <w:r w:rsidR="0019167B">
        <w:rPr>
          <w:szCs w:val="24"/>
        </w:rPr>
        <w:t>in that</w:t>
      </w:r>
      <w:r w:rsidRPr="003E6AA7">
        <w:rPr>
          <w:szCs w:val="24"/>
        </w:rPr>
        <w:t xml:space="preserve"> the Company did not have a written procedure to establish a safety perimeter for leak investigations and emergency response.  </w:t>
      </w:r>
    </w:p>
    <w:p w:rsidR="0019167B" w:rsidRDefault="0019167B" w:rsidP="0019167B">
      <w:pPr>
        <w:tabs>
          <w:tab w:val="left" w:pos="-720"/>
        </w:tabs>
        <w:suppressAutoHyphens/>
        <w:ind w:left="2160" w:right="1440"/>
        <w:rPr>
          <w:szCs w:val="24"/>
        </w:rPr>
      </w:pPr>
    </w:p>
    <w:p w:rsidR="003E6AA7" w:rsidRPr="003E6AA7" w:rsidRDefault="003E6AA7" w:rsidP="0019167B">
      <w:pPr>
        <w:tabs>
          <w:tab w:val="left" w:pos="-720"/>
        </w:tabs>
        <w:suppressAutoHyphens/>
        <w:ind w:left="2160" w:right="1440"/>
        <w:rPr>
          <w:szCs w:val="24"/>
        </w:rPr>
      </w:pPr>
      <w:r w:rsidRPr="003E6AA7">
        <w:rPr>
          <w:szCs w:val="24"/>
        </w:rPr>
        <w:t>This is a violation of 49 CFR § 192.615(a)(5) and 52 Pa.</w:t>
      </w:r>
      <w:r w:rsidR="0019167B">
        <w:rPr>
          <w:szCs w:val="24"/>
        </w:rPr>
        <w:t xml:space="preserve"> </w:t>
      </w:r>
      <w:r w:rsidRPr="003E6AA7">
        <w:rPr>
          <w:szCs w:val="24"/>
        </w:rPr>
        <w:t>Code § 59.33.</w:t>
      </w:r>
    </w:p>
    <w:p w:rsidR="0019167B" w:rsidRDefault="0019167B" w:rsidP="0019167B">
      <w:pPr>
        <w:tabs>
          <w:tab w:val="left" w:pos="-720"/>
        </w:tabs>
        <w:suppressAutoHyphens/>
        <w:ind w:left="1440" w:right="1440"/>
        <w:rPr>
          <w:szCs w:val="24"/>
        </w:rPr>
      </w:pPr>
      <w:r>
        <w:rPr>
          <w:szCs w:val="24"/>
        </w:rPr>
        <w:lastRenderedPageBreak/>
        <w:t>p.</w:t>
      </w:r>
      <w:r>
        <w:rPr>
          <w:szCs w:val="24"/>
        </w:rPr>
        <w:tab/>
      </w:r>
      <w:r w:rsidR="003E6AA7" w:rsidRPr="0019167B">
        <w:rPr>
          <w:szCs w:val="24"/>
          <w:u w:val="single"/>
        </w:rPr>
        <w:t>Counts 45</w:t>
      </w:r>
      <w:r>
        <w:rPr>
          <w:szCs w:val="24"/>
          <w:u w:val="single"/>
        </w:rPr>
        <w:t xml:space="preserve"> and </w:t>
      </w:r>
      <w:r w:rsidR="003E6AA7" w:rsidRPr="0019167B">
        <w:rPr>
          <w:szCs w:val="24"/>
          <w:u w:val="single"/>
        </w:rPr>
        <w:t>46</w:t>
      </w:r>
      <w:r w:rsidR="003E6AA7" w:rsidRPr="003E6AA7">
        <w:rPr>
          <w:szCs w:val="24"/>
        </w:rPr>
        <w:t xml:space="preserve"> </w:t>
      </w:r>
    </w:p>
    <w:p w:rsidR="0019167B" w:rsidRDefault="0019167B" w:rsidP="0019167B">
      <w:pPr>
        <w:tabs>
          <w:tab w:val="left" w:pos="-720"/>
        </w:tabs>
        <w:suppressAutoHyphens/>
        <w:ind w:left="1440" w:right="1440"/>
        <w:rPr>
          <w:szCs w:val="24"/>
        </w:rPr>
      </w:pPr>
    </w:p>
    <w:p w:rsidR="0019167B" w:rsidRDefault="003E6AA7" w:rsidP="0019167B">
      <w:pPr>
        <w:tabs>
          <w:tab w:val="left" w:pos="-720"/>
        </w:tabs>
        <w:suppressAutoHyphens/>
        <w:ind w:left="2160" w:right="1440"/>
        <w:rPr>
          <w:szCs w:val="24"/>
        </w:rPr>
      </w:pPr>
      <w:r w:rsidRPr="003E6AA7">
        <w:rPr>
          <w:szCs w:val="24"/>
        </w:rPr>
        <w:t xml:space="preserve">PGW failed to adequately protect the public </w:t>
      </w:r>
      <w:r w:rsidR="0019167B">
        <w:rPr>
          <w:szCs w:val="24"/>
        </w:rPr>
        <w:t>in that</w:t>
      </w:r>
      <w:r w:rsidRPr="003E6AA7">
        <w:rPr>
          <w:szCs w:val="24"/>
        </w:rPr>
        <w:t xml:space="preserve"> the Company did not have a written procedure t</w:t>
      </w:r>
      <w:r w:rsidR="0019167B">
        <w:rPr>
          <w:szCs w:val="24"/>
        </w:rPr>
        <w:t>hat</w:t>
      </w:r>
      <w:r w:rsidRPr="003E6AA7">
        <w:rPr>
          <w:szCs w:val="24"/>
        </w:rPr>
        <w:t xml:space="preserve"> establish</w:t>
      </w:r>
      <w:r w:rsidR="0019167B">
        <w:rPr>
          <w:szCs w:val="24"/>
        </w:rPr>
        <w:t>es</w:t>
      </w:r>
      <w:r w:rsidRPr="003E6AA7">
        <w:rPr>
          <w:szCs w:val="24"/>
        </w:rPr>
        <w:t xml:space="preserve"> </w:t>
      </w:r>
      <w:r w:rsidR="0019167B">
        <w:rPr>
          <w:szCs w:val="24"/>
        </w:rPr>
        <w:t xml:space="preserve">a </w:t>
      </w:r>
      <w:r w:rsidRPr="003E6AA7">
        <w:rPr>
          <w:szCs w:val="24"/>
        </w:rPr>
        <w:t xml:space="preserve">minimum training criteria and operator qualification for work crew members that respond to emergency situations.  </w:t>
      </w:r>
    </w:p>
    <w:p w:rsidR="003E6AA7" w:rsidRPr="003E6AA7" w:rsidRDefault="003E6AA7" w:rsidP="0019167B">
      <w:pPr>
        <w:tabs>
          <w:tab w:val="left" w:pos="-720"/>
        </w:tabs>
        <w:suppressAutoHyphens/>
        <w:ind w:left="2160" w:right="1440"/>
        <w:rPr>
          <w:szCs w:val="24"/>
        </w:rPr>
      </w:pPr>
      <w:r w:rsidRPr="003E6AA7">
        <w:rPr>
          <w:szCs w:val="24"/>
        </w:rPr>
        <w:t>This is a violation of 49 CFR § 192.615(b)(2) and 52 Pa.</w:t>
      </w:r>
      <w:r w:rsidR="0019167B">
        <w:rPr>
          <w:szCs w:val="24"/>
        </w:rPr>
        <w:t xml:space="preserve"> </w:t>
      </w:r>
      <w:r w:rsidRPr="003E6AA7">
        <w:rPr>
          <w:szCs w:val="24"/>
        </w:rPr>
        <w:t>Code § 59.33.</w:t>
      </w:r>
    </w:p>
    <w:p w:rsidR="003E6AA7" w:rsidRPr="003E6AA7" w:rsidRDefault="003E6AA7" w:rsidP="003E6AA7">
      <w:pPr>
        <w:pStyle w:val="ListParagraph"/>
        <w:rPr>
          <w:szCs w:val="24"/>
        </w:rPr>
      </w:pPr>
    </w:p>
    <w:p w:rsidR="00D247F5" w:rsidRDefault="00D247F5" w:rsidP="00D247F5">
      <w:pPr>
        <w:tabs>
          <w:tab w:val="left" w:pos="-720"/>
        </w:tabs>
        <w:suppressAutoHyphens/>
        <w:ind w:left="1440" w:right="1440"/>
        <w:rPr>
          <w:szCs w:val="24"/>
        </w:rPr>
      </w:pPr>
      <w:r>
        <w:rPr>
          <w:szCs w:val="24"/>
        </w:rPr>
        <w:t>q.</w:t>
      </w:r>
      <w:r>
        <w:rPr>
          <w:szCs w:val="24"/>
        </w:rPr>
        <w:tab/>
      </w:r>
      <w:r w:rsidR="003E6AA7" w:rsidRPr="00D247F5">
        <w:rPr>
          <w:szCs w:val="24"/>
          <w:u w:val="single"/>
        </w:rPr>
        <w:t>Counts 47</w:t>
      </w:r>
      <w:r>
        <w:rPr>
          <w:szCs w:val="24"/>
          <w:u w:val="single"/>
        </w:rPr>
        <w:t xml:space="preserve"> and </w:t>
      </w:r>
      <w:r w:rsidR="003E6AA7" w:rsidRPr="00D247F5">
        <w:rPr>
          <w:szCs w:val="24"/>
          <w:u w:val="single"/>
        </w:rPr>
        <w:t>48</w:t>
      </w:r>
      <w:r w:rsidR="003E6AA7" w:rsidRPr="003E6AA7">
        <w:rPr>
          <w:szCs w:val="24"/>
        </w:rPr>
        <w:t xml:space="preserve"> </w:t>
      </w:r>
    </w:p>
    <w:p w:rsidR="00D247F5" w:rsidRDefault="00D247F5" w:rsidP="00D247F5">
      <w:pPr>
        <w:tabs>
          <w:tab w:val="left" w:pos="-720"/>
        </w:tabs>
        <w:suppressAutoHyphens/>
        <w:ind w:left="1440" w:right="1440"/>
        <w:rPr>
          <w:szCs w:val="24"/>
        </w:rPr>
      </w:pPr>
    </w:p>
    <w:p w:rsidR="00505B87" w:rsidRDefault="003E6AA7" w:rsidP="00D247F5">
      <w:pPr>
        <w:tabs>
          <w:tab w:val="left" w:pos="-720"/>
        </w:tabs>
        <w:suppressAutoHyphens/>
        <w:ind w:left="2160" w:right="1440"/>
        <w:rPr>
          <w:szCs w:val="24"/>
        </w:rPr>
      </w:pPr>
      <w:r w:rsidRPr="003E6AA7">
        <w:rPr>
          <w:szCs w:val="24"/>
        </w:rPr>
        <w:t xml:space="preserve">PGW failed to maintain valve inspection reports and/or records for Valve No. 788 for calendar years 2007 and 2008.  </w:t>
      </w:r>
    </w:p>
    <w:p w:rsidR="00505B87" w:rsidRDefault="00505B87" w:rsidP="00D247F5">
      <w:pPr>
        <w:tabs>
          <w:tab w:val="left" w:pos="-720"/>
        </w:tabs>
        <w:suppressAutoHyphens/>
        <w:ind w:left="2160" w:right="1440"/>
        <w:rPr>
          <w:szCs w:val="24"/>
        </w:rPr>
      </w:pPr>
    </w:p>
    <w:p w:rsidR="003E6AA7" w:rsidRPr="003E6AA7" w:rsidRDefault="003E6AA7" w:rsidP="00505B87">
      <w:pPr>
        <w:tabs>
          <w:tab w:val="left" w:pos="-720"/>
        </w:tabs>
        <w:suppressAutoHyphens/>
        <w:ind w:left="2160" w:right="1440"/>
        <w:rPr>
          <w:szCs w:val="24"/>
        </w:rPr>
      </w:pPr>
      <w:r w:rsidRPr="003E6AA7">
        <w:rPr>
          <w:szCs w:val="24"/>
        </w:rPr>
        <w:t>This is a multiple violation of 49 CFR § 192.603(b).</w:t>
      </w:r>
    </w:p>
    <w:p w:rsidR="003E6AA7" w:rsidRPr="003E6AA7" w:rsidRDefault="003E6AA7" w:rsidP="003E6AA7">
      <w:pPr>
        <w:pStyle w:val="ListParagraph"/>
        <w:rPr>
          <w:szCs w:val="24"/>
        </w:rPr>
      </w:pPr>
    </w:p>
    <w:p w:rsidR="00505B87" w:rsidRDefault="00505B87" w:rsidP="00505B87">
      <w:pPr>
        <w:tabs>
          <w:tab w:val="left" w:pos="-720"/>
        </w:tabs>
        <w:suppressAutoHyphens/>
        <w:ind w:left="1440" w:right="1440"/>
        <w:rPr>
          <w:szCs w:val="24"/>
        </w:rPr>
      </w:pPr>
      <w:r>
        <w:rPr>
          <w:szCs w:val="24"/>
        </w:rPr>
        <w:t>r.</w:t>
      </w:r>
      <w:r>
        <w:rPr>
          <w:szCs w:val="24"/>
        </w:rPr>
        <w:tab/>
      </w:r>
      <w:r w:rsidR="003E6AA7" w:rsidRPr="00505B87">
        <w:rPr>
          <w:szCs w:val="24"/>
          <w:u w:val="single"/>
        </w:rPr>
        <w:t>Counts 49</w:t>
      </w:r>
      <w:r w:rsidRPr="00505B87">
        <w:rPr>
          <w:szCs w:val="24"/>
          <w:u w:val="single"/>
        </w:rPr>
        <w:t xml:space="preserve"> and </w:t>
      </w:r>
      <w:r w:rsidR="003E6AA7" w:rsidRPr="00505B87">
        <w:rPr>
          <w:szCs w:val="24"/>
          <w:u w:val="single"/>
        </w:rPr>
        <w:t>50</w:t>
      </w:r>
      <w:r w:rsidR="003E6AA7" w:rsidRPr="003E6AA7">
        <w:rPr>
          <w:szCs w:val="24"/>
        </w:rPr>
        <w:t xml:space="preserve"> </w:t>
      </w:r>
    </w:p>
    <w:p w:rsidR="00505B87" w:rsidRDefault="00505B87" w:rsidP="00505B87">
      <w:pPr>
        <w:tabs>
          <w:tab w:val="left" w:pos="-720"/>
        </w:tabs>
        <w:suppressAutoHyphens/>
        <w:ind w:left="1440" w:right="1440"/>
        <w:rPr>
          <w:szCs w:val="24"/>
        </w:rPr>
      </w:pPr>
    </w:p>
    <w:p w:rsidR="00505B87" w:rsidRDefault="003E6AA7" w:rsidP="00505B87">
      <w:pPr>
        <w:tabs>
          <w:tab w:val="left" w:pos="-720"/>
        </w:tabs>
        <w:suppressAutoHyphens/>
        <w:ind w:left="2160" w:right="1440"/>
        <w:rPr>
          <w:szCs w:val="24"/>
        </w:rPr>
      </w:pPr>
      <w:r w:rsidRPr="003E6AA7">
        <w:rPr>
          <w:szCs w:val="24"/>
        </w:rPr>
        <w:t>PGW failed to prepare and/or follow written maintenance procedures for remediation of Valve No. 788 when th</w:t>
      </w:r>
      <w:r w:rsidR="00505B87">
        <w:rPr>
          <w:szCs w:val="24"/>
        </w:rPr>
        <w:t>at</w:t>
      </w:r>
      <w:r w:rsidRPr="003E6AA7">
        <w:rPr>
          <w:szCs w:val="24"/>
        </w:rPr>
        <w:t xml:space="preserve"> valve was found to be inoperable upon inspection by the Company on July 30, 2010, and February 25, 2011.  </w:t>
      </w:r>
    </w:p>
    <w:p w:rsidR="00505B87" w:rsidRDefault="00505B87" w:rsidP="00505B87">
      <w:pPr>
        <w:tabs>
          <w:tab w:val="left" w:pos="-720"/>
        </w:tabs>
        <w:suppressAutoHyphens/>
        <w:ind w:left="2160" w:right="1440"/>
        <w:rPr>
          <w:szCs w:val="24"/>
        </w:rPr>
      </w:pPr>
    </w:p>
    <w:p w:rsidR="003E6AA7" w:rsidRPr="003E6AA7" w:rsidRDefault="003E6AA7" w:rsidP="00505B87">
      <w:pPr>
        <w:tabs>
          <w:tab w:val="left" w:pos="-720"/>
        </w:tabs>
        <w:suppressAutoHyphens/>
        <w:ind w:left="2160" w:right="1440"/>
        <w:rPr>
          <w:szCs w:val="24"/>
        </w:rPr>
      </w:pPr>
      <w:r w:rsidRPr="003E6AA7">
        <w:rPr>
          <w:szCs w:val="24"/>
        </w:rPr>
        <w:t>This is a multiple violation of 49 CFR § 192.605(b)(1).</w:t>
      </w:r>
    </w:p>
    <w:p w:rsidR="003E6AA7" w:rsidRPr="003E6AA7" w:rsidRDefault="003E6AA7" w:rsidP="003E6AA7">
      <w:pPr>
        <w:pStyle w:val="ListParagraph"/>
        <w:rPr>
          <w:szCs w:val="24"/>
        </w:rPr>
      </w:pPr>
    </w:p>
    <w:p w:rsidR="00284EFA" w:rsidRDefault="00284EFA" w:rsidP="00284EFA">
      <w:pPr>
        <w:tabs>
          <w:tab w:val="left" w:pos="-720"/>
        </w:tabs>
        <w:suppressAutoHyphens/>
        <w:ind w:left="1440" w:right="1440"/>
        <w:rPr>
          <w:szCs w:val="24"/>
        </w:rPr>
      </w:pPr>
      <w:r>
        <w:rPr>
          <w:szCs w:val="24"/>
        </w:rPr>
        <w:t>s.</w:t>
      </w:r>
      <w:r>
        <w:rPr>
          <w:szCs w:val="24"/>
        </w:rPr>
        <w:tab/>
      </w:r>
      <w:r w:rsidR="003E6AA7" w:rsidRPr="00284EFA">
        <w:rPr>
          <w:szCs w:val="24"/>
          <w:u w:val="single"/>
        </w:rPr>
        <w:t>Counts 51</w:t>
      </w:r>
      <w:r>
        <w:rPr>
          <w:szCs w:val="24"/>
          <w:u w:val="single"/>
        </w:rPr>
        <w:t xml:space="preserve"> and </w:t>
      </w:r>
      <w:r w:rsidR="003E6AA7" w:rsidRPr="00284EFA">
        <w:rPr>
          <w:szCs w:val="24"/>
          <w:u w:val="single"/>
        </w:rPr>
        <w:t>52</w:t>
      </w:r>
      <w:r w:rsidR="003E6AA7" w:rsidRPr="003E6AA7">
        <w:rPr>
          <w:szCs w:val="24"/>
        </w:rPr>
        <w:t xml:space="preserve"> </w:t>
      </w:r>
    </w:p>
    <w:p w:rsidR="00284EFA" w:rsidRDefault="00284EFA" w:rsidP="00284EFA">
      <w:pPr>
        <w:tabs>
          <w:tab w:val="left" w:pos="-720"/>
        </w:tabs>
        <w:suppressAutoHyphens/>
        <w:ind w:left="1440" w:right="1440"/>
        <w:rPr>
          <w:szCs w:val="24"/>
        </w:rPr>
      </w:pPr>
    </w:p>
    <w:p w:rsidR="00284EFA" w:rsidRDefault="003E6AA7" w:rsidP="00284EFA">
      <w:pPr>
        <w:tabs>
          <w:tab w:val="left" w:pos="-720"/>
        </w:tabs>
        <w:suppressAutoHyphens/>
        <w:ind w:left="2160" w:right="1440"/>
        <w:rPr>
          <w:szCs w:val="24"/>
        </w:rPr>
      </w:pPr>
      <w:r w:rsidRPr="003E6AA7">
        <w:rPr>
          <w:szCs w:val="24"/>
        </w:rPr>
        <w:t>PGW failed to service Valve No. 788 at least once each calendar year when that valve was found to be inoperable upon in</w:t>
      </w:r>
      <w:r w:rsidR="005E7F70">
        <w:rPr>
          <w:szCs w:val="24"/>
        </w:rPr>
        <w:t>spection by the Company on July </w:t>
      </w:r>
      <w:r w:rsidRPr="003E6AA7">
        <w:rPr>
          <w:szCs w:val="24"/>
        </w:rPr>
        <w:t xml:space="preserve">30, 2010 and February 25, 2011.  </w:t>
      </w:r>
    </w:p>
    <w:p w:rsidR="00284EFA" w:rsidRDefault="00284EFA" w:rsidP="00284EFA">
      <w:pPr>
        <w:tabs>
          <w:tab w:val="left" w:pos="-720"/>
        </w:tabs>
        <w:suppressAutoHyphens/>
        <w:ind w:left="2160" w:right="1440"/>
        <w:rPr>
          <w:szCs w:val="24"/>
        </w:rPr>
      </w:pPr>
    </w:p>
    <w:p w:rsidR="003E6AA7" w:rsidRPr="003E6AA7" w:rsidRDefault="003E6AA7" w:rsidP="00284EFA">
      <w:pPr>
        <w:tabs>
          <w:tab w:val="left" w:pos="-720"/>
        </w:tabs>
        <w:suppressAutoHyphens/>
        <w:ind w:left="2160" w:right="1440"/>
        <w:rPr>
          <w:szCs w:val="24"/>
        </w:rPr>
      </w:pPr>
      <w:r w:rsidRPr="003E6AA7">
        <w:rPr>
          <w:szCs w:val="24"/>
        </w:rPr>
        <w:t>This is a multiple violation of 49 CFR § 192.747(a).</w:t>
      </w:r>
    </w:p>
    <w:p w:rsidR="003E6AA7" w:rsidRPr="003E6AA7" w:rsidRDefault="003E6AA7" w:rsidP="003E6AA7">
      <w:pPr>
        <w:pStyle w:val="ListParagraph"/>
        <w:rPr>
          <w:szCs w:val="24"/>
        </w:rPr>
      </w:pPr>
    </w:p>
    <w:p w:rsidR="00284EFA" w:rsidRDefault="00284EFA" w:rsidP="00284EFA">
      <w:pPr>
        <w:tabs>
          <w:tab w:val="left" w:pos="-720"/>
        </w:tabs>
        <w:suppressAutoHyphens/>
        <w:ind w:left="1440" w:right="1440"/>
        <w:rPr>
          <w:szCs w:val="24"/>
        </w:rPr>
      </w:pPr>
      <w:r>
        <w:rPr>
          <w:szCs w:val="24"/>
        </w:rPr>
        <w:t>t.</w:t>
      </w:r>
      <w:r>
        <w:rPr>
          <w:szCs w:val="24"/>
        </w:rPr>
        <w:tab/>
      </w:r>
      <w:r w:rsidR="003E6AA7" w:rsidRPr="00284EFA">
        <w:rPr>
          <w:szCs w:val="24"/>
          <w:u w:val="single"/>
        </w:rPr>
        <w:t>Counts 53</w:t>
      </w:r>
      <w:r w:rsidRPr="00284EFA">
        <w:rPr>
          <w:szCs w:val="24"/>
          <w:u w:val="single"/>
        </w:rPr>
        <w:t xml:space="preserve"> through </w:t>
      </w:r>
      <w:r w:rsidR="003E6AA7" w:rsidRPr="00284EFA">
        <w:rPr>
          <w:szCs w:val="24"/>
          <w:u w:val="single"/>
        </w:rPr>
        <w:t>224</w:t>
      </w:r>
      <w:r w:rsidR="003E6AA7" w:rsidRPr="003E6AA7">
        <w:rPr>
          <w:szCs w:val="24"/>
        </w:rPr>
        <w:t xml:space="preserve"> </w:t>
      </w:r>
    </w:p>
    <w:p w:rsidR="00284EFA" w:rsidRDefault="00284EFA" w:rsidP="00284EFA">
      <w:pPr>
        <w:tabs>
          <w:tab w:val="left" w:pos="-720"/>
        </w:tabs>
        <w:suppressAutoHyphens/>
        <w:ind w:left="1440" w:right="1440"/>
        <w:rPr>
          <w:szCs w:val="24"/>
        </w:rPr>
      </w:pPr>
    </w:p>
    <w:p w:rsidR="00284EFA" w:rsidRDefault="003E6AA7" w:rsidP="00284EFA">
      <w:pPr>
        <w:tabs>
          <w:tab w:val="left" w:pos="-720"/>
        </w:tabs>
        <w:suppressAutoHyphens/>
        <w:ind w:left="2160" w:right="1440"/>
        <w:rPr>
          <w:szCs w:val="24"/>
        </w:rPr>
      </w:pPr>
      <w:r w:rsidRPr="003E6AA7">
        <w:rPr>
          <w:szCs w:val="24"/>
        </w:rPr>
        <w:t xml:space="preserve">PGW failed to take prompt remedial action to correct Valve No. 788 or to designate an alternative valve when that valve was found to be inoperable upon inspection by the Company on July 30, 2010, and </w:t>
      </w:r>
      <w:r w:rsidRPr="003E6AA7">
        <w:rPr>
          <w:szCs w:val="24"/>
        </w:rPr>
        <w:lastRenderedPageBreak/>
        <w:t>continued to be inoperable for 172 days up to and including the day of the explosion, January 18, 2011, and beyond</w:t>
      </w:r>
      <w:r w:rsidR="00284EFA">
        <w:rPr>
          <w:szCs w:val="24"/>
        </w:rPr>
        <w:t>;</w:t>
      </w:r>
      <w:r w:rsidRPr="003E6AA7">
        <w:rPr>
          <w:szCs w:val="24"/>
        </w:rPr>
        <w:t xml:space="preserve"> </w:t>
      </w:r>
      <w:r w:rsidR="00284EFA">
        <w:rPr>
          <w:szCs w:val="24"/>
        </w:rPr>
        <w:t>e</w:t>
      </w:r>
      <w:r w:rsidRPr="003E6AA7">
        <w:rPr>
          <w:szCs w:val="24"/>
        </w:rPr>
        <w:t>ach day consist</w:t>
      </w:r>
      <w:r w:rsidR="00284EFA">
        <w:rPr>
          <w:szCs w:val="24"/>
        </w:rPr>
        <w:t>ing</w:t>
      </w:r>
      <w:r w:rsidRPr="003E6AA7">
        <w:rPr>
          <w:szCs w:val="24"/>
        </w:rPr>
        <w:t xml:space="preserve"> of a separate violation</w:t>
      </w:r>
      <w:r w:rsidR="00284EFA">
        <w:rPr>
          <w:szCs w:val="24"/>
        </w:rPr>
        <w:t xml:space="preserve"> herein</w:t>
      </w:r>
      <w:r w:rsidRPr="003E6AA7">
        <w:rPr>
          <w:szCs w:val="24"/>
        </w:rPr>
        <w:t xml:space="preserve">.  </w:t>
      </w:r>
    </w:p>
    <w:p w:rsidR="00284EFA" w:rsidRDefault="00284EFA" w:rsidP="00284EFA">
      <w:pPr>
        <w:tabs>
          <w:tab w:val="left" w:pos="-720"/>
        </w:tabs>
        <w:suppressAutoHyphens/>
        <w:ind w:left="2160" w:right="1440"/>
        <w:rPr>
          <w:szCs w:val="24"/>
        </w:rPr>
      </w:pPr>
    </w:p>
    <w:p w:rsidR="003E6AA7" w:rsidRPr="003E6AA7" w:rsidRDefault="003E6AA7" w:rsidP="00284EFA">
      <w:pPr>
        <w:tabs>
          <w:tab w:val="left" w:pos="-720"/>
        </w:tabs>
        <w:suppressAutoHyphens/>
        <w:ind w:left="2160" w:right="1440"/>
        <w:rPr>
          <w:szCs w:val="24"/>
        </w:rPr>
      </w:pPr>
      <w:r w:rsidRPr="003E6AA7">
        <w:rPr>
          <w:szCs w:val="24"/>
        </w:rPr>
        <w:t>This is a multiple violation of 49 CFR § 192.747(b).</w:t>
      </w:r>
    </w:p>
    <w:p w:rsidR="003E6AA7" w:rsidRPr="003E6AA7" w:rsidRDefault="003E6AA7" w:rsidP="003E6AA7">
      <w:pPr>
        <w:pStyle w:val="ListParagraph"/>
        <w:rPr>
          <w:szCs w:val="24"/>
        </w:rPr>
      </w:pPr>
    </w:p>
    <w:p w:rsidR="00284EFA" w:rsidRDefault="00284EFA" w:rsidP="00284EFA">
      <w:pPr>
        <w:tabs>
          <w:tab w:val="left" w:pos="-720"/>
        </w:tabs>
        <w:suppressAutoHyphens/>
        <w:ind w:left="1440" w:right="1440"/>
        <w:rPr>
          <w:szCs w:val="24"/>
        </w:rPr>
      </w:pPr>
      <w:r>
        <w:rPr>
          <w:szCs w:val="24"/>
        </w:rPr>
        <w:t>u.</w:t>
      </w:r>
      <w:r>
        <w:rPr>
          <w:szCs w:val="24"/>
        </w:rPr>
        <w:tab/>
      </w:r>
      <w:r w:rsidR="003E6AA7" w:rsidRPr="00284EFA">
        <w:rPr>
          <w:szCs w:val="24"/>
          <w:u w:val="single"/>
        </w:rPr>
        <w:t>Counts 225</w:t>
      </w:r>
      <w:r>
        <w:rPr>
          <w:szCs w:val="24"/>
          <w:u w:val="single"/>
        </w:rPr>
        <w:t xml:space="preserve"> through </w:t>
      </w:r>
      <w:r w:rsidR="003E6AA7" w:rsidRPr="00284EFA">
        <w:rPr>
          <w:szCs w:val="24"/>
          <w:u w:val="single"/>
        </w:rPr>
        <w:t>227</w:t>
      </w:r>
      <w:r w:rsidR="003E6AA7" w:rsidRPr="003E6AA7">
        <w:rPr>
          <w:szCs w:val="24"/>
        </w:rPr>
        <w:t xml:space="preserve"> </w:t>
      </w:r>
    </w:p>
    <w:p w:rsidR="0086256C" w:rsidRDefault="0086256C" w:rsidP="00284EFA">
      <w:pPr>
        <w:tabs>
          <w:tab w:val="left" w:pos="-720"/>
        </w:tabs>
        <w:suppressAutoHyphens/>
        <w:ind w:left="1440" w:right="1440"/>
        <w:rPr>
          <w:szCs w:val="24"/>
        </w:rPr>
      </w:pPr>
    </w:p>
    <w:p w:rsidR="00284EFA" w:rsidRDefault="003E6AA7" w:rsidP="00284EFA">
      <w:pPr>
        <w:tabs>
          <w:tab w:val="left" w:pos="-720"/>
        </w:tabs>
        <w:suppressAutoHyphens/>
        <w:ind w:left="2160" w:right="1440"/>
        <w:rPr>
          <w:szCs w:val="24"/>
        </w:rPr>
      </w:pPr>
      <w:r w:rsidRPr="003E6AA7">
        <w:rPr>
          <w:szCs w:val="24"/>
        </w:rPr>
        <w:t xml:space="preserve">PGW failed to have and/or follow a written qualification program </w:t>
      </w:r>
      <w:r w:rsidR="00284EFA">
        <w:rPr>
          <w:szCs w:val="24"/>
        </w:rPr>
        <w:t>in that</w:t>
      </w:r>
      <w:r w:rsidRPr="003E6AA7">
        <w:rPr>
          <w:szCs w:val="24"/>
        </w:rPr>
        <w:t xml:space="preserve"> the Company failed to ensure that </w:t>
      </w:r>
      <w:r w:rsidR="00284EFA">
        <w:rPr>
          <w:szCs w:val="24"/>
        </w:rPr>
        <w:t xml:space="preserve">[Crew Member Four] </w:t>
      </w:r>
      <w:r w:rsidRPr="003E6AA7">
        <w:rPr>
          <w:szCs w:val="24"/>
        </w:rPr>
        <w:t>was qualified to perform the covered task, when</w:t>
      </w:r>
      <w:r w:rsidR="00284EFA">
        <w:rPr>
          <w:szCs w:val="24"/>
        </w:rPr>
        <w:t>,</w:t>
      </w:r>
      <w:r w:rsidRPr="003E6AA7">
        <w:rPr>
          <w:szCs w:val="24"/>
        </w:rPr>
        <w:t xml:space="preserve"> in fact, </w:t>
      </w:r>
      <w:r w:rsidR="00284EFA">
        <w:rPr>
          <w:szCs w:val="24"/>
        </w:rPr>
        <w:t>he</w:t>
      </w:r>
      <w:r w:rsidRPr="003E6AA7">
        <w:rPr>
          <w:szCs w:val="24"/>
        </w:rPr>
        <w:t xml:space="preserve"> was not qualified to perform the task nor was he directed and observed by an individual that was qualified to perform the task and, in so doing, failed to adequately protect the public.  </w:t>
      </w:r>
    </w:p>
    <w:p w:rsidR="00284EFA" w:rsidRDefault="00284EFA" w:rsidP="00284EFA">
      <w:pPr>
        <w:tabs>
          <w:tab w:val="left" w:pos="-720"/>
        </w:tabs>
        <w:suppressAutoHyphens/>
        <w:ind w:left="2160" w:right="1440"/>
        <w:rPr>
          <w:szCs w:val="24"/>
        </w:rPr>
      </w:pPr>
    </w:p>
    <w:p w:rsidR="003E6AA7" w:rsidRPr="003E6AA7" w:rsidRDefault="003E6AA7" w:rsidP="00284EFA">
      <w:pPr>
        <w:tabs>
          <w:tab w:val="left" w:pos="-720"/>
        </w:tabs>
        <w:suppressAutoHyphens/>
        <w:ind w:left="2160" w:right="1440"/>
        <w:rPr>
          <w:szCs w:val="24"/>
        </w:rPr>
      </w:pPr>
      <w:r w:rsidRPr="003E6AA7">
        <w:rPr>
          <w:szCs w:val="24"/>
        </w:rPr>
        <w:t>This is a violation of 49 CFR §§ 192.805(b) and (c) and 52 Pa.</w:t>
      </w:r>
      <w:r w:rsidR="00284EFA">
        <w:rPr>
          <w:szCs w:val="24"/>
        </w:rPr>
        <w:t xml:space="preserve"> </w:t>
      </w:r>
      <w:r w:rsidRPr="003E6AA7">
        <w:rPr>
          <w:szCs w:val="24"/>
        </w:rPr>
        <w:t>Code § 59.33.</w:t>
      </w:r>
    </w:p>
    <w:p w:rsidR="003E6AA7" w:rsidRPr="003E6AA7" w:rsidRDefault="003E6AA7" w:rsidP="003E6AA7">
      <w:pPr>
        <w:pStyle w:val="ListParagraph"/>
        <w:rPr>
          <w:szCs w:val="24"/>
        </w:rPr>
      </w:pPr>
    </w:p>
    <w:p w:rsidR="00756907" w:rsidRDefault="00756907" w:rsidP="00756907">
      <w:pPr>
        <w:tabs>
          <w:tab w:val="left" w:pos="-720"/>
        </w:tabs>
        <w:suppressAutoHyphens/>
        <w:ind w:left="1440" w:right="1440"/>
        <w:rPr>
          <w:szCs w:val="24"/>
        </w:rPr>
      </w:pPr>
      <w:r>
        <w:rPr>
          <w:szCs w:val="24"/>
        </w:rPr>
        <w:t>v.</w:t>
      </w:r>
      <w:r>
        <w:rPr>
          <w:szCs w:val="24"/>
        </w:rPr>
        <w:tab/>
      </w:r>
      <w:r w:rsidRPr="00756907">
        <w:rPr>
          <w:szCs w:val="24"/>
          <w:u w:val="single"/>
        </w:rPr>
        <w:t>C</w:t>
      </w:r>
      <w:r w:rsidR="003E6AA7" w:rsidRPr="00756907">
        <w:rPr>
          <w:szCs w:val="24"/>
          <w:u w:val="single"/>
        </w:rPr>
        <w:t>ounts 228</w:t>
      </w:r>
      <w:r w:rsidRPr="00756907">
        <w:rPr>
          <w:szCs w:val="24"/>
          <w:u w:val="single"/>
        </w:rPr>
        <w:t xml:space="preserve"> and </w:t>
      </w:r>
      <w:r w:rsidR="003E6AA7" w:rsidRPr="00756907">
        <w:rPr>
          <w:szCs w:val="24"/>
          <w:u w:val="single"/>
        </w:rPr>
        <w:t>229</w:t>
      </w:r>
    </w:p>
    <w:p w:rsidR="00756907" w:rsidRDefault="00756907" w:rsidP="00756907">
      <w:pPr>
        <w:tabs>
          <w:tab w:val="left" w:pos="-720"/>
        </w:tabs>
        <w:suppressAutoHyphens/>
        <w:ind w:left="1440" w:right="1440"/>
        <w:rPr>
          <w:szCs w:val="24"/>
        </w:rPr>
      </w:pPr>
    </w:p>
    <w:p w:rsidR="00756907" w:rsidRDefault="003E6AA7" w:rsidP="00756907">
      <w:pPr>
        <w:tabs>
          <w:tab w:val="left" w:pos="-720"/>
        </w:tabs>
        <w:suppressAutoHyphens/>
        <w:ind w:left="2160" w:right="1440"/>
        <w:rPr>
          <w:szCs w:val="24"/>
        </w:rPr>
      </w:pPr>
      <w:r w:rsidRPr="003E6AA7">
        <w:rPr>
          <w:szCs w:val="24"/>
        </w:rPr>
        <w:t xml:space="preserve">PGW failed to train </w:t>
      </w:r>
      <w:r w:rsidR="00756907">
        <w:rPr>
          <w:szCs w:val="24"/>
        </w:rPr>
        <w:t>[Crew Member Four],</w:t>
      </w:r>
      <w:r w:rsidRPr="003E6AA7">
        <w:rPr>
          <w:szCs w:val="24"/>
        </w:rPr>
        <w:t xml:space="preserve"> a Distribution employee</w:t>
      </w:r>
      <w:r w:rsidR="00756907">
        <w:rPr>
          <w:szCs w:val="24"/>
        </w:rPr>
        <w:t>,</w:t>
      </w:r>
      <w:r w:rsidRPr="003E6AA7">
        <w:rPr>
          <w:szCs w:val="24"/>
        </w:rPr>
        <w:t xml:space="preserve"> to assure that he was knowledgeable of emergency procedures and to verify that the training was effective</w:t>
      </w:r>
      <w:r w:rsidR="00756907">
        <w:rPr>
          <w:szCs w:val="24"/>
        </w:rPr>
        <w:t xml:space="preserve"> and, i</w:t>
      </w:r>
      <w:r w:rsidRPr="003E6AA7">
        <w:rPr>
          <w:szCs w:val="24"/>
        </w:rPr>
        <w:t xml:space="preserve">n so doing, failed to adequately protect the public.  </w:t>
      </w:r>
    </w:p>
    <w:p w:rsidR="00756907" w:rsidRDefault="00756907" w:rsidP="00756907">
      <w:pPr>
        <w:tabs>
          <w:tab w:val="left" w:pos="-720"/>
        </w:tabs>
        <w:suppressAutoHyphens/>
        <w:ind w:left="2160" w:right="1440"/>
        <w:rPr>
          <w:szCs w:val="24"/>
        </w:rPr>
      </w:pPr>
    </w:p>
    <w:p w:rsidR="003E6AA7" w:rsidRPr="003E6AA7" w:rsidRDefault="003E6AA7" w:rsidP="00756907">
      <w:pPr>
        <w:tabs>
          <w:tab w:val="left" w:pos="-720"/>
        </w:tabs>
        <w:suppressAutoHyphens/>
        <w:ind w:left="2160" w:right="1440"/>
        <w:rPr>
          <w:szCs w:val="24"/>
        </w:rPr>
      </w:pPr>
      <w:r w:rsidRPr="003E6AA7">
        <w:rPr>
          <w:szCs w:val="24"/>
        </w:rPr>
        <w:t>This is a violation of 49 CFR § 192.615(b)(2) and 52 Pa.</w:t>
      </w:r>
      <w:r w:rsidR="00756907">
        <w:rPr>
          <w:szCs w:val="24"/>
        </w:rPr>
        <w:t xml:space="preserve"> </w:t>
      </w:r>
      <w:r w:rsidRPr="003E6AA7">
        <w:rPr>
          <w:szCs w:val="24"/>
        </w:rPr>
        <w:t>Code § 59.33.</w:t>
      </w:r>
    </w:p>
    <w:p w:rsidR="003E6AA7" w:rsidRPr="003E6AA7" w:rsidRDefault="003E6AA7" w:rsidP="003E6AA7">
      <w:pPr>
        <w:pStyle w:val="ListParagraph"/>
        <w:rPr>
          <w:szCs w:val="24"/>
        </w:rPr>
      </w:pPr>
    </w:p>
    <w:p w:rsidR="00C75977" w:rsidRDefault="00C75977" w:rsidP="00C75977">
      <w:pPr>
        <w:tabs>
          <w:tab w:val="left" w:pos="-720"/>
        </w:tabs>
        <w:suppressAutoHyphens/>
        <w:ind w:left="1440" w:right="1440"/>
        <w:rPr>
          <w:szCs w:val="24"/>
        </w:rPr>
      </w:pPr>
      <w:r>
        <w:rPr>
          <w:szCs w:val="24"/>
        </w:rPr>
        <w:t>w.</w:t>
      </w:r>
      <w:r>
        <w:rPr>
          <w:szCs w:val="24"/>
        </w:rPr>
        <w:tab/>
      </w:r>
      <w:r w:rsidR="003E6AA7" w:rsidRPr="00C75977">
        <w:rPr>
          <w:szCs w:val="24"/>
          <w:u w:val="single"/>
        </w:rPr>
        <w:t>Counts 230</w:t>
      </w:r>
      <w:r w:rsidRPr="00C75977">
        <w:rPr>
          <w:szCs w:val="24"/>
          <w:u w:val="single"/>
        </w:rPr>
        <w:t xml:space="preserve"> through </w:t>
      </w:r>
      <w:r w:rsidR="003E6AA7" w:rsidRPr="00C75977">
        <w:rPr>
          <w:szCs w:val="24"/>
          <w:u w:val="single"/>
        </w:rPr>
        <w:t>264</w:t>
      </w:r>
      <w:r w:rsidR="003E6AA7" w:rsidRPr="003E6AA7">
        <w:rPr>
          <w:szCs w:val="24"/>
        </w:rPr>
        <w:t xml:space="preserve"> </w:t>
      </w:r>
    </w:p>
    <w:p w:rsidR="00C75977" w:rsidRDefault="00C75977" w:rsidP="00C75977">
      <w:pPr>
        <w:tabs>
          <w:tab w:val="left" w:pos="-720"/>
        </w:tabs>
        <w:suppressAutoHyphens/>
        <w:ind w:left="1440" w:right="1440"/>
        <w:rPr>
          <w:szCs w:val="24"/>
        </w:rPr>
      </w:pPr>
    </w:p>
    <w:p w:rsidR="00C75977" w:rsidRDefault="003E6AA7" w:rsidP="00C75977">
      <w:pPr>
        <w:tabs>
          <w:tab w:val="left" w:pos="-720"/>
        </w:tabs>
        <w:suppressAutoHyphens/>
        <w:ind w:left="2160" w:right="1440"/>
        <w:rPr>
          <w:szCs w:val="24"/>
        </w:rPr>
      </w:pPr>
      <w:r w:rsidRPr="003E6AA7">
        <w:rPr>
          <w:szCs w:val="24"/>
        </w:rPr>
        <w:t>PGW failed to conduct post-accident drug testing f</w:t>
      </w:r>
      <w:r w:rsidR="00C75977">
        <w:rPr>
          <w:szCs w:val="24"/>
        </w:rPr>
        <w:t>or</w:t>
      </w:r>
      <w:r w:rsidRPr="003E6AA7">
        <w:rPr>
          <w:szCs w:val="24"/>
        </w:rPr>
        <w:t xml:space="preserve"> </w:t>
      </w:r>
      <w:r w:rsidR="0086256C">
        <w:rPr>
          <w:szCs w:val="24"/>
        </w:rPr>
        <w:t>[thirty-five]</w:t>
      </w:r>
      <w:r w:rsidRPr="003E6AA7">
        <w:rPr>
          <w:szCs w:val="24"/>
        </w:rPr>
        <w:t xml:space="preserve"> </w:t>
      </w:r>
      <w:r w:rsidR="00C75977">
        <w:rPr>
          <w:szCs w:val="24"/>
        </w:rPr>
        <w:t xml:space="preserve">of the </w:t>
      </w:r>
      <w:r w:rsidRPr="003E6AA7">
        <w:rPr>
          <w:szCs w:val="24"/>
        </w:rPr>
        <w:t xml:space="preserve">PGW employees who were on site and who could not be completely discounted as </w:t>
      </w:r>
      <w:r w:rsidR="00C75977">
        <w:rPr>
          <w:szCs w:val="24"/>
        </w:rPr>
        <w:t xml:space="preserve">a </w:t>
      </w:r>
      <w:r w:rsidRPr="003E6AA7">
        <w:rPr>
          <w:szCs w:val="24"/>
        </w:rPr>
        <w:t>contributing factor to the incident</w:t>
      </w:r>
      <w:r w:rsidR="00C75977">
        <w:rPr>
          <w:szCs w:val="24"/>
        </w:rPr>
        <w:t>;</w:t>
      </w:r>
      <w:r w:rsidRPr="003E6AA7">
        <w:rPr>
          <w:szCs w:val="24"/>
        </w:rPr>
        <w:t xml:space="preserve"> </w:t>
      </w:r>
      <w:r w:rsidR="00C75977">
        <w:rPr>
          <w:szCs w:val="24"/>
        </w:rPr>
        <w:t>t</w:t>
      </w:r>
      <w:r w:rsidRPr="003E6AA7">
        <w:rPr>
          <w:szCs w:val="24"/>
        </w:rPr>
        <w:t>he failure to test each of the employees constitut</w:t>
      </w:r>
      <w:r w:rsidR="00C75977">
        <w:rPr>
          <w:szCs w:val="24"/>
        </w:rPr>
        <w:t>ing</w:t>
      </w:r>
      <w:r w:rsidRPr="003E6AA7">
        <w:rPr>
          <w:szCs w:val="24"/>
        </w:rPr>
        <w:t xml:space="preserve"> a separate violation</w:t>
      </w:r>
      <w:r w:rsidR="00C75977">
        <w:rPr>
          <w:szCs w:val="24"/>
        </w:rPr>
        <w:t xml:space="preserve"> herein</w:t>
      </w:r>
      <w:r w:rsidRPr="003E6AA7">
        <w:rPr>
          <w:szCs w:val="24"/>
        </w:rPr>
        <w:t xml:space="preserve">.  </w:t>
      </w:r>
    </w:p>
    <w:p w:rsidR="00C75977" w:rsidRDefault="00C75977" w:rsidP="00C75977">
      <w:pPr>
        <w:tabs>
          <w:tab w:val="left" w:pos="-720"/>
        </w:tabs>
        <w:suppressAutoHyphens/>
        <w:ind w:left="2160" w:right="1440"/>
        <w:rPr>
          <w:szCs w:val="24"/>
        </w:rPr>
      </w:pPr>
    </w:p>
    <w:p w:rsidR="003E6AA7" w:rsidRPr="003E6AA7" w:rsidRDefault="003E6AA7" w:rsidP="00C75977">
      <w:pPr>
        <w:tabs>
          <w:tab w:val="left" w:pos="-720"/>
        </w:tabs>
        <w:suppressAutoHyphens/>
        <w:ind w:left="2160" w:right="1440"/>
        <w:rPr>
          <w:szCs w:val="24"/>
        </w:rPr>
      </w:pPr>
      <w:r w:rsidRPr="003E6AA7">
        <w:rPr>
          <w:szCs w:val="24"/>
        </w:rPr>
        <w:t>This is a multiple violation of 49 CFR</w:t>
      </w:r>
      <w:r w:rsidR="00C75977">
        <w:rPr>
          <w:szCs w:val="24"/>
        </w:rPr>
        <w:t xml:space="preserve"> </w:t>
      </w:r>
      <w:r w:rsidRPr="003E6AA7">
        <w:rPr>
          <w:szCs w:val="24"/>
        </w:rPr>
        <w:t>§ 199.105(b).</w:t>
      </w:r>
    </w:p>
    <w:p w:rsidR="003E6AA7" w:rsidRPr="003E6AA7" w:rsidRDefault="003E6AA7" w:rsidP="003E6AA7">
      <w:pPr>
        <w:pStyle w:val="ListParagraph"/>
        <w:rPr>
          <w:szCs w:val="24"/>
        </w:rPr>
      </w:pPr>
    </w:p>
    <w:p w:rsidR="00C75977" w:rsidRDefault="00C75977" w:rsidP="00C75977">
      <w:pPr>
        <w:tabs>
          <w:tab w:val="left" w:pos="-720"/>
        </w:tabs>
        <w:suppressAutoHyphens/>
        <w:ind w:left="1440" w:right="1440"/>
        <w:rPr>
          <w:szCs w:val="24"/>
        </w:rPr>
      </w:pPr>
      <w:r>
        <w:rPr>
          <w:szCs w:val="24"/>
        </w:rPr>
        <w:lastRenderedPageBreak/>
        <w:t>x.</w:t>
      </w:r>
      <w:r>
        <w:rPr>
          <w:szCs w:val="24"/>
        </w:rPr>
        <w:tab/>
      </w:r>
      <w:r w:rsidR="003E6AA7" w:rsidRPr="00C75977">
        <w:rPr>
          <w:szCs w:val="24"/>
          <w:u w:val="single"/>
        </w:rPr>
        <w:t>Counts 265</w:t>
      </w:r>
      <w:r w:rsidRPr="00C75977">
        <w:rPr>
          <w:szCs w:val="24"/>
          <w:u w:val="single"/>
        </w:rPr>
        <w:t xml:space="preserve"> through </w:t>
      </w:r>
      <w:r w:rsidR="003E6AA7" w:rsidRPr="00C75977">
        <w:rPr>
          <w:szCs w:val="24"/>
          <w:u w:val="single"/>
        </w:rPr>
        <w:t>299</w:t>
      </w:r>
      <w:r w:rsidR="003E6AA7" w:rsidRPr="003E6AA7">
        <w:rPr>
          <w:szCs w:val="24"/>
        </w:rPr>
        <w:t xml:space="preserve"> </w:t>
      </w:r>
    </w:p>
    <w:p w:rsidR="00C75977" w:rsidRDefault="00C75977" w:rsidP="00C75977">
      <w:pPr>
        <w:tabs>
          <w:tab w:val="left" w:pos="-720"/>
        </w:tabs>
        <w:suppressAutoHyphens/>
        <w:ind w:left="1440" w:right="1440"/>
        <w:rPr>
          <w:szCs w:val="24"/>
        </w:rPr>
      </w:pPr>
    </w:p>
    <w:p w:rsidR="00C75977" w:rsidRDefault="003E6AA7" w:rsidP="00C75977">
      <w:pPr>
        <w:tabs>
          <w:tab w:val="left" w:pos="-720"/>
        </w:tabs>
        <w:suppressAutoHyphens/>
        <w:ind w:left="2160" w:right="1440"/>
        <w:rPr>
          <w:szCs w:val="24"/>
        </w:rPr>
      </w:pPr>
      <w:r w:rsidRPr="003E6AA7">
        <w:rPr>
          <w:szCs w:val="24"/>
        </w:rPr>
        <w:t>PGW failed to conduct post-accident alcohol testing f</w:t>
      </w:r>
      <w:r w:rsidR="00C75977">
        <w:rPr>
          <w:szCs w:val="24"/>
        </w:rPr>
        <w:t>or</w:t>
      </w:r>
      <w:r w:rsidRPr="003E6AA7">
        <w:rPr>
          <w:szCs w:val="24"/>
        </w:rPr>
        <w:t xml:space="preserve"> </w:t>
      </w:r>
      <w:r w:rsidR="0086256C">
        <w:rPr>
          <w:szCs w:val="24"/>
        </w:rPr>
        <w:t>[thirty-five]</w:t>
      </w:r>
      <w:r w:rsidRPr="003E6AA7">
        <w:rPr>
          <w:szCs w:val="24"/>
        </w:rPr>
        <w:t xml:space="preserve"> </w:t>
      </w:r>
      <w:r w:rsidR="00C75977">
        <w:rPr>
          <w:szCs w:val="24"/>
        </w:rPr>
        <w:t xml:space="preserve">of the </w:t>
      </w:r>
      <w:r w:rsidRPr="003E6AA7">
        <w:rPr>
          <w:szCs w:val="24"/>
        </w:rPr>
        <w:t xml:space="preserve">PGW employees who were on site and who could not be completely discounted as </w:t>
      </w:r>
      <w:r w:rsidR="00C75977">
        <w:rPr>
          <w:szCs w:val="24"/>
        </w:rPr>
        <w:t xml:space="preserve">a </w:t>
      </w:r>
      <w:r w:rsidRPr="003E6AA7">
        <w:rPr>
          <w:szCs w:val="24"/>
        </w:rPr>
        <w:t>contributing factor to the incident</w:t>
      </w:r>
      <w:r w:rsidR="00C75977">
        <w:rPr>
          <w:szCs w:val="24"/>
        </w:rPr>
        <w:t>;</w:t>
      </w:r>
      <w:r w:rsidRPr="003E6AA7">
        <w:rPr>
          <w:szCs w:val="24"/>
        </w:rPr>
        <w:t xml:space="preserve"> </w:t>
      </w:r>
      <w:r w:rsidR="00C75977">
        <w:rPr>
          <w:szCs w:val="24"/>
        </w:rPr>
        <w:t>t</w:t>
      </w:r>
      <w:r w:rsidRPr="003E6AA7">
        <w:rPr>
          <w:szCs w:val="24"/>
        </w:rPr>
        <w:t>he failure to test each of the employees constitut</w:t>
      </w:r>
      <w:r w:rsidR="00C75977">
        <w:rPr>
          <w:szCs w:val="24"/>
        </w:rPr>
        <w:t>ing</w:t>
      </w:r>
      <w:r w:rsidRPr="003E6AA7">
        <w:rPr>
          <w:szCs w:val="24"/>
        </w:rPr>
        <w:t xml:space="preserve"> a separate violation</w:t>
      </w:r>
      <w:r w:rsidR="00C75977">
        <w:rPr>
          <w:szCs w:val="24"/>
        </w:rPr>
        <w:t xml:space="preserve"> herein</w:t>
      </w:r>
      <w:r w:rsidRPr="003E6AA7">
        <w:rPr>
          <w:szCs w:val="24"/>
        </w:rPr>
        <w:t xml:space="preserve">.  </w:t>
      </w:r>
    </w:p>
    <w:p w:rsidR="0086256C" w:rsidRDefault="0086256C" w:rsidP="00C75977">
      <w:pPr>
        <w:tabs>
          <w:tab w:val="left" w:pos="-720"/>
        </w:tabs>
        <w:suppressAutoHyphens/>
        <w:ind w:left="2160" w:right="1440"/>
        <w:rPr>
          <w:szCs w:val="24"/>
        </w:rPr>
      </w:pPr>
    </w:p>
    <w:p w:rsidR="003E6AA7" w:rsidRPr="003E6AA7" w:rsidRDefault="003E6AA7" w:rsidP="00C75977">
      <w:pPr>
        <w:tabs>
          <w:tab w:val="left" w:pos="-720"/>
        </w:tabs>
        <w:suppressAutoHyphens/>
        <w:ind w:left="2160" w:right="1440"/>
        <w:rPr>
          <w:szCs w:val="24"/>
        </w:rPr>
      </w:pPr>
      <w:r w:rsidRPr="003E6AA7">
        <w:rPr>
          <w:szCs w:val="24"/>
        </w:rPr>
        <w:t>This is a multiple violation of 49 CFR</w:t>
      </w:r>
      <w:r w:rsidR="00C75977">
        <w:rPr>
          <w:szCs w:val="24"/>
        </w:rPr>
        <w:t xml:space="preserve"> </w:t>
      </w:r>
      <w:r w:rsidRPr="003E6AA7">
        <w:rPr>
          <w:szCs w:val="24"/>
        </w:rPr>
        <w:t>§ 199.225(a)(1).</w:t>
      </w:r>
    </w:p>
    <w:p w:rsidR="003E6AA7" w:rsidRPr="003E6AA7" w:rsidRDefault="003E6AA7" w:rsidP="003E6AA7">
      <w:pPr>
        <w:pStyle w:val="ListParagraph"/>
        <w:rPr>
          <w:szCs w:val="24"/>
        </w:rPr>
      </w:pPr>
    </w:p>
    <w:p w:rsidR="008A792D" w:rsidRDefault="008A792D" w:rsidP="008A792D">
      <w:pPr>
        <w:tabs>
          <w:tab w:val="left" w:pos="-720"/>
        </w:tabs>
        <w:suppressAutoHyphens/>
        <w:ind w:left="1440" w:right="1440"/>
        <w:rPr>
          <w:szCs w:val="24"/>
        </w:rPr>
      </w:pPr>
      <w:r>
        <w:rPr>
          <w:szCs w:val="24"/>
        </w:rPr>
        <w:t>y.</w:t>
      </w:r>
      <w:r>
        <w:rPr>
          <w:szCs w:val="24"/>
        </w:rPr>
        <w:tab/>
      </w:r>
      <w:r w:rsidR="003E6AA7" w:rsidRPr="008A792D">
        <w:rPr>
          <w:szCs w:val="24"/>
          <w:u w:val="single"/>
        </w:rPr>
        <w:t>Counts 300</w:t>
      </w:r>
      <w:r w:rsidRPr="008A792D">
        <w:rPr>
          <w:szCs w:val="24"/>
          <w:u w:val="single"/>
        </w:rPr>
        <w:t xml:space="preserve"> through </w:t>
      </w:r>
      <w:r w:rsidR="003E6AA7" w:rsidRPr="008A792D">
        <w:rPr>
          <w:szCs w:val="24"/>
          <w:u w:val="single"/>
        </w:rPr>
        <w:t>334</w:t>
      </w:r>
      <w:r w:rsidR="003E6AA7" w:rsidRPr="003E6AA7">
        <w:rPr>
          <w:szCs w:val="24"/>
        </w:rPr>
        <w:t xml:space="preserve"> </w:t>
      </w:r>
    </w:p>
    <w:p w:rsidR="008A792D" w:rsidRDefault="008A792D" w:rsidP="008A792D">
      <w:pPr>
        <w:tabs>
          <w:tab w:val="left" w:pos="-720"/>
        </w:tabs>
        <w:suppressAutoHyphens/>
        <w:ind w:left="1440" w:right="1440"/>
        <w:rPr>
          <w:szCs w:val="24"/>
        </w:rPr>
      </w:pPr>
    </w:p>
    <w:p w:rsidR="0086256C" w:rsidRDefault="003E6AA7" w:rsidP="008A792D">
      <w:pPr>
        <w:tabs>
          <w:tab w:val="left" w:pos="-720"/>
        </w:tabs>
        <w:suppressAutoHyphens/>
        <w:ind w:left="2160" w:right="1440"/>
        <w:rPr>
          <w:szCs w:val="24"/>
        </w:rPr>
      </w:pPr>
      <w:r w:rsidRPr="003E6AA7">
        <w:rPr>
          <w:szCs w:val="24"/>
        </w:rPr>
        <w:t xml:space="preserve">PGW failed to prepare and maintain on file a record stating the reasons the post-accident testing was not promptly administered on any of the </w:t>
      </w:r>
      <w:r w:rsidR="0086256C">
        <w:rPr>
          <w:szCs w:val="24"/>
        </w:rPr>
        <w:t>[thirty-five]</w:t>
      </w:r>
      <w:r w:rsidRPr="003E6AA7">
        <w:rPr>
          <w:szCs w:val="24"/>
        </w:rPr>
        <w:t xml:space="preserve"> employees </w:t>
      </w:r>
      <w:r w:rsidR="008A792D">
        <w:rPr>
          <w:szCs w:val="24"/>
        </w:rPr>
        <w:t>referred to above; t</w:t>
      </w:r>
      <w:r w:rsidRPr="003E6AA7">
        <w:rPr>
          <w:szCs w:val="24"/>
        </w:rPr>
        <w:t>he failure to prepare and maintain such records on each employee constitut</w:t>
      </w:r>
      <w:r w:rsidR="008A792D">
        <w:rPr>
          <w:szCs w:val="24"/>
        </w:rPr>
        <w:t>ing</w:t>
      </w:r>
      <w:r w:rsidRPr="003E6AA7">
        <w:rPr>
          <w:szCs w:val="24"/>
        </w:rPr>
        <w:t xml:space="preserve"> a separate violation</w:t>
      </w:r>
      <w:r w:rsidR="008A792D">
        <w:rPr>
          <w:szCs w:val="24"/>
        </w:rPr>
        <w:t xml:space="preserve"> herein</w:t>
      </w:r>
      <w:r w:rsidRPr="003E6AA7">
        <w:rPr>
          <w:szCs w:val="24"/>
        </w:rPr>
        <w:t xml:space="preserve">.  </w:t>
      </w:r>
    </w:p>
    <w:p w:rsidR="0086256C" w:rsidRDefault="0086256C" w:rsidP="008A792D">
      <w:pPr>
        <w:tabs>
          <w:tab w:val="left" w:pos="-720"/>
        </w:tabs>
        <w:suppressAutoHyphens/>
        <w:ind w:left="2160" w:right="1440"/>
        <w:rPr>
          <w:szCs w:val="24"/>
        </w:rPr>
      </w:pPr>
    </w:p>
    <w:p w:rsidR="003E6AA7" w:rsidRPr="003E6AA7" w:rsidRDefault="003E6AA7" w:rsidP="008A792D">
      <w:pPr>
        <w:tabs>
          <w:tab w:val="left" w:pos="-720"/>
        </w:tabs>
        <w:suppressAutoHyphens/>
        <w:ind w:left="2160" w:right="1440"/>
        <w:rPr>
          <w:szCs w:val="24"/>
        </w:rPr>
      </w:pPr>
      <w:r w:rsidRPr="003E6AA7">
        <w:rPr>
          <w:szCs w:val="24"/>
        </w:rPr>
        <w:t>This is a multiple violation of 49 CFR § 199.225(a)(2).</w:t>
      </w:r>
    </w:p>
    <w:p w:rsidR="007A5A6E" w:rsidRPr="003E6AA7" w:rsidRDefault="007A5A6E" w:rsidP="003E6AA7">
      <w:pPr>
        <w:tabs>
          <w:tab w:val="left" w:pos="-720"/>
        </w:tabs>
        <w:suppressAutoHyphens/>
        <w:ind w:left="1440"/>
        <w:rPr>
          <w:szCs w:val="24"/>
        </w:rPr>
      </w:pPr>
    </w:p>
    <w:p w:rsidR="003E6AA7" w:rsidRDefault="00264853" w:rsidP="00264853">
      <w:pPr>
        <w:tabs>
          <w:tab w:val="left" w:pos="-720"/>
        </w:tabs>
        <w:suppressAutoHyphens/>
        <w:rPr>
          <w:szCs w:val="24"/>
        </w:rPr>
      </w:pPr>
      <w:r>
        <w:rPr>
          <w:szCs w:val="24"/>
        </w:rPr>
        <w:t>Complaint at 9-16.</w:t>
      </w:r>
    </w:p>
    <w:p w:rsidR="007A5A6E" w:rsidRDefault="007A5A6E" w:rsidP="00264853">
      <w:pPr>
        <w:tabs>
          <w:tab w:val="left" w:pos="-720"/>
        </w:tabs>
        <w:suppressAutoHyphens/>
        <w:rPr>
          <w:szCs w:val="24"/>
        </w:rPr>
      </w:pPr>
    </w:p>
    <w:p w:rsidR="00264853" w:rsidRPr="003E6AA7" w:rsidRDefault="00264853" w:rsidP="003E6AA7">
      <w:pPr>
        <w:tabs>
          <w:tab w:val="left" w:pos="-720"/>
        </w:tabs>
        <w:suppressAutoHyphens/>
        <w:ind w:left="1440"/>
        <w:rPr>
          <w:szCs w:val="24"/>
        </w:rPr>
      </w:pPr>
    </w:p>
    <w:p w:rsidR="003E6AA7" w:rsidRPr="003E6AA7" w:rsidRDefault="003E6AA7" w:rsidP="00AE485C">
      <w:pPr>
        <w:tabs>
          <w:tab w:val="left" w:pos="-720"/>
        </w:tabs>
        <w:suppressAutoHyphens/>
        <w:spacing w:line="360" w:lineRule="auto"/>
        <w:ind w:firstLine="1440"/>
        <w:rPr>
          <w:szCs w:val="24"/>
        </w:rPr>
      </w:pPr>
      <w:r w:rsidRPr="003E6AA7">
        <w:rPr>
          <w:szCs w:val="24"/>
        </w:rPr>
        <w:t>I&amp;E requested, among other things, that the Commission find PGW in violation of each of the 334 counts e</w:t>
      </w:r>
      <w:r w:rsidR="00264853">
        <w:rPr>
          <w:szCs w:val="24"/>
        </w:rPr>
        <w:t>numerated above.</w:t>
      </w:r>
      <w:r w:rsidRPr="003E6AA7">
        <w:rPr>
          <w:szCs w:val="24"/>
        </w:rPr>
        <w:t xml:space="preserve"> </w:t>
      </w:r>
      <w:r w:rsidR="00264853">
        <w:rPr>
          <w:szCs w:val="24"/>
        </w:rPr>
        <w:t xml:space="preserve"> </w:t>
      </w:r>
      <w:r w:rsidRPr="003E6AA7">
        <w:rPr>
          <w:szCs w:val="24"/>
        </w:rPr>
        <w:t xml:space="preserve">I&amp;E requested </w:t>
      </w:r>
      <w:r w:rsidR="00264853">
        <w:rPr>
          <w:szCs w:val="24"/>
        </w:rPr>
        <w:t xml:space="preserve">that </w:t>
      </w:r>
      <w:r w:rsidRPr="003E6AA7">
        <w:rPr>
          <w:szCs w:val="24"/>
        </w:rPr>
        <w:t xml:space="preserve">the Commission assess </w:t>
      </w:r>
      <w:r w:rsidR="00264853">
        <w:rPr>
          <w:szCs w:val="24"/>
        </w:rPr>
        <w:t xml:space="preserve">a civil penalty of $500,000, which was the </w:t>
      </w:r>
      <w:r w:rsidRPr="003E6AA7">
        <w:rPr>
          <w:szCs w:val="24"/>
        </w:rPr>
        <w:t xml:space="preserve">maximum civil penalty allowed </w:t>
      </w:r>
      <w:r w:rsidR="00AE485C">
        <w:rPr>
          <w:szCs w:val="24"/>
        </w:rPr>
        <w:t>at the time of the incident under</w:t>
      </w:r>
      <w:r w:rsidRPr="003E6AA7">
        <w:rPr>
          <w:szCs w:val="24"/>
        </w:rPr>
        <w:t xml:space="preserve"> </w:t>
      </w:r>
      <w:r w:rsidR="00264853">
        <w:rPr>
          <w:szCs w:val="24"/>
        </w:rPr>
        <w:t xml:space="preserve">Section 3301(c) of the Public </w:t>
      </w:r>
      <w:r w:rsidR="00F668E1">
        <w:rPr>
          <w:szCs w:val="24"/>
        </w:rPr>
        <w:t>Utility Code (Code),</w:t>
      </w:r>
      <w:r w:rsidR="00264853">
        <w:rPr>
          <w:szCs w:val="24"/>
        </w:rPr>
        <w:t xml:space="preserve"> </w:t>
      </w:r>
      <w:r w:rsidRPr="003E6AA7">
        <w:rPr>
          <w:szCs w:val="24"/>
        </w:rPr>
        <w:t>66 Pa.</w:t>
      </w:r>
      <w:r w:rsidR="007A5A6E">
        <w:rPr>
          <w:szCs w:val="24"/>
        </w:rPr>
        <w:t xml:space="preserve"> </w:t>
      </w:r>
      <w:r w:rsidRPr="003E6AA7">
        <w:rPr>
          <w:szCs w:val="24"/>
        </w:rPr>
        <w:t xml:space="preserve">C.S. § 3301(c).  I&amp;E also requested that </w:t>
      </w:r>
      <w:r w:rsidR="007A5A6E">
        <w:rPr>
          <w:szCs w:val="24"/>
        </w:rPr>
        <w:t xml:space="preserve">the Commission prohibit PGW from recovering any </w:t>
      </w:r>
      <w:r w:rsidRPr="003E6AA7">
        <w:rPr>
          <w:szCs w:val="24"/>
        </w:rPr>
        <w:t xml:space="preserve">portion of the $500,000 </w:t>
      </w:r>
      <w:r w:rsidR="00F00C58">
        <w:rPr>
          <w:szCs w:val="24"/>
        </w:rPr>
        <w:t xml:space="preserve">civil </w:t>
      </w:r>
      <w:r w:rsidRPr="003E6AA7">
        <w:rPr>
          <w:szCs w:val="24"/>
        </w:rPr>
        <w:t xml:space="preserve">penalty through the Company’s rates regulated by the Commission.  </w:t>
      </w:r>
      <w:r w:rsidR="00F00C58" w:rsidRPr="00F00C58">
        <w:rPr>
          <w:i/>
          <w:szCs w:val="24"/>
        </w:rPr>
        <w:t>Id</w:t>
      </w:r>
      <w:r w:rsidR="00F00C58">
        <w:rPr>
          <w:szCs w:val="24"/>
        </w:rPr>
        <w:t xml:space="preserve">. at 16.  </w:t>
      </w:r>
      <w:r w:rsidRPr="003E6AA7">
        <w:rPr>
          <w:szCs w:val="24"/>
        </w:rPr>
        <w:t xml:space="preserve">I&amp;E </w:t>
      </w:r>
      <w:r w:rsidR="00F00C58">
        <w:rPr>
          <w:szCs w:val="24"/>
        </w:rPr>
        <w:t>further</w:t>
      </w:r>
      <w:r w:rsidRPr="003E6AA7">
        <w:rPr>
          <w:szCs w:val="24"/>
        </w:rPr>
        <w:t xml:space="preserve"> requested that</w:t>
      </w:r>
      <w:r w:rsidR="00F00C58">
        <w:rPr>
          <w:szCs w:val="24"/>
        </w:rPr>
        <w:t xml:space="preserve">, </w:t>
      </w:r>
      <w:r w:rsidR="00F00C58" w:rsidRPr="00F00C58">
        <w:rPr>
          <w:i/>
          <w:szCs w:val="24"/>
        </w:rPr>
        <w:t>inter alia</w:t>
      </w:r>
      <w:r w:rsidR="00F00C58">
        <w:rPr>
          <w:szCs w:val="24"/>
        </w:rPr>
        <w:t>,</w:t>
      </w:r>
      <w:r w:rsidRPr="003E6AA7">
        <w:rPr>
          <w:szCs w:val="24"/>
        </w:rPr>
        <w:t xml:space="preserve"> </w:t>
      </w:r>
      <w:r w:rsidR="007A5A6E">
        <w:rPr>
          <w:szCs w:val="24"/>
        </w:rPr>
        <w:t xml:space="preserve">the Commission order </w:t>
      </w:r>
      <w:r w:rsidRPr="003E6AA7">
        <w:rPr>
          <w:szCs w:val="24"/>
        </w:rPr>
        <w:t xml:space="preserve">PGW </w:t>
      </w:r>
      <w:r w:rsidR="007A5A6E">
        <w:rPr>
          <w:szCs w:val="24"/>
        </w:rPr>
        <w:t xml:space="preserve">to </w:t>
      </w:r>
      <w:r w:rsidRPr="003E6AA7">
        <w:rPr>
          <w:szCs w:val="24"/>
        </w:rPr>
        <w:t xml:space="preserve">perform remedial training, re-qualify PGW workers, </w:t>
      </w:r>
      <w:r w:rsidR="00AE485C">
        <w:rPr>
          <w:szCs w:val="24"/>
        </w:rPr>
        <w:t xml:space="preserve">and </w:t>
      </w:r>
      <w:r w:rsidRPr="003E6AA7">
        <w:rPr>
          <w:szCs w:val="24"/>
        </w:rPr>
        <w:t>document and re-document PGW procedures</w:t>
      </w:r>
      <w:r w:rsidR="007A5A6E">
        <w:rPr>
          <w:szCs w:val="24"/>
        </w:rPr>
        <w:t>;</w:t>
      </w:r>
      <w:r w:rsidRPr="003E6AA7">
        <w:rPr>
          <w:szCs w:val="24"/>
        </w:rPr>
        <w:t xml:space="preserve"> as well as </w:t>
      </w:r>
      <w:r w:rsidR="007A5A6E">
        <w:rPr>
          <w:szCs w:val="24"/>
        </w:rPr>
        <w:t xml:space="preserve">order </w:t>
      </w:r>
      <w:r w:rsidRPr="003E6AA7">
        <w:rPr>
          <w:szCs w:val="24"/>
        </w:rPr>
        <w:t>any further relief that the Commission deemed appropriate.</w:t>
      </w:r>
      <w:r w:rsidR="00F00C58">
        <w:rPr>
          <w:szCs w:val="24"/>
        </w:rPr>
        <w:t xml:space="preserve">  </w:t>
      </w:r>
      <w:r w:rsidR="00F00C58" w:rsidRPr="00F00C58">
        <w:rPr>
          <w:i/>
          <w:szCs w:val="24"/>
        </w:rPr>
        <w:t>Id</w:t>
      </w:r>
      <w:r w:rsidR="00F00C58">
        <w:rPr>
          <w:szCs w:val="24"/>
        </w:rPr>
        <w:t xml:space="preserve">. at 17-19.  </w:t>
      </w:r>
      <w:r w:rsidRPr="003E6AA7">
        <w:rPr>
          <w:szCs w:val="24"/>
        </w:rPr>
        <w:t xml:space="preserve">   </w:t>
      </w:r>
    </w:p>
    <w:p w:rsidR="003E6AA7" w:rsidRPr="003E6AA7" w:rsidRDefault="003E6AA7" w:rsidP="003E6AA7">
      <w:pPr>
        <w:tabs>
          <w:tab w:val="left" w:pos="-720"/>
        </w:tabs>
        <w:suppressAutoHyphens/>
        <w:spacing w:line="360" w:lineRule="auto"/>
        <w:ind w:firstLine="1440"/>
        <w:rPr>
          <w:spacing w:val="-3"/>
          <w:szCs w:val="24"/>
        </w:rPr>
      </w:pPr>
    </w:p>
    <w:p w:rsidR="003E6AA7" w:rsidRPr="003E6AA7" w:rsidRDefault="0081630C" w:rsidP="003E6AA7">
      <w:pPr>
        <w:tabs>
          <w:tab w:val="left" w:pos="-720"/>
        </w:tabs>
        <w:suppressAutoHyphens/>
        <w:spacing w:line="360" w:lineRule="auto"/>
        <w:ind w:firstLine="1440"/>
        <w:rPr>
          <w:spacing w:val="-3"/>
          <w:szCs w:val="24"/>
        </w:rPr>
      </w:pPr>
      <w:r>
        <w:rPr>
          <w:spacing w:val="-3"/>
          <w:szCs w:val="24"/>
        </w:rPr>
        <w:lastRenderedPageBreak/>
        <w:t>PGW filed an Answer and New Matter to the Complaint on</w:t>
      </w:r>
      <w:r w:rsidR="003E6AA7" w:rsidRPr="003E6AA7">
        <w:rPr>
          <w:spacing w:val="-3"/>
          <w:szCs w:val="24"/>
        </w:rPr>
        <w:t xml:space="preserve"> February 6, 2012</w:t>
      </w:r>
      <w:r>
        <w:rPr>
          <w:spacing w:val="-3"/>
          <w:szCs w:val="24"/>
        </w:rPr>
        <w:t>.</w:t>
      </w:r>
      <w:r w:rsidR="003E6AA7" w:rsidRPr="003E6AA7">
        <w:rPr>
          <w:rStyle w:val="FootnoteReference"/>
          <w:spacing w:val="-3"/>
          <w:szCs w:val="24"/>
        </w:rPr>
        <w:footnoteReference w:id="2"/>
      </w:r>
      <w:r w:rsidR="003E6AA7" w:rsidRPr="003E6AA7">
        <w:rPr>
          <w:spacing w:val="-3"/>
          <w:szCs w:val="24"/>
        </w:rPr>
        <w:t xml:space="preserve">  </w:t>
      </w:r>
      <w:r w:rsidR="007667F7">
        <w:t>PGW filed a public version and a non-public version of its Answer.  On February</w:t>
      </w:r>
      <w:r w:rsidR="001C0244">
        <w:t> </w:t>
      </w:r>
      <w:r w:rsidR="007667F7">
        <w:t>9, 2012, PGW filed a corrected Answer that redacted some of the proprietary information that erroneously remained public and include</w:t>
      </w:r>
      <w:r w:rsidR="00695E2E">
        <w:t>d</w:t>
      </w:r>
      <w:r w:rsidR="007667F7">
        <w:t xml:space="preserve"> some information in redacted form that was omitted from the public version.</w:t>
      </w:r>
      <w:r w:rsidR="00695E2E">
        <w:t xml:space="preserve">  </w:t>
      </w:r>
      <w:r w:rsidR="003E6AA7" w:rsidRPr="003E6AA7">
        <w:rPr>
          <w:spacing w:val="-3"/>
          <w:szCs w:val="24"/>
        </w:rPr>
        <w:t xml:space="preserve">PGW </w:t>
      </w:r>
      <w:r w:rsidR="00135F8A">
        <w:rPr>
          <w:spacing w:val="-3"/>
          <w:szCs w:val="24"/>
        </w:rPr>
        <w:t>stated</w:t>
      </w:r>
      <w:r w:rsidR="003E6AA7" w:rsidRPr="003E6AA7">
        <w:rPr>
          <w:spacing w:val="-3"/>
          <w:szCs w:val="24"/>
        </w:rPr>
        <w:t xml:space="preserve"> that the explosion and the resultant loss of life was a tragic incident</w:t>
      </w:r>
      <w:r w:rsidR="00135F8A">
        <w:rPr>
          <w:spacing w:val="-3"/>
          <w:szCs w:val="24"/>
        </w:rPr>
        <w:t>, however, the Company</w:t>
      </w:r>
      <w:r w:rsidR="003E6AA7" w:rsidRPr="003E6AA7">
        <w:rPr>
          <w:spacing w:val="-3"/>
          <w:szCs w:val="24"/>
        </w:rPr>
        <w:t xml:space="preserve"> denied th</w:t>
      </w:r>
      <w:r w:rsidR="00135F8A">
        <w:rPr>
          <w:spacing w:val="-3"/>
          <w:szCs w:val="24"/>
        </w:rPr>
        <w:t xml:space="preserve">e material allegations in the Complaint and averred that it did not violate the Code, Commission Regulations, or Federal Regulations.  </w:t>
      </w:r>
      <w:r w:rsidR="00DA4B2F" w:rsidRPr="00DA4B2F">
        <w:rPr>
          <w:i/>
          <w:spacing w:val="-3"/>
          <w:szCs w:val="24"/>
        </w:rPr>
        <w:t>See</w:t>
      </w:r>
      <w:r w:rsidR="00DA4B2F">
        <w:rPr>
          <w:spacing w:val="-3"/>
          <w:szCs w:val="24"/>
        </w:rPr>
        <w:t xml:space="preserve">, Answer at 18-39.  </w:t>
      </w:r>
      <w:r w:rsidR="003E6AA7" w:rsidRPr="003E6AA7">
        <w:rPr>
          <w:spacing w:val="-3"/>
          <w:szCs w:val="24"/>
        </w:rPr>
        <w:t xml:space="preserve">On February 27, 2012, I&amp;E filed a Reply to New Matter.  </w:t>
      </w:r>
    </w:p>
    <w:p w:rsidR="00DA4B2F" w:rsidRDefault="00DA4B2F" w:rsidP="003E6AA7">
      <w:pPr>
        <w:tabs>
          <w:tab w:val="left" w:pos="-720"/>
        </w:tabs>
        <w:suppressAutoHyphens/>
        <w:spacing w:line="360" w:lineRule="auto"/>
        <w:ind w:firstLine="1440"/>
        <w:rPr>
          <w:spacing w:val="-3"/>
          <w:szCs w:val="24"/>
        </w:rPr>
      </w:pPr>
    </w:p>
    <w:p w:rsidR="009C178E" w:rsidRDefault="00DA4B2F" w:rsidP="005E7F70">
      <w:pPr>
        <w:autoSpaceDE w:val="0"/>
        <w:autoSpaceDN w:val="0"/>
        <w:adjustRightInd w:val="0"/>
        <w:spacing w:line="360" w:lineRule="auto"/>
        <w:ind w:firstLine="1440"/>
        <w:rPr>
          <w:spacing w:val="-3"/>
          <w:szCs w:val="24"/>
        </w:rPr>
      </w:pPr>
      <w:r w:rsidRPr="00B40903">
        <w:rPr>
          <w:spacing w:val="-3"/>
          <w:szCs w:val="24"/>
        </w:rPr>
        <w:t xml:space="preserve">PGW filed three motions for a continuance, which were granted by ALJ Jones, because the Parties were engaging in settlement negotiations.  </w:t>
      </w:r>
      <w:r w:rsidR="00C80AE3" w:rsidRPr="00B40903">
        <w:rPr>
          <w:spacing w:val="-3"/>
          <w:szCs w:val="24"/>
        </w:rPr>
        <w:t xml:space="preserve">The Parties filed </w:t>
      </w:r>
      <w:r w:rsidR="003E6AA7" w:rsidRPr="00B40903">
        <w:rPr>
          <w:spacing w:val="-3"/>
          <w:szCs w:val="24"/>
        </w:rPr>
        <w:t xml:space="preserve">a Joint Petition for Settlement (Settlement) </w:t>
      </w:r>
      <w:r w:rsidR="00C80AE3" w:rsidRPr="00B40903">
        <w:rPr>
          <w:spacing w:val="-3"/>
          <w:szCs w:val="24"/>
        </w:rPr>
        <w:t xml:space="preserve">on November 14, 2012.  </w:t>
      </w:r>
      <w:r w:rsidR="00B40903" w:rsidRPr="00B40903">
        <w:rPr>
          <w:spacing w:val="-3"/>
          <w:szCs w:val="24"/>
        </w:rPr>
        <w:t xml:space="preserve">An Appendix A was attached to the Settlement and </w:t>
      </w:r>
      <w:r w:rsidR="00B40903">
        <w:rPr>
          <w:spacing w:val="-3"/>
          <w:szCs w:val="24"/>
        </w:rPr>
        <w:t>contained detailed information regarding the o</w:t>
      </w:r>
      <w:r w:rsidR="00B40903" w:rsidRPr="00B40903">
        <w:rPr>
          <w:rFonts w:eastAsiaTheme="minorHAnsi"/>
          <w:bCs/>
          <w:szCs w:val="31"/>
        </w:rPr>
        <w:t xml:space="preserve">perational </w:t>
      </w:r>
      <w:r w:rsidR="00B40903">
        <w:rPr>
          <w:rFonts w:eastAsiaTheme="minorHAnsi"/>
          <w:bCs/>
          <w:szCs w:val="31"/>
        </w:rPr>
        <w:t>s</w:t>
      </w:r>
      <w:r w:rsidR="00B40903" w:rsidRPr="00B40903">
        <w:rPr>
          <w:rFonts w:eastAsiaTheme="minorHAnsi"/>
          <w:bCs/>
          <w:szCs w:val="31"/>
        </w:rPr>
        <w:t xml:space="preserve">teps </w:t>
      </w:r>
      <w:r w:rsidR="00B40903">
        <w:rPr>
          <w:rFonts w:eastAsiaTheme="minorHAnsi"/>
          <w:bCs/>
          <w:szCs w:val="31"/>
        </w:rPr>
        <w:t>PGW had t</w:t>
      </w:r>
      <w:r w:rsidR="00B40903" w:rsidRPr="00B40903">
        <w:rPr>
          <w:rFonts w:eastAsiaTheme="minorHAnsi"/>
          <w:bCs/>
          <w:szCs w:val="31"/>
        </w:rPr>
        <w:t xml:space="preserve">aken </w:t>
      </w:r>
      <w:r w:rsidR="00B40903">
        <w:rPr>
          <w:rFonts w:eastAsiaTheme="minorHAnsi"/>
          <w:bCs/>
          <w:szCs w:val="31"/>
        </w:rPr>
        <w:t>after</w:t>
      </w:r>
      <w:r w:rsidR="00B40903" w:rsidRPr="00B40903">
        <w:rPr>
          <w:rFonts w:eastAsiaTheme="minorHAnsi"/>
          <w:bCs/>
          <w:szCs w:val="31"/>
        </w:rPr>
        <w:t xml:space="preserve"> the </w:t>
      </w:r>
      <w:r w:rsidR="00B40903">
        <w:rPr>
          <w:rFonts w:eastAsiaTheme="minorHAnsi"/>
          <w:bCs/>
          <w:szCs w:val="31"/>
        </w:rPr>
        <w:t>i</w:t>
      </w:r>
      <w:r w:rsidR="00B40903" w:rsidRPr="00B40903">
        <w:rPr>
          <w:rFonts w:eastAsiaTheme="minorHAnsi"/>
          <w:bCs/>
          <w:szCs w:val="31"/>
        </w:rPr>
        <w:t>ncident</w:t>
      </w:r>
      <w:r w:rsidR="00B40903">
        <w:rPr>
          <w:rFonts w:eastAsiaTheme="minorHAnsi"/>
          <w:bCs/>
          <w:szCs w:val="31"/>
        </w:rPr>
        <w:t xml:space="preserve"> on its own volition </w:t>
      </w:r>
      <w:r w:rsidR="005A7EA8">
        <w:rPr>
          <w:rFonts w:eastAsiaTheme="minorHAnsi"/>
          <w:bCs/>
          <w:szCs w:val="31"/>
        </w:rPr>
        <w:t>and/</w:t>
      </w:r>
      <w:r w:rsidR="00B40903">
        <w:rPr>
          <w:rFonts w:eastAsiaTheme="minorHAnsi"/>
          <w:bCs/>
          <w:szCs w:val="31"/>
        </w:rPr>
        <w:t xml:space="preserve">or at the request of </w:t>
      </w:r>
      <w:r w:rsidR="005A7EA8">
        <w:rPr>
          <w:rFonts w:eastAsiaTheme="minorHAnsi"/>
          <w:bCs/>
          <w:szCs w:val="31"/>
        </w:rPr>
        <w:t xml:space="preserve">the Commission’s </w:t>
      </w:r>
      <w:r w:rsidR="0029399B">
        <w:rPr>
          <w:szCs w:val="24"/>
        </w:rPr>
        <w:t>Pipeline Safety Division</w:t>
      </w:r>
      <w:r w:rsidR="005A7EA8">
        <w:rPr>
          <w:rFonts w:eastAsiaTheme="minorHAnsi"/>
          <w:bCs/>
          <w:szCs w:val="31"/>
        </w:rPr>
        <w:t>.</w:t>
      </w:r>
      <w:r w:rsidR="009C178E">
        <w:rPr>
          <w:rFonts w:eastAsiaTheme="minorHAnsi"/>
          <w:bCs/>
          <w:szCs w:val="31"/>
        </w:rPr>
        <w:t xml:space="preserve">  </w:t>
      </w:r>
      <w:r w:rsidR="003E6AA7" w:rsidRPr="003E6AA7">
        <w:rPr>
          <w:spacing w:val="-3"/>
          <w:szCs w:val="24"/>
        </w:rPr>
        <w:t xml:space="preserve">The Settlement was </w:t>
      </w:r>
      <w:r w:rsidR="009C178E">
        <w:rPr>
          <w:spacing w:val="-3"/>
          <w:szCs w:val="24"/>
        </w:rPr>
        <w:t xml:space="preserve">also </w:t>
      </w:r>
      <w:r w:rsidR="003E6AA7" w:rsidRPr="003E6AA7">
        <w:rPr>
          <w:spacing w:val="-3"/>
          <w:szCs w:val="24"/>
        </w:rPr>
        <w:t>accompanied by Statement</w:t>
      </w:r>
      <w:r w:rsidR="00F25831">
        <w:rPr>
          <w:spacing w:val="-3"/>
          <w:szCs w:val="24"/>
        </w:rPr>
        <w:t>s</w:t>
      </w:r>
      <w:r w:rsidR="003E6AA7" w:rsidRPr="003E6AA7">
        <w:rPr>
          <w:spacing w:val="-3"/>
          <w:szCs w:val="24"/>
        </w:rPr>
        <w:t xml:space="preserve"> in Support </w:t>
      </w:r>
      <w:r w:rsidR="00F25831">
        <w:rPr>
          <w:spacing w:val="-3"/>
          <w:szCs w:val="24"/>
        </w:rPr>
        <w:t>filed by</w:t>
      </w:r>
      <w:r w:rsidR="003E6AA7" w:rsidRPr="003E6AA7">
        <w:rPr>
          <w:spacing w:val="-3"/>
          <w:szCs w:val="24"/>
        </w:rPr>
        <w:t xml:space="preserve"> PGW and I&amp;E.  </w:t>
      </w:r>
    </w:p>
    <w:p w:rsidR="009C178E" w:rsidRDefault="009C178E" w:rsidP="009C178E">
      <w:pPr>
        <w:autoSpaceDE w:val="0"/>
        <w:autoSpaceDN w:val="0"/>
        <w:adjustRightInd w:val="0"/>
        <w:spacing w:line="360" w:lineRule="auto"/>
        <w:rPr>
          <w:spacing w:val="-3"/>
          <w:szCs w:val="24"/>
        </w:rPr>
      </w:pPr>
    </w:p>
    <w:p w:rsidR="004B6180" w:rsidRDefault="003E6AA7" w:rsidP="009C178E">
      <w:pPr>
        <w:autoSpaceDE w:val="0"/>
        <w:autoSpaceDN w:val="0"/>
        <w:adjustRightInd w:val="0"/>
        <w:spacing w:line="360" w:lineRule="auto"/>
        <w:ind w:firstLine="1440"/>
        <w:rPr>
          <w:spacing w:val="-3"/>
          <w:szCs w:val="24"/>
        </w:rPr>
      </w:pPr>
      <w:r w:rsidRPr="003E6AA7">
        <w:rPr>
          <w:spacing w:val="-3"/>
          <w:szCs w:val="24"/>
        </w:rPr>
        <w:t>The record closed on November 14, 2012, the date the Settlement was filed.</w:t>
      </w:r>
      <w:r w:rsidR="006C3BC6">
        <w:rPr>
          <w:spacing w:val="-3"/>
          <w:szCs w:val="24"/>
        </w:rPr>
        <w:t xml:space="preserve">  </w:t>
      </w:r>
    </w:p>
    <w:p w:rsidR="004B6180" w:rsidRDefault="004B6180" w:rsidP="009C178E">
      <w:pPr>
        <w:autoSpaceDE w:val="0"/>
        <w:autoSpaceDN w:val="0"/>
        <w:adjustRightInd w:val="0"/>
        <w:spacing w:line="360" w:lineRule="auto"/>
        <w:ind w:firstLine="1440"/>
        <w:rPr>
          <w:spacing w:val="-3"/>
          <w:szCs w:val="24"/>
        </w:rPr>
      </w:pPr>
    </w:p>
    <w:p w:rsidR="009C178E" w:rsidRDefault="006C3BC6" w:rsidP="009C178E">
      <w:pPr>
        <w:autoSpaceDE w:val="0"/>
        <w:autoSpaceDN w:val="0"/>
        <w:adjustRightInd w:val="0"/>
        <w:spacing w:line="360" w:lineRule="auto"/>
        <w:ind w:firstLine="1440"/>
        <w:rPr>
          <w:spacing w:val="-3"/>
          <w:szCs w:val="24"/>
        </w:rPr>
      </w:pPr>
      <w:r>
        <w:rPr>
          <w:spacing w:val="-3"/>
          <w:szCs w:val="24"/>
        </w:rPr>
        <w:t xml:space="preserve">In the Initial Decision, issued on </w:t>
      </w:r>
      <w:r w:rsidR="004B6180">
        <w:rPr>
          <w:spacing w:val="-3"/>
          <w:szCs w:val="24"/>
        </w:rPr>
        <w:t>January 28, 2013</w:t>
      </w:r>
      <w:r>
        <w:rPr>
          <w:spacing w:val="-3"/>
          <w:szCs w:val="24"/>
        </w:rPr>
        <w:t xml:space="preserve">, ALJ Jones approved the Settlement and, </w:t>
      </w:r>
      <w:r w:rsidRPr="006C3BC6">
        <w:rPr>
          <w:i/>
          <w:spacing w:val="-3"/>
          <w:szCs w:val="24"/>
        </w:rPr>
        <w:t>inter alia</w:t>
      </w:r>
      <w:r>
        <w:rPr>
          <w:spacing w:val="-3"/>
          <w:szCs w:val="24"/>
        </w:rPr>
        <w:t>, directed PGW to pay a civil settlement amount of $400,000 and to make a $100,000 contribution to the smoke alarm program operated by the Fire Prevention Division of the PFD.</w:t>
      </w:r>
      <w:r w:rsidR="004B6180">
        <w:rPr>
          <w:spacing w:val="-3"/>
          <w:szCs w:val="24"/>
        </w:rPr>
        <w:t xml:space="preserve">  </w:t>
      </w:r>
    </w:p>
    <w:p w:rsidR="004B6180" w:rsidRDefault="004B6180" w:rsidP="009C178E">
      <w:pPr>
        <w:autoSpaceDE w:val="0"/>
        <w:autoSpaceDN w:val="0"/>
        <w:adjustRightInd w:val="0"/>
        <w:spacing w:line="360" w:lineRule="auto"/>
        <w:ind w:firstLine="1440"/>
        <w:rPr>
          <w:spacing w:val="-3"/>
          <w:szCs w:val="24"/>
        </w:rPr>
      </w:pPr>
    </w:p>
    <w:p w:rsidR="004B6180" w:rsidRDefault="004B6180" w:rsidP="009C178E">
      <w:pPr>
        <w:autoSpaceDE w:val="0"/>
        <w:autoSpaceDN w:val="0"/>
        <w:adjustRightInd w:val="0"/>
        <w:spacing w:line="360" w:lineRule="auto"/>
        <w:ind w:firstLine="1440"/>
        <w:rPr>
          <w:spacing w:val="-3"/>
          <w:szCs w:val="24"/>
        </w:rPr>
      </w:pPr>
      <w:r>
        <w:rPr>
          <w:spacing w:val="-3"/>
          <w:szCs w:val="24"/>
        </w:rPr>
        <w:lastRenderedPageBreak/>
        <w:t>As previously noted, PGW filed Exceptions on February 4, 2013.</w:t>
      </w:r>
      <w:r w:rsidR="00CA6AF2">
        <w:rPr>
          <w:spacing w:val="-3"/>
          <w:szCs w:val="24"/>
        </w:rPr>
        <w:t xml:space="preserve">  </w:t>
      </w:r>
      <w:r w:rsidR="00CA6AF2">
        <w:rPr>
          <w:szCs w:val="26"/>
        </w:rPr>
        <w:t>I&amp;E filed Replies to Exceptions on February 11, 2013</w:t>
      </w:r>
      <w:r w:rsidR="00CA6AF2" w:rsidRPr="00571F5C">
        <w:rPr>
          <w:szCs w:val="26"/>
        </w:rPr>
        <w:t>.</w:t>
      </w:r>
      <w:r w:rsidR="00CA6AF2">
        <w:rPr>
          <w:szCs w:val="26"/>
        </w:rPr>
        <w:t xml:space="preserve"> </w:t>
      </w:r>
      <w:r>
        <w:rPr>
          <w:spacing w:val="-3"/>
          <w:szCs w:val="24"/>
        </w:rPr>
        <w:t xml:space="preserve">   </w:t>
      </w:r>
    </w:p>
    <w:p w:rsidR="009C178E" w:rsidRDefault="009C178E" w:rsidP="009C178E">
      <w:pPr>
        <w:autoSpaceDE w:val="0"/>
        <w:autoSpaceDN w:val="0"/>
        <w:adjustRightInd w:val="0"/>
        <w:spacing w:line="360" w:lineRule="auto"/>
        <w:ind w:firstLine="1440"/>
        <w:rPr>
          <w:spacing w:val="-3"/>
          <w:szCs w:val="24"/>
        </w:rPr>
      </w:pPr>
    </w:p>
    <w:p w:rsidR="003A00BC" w:rsidRDefault="00B50E1A" w:rsidP="001C0244">
      <w:pPr>
        <w:keepNext/>
        <w:autoSpaceDE w:val="0"/>
        <w:autoSpaceDN w:val="0"/>
        <w:adjustRightInd w:val="0"/>
        <w:spacing w:line="360" w:lineRule="auto"/>
        <w:jc w:val="center"/>
        <w:rPr>
          <w:b/>
          <w:spacing w:val="-3"/>
          <w:szCs w:val="24"/>
        </w:rPr>
      </w:pPr>
      <w:r w:rsidRPr="00B50E1A">
        <w:rPr>
          <w:b/>
          <w:spacing w:val="-3"/>
          <w:szCs w:val="24"/>
        </w:rPr>
        <w:t>II.</w:t>
      </w:r>
      <w:r w:rsidRPr="00B50E1A">
        <w:rPr>
          <w:b/>
          <w:spacing w:val="-3"/>
          <w:szCs w:val="24"/>
        </w:rPr>
        <w:tab/>
        <w:t>Background</w:t>
      </w:r>
    </w:p>
    <w:p w:rsidR="00B50E1A" w:rsidRDefault="00B50E1A" w:rsidP="001C0244">
      <w:pPr>
        <w:keepNext/>
        <w:autoSpaceDE w:val="0"/>
        <w:autoSpaceDN w:val="0"/>
        <w:adjustRightInd w:val="0"/>
        <w:spacing w:line="360" w:lineRule="auto"/>
        <w:jc w:val="center"/>
        <w:rPr>
          <w:b/>
          <w:spacing w:val="-3"/>
          <w:szCs w:val="24"/>
        </w:rPr>
      </w:pPr>
    </w:p>
    <w:p w:rsidR="00B50E1A" w:rsidRPr="00B50E1A" w:rsidRDefault="00D05FA1" w:rsidP="00B50E1A">
      <w:pPr>
        <w:autoSpaceDE w:val="0"/>
        <w:autoSpaceDN w:val="0"/>
        <w:adjustRightInd w:val="0"/>
        <w:spacing w:line="360" w:lineRule="auto"/>
        <w:rPr>
          <w:b/>
        </w:rPr>
      </w:pPr>
      <w:r>
        <w:rPr>
          <w:b/>
        </w:rPr>
        <w:tab/>
      </w:r>
      <w:r>
        <w:rPr>
          <w:b/>
        </w:rPr>
        <w:tab/>
      </w:r>
      <w:r>
        <w:t xml:space="preserve">At approximately 8:35 p.m. on January 18, 2011, a two-story row home located on a corner lot at 6932 Torresdale Avenue, Philadelphia, Pennsylvania (the </w:t>
      </w:r>
      <w:r w:rsidR="007A5A6E">
        <w:t>P</w:t>
      </w:r>
      <w:r>
        <w:t xml:space="preserve">roperty) was destroyed by a natural gas explosion.  The </w:t>
      </w:r>
      <w:r w:rsidR="00686499">
        <w:t>P</w:t>
      </w:r>
      <w:r>
        <w:t xml:space="preserve">roperty contained a chiropractor’s office on the first floor and two apartments on the second floor.  The </w:t>
      </w:r>
      <w:r w:rsidR="00686499">
        <w:t>P</w:t>
      </w:r>
      <w:r>
        <w:t xml:space="preserve">roperty was leveled when natural gas migrating from a ruptured twelve-inch cast iron main located underground near the intersection of Torresdale Avenue and Disston Street came into contact with an ignition source located in the </w:t>
      </w:r>
      <w:r w:rsidR="00686499">
        <w:t>P</w:t>
      </w:r>
      <w:r>
        <w:t>roperty’s basement.  This incident resulted in the tragic death of a nineteen-year-old PGW employee and injur</w:t>
      </w:r>
      <w:r w:rsidR="00A86D6D">
        <w:t>ies</w:t>
      </w:r>
      <w:r>
        <w:t xml:space="preserve"> of five PGW employees</w:t>
      </w:r>
      <w:r w:rsidR="00AD47D6">
        <w:t>, all of whom were responding to the gas leak that resulted from</w:t>
      </w:r>
      <w:r w:rsidR="00B61D6E">
        <w:t xml:space="preserve"> the broken high pressure main and eventually led to the explosion.</w:t>
      </w:r>
      <w:r w:rsidR="00CA7868">
        <w:t xml:space="preserve"> </w:t>
      </w:r>
      <w:r w:rsidR="00AD47D6">
        <w:t xml:space="preserve"> </w:t>
      </w:r>
      <w:r>
        <w:t>Several surrounding properties</w:t>
      </w:r>
      <w:r w:rsidR="00A86D6D">
        <w:t xml:space="preserve"> and</w:t>
      </w:r>
      <w:r>
        <w:t xml:space="preserve"> six vehicles, including a PGW truck, were also damaged.</w:t>
      </w:r>
      <w:r w:rsidR="00FC3E8F">
        <w:t xml:space="preserve">  Settlement at 4.</w:t>
      </w:r>
      <w:r w:rsidR="00B61D6E">
        <w:t xml:space="preserve">  </w:t>
      </w:r>
      <w:r>
        <w:t xml:space="preserve">  </w:t>
      </w:r>
      <w:r>
        <w:rPr>
          <w:b/>
        </w:rPr>
        <w:t xml:space="preserve"> </w:t>
      </w:r>
    </w:p>
    <w:p w:rsidR="00BC193E" w:rsidRDefault="00BC193E" w:rsidP="00EC4E3D">
      <w:pPr>
        <w:spacing w:line="360" w:lineRule="auto"/>
        <w:ind w:firstLine="1440"/>
      </w:pPr>
    </w:p>
    <w:p w:rsidR="003A5118" w:rsidRDefault="00B61D6E" w:rsidP="00EC4E3D">
      <w:pPr>
        <w:spacing w:line="360" w:lineRule="auto"/>
        <w:ind w:firstLine="1440"/>
      </w:pPr>
      <w:r>
        <w:t xml:space="preserve">Prior to the explosion, at approximately 7:19 p.m., 911 received a call regarding a strong natural gas odor on the 6900 block of Torresdale Avenue.  The PFD responded within two minutes of the call and began </w:t>
      </w:r>
      <w:r w:rsidR="003A5118">
        <w:t xml:space="preserve">immediate evacuations of the </w:t>
      </w:r>
      <w:r w:rsidR="00686499">
        <w:t>P</w:t>
      </w:r>
      <w:r w:rsidR="003A5118">
        <w:t xml:space="preserve">roperty and surrounding buildings.  At approximately 7:23 p.m., the PFD called PGW, and PGW personnel arrived at the scene at approximately 7:38 p.m.  At approximately 7:56 p.m., PGW personnel called for the dispatch of Pressure Force personnel to reduce pressure and cut off main line valves.  </w:t>
      </w:r>
      <w:r w:rsidR="00FC3E8F" w:rsidRPr="00FC3E8F">
        <w:rPr>
          <w:i/>
        </w:rPr>
        <w:t>Id</w:t>
      </w:r>
      <w:r w:rsidR="00FC3E8F">
        <w:t xml:space="preserve">. at 5.  </w:t>
      </w:r>
      <w:r w:rsidR="003A5118">
        <w:t>The explosion occurred at approximately 8:35 p.m.</w:t>
      </w:r>
      <w:r w:rsidR="00FC3E8F">
        <w:t xml:space="preserve">  </w:t>
      </w:r>
      <w:r w:rsidR="00FC3E8F" w:rsidRPr="00FC3E8F">
        <w:rPr>
          <w:i/>
        </w:rPr>
        <w:t>Id</w:t>
      </w:r>
      <w:r w:rsidR="00FC3E8F">
        <w:t xml:space="preserve">. at 6.  </w:t>
      </w:r>
    </w:p>
    <w:p w:rsidR="003A5118" w:rsidRDefault="003A5118" w:rsidP="00EC4E3D">
      <w:pPr>
        <w:spacing w:line="360" w:lineRule="auto"/>
        <w:ind w:firstLine="1440"/>
      </w:pPr>
    </w:p>
    <w:p w:rsidR="00532C56" w:rsidRDefault="003A5118" w:rsidP="00EC4E3D">
      <w:pPr>
        <w:spacing w:line="360" w:lineRule="auto"/>
        <w:ind w:firstLine="1440"/>
      </w:pPr>
      <w:r>
        <w:t xml:space="preserve">At approximately 9:25 p.m., PGW notified the Commission’s </w:t>
      </w:r>
      <w:r w:rsidR="0029399B">
        <w:rPr>
          <w:szCs w:val="24"/>
        </w:rPr>
        <w:t xml:space="preserve">Pipeline Safety Division </w:t>
      </w:r>
      <w:r>
        <w:t xml:space="preserve">Chief and a Commission </w:t>
      </w:r>
      <w:r w:rsidR="0029399B">
        <w:rPr>
          <w:szCs w:val="24"/>
        </w:rPr>
        <w:t xml:space="preserve">Pipeline Safety Division </w:t>
      </w:r>
      <w:r>
        <w:t>Inspector of the explosion.  The Inspector arrived at the scene at approximately 9:40 p.m.</w:t>
      </w:r>
      <w:r w:rsidR="0029399B">
        <w:t xml:space="preserve">  </w:t>
      </w:r>
      <w:r w:rsidR="00532C56">
        <w:t xml:space="preserve">At </w:t>
      </w:r>
      <w:r w:rsidR="00532C56">
        <w:lastRenderedPageBreak/>
        <w:t>approximately 9:48 p.m., PGW Pressure Force completed the closure of the main valves that cut off the flow of natural gas to the broken high pressure main.</w:t>
      </w:r>
      <w:r w:rsidR="00FC3E8F">
        <w:t xml:space="preserve">  </w:t>
      </w:r>
      <w:r w:rsidR="00FC3E8F" w:rsidRPr="00FC3E8F">
        <w:rPr>
          <w:i/>
        </w:rPr>
        <w:t>Id</w:t>
      </w:r>
      <w:r w:rsidR="00FC3E8F">
        <w:t>.</w:t>
      </w:r>
      <w:r w:rsidR="00532C56">
        <w:t xml:space="preserve">  </w:t>
      </w:r>
    </w:p>
    <w:p w:rsidR="00532C56" w:rsidRDefault="00532C56" w:rsidP="00EC4E3D">
      <w:pPr>
        <w:spacing w:line="360" w:lineRule="auto"/>
        <w:ind w:firstLine="1440"/>
      </w:pPr>
    </w:p>
    <w:p w:rsidR="00713CD3" w:rsidRDefault="00713CD3" w:rsidP="00EC4E3D">
      <w:pPr>
        <w:spacing w:line="360" w:lineRule="auto"/>
        <w:ind w:firstLine="1440"/>
      </w:pPr>
      <w:r>
        <w:t xml:space="preserve">Following the incident, the PFD issued a Fire Marshal’s Office Formal Report, dated April 13, 2011, which concluded that the cause of the fire at the </w:t>
      </w:r>
      <w:r w:rsidR="00686499">
        <w:t>P</w:t>
      </w:r>
      <w:r>
        <w:t xml:space="preserve">roperty was an explosion of natural gas vapors, and the ignition source was the glow plug from the fixed heater in the basement of the </w:t>
      </w:r>
      <w:r w:rsidR="00686499">
        <w:t>P</w:t>
      </w:r>
      <w:r>
        <w:t>roperty.</w:t>
      </w:r>
      <w:r w:rsidR="00FC3E8F">
        <w:t xml:space="preserve">  </w:t>
      </w:r>
      <w:r w:rsidR="00FC3E8F" w:rsidRPr="00FC3E8F">
        <w:rPr>
          <w:i/>
        </w:rPr>
        <w:t>Id</w:t>
      </w:r>
      <w:r w:rsidR="00FC3E8F">
        <w:t xml:space="preserve">. at 7.  </w:t>
      </w:r>
      <w:r>
        <w:t xml:space="preserve"> </w:t>
      </w:r>
    </w:p>
    <w:p w:rsidR="00713CD3" w:rsidRDefault="00713CD3" w:rsidP="00EC4E3D">
      <w:pPr>
        <w:spacing w:line="360" w:lineRule="auto"/>
        <w:ind w:firstLine="1440"/>
      </w:pPr>
    </w:p>
    <w:p w:rsidR="00532C56" w:rsidRDefault="00532C56" w:rsidP="00EC4E3D">
      <w:pPr>
        <w:spacing w:line="360" w:lineRule="auto"/>
        <w:ind w:firstLine="1440"/>
      </w:pPr>
      <w:r>
        <w:t xml:space="preserve">I&amp;E Pipeline Safety Division inspectors conducted an investigation that included, but was not limited to, conducting several field investigations, conducting and/or attending interviews of PGW personnel, attending testing and analysis of failed pipe, submission and review of data requests to the Company, requesting and analyzing physical evidence and Company data, meeting with PFD personnel to review accounts and data logs maintained by them, </w:t>
      </w:r>
      <w:r w:rsidR="00713CD3">
        <w:t>photographing the scene, participating in meetings with PGW distribution and legal personnel, review of the PFD Fire Marshal Report, preparation of a written summary and timeline of the incident, and drafting of interim stop-gap measures for PGW in the early stages of the investigation.  Based on the results of its investigation, I&amp;E prepared the Formal Complaint against PGW in this proceeding.</w:t>
      </w:r>
      <w:r w:rsidR="00FC3E8F">
        <w:t xml:space="preserve">  </w:t>
      </w:r>
      <w:r w:rsidR="00FC3E8F" w:rsidRPr="00FC3E8F">
        <w:rPr>
          <w:i/>
        </w:rPr>
        <w:t>Id</w:t>
      </w:r>
      <w:r w:rsidR="00FC3E8F">
        <w:t>.</w:t>
      </w:r>
      <w:r w:rsidR="00713CD3">
        <w:t xml:space="preserve">    </w:t>
      </w:r>
      <w:r>
        <w:t xml:space="preserve">   </w:t>
      </w:r>
    </w:p>
    <w:p w:rsidR="00532C56" w:rsidRDefault="00532C56" w:rsidP="00EC4E3D">
      <w:pPr>
        <w:spacing w:line="360" w:lineRule="auto"/>
        <w:ind w:firstLine="1440"/>
      </w:pPr>
    </w:p>
    <w:p w:rsidR="00532C56" w:rsidRDefault="00532C56" w:rsidP="00EC4E3D">
      <w:pPr>
        <w:spacing w:line="360" w:lineRule="auto"/>
        <w:ind w:firstLine="1440"/>
      </w:pPr>
      <w:r>
        <w:t xml:space="preserve">Following the incident, PGW </w:t>
      </w:r>
      <w:r w:rsidR="00713CD3">
        <w:t xml:space="preserve">also </w:t>
      </w:r>
      <w:r>
        <w:t xml:space="preserve">conducted </w:t>
      </w:r>
      <w:r w:rsidR="00713CD3">
        <w:t>its own</w:t>
      </w:r>
      <w:r>
        <w:t xml:space="preserve"> investigation that included interviews of its employees and a review of its emergency rules and procedures, resulting in improvement and clarification to many of its rules and procedures.  </w:t>
      </w:r>
      <w:r w:rsidR="00FC3E8F" w:rsidRPr="00FC3E8F">
        <w:rPr>
          <w:i/>
        </w:rPr>
        <w:t>Id</w:t>
      </w:r>
      <w:r w:rsidR="00FC3E8F">
        <w:t xml:space="preserve">.  </w:t>
      </w:r>
      <w:r>
        <w:t>PGW also re-trained its emergency personnel and responders on the rules and procedures.</w:t>
      </w:r>
      <w:r w:rsidR="00FC3E8F">
        <w:t xml:space="preserve">  </w:t>
      </w:r>
      <w:r w:rsidR="00FC3E8F" w:rsidRPr="00FC3E8F">
        <w:rPr>
          <w:i/>
        </w:rPr>
        <w:t>Id</w:t>
      </w:r>
      <w:r w:rsidR="00FC3E8F">
        <w:t xml:space="preserve">. at 7-8.  </w:t>
      </w:r>
      <w:r>
        <w:t xml:space="preserve">  </w:t>
      </w:r>
    </w:p>
    <w:p w:rsidR="00CC3DBC" w:rsidRDefault="00CC3DBC" w:rsidP="00911E23">
      <w:pPr>
        <w:spacing w:line="360" w:lineRule="auto"/>
        <w:jc w:val="center"/>
        <w:rPr>
          <w:b/>
        </w:rPr>
      </w:pPr>
    </w:p>
    <w:p w:rsidR="003A00BC" w:rsidRDefault="002C26E3" w:rsidP="00FE23DB">
      <w:pPr>
        <w:pageBreakBefore/>
        <w:spacing w:after="200" w:line="276" w:lineRule="auto"/>
        <w:jc w:val="center"/>
        <w:rPr>
          <w:b/>
        </w:rPr>
      </w:pPr>
      <w:r>
        <w:rPr>
          <w:b/>
        </w:rPr>
        <w:lastRenderedPageBreak/>
        <w:t>II</w:t>
      </w:r>
      <w:r w:rsidR="00CC3DBC">
        <w:rPr>
          <w:b/>
        </w:rPr>
        <w:t>I</w:t>
      </w:r>
      <w:r>
        <w:rPr>
          <w:b/>
        </w:rPr>
        <w:t>.</w:t>
      </w:r>
      <w:r>
        <w:rPr>
          <w:b/>
        </w:rPr>
        <w:tab/>
      </w:r>
      <w:r w:rsidR="00911E23" w:rsidRPr="00911E23">
        <w:rPr>
          <w:b/>
        </w:rPr>
        <w:t>Terms of the Settlement</w:t>
      </w:r>
    </w:p>
    <w:p w:rsidR="00D71EC1" w:rsidRDefault="00D71EC1" w:rsidP="00911E23">
      <w:pPr>
        <w:spacing w:line="360" w:lineRule="auto"/>
        <w:jc w:val="center"/>
        <w:rPr>
          <w:b/>
        </w:rPr>
      </w:pPr>
    </w:p>
    <w:p w:rsidR="00D71EC1" w:rsidRDefault="00B3488D" w:rsidP="000F1E22">
      <w:pPr>
        <w:spacing w:line="360" w:lineRule="auto"/>
      </w:pPr>
      <w:r>
        <w:rPr>
          <w:b/>
        </w:rPr>
        <w:tab/>
      </w:r>
      <w:r>
        <w:rPr>
          <w:b/>
        </w:rPr>
        <w:tab/>
      </w:r>
      <w:r w:rsidR="00DE33F9">
        <w:t xml:space="preserve">PGW </w:t>
      </w:r>
      <w:r>
        <w:t xml:space="preserve">and I&amp;E state that the purpose of the Settlement is to resolve </w:t>
      </w:r>
      <w:r w:rsidR="00DE33F9">
        <w:t xml:space="preserve">I&amp;E’s Formal Complaint at this Docket and to settle </w:t>
      </w:r>
      <w:r>
        <w:t>this matter</w:t>
      </w:r>
      <w:r w:rsidR="00DE33F9">
        <w:t xml:space="preserve"> completely </w:t>
      </w:r>
      <w:r>
        <w:t>without further litigation.</w:t>
      </w:r>
      <w:r w:rsidR="000F1E22">
        <w:t xml:space="preserve">  </w:t>
      </w:r>
      <w:r w:rsidR="00DE33F9">
        <w:t>PGW</w:t>
      </w:r>
      <w:r>
        <w:t xml:space="preserve"> and I&amp;E have agreed </w:t>
      </w:r>
      <w:r w:rsidR="00DE33F9">
        <w:t>to</w:t>
      </w:r>
      <w:r>
        <w:t xml:space="preserve"> the following terms </w:t>
      </w:r>
      <w:r w:rsidR="00DE33F9">
        <w:t>solely for the purposes of this Settlement</w:t>
      </w:r>
      <w:r>
        <w:t>:</w:t>
      </w:r>
      <w:r w:rsidR="00DE33F9">
        <w:t xml:space="preserve">   </w:t>
      </w:r>
      <w:r>
        <w:t xml:space="preserve">  </w:t>
      </w:r>
    </w:p>
    <w:p w:rsidR="005E7F70" w:rsidRDefault="005E7F70" w:rsidP="000F1E22">
      <w:pPr>
        <w:spacing w:line="360" w:lineRule="auto"/>
      </w:pPr>
    </w:p>
    <w:p w:rsidR="008A14B1" w:rsidRPr="008A14B1" w:rsidRDefault="008A14B1" w:rsidP="008A14B1">
      <w:pPr>
        <w:numPr>
          <w:ilvl w:val="0"/>
          <w:numId w:val="13"/>
        </w:numPr>
        <w:tabs>
          <w:tab w:val="left" w:pos="-720"/>
        </w:tabs>
        <w:suppressAutoHyphens/>
        <w:ind w:right="1440"/>
        <w:rPr>
          <w:spacing w:val="-3"/>
          <w:szCs w:val="24"/>
        </w:rPr>
      </w:pPr>
      <w:r w:rsidRPr="008A14B1">
        <w:rPr>
          <w:spacing w:val="-3"/>
          <w:szCs w:val="24"/>
        </w:rPr>
        <w:t xml:space="preserve">PGW will pay to the Commission, by certified check (or other agreed method), a civil settlement amount of $400,000 made </w:t>
      </w:r>
      <w:r>
        <w:rPr>
          <w:spacing w:val="-3"/>
          <w:szCs w:val="24"/>
        </w:rPr>
        <w:t xml:space="preserve">by certified check </w:t>
      </w:r>
      <w:r w:rsidRPr="008A14B1">
        <w:rPr>
          <w:spacing w:val="-3"/>
          <w:szCs w:val="24"/>
        </w:rPr>
        <w:t>to “Commonwealth of Pennsylvania” and presented to the Commission within thirty (30) days of the entered date of the Commission Order approving the Settlement Agreement.  PGW shall not make any claim whatsoever for recovery of any portion of this $400,000 amount in any future proceeding before the Commission; and</w:t>
      </w:r>
    </w:p>
    <w:p w:rsidR="008A14B1" w:rsidRPr="008A14B1" w:rsidRDefault="008A14B1" w:rsidP="008A14B1">
      <w:pPr>
        <w:tabs>
          <w:tab w:val="left" w:pos="-720"/>
        </w:tabs>
        <w:suppressAutoHyphens/>
        <w:ind w:left="1800" w:right="1440"/>
        <w:rPr>
          <w:spacing w:val="-3"/>
          <w:szCs w:val="24"/>
        </w:rPr>
      </w:pPr>
    </w:p>
    <w:p w:rsidR="008A14B1" w:rsidRPr="008A14B1" w:rsidRDefault="008A14B1" w:rsidP="008A14B1">
      <w:pPr>
        <w:numPr>
          <w:ilvl w:val="0"/>
          <w:numId w:val="13"/>
        </w:numPr>
        <w:tabs>
          <w:tab w:val="left" w:pos="-720"/>
        </w:tabs>
        <w:suppressAutoHyphens/>
        <w:ind w:right="1440"/>
        <w:rPr>
          <w:spacing w:val="-3"/>
          <w:szCs w:val="24"/>
        </w:rPr>
      </w:pPr>
      <w:r w:rsidRPr="008A14B1">
        <w:rPr>
          <w:spacing w:val="-3"/>
          <w:szCs w:val="24"/>
        </w:rPr>
        <w:t>PGW will contribute $100,000 within one (1) year of the issuance of the Commission’s Order approving th</w:t>
      </w:r>
      <w:r>
        <w:rPr>
          <w:spacing w:val="-3"/>
          <w:szCs w:val="24"/>
        </w:rPr>
        <w:t>is</w:t>
      </w:r>
      <w:r w:rsidRPr="008A14B1">
        <w:rPr>
          <w:spacing w:val="-3"/>
          <w:szCs w:val="24"/>
        </w:rPr>
        <w:t xml:space="preserve"> Settlement Agreement</w:t>
      </w:r>
      <w:r>
        <w:rPr>
          <w:spacing w:val="-3"/>
          <w:szCs w:val="24"/>
        </w:rPr>
        <w:t>,</w:t>
      </w:r>
      <w:r w:rsidRPr="008A14B1">
        <w:rPr>
          <w:spacing w:val="-3"/>
          <w:szCs w:val="24"/>
        </w:rPr>
        <w:t xml:space="preserve"> to the existing smoke alarm program operated by the Fire Prevention Division of the PFD.  This program is operated in partnership with The Citizens for Fire Prevention Committee (“CFPC”), a non-profit corporation formed by the PFD for education and fundraising.  This continuing program is funded by donations to CFPC.  PGW has not previously provided funds to this program.</w:t>
      </w:r>
    </w:p>
    <w:p w:rsidR="008A14B1" w:rsidRPr="008A14B1" w:rsidRDefault="008A14B1" w:rsidP="00D71EC1">
      <w:pPr>
        <w:spacing w:line="360" w:lineRule="auto"/>
      </w:pPr>
    </w:p>
    <w:p w:rsidR="008A14B1" w:rsidRDefault="00247997" w:rsidP="00494356">
      <w:pPr>
        <w:spacing w:line="360" w:lineRule="auto"/>
      </w:pPr>
      <w:r>
        <w:t xml:space="preserve">Settlement at 20-21.  </w:t>
      </w:r>
    </w:p>
    <w:p w:rsidR="00247997" w:rsidRDefault="00247997" w:rsidP="00494356">
      <w:pPr>
        <w:spacing w:line="360" w:lineRule="auto"/>
      </w:pPr>
    </w:p>
    <w:p w:rsidR="00651B69" w:rsidRDefault="00247997" w:rsidP="00494356">
      <w:pPr>
        <w:spacing w:line="360" w:lineRule="auto"/>
      </w:pPr>
      <w:r>
        <w:tab/>
      </w:r>
      <w:r>
        <w:tab/>
        <w:t xml:space="preserve">In addition to this monetary allocation, PGW had implemented, or agreed to implement in the future, certain modifications to its operating procedures (Operational Modifications) to address the relief I&amp;E sought in its Complaint.  </w:t>
      </w:r>
      <w:r w:rsidR="00651B69">
        <w:t xml:space="preserve">The specific details regarding the Operational Modifications are set forth in Appendix A of the Settlement.  </w:t>
      </w:r>
      <w:r>
        <w:lastRenderedPageBreak/>
        <w:t>In summary, the Operational Modifications that have been made, or, with respect to items n. and s., will be made by PGW</w:t>
      </w:r>
      <w:r w:rsidR="00AA68D8">
        <w:t>,</w:t>
      </w:r>
      <w:r>
        <w:t xml:space="preserve"> include the following:</w:t>
      </w:r>
    </w:p>
    <w:p w:rsidR="00651B69" w:rsidRDefault="00651B69" w:rsidP="00494356">
      <w:pPr>
        <w:spacing w:line="360" w:lineRule="auto"/>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re-qualified all work crews as to PGW’s procedures for not entering a building when more than 40% LEL is discovered inside the building</w:t>
      </w:r>
      <w:r w:rsidR="008832C4">
        <w:rPr>
          <w:spacing w:val="-3"/>
          <w:szCs w:val="24"/>
        </w:rPr>
        <w:t xml:space="preserve"> (</w:t>
      </w:r>
      <w:r w:rsidR="008832C4" w:rsidRPr="008832C4">
        <w:rPr>
          <w:i/>
          <w:spacing w:val="-3"/>
          <w:szCs w:val="24"/>
        </w:rPr>
        <w:t>see</w:t>
      </w:r>
      <w:r w:rsidR="008832C4">
        <w:rPr>
          <w:spacing w:val="-3"/>
          <w:szCs w:val="24"/>
        </w:rPr>
        <w:t xml:space="preserve"> Appendix A-1)</w:t>
      </w:r>
      <w:r w:rsidRPr="008F0344">
        <w:rPr>
          <w:spacing w:val="-3"/>
          <w:szCs w:val="24"/>
        </w:rPr>
        <w:t>;</w:t>
      </w:r>
    </w:p>
    <w:p w:rsidR="008832C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revised a written procedure that establishes the parameters and steps needed to be taken by PGW field supervisors in notifying the electric utility to shut-off the electric power during emergency situations</w:t>
      </w:r>
      <w:r w:rsidR="008832C4">
        <w:rPr>
          <w:spacing w:val="-3"/>
          <w:szCs w:val="24"/>
        </w:rPr>
        <w:t xml:space="preserve"> (</w:t>
      </w:r>
      <w:r w:rsidR="008832C4" w:rsidRPr="008832C4">
        <w:rPr>
          <w:i/>
          <w:spacing w:val="-3"/>
          <w:szCs w:val="24"/>
        </w:rPr>
        <w:t>see</w:t>
      </w:r>
      <w:r w:rsidR="008832C4">
        <w:rPr>
          <w:spacing w:val="-3"/>
          <w:szCs w:val="24"/>
        </w:rPr>
        <w:t xml:space="preserve"> Appendix A-2)</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coordinated a meeting between PGW, PECO Electric, and PFD to address the electric power shut-off procedure, as set forth in the preceding paragraph</w:t>
      </w:r>
      <w:r w:rsidR="008832C4">
        <w:rPr>
          <w:spacing w:val="-3"/>
          <w:szCs w:val="24"/>
        </w:rPr>
        <w:t xml:space="preserve"> (</w:t>
      </w:r>
      <w:r w:rsidR="008832C4" w:rsidRPr="008832C4">
        <w:rPr>
          <w:i/>
          <w:spacing w:val="-3"/>
          <w:szCs w:val="24"/>
        </w:rPr>
        <w:t xml:space="preserve">see </w:t>
      </w:r>
      <w:r w:rsidR="008832C4">
        <w:rPr>
          <w:spacing w:val="-3"/>
          <w:szCs w:val="24"/>
        </w:rPr>
        <w:t>Appendix A-3)</w:t>
      </w:r>
      <w:r w:rsidRPr="008F0344">
        <w:rPr>
          <w:spacing w:val="-3"/>
          <w:szCs w:val="24"/>
        </w:rPr>
        <w:t>;</w:t>
      </w:r>
    </w:p>
    <w:p w:rsidR="001A433C" w:rsidRDefault="001A433C" w:rsidP="001A433C">
      <w:pPr>
        <w:pStyle w:val="ListParagraph"/>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revised its written procedures by reflecting in a bulletin existing minimum training criteria and operator qualifications for work crew members that respond to emergency situations, which had formerly been reflected in its Operator Qualification training materials</w:t>
      </w:r>
      <w:r w:rsidR="008832C4">
        <w:rPr>
          <w:spacing w:val="-3"/>
          <w:szCs w:val="24"/>
        </w:rPr>
        <w:t xml:space="preserve"> (</w:t>
      </w:r>
      <w:r w:rsidR="008832C4" w:rsidRPr="008832C4">
        <w:rPr>
          <w:i/>
          <w:spacing w:val="-3"/>
          <w:szCs w:val="24"/>
        </w:rPr>
        <w:t>see</w:t>
      </w:r>
      <w:r w:rsidR="008832C4">
        <w:rPr>
          <w:spacing w:val="-3"/>
          <w:szCs w:val="24"/>
        </w:rPr>
        <w:t xml:space="preserve"> Appendix A-4)</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retrained and re-qualified all work crews as to personal protection equipment needed to be worn and equipment required at an excavation site and for emergency response</w:t>
      </w:r>
      <w:r w:rsidR="008832C4">
        <w:rPr>
          <w:spacing w:val="-3"/>
          <w:szCs w:val="24"/>
        </w:rPr>
        <w:t xml:space="preserve"> (</w:t>
      </w:r>
      <w:r w:rsidR="008832C4" w:rsidRPr="008832C4">
        <w:rPr>
          <w:i/>
          <w:spacing w:val="-3"/>
          <w:szCs w:val="24"/>
        </w:rPr>
        <w:t>see</w:t>
      </w:r>
      <w:r w:rsidR="008832C4">
        <w:rPr>
          <w:spacing w:val="-3"/>
          <w:szCs w:val="24"/>
        </w:rPr>
        <w:t xml:space="preserve"> Appendix A-5)</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revised its emergency procedures to describe how and when an Incident Command System is established, retrained all emergency responders and field supervisors to address the Incident Command System and coordinated a meeting between PGW and the PFD to review Incident Command requirements</w:t>
      </w:r>
      <w:r w:rsidR="008832C4">
        <w:rPr>
          <w:spacing w:val="-3"/>
          <w:szCs w:val="24"/>
        </w:rPr>
        <w:t xml:space="preserve"> (</w:t>
      </w:r>
      <w:r w:rsidR="008832C4" w:rsidRPr="008832C4">
        <w:rPr>
          <w:i/>
          <w:spacing w:val="-3"/>
          <w:szCs w:val="24"/>
        </w:rPr>
        <w:t>see</w:t>
      </w:r>
      <w:r w:rsidR="008832C4">
        <w:rPr>
          <w:spacing w:val="-3"/>
          <w:szCs w:val="24"/>
        </w:rPr>
        <w:t xml:space="preserve"> Appendix A-6)</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 xml:space="preserve">PGW has revised its written procedures by reflecting in a bulletin its existing risk management policy of establishing a PGW liaison to maintain constant communication with the </w:t>
      </w:r>
      <w:r w:rsidRPr="008F0344">
        <w:rPr>
          <w:spacing w:val="-3"/>
          <w:szCs w:val="24"/>
        </w:rPr>
        <w:lastRenderedPageBreak/>
        <w:t>Commission Gas Safety Inspectors on site during a reportable incident investigation</w:t>
      </w:r>
      <w:r w:rsidR="008832C4">
        <w:rPr>
          <w:spacing w:val="-3"/>
          <w:szCs w:val="24"/>
        </w:rPr>
        <w:t xml:space="preserve"> (</w:t>
      </w:r>
      <w:r w:rsidR="008832C4" w:rsidRPr="008832C4">
        <w:rPr>
          <w:i/>
          <w:spacing w:val="-3"/>
          <w:szCs w:val="24"/>
        </w:rPr>
        <w:t>see</w:t>
      </w:r>
      <w:r w:rsidR="008832C4">
        <w:rPr>
          <w:spacing w:val="-3"/>
          <w:szCs w:val="24"/>
        </w:rPr>
        <w:t xml:space="preserve"> Appendix A-7)</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revised its existing procedures to expedite the dispatch of qualified pressure force personnel when an incident involves or is suspected of involving a high pressure (10-35 psig) main</w:t>
      </w:r>
      <w:r w:rsidR="008832C4">
        <w:rPr>
          <w:spacing w:val="-3"/>
          <w:szCs w:val="24"/>
        </w:rPr>
        <w:t xml:space="preserve"> (</w:t>
      </w:r>
      <w:r w:rsidR="008832C4" w:rsidRPr="008832C4">
        <w:rPr>
          <w:i/>
          <w:spacing w:val="-3"/>
          <w:szCs w:val="24"/>
        </w:rPr>
        <w:t>see</w:t>
      </w:r>
      <w:r w:rsidR="008832C4">
        <w:rPr>
          <w:spacing w:val="-3"/>
          <w:szCs w:val="24"/>
        </w:rPr>
        <w:t xml:space="preserve"> Appendix A-8)</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verified that it will continue to follow its policy of annually inspecting all main control valves and street regulator stations valves, continuing to identify all non-operable emergency valves and continuing to provide a schedule to make such valves operable</w:t>
      </w:r>
      <w:r w:rsidR="008832C4">
        <w:rPr>
          <w:spacing w:val="-3"/>
          <w:szCs w:val="24"/>
        </w:rPr>
        <w:t xml:space="preserve"> (</w:t>
      </w:r>
      <w:r w:rsidR="008832C4" w:rsidRPr="008832C4">
        <w:rPr>
          <w:i/>
          <w:spacing w:val="-3"/>
          <w:szCs w:val="24"/>
        </w:rPr>
        <w:t>see</w:t>
      </w:r>
      <w:r w:rsidR="008832C4">
        <w:rPr>
          <w:spacing w:val="-3"/>
          <w:szCs w:val="24"/>
        </w:rPr>
        <w:t xml:space="preserve"> Appendix A-9)</w:t>
      </w:r>
      <w:r w:rsidRPr="008F0344">
        <w:rPr>
          <w:spacing w:val="-3"/>
          <w:szCs w:val="24"/>
        </w:rPr>
        <w:t>;</w:t>
      </w: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revised its existing written procedure that establishes a safety perimeter for leak investigations and emergency response and has re-qualified PGW emergency responders and field supervisors as to these procedures</w:t>
      </w:r>
      <w:r w:rsidR="008832C4">
        <w:rPr>
          <w:spacing w:val="-3"/>
          <w:szCs w:val="24"/>
        </w:rPr>
        <w:t xml:space="preserve"> (</w:t>
      </w:r>
      <w:r w:rsidR="008832C4" w:rsidRPr="008832C4">
        <w:rPr>
          <w:i/>
          <w:spacing w:val="-3"/>
          <w:szCs w:val="24"/>
        </w:rPr>
        <w:t>see</w:t>
      </w:r>
      <w:r w:rsidR="008832C4">
        <w:rPr>
          <w:spacing w:val="-3"/>
          <w:szCs w:val="24"/>
        </w:rPr>
        <w:t xml:space="preserve"> Appendix A-10)</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revised its written procedure to require appropriate categories of PGW emergency responders and field supervisors to receive National Incident Management System (“NIMS”) training and a schedule of this training</w:t>
      </w:r>
      <w:r w:rsidR="008832C4">
        <w:rPr>
          <w:spacing w:val="-3"/>
          <w:szCs w:val="24"/>
        </w:rPr>
        <w:t xml:space="preserve"> (</w:t>
      </w:r>
      <w:r w:rsidR="008832C4" w:rsidRPr="008832C4">
        <w:rPr>
          <w:i/>
          <w:spacing w:val="-3"/>
          <w:szCs w:val="24"/>
        </w:rPr>
        <w:t>see</w:t>
      </w:r>
      <w:r w:rsidR="008832C4">
        <w:rPr>
          <w:spacing w:val="-3"/>
          <w:szCs w:val="24"/>
        </w:rPr>
        <w:t xml:space="preserve"> Appendix A-11)</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revised its existing written procedure to include information on how to recognize a controllable and non-controllable incident and appropriate actions that should be taken</w:t>
      </w:r>
      <w:r w:rsidR="008832C4">
        <w:rPr>
          <w:spacing w:val="-3"/>
          <w:szCs w:val="24"/>
        </w:rPr>
        <w:t xml:space="preserve"> (</w:t>
      </w:r>
      <w:r w:rsidR="008832C4" w:rsidRPr="008832C4">
        <w:rPr>
          <w:i/>
          <w:spacing w:val="-3"/>
          <w:szCs w:val="24"/>
        </w:rPr>
        <w:t>see</w:t>
      </w:r>
      <w:r w:rsidR="008832C4">
        <w:rPr>
          <w:spacing w:val="-3"/>
          <w:szCs w:val="24"/>
        </w:rPr>
        <w:t xml:space="preserve"> Appendix A-12)</w:t>
      </w:r>
      <w:r w:rsidRPr="008F0344">
        <w:rPr>
          <w:spacing w:val="-3"/>
          <w:szCs w:val="24"/>
        </w:rPr>
        <w:t>;</w:t>
      </w:r>
    </w:p>
    <w:p w:rsidR="008832C4" w:rsidRPr="008F0344" w:rsidRDefault="008832C4" w:rsidP="008832C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has re-qualified all work crews, emergency responders and field supervisors as to protecting the public, PGW workers, and property during emergencies, with emphasis on the requirements that responders not enter a building with 40% LEL or higher</w:t>
      </w:r>
      <w:r w:rsidR="00702C64">
        <w:rPr>
          <w:spacing w:val="-3"/>
          <w:szCs w:val="24"/>
        </w:rPr>
        <w:t xml:space="preserve"> (</w:t>
      </w:r>
      <w:r w:rsidR="00702C64" w:rsidRPr="008832C4">
        <w:rPr>
          <w:i/>
          <w:spacing w:val="-3"/>
          <w:szCs w:val="24"/>
        </w:rPr>
        <w:t>see</w:t>
      </w:r>
      <w:r w:rsidR="00702C64">
        <w:rPr>
          <w:spacing w:val="-3"/>
          <w:szCs w:val="24"/>
        </w:rPr>
        <w:t xml:space="preserve"> Appendix A-13)</w:t>
      </w:r>
      <w:r w:rsidRPr="008F0344">
        <w:rPr>
          <w:spacing w:val="-3"/>
          <w:szCs w:val="24"/>
        </w:rPr>
        <w:t>;</w:t>
      </w:r>
    </w:p>
    <w:p w:rsidR="00702C64" w:rsidRPr="008F0344" w:rsidRDefault="00702C64" w:rsidP="00702C64">
      <w:pPr>
        <w:tabs>
          <w:tab w:val="left" w:pos="-720"/>
        </w:tabs>
        <w:suppressAutoHyphens/>
        <w:ind w:left="1440" w:right="1440"/>
        <w:rPr>
          <w:spacing w:val="-3"/>
          <w:szCs w:val="24"/>
        </w:rPr>
      </w:pPr>
    </w:p>
    <w:p w:rsidR="008F0344" w:rsidRDefault="008F0344" w:rsidP="008F0344">
      <w:pPr>
        <w:numPr>
          <w:ilvl w:val="0"/>
          <w:numId w:val="14"/>
        </w:numPr>
        <w:tabs>
          <w:tab w:val="left" w:pos="-720"/>
        </w:tabs>
        <w:suppressAutoHyphens/>
        <w:ind w:right="1440"/>
        <w:rPr>
          <w:spacing w:val="-3"/>
          <w:szCs w:val="24"/>
        </w:rPr>
      </w:pPr>
      <w:r w:rsidRPr="008F0344">
        <w:rPr>
          <w:spacing w:val="-3"/>
          <w:szCs w:val="24"/>
        </w:rPr>
        <w:t>PGW is revising its written procedures to define and distinguish ventilating a building from ventilating a street and to stop ventilating when a building has gas at or above the explosive range</w:t>
      </w:r>
      <w:r w:rsidR="00702C64">
        <w:rPr>
          <w:spacing w:val="-3"/>
          <w:szCs w:val="24"/>
        </w:rPr>
        <w:t xml:space="preserve"> </w:t>
      </w:r>
      <w:r w:rsidR="00702C64" w:rsidRPr="00702C64">
        <w:rPr>
          <w:spacing w:val="-3"/>
          <w:szCs w:val="24"/>
        </w:rPr>
        <w:t>(</w:t>
      </w:r>
      <w:r w:rsidR="00702C64" w:rsidRPr="00702C64">
        <w:rPr>
          <w:i/>
          <w:spacing w:val="-3"/>
          <w:szCs w:val="24"/>
        </w:rPr>
        <w:t>see</w:t>
      </w:r>
      <w:r w:rsidR="00702C64" w:rsidRPr="00702C64">
        <w:rPr>
          <w:spacing w:val="-3"/>
          <w:szCs w:val="24"/>
        </w:rPr>
        <w:t xml:space="preserve"> Appendix A-</w:t>
      </w:r>
      <w:r w:rsidR="00702C64">
        <w:rPr>
          <w:spacing w:val="-3"/>
          <w:szCs w:val="24"/>
        </w:rPr>
        <w:t>14</w:t>
      </w:r>
      <w:r w:rsidR="00702C64" w:rsidRPr="00702C64">
        <w:rPr>
          <w:spacing w:val="-3"/>
          <w:szCs w:val="24"/>
        </w:rPr>
        <w:t>)</w:t>
      </w:r>
      <w:r w:rsidRPr="008F0344">
        <w:rPr>
          <w:spacing w:val="-3"/>
          <w:szCs w:val="24"/>
        </w:rPr>
        <w:t>;</w:t>
      </w:r>
    </w:p>
    <w:p w:rsidR="00702C64" w:rsidRPr="008F0344" w:rsidRDefault="00702C64" w:rsidP="00702C64">
      <w:pPr>
        <w:tabs>
          <w:tab w:val="left" w:pos="-720"/>
        </w:tabs>
        <w:suppressAutoHyphens/>
        <w:ind w:left="1440" w:right="1440"/>
        <w:rPr>
          <w:spacing w:val="-3"/>
          <w:szCs w:val="24"/>
        </w:rPr>
      </w:pPr>
    </w:p>
    <w:p w:rsidR="00702C64" w:rsidRDefault="00702C64" w:rsidP="00702C64">
      <w:pPr>
        <w:tabs>
          <w:tab w:val="left" w:pos="-720"/>
        </w:tabs>
        <w:suppressAutoHyphens/>
        <w:ind w:left="1800" w:right="1440" w:hanging="360"/>
        <w:rPr>
          <w:spacing w:val="-3"/>
          <w:szCs w:val="24"/>
        </w:rPr>
      </w:pPr>
      <w:r>
        <w:rPr>
          <w:spacing w:val="-3"/>
          <w:szCs w:val="24"/>
        </w:rPr>
        <w:t>o.</w:t>
      </w:r>
      <w:r>
        <w:rPr>
          <w:spacing w:val="-3"/>
          <w:szCs w:val="24"/>
        </w:rPr>
        <w:tab/>
      </w:r>
      <w:r w:rsidR="008F0344" w:rsidRPr="00702C64">
        <w:rPr>
          <w:spacing w:val="-3"/>
          <w:szCs w:val="24"/>
        </w:rPr>
        <w:t>PGW has reviewed and modified its written procedures to require Pressure Force to respond to:</w:t>
      </w:r>
      <w:r>
        <w:rPr>
          <w:spacing w:val="-3"/>
          <w:szCs w:val="24"/>
        </w:rPr>
        <w:t xml:space="preserve">  (a) </w:t>
      </w:r>
      <w:r w:rsidR="008F0344" w:rsidRPr="00702C64">
        <w:rPr>
          <w:spacing w:val="-3"/>
          <w:szCs w:val="24"/>
        </w:rPr>
        <w:t xml:space="preserve">Every “Prospect </w:t>
      </w:r>
      <w:r w:rsidR="008F0344" w:rsidRPr="00702C64">
        <w:rPr>
          <w:spacing w:val="-3"/>
          <w:szCs w:val="24"/>
        </w:rPr>
        <w:lastRenderedPageBreak/>
        <w:t>Emergency” (high priority) leak or odor complaint call/report which is located on a street block where there is a high pressure main (above 10 psig) installed;</w:t>
      </w:r>
      <w:r>
        <w:rPr>
          <w:spacing w:val="-3"/>
          <w:szCs w:val="24"/>
        </w:rPr>
        <w:t xml:space="preserve"> or (b) f</w:t>
      </w:r>
      <w:r w:rsidR="008F0344" w:rsidRPr="008F0344">
        <w:rPr>
          <w:spacing w:val="-3"/>
          <w:szCs w:val="24"/>
        </w:rPr>
        <w:t>or all other leaks or odor complaint calls/reports, where a PGW emergency responder believes that a high pressure main is or could be involved</w:t>
      </w:r>
      <w:r>
        <w:rPr>
          <w:spacing w:val="-3"/>
          <w:szCs w:val="24"/>
        </w:rPr>
        <w:t xml:space="preserve"> (</w:t>
      </w:r>
      <w:r w:rsidRPr="008832C4">
        <w:rPr>
          <w:i/>
          <w:spacing w:val="-3"/>
          <w:szCs w:val="24"/>
        </w:rPr>
        <w:t>see</w:t>
      </w:r>
      <w:r>
        <w:rPr>
          <w:spacing w:val="-3"/>
          <w:szCs w:val="24"/>
        </w:rPr>
        <w:t xml:space="preserve"> Appendix A-15);</w:t>
      </w:r>
    </w:p>
    <w:p w:rsidR="00702C64" w:rsidRDefault="00702C64" w:rsidP="00702C64">
      <w:pPr>
        <w:tabs>
          <w:tab w:val="left" w:pos="-720"/>
        </w:tabs>
        <w:suppressAutoHyphens/>
        <w:ind w:left="1800" w:right="1440" w:hanging="360"/>
        <w:rPr>
          <w:spacing w:val="-3"/>
          <w:szCs w:val="24"/>
        </w:rPr>
      </w:pPr>
    </w:p>
    <w:p w:rsidR="00702C64" w:rsidRDefault="00702C64" w:rsidP="00702C64">
      <w:pPr>
        <w:tabs>
          <w:tab w:val="left" w:pos="-720"/>
        </w:tabs>
        <w:suppressAutoHyphens/>
        <w:ind w:left="1800" w:right="1440" w:hanging="360"/>
        <w:rPr>
          <w:spacing w:val="-3"/>
          <w:szCs w:val="24"/>
        </w:rPr>
      </w:pPr>
      <w:r>
        <w:rPr>
          <w:spacing w:val="-3"/>
          <w:szCs w:val="24"/>
        </w:rPr>
        <w:t>p.</w:t>
      </w:r>
      <w:r>
        <w:rPr>
          <w:spacing w:val="-3"/>
          <w:szCs w:val="24"/>
        </w:rPr>
        <w:tab/>
      </w:r>
      <w:r w:rsidR="008F0344" w:rsidRPr="008F0344">
        <w:rPr>
          <w:spacing w:val="-3"/>
          <w:szCs w:val="24"/>
        </w:rPr>
        <w:t>PGW has reviewed its Operator Qualification Program to determine whether its program required modification to address issues described above</w:t>
      </w:r>
      <w:r>
        <w:rPr>
          <w:spacing w:val="-3"/>
          <w:szCs w:val="24"/>
        </w:rPr>
        <w:t xml:space="preserve"> (</w:t>
      </w:r>
      <w:r w:rsidRPr="008832C4">
        <w:rPr>
          <w:i/>
          <w:spacing w:val="-3"/>
          <w:szCs w:val="24"/>
        </w:rPr>
        <w:t>see</w:t>
      </w:r>
      <w:r>
        <w:rPr>
          <w:spacing w:val="-3"/>
          <w:szCs w:val="24"/>
        </w:rPr>
        <w:t xml:space="preserve"> Appendix A-16)</w:t>
      </w:r>
      <w:r w:rsidR="008F0344" w:rsidRPr="008F0344">
        <w:rPr>
          <w:spacing w:val="-3"/>
          <w:szCs w:val="24"/>
        </w:rPr>
        <w:t>;</w:t>
      </w:r>
    </w:p>
    <w:p w:rsidR="00702C64" w:rsidRDefault="00702C64" w:rsidP="00702C64">
      <w:pPr>
        <w:tabs>
          <w:tab w:val="left" w:pos="-720"/>
        </w:tabs>
        <w:suppressAutoHyphens/>
        <w:ind w:left="1800" w:right="1440" w:hanging="360"/>
        <w:rPr>
          <w:spacing w:val="-3"/>
          <w:szCs w:val="24"/>
        </w:rPr>
      </w:pPr>
    </w:p>
    <w:p w:rsidR="00702C64" w:rsidRDefault="00702C64" w:rsidP="00702C64">
      <w:pPr>
        <w:tabs>
          <w:tab w:val="left" w:pos="-720"/>
        </w:tabs>
        <w:suppressAutoHyphens/>
        <w:ind w:left="1800" w:right="1440" w:hanging="360"/>
        <w:rPr>
          <w:spacing w:val="-3"/>
          <w:szCs w:val="24"/>
        </w:rPr>
      </w:pPr>
      <w:r>
        <w:rPr>
          <w:spacing w:val="-3"/>
          <w:szCs w:val="24"/>
        </w:rPr>
        <w:t xml:space="preserve">q.  </w:t>
      </w:r>
      <w:r w:rsidR="008F0344" w:rsidRPr="008F0344">
        <w:rPr>
          <w:spacing w:val="-3"/>
          <w:szCs w:val="24"/>
        </w:rPr>
        <w:t>PGW has modified its emergency procedures to include a section related to “blowing gas”</w:t>
      </w:r>
      <w:r w:rsidRPr="00702C64">
        <w:rPr>
          <w:spacing w:val="-3"/>
          <w:szCs w:val="24"/>
        </w:rPr>
        <w:t xml:space="preserve"> </w:t>
      </w:r>
      <w:r>
        <w:rPr>
          <w:spacing w:val="-3"/>
          <w:szCs w:val="24"/>
        </w:rPr>
        <w:t>(</w:t>
      </w:r>
      <w:r w:rsidRPr="008832C4">
        <w:rPr>
          <w:i/>
          <w:spacing w:val="-3"/>
          <w:szCs w:val="24"/>
        </w:rPr>
        <w:t>see</w:t>
      </w:r>
      <w:r>
        <w:rPr>
          <w:spacing w:val="-3"/>
          <w:szCs w:val="24"/>
        </w:rPr>
        <w:t xml:space="preserve"> Appendix A-17)</w:t>
      </w:r>
      <w:r w:rsidR="008F0344" w:rsidRPr="008F0344">
        <w:rPr>
          <w:spacing w:val="-3"/>
          <w:szCs w:val="24"/>
        </w:rPr>
        <w:t>;</w:t>
      </w:r>
    </w:p>
    <w:p w:rsidR="00702C64" w:rsidRDefault="00702C64" w:rsidP="00702C64">
      <w:pPr>
        <w:tabs>
          <w:tab w:val="left" w:pos="-720"/>
        </w:tabs>
        <w:suppressAutoHyphens/>
        <w:ind w:left="1800" w:right="1440" w:hanging="360"/>
        <w:rPr>
          <w:spacing w:val="-3"/>
          <w:szCs w:val="24"/>
        </w:rPr>
      </w:pPr>
      <w:r>
        <w:rPr>
          <w:spacing w:val="-3"/>
          <w:szCs w:val="24"/>
        </w:rPr>
        <w:t>r.</w:t>
      </w:r>
      <w:r>
        <w:rPr>
          <w:spacing w:val="-3"/>
          <w:szCs w:val="24"/>
        </w:rPr>
        <w:tab/>
      </w:r>
      <w:r w:rsidR="008F0344" w:rsidRPr="008F0344">
        <w:rPr>
          <w:spacing w:val="-3"/>
          <w:szCs w:val="24"/>
        </w:rPr>
        <w:t>PGW has re-trained its Pressure Force work crews regarding the use of critical valves</w:t>
      </w:r>
      <w:r>
        <w:rPr>
          <w:spacing w:val="-3"/>
          <w:szCs w:val="24"/>
        </w:rPr>
        <w:t xml:space="preserve"> (</w:t>
      </w:r>
      <w:r w:rsidRPr="008832C4">
        <w:rPr>
          <w:i/>
          <w:spacing w:val="-3"/>
          <w:szCs w:val="24"/>
        </w:rPr>
        <w:t>see</w:t>
      </w:r>
      <w:r>
        <w:rPr>
          <w:spacing w:val="-3"/>
          <w:szCs w:val="24"/>
        </w:rPr>
        <w:t xml:space="preserve"> Appendix A-18)</w:t>
      </w:r>
      <w:r w:rsidR="008F0344" w:rsidRPr="008F0344">
        <w:rPr>
          <w:spacing w:val="-3"/>
          <w:szCs w:val="24"/>
        </w:rPr>
        <w:t>; and</w:t>
      </w:r>
    </w:p>
    <w:p w:rsidR="00702C64" w:rsidRDefault="00702C64" w:rsidP="00702C64">
      <w:pPr>
        <w:tabs>
          <w:tab w:val="left" w:pos="-720"/>
        </w:tabs>
        <w:suppressAutoHyphens/>
        <w:ind w:left="1800" w:right="1440" w:hanging="360"/>
        <w:rPr>
          <w:spacing w:val="-3"/>
          <w:szCs w:val="24"/>
        </w:rPr>
      </w:pPr>
    </w:p>
    <w:p w:rsidR="008F0344" w:rsidRPr="008F0344" w:rsidRDefault="00702C64" w:rsidP="00702C64">
      <w:pPr>
        <w:tabs>
          <w:tab w:val="left" w:pos="-720"/>
        </w:tabs>
        <w:suppressAutoHyphens/>
        <w:ind w:left="1800" w:right="1440" w:hanging="360"/>
        <w:rPr>
          <w:spacing w:val="-3"/>
          <w:szCs w:val="24"/>
        </w:rPr>
      </w:pPr>
      <w:r>
        <w:rPr>
          <w:spacing w:val="-3"/>
          <w:szCs w:val="24"/>
        </w:rPr>
        <w:t>s.</w:t>
      </w:r>
      <w:r>
        <w:rPr>
          <w:spacing w:val="-3"/>
          <w:szCs w:val="24"/>
        </w:rPr>
        <w:tab/>
      </w:r>
      <w:r w:rsidR="008F0344" w:rsidRPr="008F0344">
        <w:rPr>
          <w:spacing w:val="-3"/>
          <w:szCs w:val="24"/>
        </w:rPr>
        <w:t>PGW will confirm to the Commission within sixty (60) days of the date of the Order approving the Settlement Agreement that it has consolidated emergency procedures into one manual that covers responsibilities for all departments involved</w:t>
      </w:r>
      <w:r>
        <w:rPr>
          <w:spacing w:val="-3"/>
          <w:szCs w:val="24"/>
        </w:rPr>
        <w:t xml:space="preserve"> (</w:t>
      </w:r>
      <w:r w:rsidRPr="008832C4">
        <w:rPr>
          <w:i/>
          <w:spacing w:val="-3"/>
          <w:szCs w:val="24"/>
        </w:rPr>
        <w:t>see</w:t>
      </w:r>
      <w:r>
        <w:rPr>
          <w:spacing w:val="-3"/>
          <w:szCs w:val="24"/>
        </w:rPr>
        <w:t xml:space="preserve"> Appendix A-19)</w:t>
      </w:r>
      <w:r w:rsidR="008F0344" w:rsidRPr="008F0344">
        <w:rPr>
          <w:spacing w:val="-3"/>
          <w:szCs w:val="24"/>
        </w:rPr>
        <w:t>.</w:t>
      </w:r>
    </w:p>
    <w:p w:rsidR="008F0344" w:rsidRDefault="008F0344" w:rsidP="008F0344">
      <w:pPr>
        <w:tabs>
          <w:tab w:val="left" w:pos="-720"/>
        </w:tabs>
        <w:suppressAutoHyphens/>
        <w:ind w:left="1440" w:right="1440"/>
        <w:rPr>
          <w:spacing w:val="-3"/>
          <w:szCs w:val="24"/>
        </w:rPr>
      </w:pPr>
    </w:p>
    <w:p w:rsidR="00095521" w:rsidRDefault="00D9311C" w:rsidP="00A9619B">
      <w:pPr>
        <w:tabs>
          <w:tab w:val="left" w:pos="-720"/>
        </w:tabs>
        <w:suppressAutoHyphens/>
        <w:spacing w:line="360" w:lineRule="auto"/>
      </w:pPr>
      <w:r>
        <w:rPr>
          <w:spacing w:val="-3"/>
          <w:szCs w:val="24"/>
        </w:rPr>
        <w:t xml:space="preserve">Settlement at 21-25.  </w:t>
      </w:r>
      <w:r w:rsidR="00494356">
        <w:t>Based on the above-</w:t>
      </w:r>
      <w:r w:rsidR="00521E62">
        <w:t xml:space="preserve">quoted </w:t>
      </w:r>
      <w:r w:rsidR="00494356">
        <w:t xml:space="preserve">terms of the Settlement, I&amp;E agrees to forebear from </w:t>
      </w:r>
      <w:r w:rsidR="005466BB">
        <w:t xml:space="preserve">instituting any </w:t>
      </w:r>
      <w:r w:rsidR="00494356">
        <w:t xml:space="preserve">further complaint relating to </w:t>
      </w:r>
      <w:r w:rsidR="005466BB">
        <w:t>PGW’</w:t>
      </w:r>
      <w:r w:rsidR="00494356">
        <w:t xml:space="preserve">s conduct as described in the Settlement </w:t>
      </w:r>
      <w:r w:rsidR="005466BB">
        <w:t>or in</w:t>
      </w:r>
      <w:r w:rsidR="00494356">
        <w:t xml:space="preserve"> the Complaint in this proceeding.  </w:t>
      </w:r>
      <w:r w:rsidR="005466BB">
        <w:t xml:space="preserve">The Settlement provides that none of the provisions in the Settlement are or may be used as an admission or finding of any fact or liability or culpability or unlawful behavior of PGW in any subsequent proceeding.  </w:t>
      </w:r>
      <w:r w:rsidR="00494356">
        <w:t xml:space="preserve">The Parties also agree that the Settlement does not affect the Commission’s authority to receive and resolve any formal or informal complaints filed by any affected party with respect to the incident, except that no further civil penalties may be imposed by the Commission for any actions identified in the </w:t>
      </w:r>
      <w:r w:rsidR="005466BB">
        <w:t>Complaint</w:t>
      </w:r>
      <w:r w:rsidR="00494356">
        <w:t>.</w:t>
      </w:r>
      <w:r w:rsidR="00095521">
        <w:t xml:space="preserve">  </w:t>
      </w:r>
      <w:r w:rsidR="00095521" w:rsidRPr="00095521">
        <w:rPr>
          <w:i/>
        </w:rPr>
        <w:t>Id</w:t>
      </w:r>
      <w:r w:rsidR="00095521">
        <w:t xml:space="preserve">. at </w:t>
      </w:r>
      <w:r w:rsidR="005466BB">
        <w:t>25</w:t>
      </w:r>
      <w:r w:rsidR="00095521">
        <w:t xml:space="preserve">.  </w:t>
      </w:r>
      <w:r w:rsidR="00494356">
        <w:t xml:space="preserve">  </w:t>
      </w:r>
    </w:p>
    <w:p w:rsidR="005D2D3C" w:rsidRDefault="005D2D3C" w:rsidP="00A9619B">
      <w:pPr>
        <w:tabs>
          <w:tab w:val="left" w:pos="-720"/>
        </w:tabs>
        <w:suppressAutoHyphens/>
        <w:spacing w:line="360" w:lineRule="auto"/>
      </w:pPr>
    </w:p>
    <w:p w:rsidR="00FE23DB" w:rsidRDefault="005D2D3C" w:rsidP="00A9619B">
      <w:pPr>
        <w:tabs>
          <w:tab w:val="left" w:pos="-720"/>
        </w:tabs>
        <w:suppressAutoHyphens/>
        <w:spacing w:line="360" w:lineRule="auto"/>
        <w:rPr>
          <w:szCs w:val="26"/>
        </w:rPr>
      </w:pPr>
      <w:r>
        <w:tab/>
      </w:r>
      <w:r>
        <w:tab/>
        <w:t xml:space="preserve">The Parties state that the Settlement is in the public interest and is consistent with the Commission’s </w:t>
      </w:r>
      <w:r w:rsidRPr="00753FA4">
        <w:rPr>
          <w:szCs w:val="26"/>
        </w:rPr>
        <w:t xml:space="preserve">Policy Statement at 52 Pa. Code § </w:t>
      </w:r>
      <w:r>
        <w:rPr>
          <w:szCs w:val="26"/>
        </w:rPr>
        <w:t>6</w:t>
      </w:r>
      <w:r w:rsidRPr="00753FA4">
        <w:rPr>
          <w:szCs w:val="26"/>
        </w:rPr>
        <w:t>9.1201</w:t>
      </w:r>
      <w:r w:rsidR="00812B92">
        <w:rPr>
          <w:szCs w:val="26"/>
        </w:rPr>
        <w:t xml:space="preserve"> (Policy Statement)</w:t>
      </w:r>
      <w:r>
        <w:rPr>
          <w:szCs w:val="26"/>
        </w:rPr>
        <w:t>, which</w:t>
      </w:r>
      <w:r w:rsidRPr="00753FA4">
        <w:rPr>
          <w:szCs w:val="26"/>
        </w:rPr>
        <w:t xml:space="preserve"> sets forth ten factors that we may consider in evaluating whether a fine </w:t>
      </w:r>
      <w:r w:rsidRPr="00753FA4">
        <w:rPr>
          <w:szCs w:val="26"/>
        </w:rPr>
        <w:lastRenderedPageBreak/>
        <w:t xml:space="preserve">for violating a Commission </w:t>
      </w:r>
      <w:r>
        <w:rPr>
          <w:szCs w:val="26"/>
        </w:rPr>
        <w:t>O</w:t>
      </w:r>
      <w:r w:rsidRPr="00753FA4">
        <w:rPr>
          <w:szCs w:val="26"/>
        </w:rPr>
        <w:t xml:space="preserve">rder, </w:t>
      </w:r>
      <w:r>
        <w:rPr>
          <w:szCs w:val="26"/>
        </w:rPr>
        <w:t>R</w:t>
      </w:r>
      <w:r w:rsidRPr="00753FA4">
        <w:rPr>
          <w:szCs w:val="26"/>
        </w:rPr>
        <w:t>egulation</w:t>
      </w:r>
      <w:r>
        <w:rPr>
          <w:szCs w:val="26"/>
        </w:rPr>
        <w:t>,</w:t>
      </w:r>
      <w:r w:rsidRPr="00753FA4">
        <w:rPr>
          <w:szCs w:val="26"/>
        </w:rPr>
        <w:t xml:space="preserve"> or statute is appropriate, as well as if a proposed settlement for a violation is reasonable and approval of the settlement agreement is in the public interest.</w:t>
      </w:r>
      <w:r>
        <w:rPr>
          <w:szCs w:val="26"/>
        </w:rPr>
        <w:t xml:space="preserve">  </w:t>
      </w:r>
      <w:r w:rsidRPr="005D2D3C">
        <w:rPr>
          <w:i/>
          <w:szCs w:val="26"/>
        </w:rPr>
        <w:t>Id</w:t>
      </w:r>
      <w:r>
        <w:rPr>
          <w:szCs w:val="26"/>
        </w:rPr>
        <w:t>. at 26.  Specifically, the Parties aver that PGW has taken actions to expand, revise, clarify, or confirm its emergency procedures consistent with the requests for operational modificat</w:t>
      </w:r>
      <w:r w:rsidR="00812B92">
        <w:rPr>
          <w:szCs w:val="26"/>
        </w:rPr>
        <w:t>i</w:t>
      </w:r>
      <w:r>
        <w:rPr>
          <w:szCs w:val="26"/>
        </w:rPr>
        <w:t>ons</w:t>
      </w:r>
      <w:r w:rsidR="00812B92">
        <w:rPr>
          <w:szCs w:val="26"/>
        </w:rPr>
        <w:t xml:space="preserve"> set forth in the Prayer for Relief in I&amp;E’s Complaint.  The Parties submit that the Agreement effectively addresses all of the issues and requests in I&amp;E’s Complaint and avoids the time and expense of litigation.  </w:t>
      </w:r>
      <w:r w:rsidR="00812B92" w:rsidRPr="00812B92">
        <w:rPr>
          <w:i/>
          <w:szCs w:val="26"/>
        </w:rPr>
        <w:t>Id</w:t>
      </w:r>
      <w:r w:rsidR="005E7F70">
        <w:rPr>
          <w:szCs w:val="26"/>
        </w:rPr>
        <w:t>. at 27</w:t>
      </w:r>
      <w:r w:rsidR="005E7F70">
        <w:rPr>
          <w:szCs w:val="26"/>
        </w:rPr>
        <w:noBreakHyphen/>
      </w:r>
      <w:r w:rsidR="00812B92">
        <w:rPr>
          <w:szCs w:val="26"/>
        </w:rPr>
        <w:t>28.</w:t>
      </w:r>
    </w:p>
    <w:p w:rsidR="005D2D3C" w:rsidRDefault="00812B92" w:rsidP="00A9619B">
      <w:pPr>
        <w:tabs>
          <w:tab w:val="left" w:pos="-720"/>
        </w:tabs>
        <w:suppressAutoHyphens/>
        <w:spacing w:line="360" w:lineRule="auto"/>
      </w:pPr>
      <w:r>
        <w:rPr>
          <w:szCs w:val="26"/>
        </w:rPr>
        <w:t xml:space="preserve">     </w:t>
      </w:r>
      <w:r w:rsidR="005D2D3C">
        <w:rPr>
          <w:szCs w:val="26"/>
        </w:rPr>
        <w:t xml:space="preserve">   </w:t>
      </w:r>
    </w:p>
    <w:p w:rsidR="00812B92" w:rsidRDefault="00095521" w:rsidP="00494356">
      <w:pPr>
        <w:spacing w:line="360" w:lineRule="auto"/>
      </w:pPr>
      <w:r>
        <w:tab/>
      </w:r>
      <w:r>
        <w:tab/>
        <w:t>The Parties state that the Settlement is conditioned on the Commission’s approval, without modification, of the terms and conditions</w:t>
      </w:r>
      <w:r w:rsidR="006A008C">
        <w:t xml:space="preserve"> </w:t>
      </w:r>
      <w:r>
        <w:t>of the Settlement</w:t>
      </w:r>
      <w:r w:rsidR="00812B92">
        <w:t>, except as set forth in Paragraph 34 of the Settlement</w:t>
      </w:r>
      <w:r>
        <w:t xml:space="preserve">.  </w:t>
      </w:r>
      <w:r w:rsidR="00812B92">
        <w:t xml:space="preserve">Paragraph 34 provides the following:  </w:t>
      </w:r>
    </w:p>
    <w:p w:rsidR="00AA68D8" w:rsidRDefault="00AA68D8" w:rsidP="00042D7B">
      <w:pPr>
        <w:ind w:left="1440" w:right="1440"/>
      </w:pPr>
    </w:p>
    <w:p w:rsidR="00812B92" w:rsidRDefault="00812B92" w:rsidP="00042D7B">
      <w:pPr>
        <w:ind w:left="1440" w:right="1440"/>
      </w:pPr>
      <w:r>
        <w:t>While not stating or implying that I&amp;E joins in the request and notwithstanding the above</w:t>
      </w:r>
      <w:r w:rsidR="00042D7B">
        <w:t>, it is agreed that, at the time that th</w:t>
      </w:r>
      <w:r w:rsidR="00563AD8">
        <w:t>e</w:t>
      </w:r>
      <w:r w:rsidR="00042D7B">
        <w:t xml:space="preserve"> Settlement Agreement is considered by the Commission, PGW may propose to the Commission that, in its approval of the Settlement Agreement, it assign a greater portion of the $500,000 total settlement amount to programs that would provide new funding to assist Philadelphia citizens with natural gas or fire safety. </w:t>
      </w:r>
      <w:r>
        <w:tab/>
      </w:r>
    </w:p>
    <w:p w:rsidR="00812B92" w:rsidRDefault="00812B92" w:rsidP="00494356">
      <w:pPr>
        <w:spacing w:line="360" w:lineRule="auto"/>
      </w:pPr>
    </w:p>
    <w:p w:rsidR="00531017" w:rsidRDefault="00531017" w:rsidP="00494356">
      <w:pPr>
        <w:spacing w:line="360" w:lineRule="auto"/>
      </w:pPr>
      <w:r w:rsidRPr="00531017">
        <w:rPr>
          <w:i/>
        </w:rPr>
        <w:t>Id</w:t>
      </w:r>
      <w:r>
        <w:t>. at 29.  The Parties additionally state that, i</w:t>
      </w:r>
      <w:r w:rsidR="00095521">
        <w:t>f the Commission modifies the Settlement,</w:t>
      </w:r>
      <w:r>
        <w:t xml:space="preserve"> except as set forth in Paragraph 34,</w:t>
      </w:r>
      <w:r w:rsidR="00095521">
        <w:t xml:space="preserve"> any party may elect to withdraw from the Settlement.  </w:t>
      </w:r>
      <w:r w:rsidR="00095521" w:rsidRPr="00095521">
        <w:rPr>
          <w:i/>
        </w:rPr>
        <w:t>Id</w:t>
      </w:r>
      <w:r w:rsidR="00095521">
        <w:t>. at 12.</w:t>
      </w:r>
      <w:r>
        <w:t xml:space="preserve">  </w:t>
      </w:r>
    </w:p>
    <w:p w:rsidR="00531017" w:rsidRDefault="00531017" w:rsidP="00494356">
      <w:pPr>
        <w:spacing w:line="360" w:lineRule="auto"/>
      </w:pPr>
    </w:p>
    <w:p w:rsidR="00531017" w:rsidRDefault="00531017" w:rsidP="00494356">
      <w:pPr>
        <w:spacing w:line="360" w:lineRule="auto"/>
      </w:pPr>
      <w:r>
        <w:tab/>
      </w:r>
      <w:r>
        <w:tab/>
        <w:t xml:space="preserve">The Parties explain the sole exception to their right to withdraw from the Settlement, if modified by the Commission, as follows:  </w:t>
      </w:r>
    </w:p>
    <w:p w:rsidR="00531017" w:rsidRDefault="00531017" w:rsidP="00494356">
      <w:pPr>
        <w:spacing w:line="360" w:lineRule="auto"/>
      </w:pPr>
    </w:p>
    <w:p w:rsidR="005B6F6A" w:rsidRDefault="00531017" w:rsidP="003639E2">
      <w:pPr>
        <w:ind w:left="1440" w:right="1440"/>
      </w:pPr>
      <w:r>
        <w:t xml:space="preserve">[S]hould the Commission approve this Settlement Agreement with the only modification to its terms and conditions being the allocation of the total $500,000 settlement amount between the amount to be paid as a civil settlement amount </w:t>
      </w:r>
      <w:r>
        <w:lastRenderedPageBreak/>
        <w:t xml:space="preserve">and the amount to be contributed </w:t>
      </w:r>
      <w:r w:rsidR="005A07A0">
        <w:t>to the specifi</w:t>
      </w:r>
      <w:r w:rsidR="00655411">
        <w:t>ed</w:t>
      </w:r>
      <w:r w:rsidR="005A07A0">
        <w:t xml:space="preserve"> safety program</w:t>
      </w:r>
      <w:r>
        <w:t xml:space="preserve"> </w:t>
      </w:r>
      <w:r w:rsidR="00655411">
        <w:t>(“Modified Allocation”), that such Modified Allocation will be binding on the Parties.  The Parties agree that this exception shall apply whether the Commission’s Modified Allocation increases the amount of the total settlement to be contributed to the specified safety program, thereby decreasing the amount of the total settlement amount to be assessed as a civil settlement amount or decreases the amount of the total settlement to be contributed to the specified safety program, thereby increasing the amount of the total settlement amount to be assessed as a civil settlement</w:t>
      </w:r>
    </w:p>
    <w:p w:rsidR="005B6F6A" w:rsidRDefault="00655411" w:rsidP="005B6F6A">
      <w:pPr>
        <w:keepNext/>
        <w:ind w:left="1440" w:right="1440"/>
      </w:pPr>
      <w:r>
        <w:t xml:space="preserve">amount, but in no case greater than a total payment of $500,000. </w:t>
      </w:r>
    </w:p>
    <w:p w:rsidR="00531017" w:rsidRDefault="00655411" w:rsidP="005B6F6A">
      <w:pPr>
        <w:keepNext/>
        <w:ind w:left="1440" w:right="1440"/>
      </w:pPr>
      <w:r>
        <w:t xml:space="preserve">     </w:t>
      </w:r>
      <w:r w:rsidR="00531017">
        <w:t xml:space="preserve">  </w:t>
      </w:r>
      <w:r w:rsidR="00095521">
        <w:t xml:space="preserve">  </w:t>
      </w:r>
    </w:p>
    <w:p w:rsidR="000F1E22" w:rsidRDefault="003639E2" w:rsidP="00B24348">
      <w:pPr>
        <w:spacing w:line="360" w:lineRule="auto"/>
      </w:pPr>
      <w:r w:rsidRPr="003639E2">
        <w:rPr>
          <w:i/>
        </w:rPr>
        <w:t>Id</w:t>
      </w:r>
      <w:r>
        <w:t xml:space="preserve">. at 30.  </w:t>
      </w:r>
    </w:p>
    <w:p w:rsidR="00B24348" w:rsidRDefault="00B24348" w:rsidP="000F23A5">
      <w:pPr>
        <w:spacing w:line="360" w:lineRule="auto"/>
        <w:jc w:val="center"/>
        <w:rPr>
          <w:b/>
          <w:szCs w:val="26"/>
        </w:rPr>
      </w:pPr>
    </w:p>
    <w:p w:rsidR="00E33352" w:rsidRDefault="002C26E3" w:rsidP="000F23A5">
      <w:pPr>
        <w:spacing w:line="360" w:lineRule="auto"/>
        <w:jc w:val="center"/>
        <w:rPr>
          <w:b/>
          <w:szCs w:val="26"/>
        </w:rPr>
      </w:pPr>
      <w:r>
        <w:rPr>
          <w:b/>
          <w:szCs w:val="26"/>
        </w:rPr>
        <w:t>I</w:t>
      </w:r>
      <w:r w:rsidR="00B24348">
        <w:rPr>
          <w:b/>
          <w:szCs w:val="26"/>
        </w:rPr>
        <w:t>V</w:t>
      </w:r>
      <w:r>
        <w:rPr>
          <w:b/>
          <w:szCs w:val="26"/>
        </w:rPr>
        <w:t>.</w:t>
      </w:r>
      <w:r>
        <w:rPr>
          <w:b/>
          <w:szCs w:val="26"/>
        </w:rPr>
        <w:tab/>
      </w:r>
      <w:r w:rsidR="002561C5" w:rsidRPr="002561C5">
        <w:rPr>
          <w:b/>
          <w:szCs w:val="26"/>
        </w:rPr>
        <w:t>Discussion</w:t>
      </w:r>
    </w:p>
    <w:p w:rsidR="002561C5" w:rsidRDefault="002561C5" w:rsidP="002561C5">
      <w:pPr>
        <w:spacing w:line="360" w:lineRule="auto"/>
        <w:jc w:val="center"/>
        <w:rPr>
          <w:b/>
          <w:szCs w:val="26"/>
        </w:rPr>
      </w:pPr>
    </w:p>
    <w:p w:rsidR="00C42659" w:rsidRDefault="00166C52" w:rsidP="00C42659">
      <w:pPr>
        <w:widowControl w:val="0"/>
        <w:spacing w:line="360" w:lineRule="auto"/>
        <w:ind w:firstLine="1440"/>
        <w:rPr>
          <w:szCs w:val="26"/>
        </w:rPr>
      </w:pPr>
      <w:r>
        <w:rPr>
          <w:szCs w:val="26"/>
        </w:rPr>
        <w:t>The ALJ</w:t>
      </w:r>
      <w:r w:rsidR="00DF7F58">
        <w:rPr>
          <w:szCs w:val="26"/>
        </w:rPr>
        <w:t xml:space="preserve"> </w:t>
      </w:r>
      <w:r w:rsidR="00C42659" w:rsidRPr="00C42659">
        <w:rPr>
          <w:szCs w:val="26"/>
        </w:rPr>
        <w:t>reached</w:t>
      </w:r>
      <w:r w:rsidR="00DF7F58">
        <w:rPr>
          <w:szCs w:val="26"/>
        </w:rPr>
        <w:t xml:space="preserve"> </w:t>
      </w:r>
      <w:r w:rsidR="00E24988">
        <w:rPr>
          <w:szCs w:val="26"/>
        </w:rPr>
        <w:t>s</w:t>
      </w:r>
      <w:r w:rsidR="004675AB">
        <w:rPr>
          <w:szCs w:val="26"/>
        </w:rPr>
        <w:t>i</w:t>
      </w:r>
      <w:r w:rsidR="00E24988">
        <w:rPr>
          <w:szCs w:val="26"/>
        </w:rPr>
        <w:t>x</w:t>
      </w:r>
      <w:r w:rsidR="00C42659" w:rsidRPr="00C42659">
        <w:rPr>
          <w:szCs w:val="26"/>
        </w:rPr>
        <w:t xml:space="preserve"> Conclusions of Law.</w:t>
      </w:r>
      <w:r w:rsidR="00DF7F58">
        <w:rPr>
          <w:szCs w:val="26"/>
        </w:rPr>
        <w:t xml:space="preserve">  I.D. at </w:t>
      </w:r>
      <w:r w:rsidR="00E24988">
        <w:rPr>
          <w:szCs w:val="26"/>
        </w:rPr>
        <w:t>39</w:t>
      </w:r>
      <w:r w:rsidR="004675AB">
        <w:rPr>
          <w:szCs w:val="26"/>
        </w:rPr>
        <w:t>-</w:t>
      </w:r>
      <w:r w:rsidR="00E24988">
        <w:rPr>
          <w:szCs w:val="26"/>
        </w:rPr>
        <w:t>40</w:t>
      </w:r>
      <w:r w:rsidR="00DF7F58">
        <w:rPr>
          <w:szCs w:val="26"/>
        </w:rPr>
        <w:t>.</w:t>
      </w:r>
      <w:r w:rsidR="00C42659" w:rsidRPr="00C42659">
        <w:rPr>
          <w:szCs w:val="26"/>
        </w:rPr>
        <w:t xml:space="preserve">  The Conclusions of Law are incorporated herein by reference and are adopted without comment unless they are either expressly or by necessary implication rejected or modified by this Opinion and Order.</w:t>
      </w:r>
    </w:p>
    <w:p w:rsidR="00273C9C" w:rsidRPr="00C42659" w:rsidRDefault="00273C9C" w:rsidP="00C42659">
      <w:pPr>
        <w:widowControl w:val="0"/>
        <w:spacing w:line="360" w:lineRule="auto"/>
        <w:ind w:firstLine="1440"/>
        <w:rPr>
          <w:szCs w:val="26"/>
        </w:rPr>
      </w:pPr>
    </w:p>
    <w:p w:rsidR="00D83968" w:rsidRDefault="00C42659" w:rsidP="00C42659">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1F73C2">
          <w:rPr>
            <w:i/>
            <w:iCs/>
            <w:color w:val="000000"/>
            <w:szCs w:val="26"/>
          </w:rPr>
          <w:t xml:space="preserve">Consolidated Rail Corp. v. Pa. 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0" w:history="1">
        <w:r w:rsidRPr="001F73C2">
          <w:rPr>
            <w:i/>
            <w:iCs/>
            <w:color w:val="000000"/>
            <w:szCs w:val="26"/>
          </w:rPr>
          <w:t>University of Pennsylvania</w:t>
        </w:r>
        <w:r w:rsidR="00680BBC">
          <w:rPr>
            <w:i/>
            <w:iCs/>
            <w:color w:val="000000"/>
            <w:szCs w:val="26"/>
          </w:rPr>
          <w:t xml:space="preserve"> </w:t>
        </w:r>
        <w:r w:rsidRPr="001F73C2">
          <w:rPr>
            <w:i/>
            <w:iCs/>
            <w:color w:val="000000"/>
            <w:szCs w:val="26"/>
          </w:rPr>
          <w:t>v. Pa. PUC</w:t>
        </w:r>
        <w:r w:rsidRPr="001F73C2">
          <w:rPr>
            <w:color w:val="000000"/>
            <w:szCs w:val="26"/>
          </w:rPr>
          <w:t>, 485 A.2d 1217 (Pa. Cmwlth. 1984).</w:t>
        </w:r>
      </w:hyperlink>
    </w:p>
    <w:p w:rsidR="00CC3B64" w:rsidRDefault="00CC3B64" w:rsidP="00C42659">
      <w:pPr>
        <w:spacing w:line="360" w:lineRule="auto"/>
        <w:ind w:firstLine="1440"/>
        <w:rPr>
          <w:color w:val="000000"/>
          <w:szCs w:val="26"/>
        </w:rPr>
      </w:pPr>
    </w:p>
    <w:p w:rsidR="00D978DE" w:rsidRDefault="00D978DE" w:rsidP="005E7F70">
      <w:pPr>
        <w:keepNext/>
        <w:spacing w:line="360" w:lineRule="auto"/>
        <w:rPr>
          <w:rFonts w:eastAsiaTheme="minorHAnsi"/>
          <w:b/>
          <w:szCs w:val="24"/>
        </w:rPr>
      </w:pPr>
      <w:r>
        <w:rPr>
          <w:rFonts w:eastAsiaTheme="minorHAnsi"/>
          <w:b/>
          <w:szCs w:val="24"/>
        </w:rPr>
        <w:lastRenderedPageBreak/>
        <w:t>A.</w:t>
      </w:r>
      <w:r>
        <w:rPr>
          <w:rFonts w:eastAsiaTheme="minorHAnsi"/>
          <w:b/>
          <w:szCs w:val="24"/>
        </w:rPr>
        <w:tab/>
        <w:t xml:space="preserve">Initial Decision </w:t>
      </w:r>
      <w:r w:rsidR="003A585F">
        <w:rPr>
          <w:rFonts w:eastAsiaTheme="minorHAnsi"/>
          <w:b/>
          <w:szCs w:val="24"/>
        </w:rPr>
        <w:tab/>
      </w:r>
      <w:r w:rsidR="004D7F62">
        <w:rPr>
          <w:rFonts w:eastAsiaTheme="minorHAnsi"/>
          <w:b/>
          <w:szCs w:val="24"/>
        </w:rPr>
        <w:tab/>
      </w:r>
    </w:p>
    <w:p w:rsidR="00D978DE" w:rsidRDefault="00D978DE" w:rsidP="005E7F70">
      <w:pPr>
        <w:keepNext/>
        <w:spacing w:line="360" w:lineRule="auto"/>
        <w:rPr>
          <w:rFonts w:eastAsiaTheme="minorHAnsi"/>
          <w:b/>
          <w:szCs w:val="24"/>
        </w:rPr>
      </w:pPr>
    </w:p>
    <w:p w:rsidR="005B6F6A" w:rsidRDefault="004D7F62" w:rsidP="001A433C">
      <w:pPr>
        <w:spacing w:line="360" w:lineRule="auto"/>
        <w:ind w:firstLine="1440"/>
        <w:rPr>
          <w:rFonts w:eastAsiaTheme="minorHAnsi"/>
          <w:szCs w:val="24"/>
        </w:rPr>
      </w:pPr>
      <w:r>
        <w:rPr>
          <w:rFonts w:eastAsiaTheme="minorHAnsi"/>
          <w:szCs w:val="24"/>
        </w:rPr>
        <w:t xml:space="preserve">In the Initial Decision, ALJ Jones </w:t>
      </w:r>
      <w:r w:rsidR="00D3455B">
        <w:rPr>
          <w:rFonts w:eastAsiaTheme="minorHAnsi"/>
          <w:szCs w:val="24"/>
        </w:rPr>
        <w:t xml:space="preserve">determined that the Settlement was in the public interest </w:t>
      </w:r>
      <w:r w:rsidR="001A433C">
        <w:rPr>
          <w:rFonts w:eastAsiaTheme="minorHAnsi"/>
          <w:szCs w:val="24"/>
        </w:rPr>
        <w:t xml:space="preserve">and the $500,000 </w:t>
      </w:r>
      <w:r w:rsidR="00780FAF">
        <w:rPr>
          <w:rFonts w:eastAsiaTheme="minorHAnsi"/>
          <w:szCs w:val="24"/>
        </w:rPr>
        <w:t xml:space="preserve">total </w:t>
      </w:r>
      <w:r w:rsidR="001A433C">
        <w:rPr>
          <w:rFonts w:eastAsiaTheme="minorHAnsi"/>
          <w:szCs w:val="24"/>
        </w:rPr>
        <w:t xml:space="preserve">settlement amount was reasonable </w:t>
      </w:r>
      <w:r w:rsidR="00D3455B">
        <w:rPr>
          <w:rFonts w:eastAsiaTheme="minorHAnsi"/>
          <w:szCs w:val="24"/>
        </w:rPr>
        <w:t xml:space="preserve">based on a thorough analysis of the Settlement pursuant to the factors set forth in the </w:t>
      </w:r>
      <w:r w:rsidR="00D3455B">
        <w:t xml:space="preserve">Commission’s </w:t>
      </w:r>
      <w:r w:rsidR="00D3455B" w:rsidRPr="00753FA4">
        <w:rPr>
          <w:szCs w:val="26"/>
        </w:rPr>
        <w:t xml:space="preserve">Policy Statement at 52 Pa. Code § </w:t>
      </w:r>
      <w:r w:rsidR="00D3455B">
        <w:rPr>
          <w:szCs w:val="26"/>
        </w:rPr>
        <w:t>6</w:t>
      </w:r>
      <w:r w:rsidR="00D3455B" w:rsidRPr="00753FA4">
        <w:rPr>
          <w:szCs w:val="26"/>
        </w:rPr>
        <w:t>9.1201.</w:t>
      </w:r>
      <w:r w:rsidR="00D3455B">
        <w:rPr>
          <w:szCs w:val="26"/>
        </w:rPr>
        <w:t xml:space="preserve">  I.D. at 27-36.</w:t>
      </w:r>
      <w:r w:rsidR="001A433C">
        <w:rPr>
          <w:szCs w:val="26"/>
        </w:rPr>
        <w:t xml:space="preserve">  </w:t>
      </w:r>
      <w:r w:rsidR="006F670A">
        <w:rPr>
          <w:rFonts w:eastAsiaTheme="minorHAnsi"/>
          <w:szCs w:val="24"/>
        </w:rPr>
        <w:t>T</w:t>
      </w:r>
      <w:r w:rsidR="00D3455B">
        <w:rPr>
          <w:rFonts w:eastAsiaTheme="minorHAnsi"/>
          <w:szCs w:val="24"/>
        </w:rPr>
        <w:t>he ALJ determined that the serious</w:t>
      </w:r>
      <w:r w:rsidR="00931744">
        <w:rPr>
          <w:rFonts w:eastAsiaTheme="minorHAnsi"/>
          <w:szCs w:val="24"/>
        </w:rPr>
        <w:t>ness</w:t>
      </w:r>
      <w:r w:rsidR="00D3455B">
        <w:rPr>
          <w:rFonts w:eastAsiaTheme="minorHAnsi"/>
          <w:szCs w:val="24"/>
        </w:rPr>
        <w:t xml:space="preserve"> of the incident and the resulting consequences, </w:t>
      </w:r>
      <w:r w:rsidR="00F64223">
        <w:rPr>
          <w:rFonts w:eastAsiaTheme="minorHAnsi"/>
          <w:szCs w:val="24"/>
        </w:rPr>
        <w:t xml:space="preserve">including the </w:t>
      </w:r>
      <w:r w:rsidR="00D3455B">
        <w:rPr>
          <w:rFonts w:eastAsiaTheme="minorHAnsi"/>
          <w:szCs w:val="24"/>
        </w:rPr>
        <w:t xml:space="preserve">loss of life, </w:t>
      </w:r>
      <w:r w:rsidR="00F64223">
        <w:rPr>
          <w:rFonts w:eastAsiaTheme="minorHAnsi"/>
          <w:szCs w:val="24"/>
        </w:rPr>
        <w:t>injury to five PGW employees, and extensive property damage</w:t>
      </w:r>
      <w:r w:rsidR="00E60686">
        <w:rPr>
          <w:rFonts w:eastAsiaTheme="minorHAnsi"/>
          <w:szCs w:val="24"/>
        </w:rPr>
        <w:t>,</w:t>
      </w:r>
      <w:r w:rsidR="00F64223">
        <w:rPr>
          <w:rFonts w:eastAsiaTheme="minorHAnsi"/>
          <w:szCs w:val="24"/>
        </w:rPr>
        <w:t xml:space="preserve"> warranted a higher civil penalty.  </w:t>
      </w:r>
      <w:r w:rsidR="00F64223" w:rsidRPr="00F64223">
        <w:rPr>
          <w:rFonts w:eastAsiaTheme="minorHAnsi"/>
          <w:i/>
          <w:szCs w:val="24"/>
        </w:rPr>
        <w:t>Id</w:t>
      </w:r>
      <w:r w:rsidR="00F64223">
        <w:rPr>
          <w:rFonts w:eastAsiaTheme="minorHAnsi"/>
          <w:szCs w:val="24"/>
        </w:rPr>
        <w:t>. at 30-31.</w:t>
      </w:r>
      <w:r w:rsidR="00C410CF">
        <w:rPr>
          <w:rFonts w:eastAsiaTheme="minorHAnsi"/>
          <w:szCs w:val="24"/>
        </w:rPr>
        <w:t xml:space="preserve">  The ALJ also found that PGW’s remedial actions should lessen the civil penalty and stated that, through the non-monetary conditions of the Settlement, PGW addressed all of the issues raised in the Complaint.  The ALJ stated that the implementation of the procedural modifications and clarifications would deter unsafe practices and improve emergency response procedures.  </w:t>
      </w:r>
      <w:r w:rsidR="00C410CF" w:rsidRPr="00532A39">
        <w:rPr>
          <w:rFonts w:eastAsiaTheme="minorHAnsi"/>
          <w:i/>
          <w:szCs w:val="24"/>
        </w:rPr>
        <w:t>Id</w:t>
      </w:r>
      <w:r w:rsidR="00C410CF">
        <w:rPr>
          <w:rFonts w:eastAsiaTheme="minorHAnsi"/>
          <w:szCs w:val="24"/>
        </w:rPr>
        <w:t>. at 26, 32.</w:t>
      </w:r>
    </w:p>
    <w:p w:rsidR="00C410CF" w:rsidRDefault="00C410CF" w:rsidP="001A433C">
      <w:pPr>
        <w:spacing w:line="360" w:lineRule="auto"/>
        <w:ind w:firstLine="1440"/>
        <w:rPr>
          <w:rFonts w:eastAsiaTheme="minorHAnsi"/>
          <w:szCs w:val="24"/>
        </w:rPr>
      </w:pPr>
      <w:r>
        <w:rPr>
          <w:rFonts w:eastAsiaTheme="minorHAnsi"/>
          <w:szCs w:val="24"/>
        </w:rPr>
        <w:t xml:space="preserve">  </w:t>
      </w:r>
    </w:p>
    <w:p w:rsidR="007E43E6" w:rsidRDefault="00C410CF" w:rsidP="00C410CF">
      <w:pPr>
        <w:spacing w:line="360" w:lineRule="auto"/>
        <w:ind w:firstLine="1440"/>
        <w:rPr>
          <w:rFonts w:eastAsiaTheme="minorHAnsi"/>
          <w:szCs w:val="24"/>
        </w:rPr>
      </w:pPr>
      <w:r>
        <w:rPr>
          <w:rFonts w:eastAsiaTheme="minorHAnsi"/>
          <w:szCs w:val="24"/>
        </w:rPr>
        <w:t xml:space="preserve">Upon review of all of the factors in the Policy Statement, the ALJ agreed with the civil </w:t>
      </w:r>
      <w:r w:rsidR="00E60686">
        <w:rPr>
          <w:rFonts w:eastAsiaTheme="minorHAnsi"/>
          <w:szCs w:val="24"/>
        </w:rPr>
        <w:t>settlement</w:t>
      </w:r>
      <w:r>
        <w:rPr>
          <w:rFonts w:eastAsiaTheme="minorHAnsi"/>
          <w:szCs w:val="24"/>
        </w:rPr>
        <w:t xml:space="preserve"> and contribution amount proposed in the Settlement.  </w:t>
      </w:r>
      <w:r w:rsidR="004D7F62">
        <w:rPr>
          <w:rFonts w:eastAsiaTheme="minorHAnsi"/>
          <w:szCs w:val="24"/>
        </w:rPr>
        <w:t xml:space="preserve">The ALJ stated that the $500,000 total payment in the Settlement </w:t>
      </w:r>
      <w:r w:rsidR="00726191">
        <w:rPr>
          <w:rFonts w:eastAsiaTheme="minorHAnsi"/>
          <w:szCs w:val="24"/>
        </w:rPr>
        <w:t xml:space="preserve">was the maximum civil penalty that </w:t>
      </w:r>
      <w:r w:rsidR="00E60686">
        <w:rPr>
          <w:rFonts w:eastAsiaTheme="minorHAnsi"/>
          <w:szCs w:val="24"/>
        </w:rPr>
        <w:t>could have been imposed</w:t>
      </w:r>
      <w:r w:rsidR="00726191">
        <w:rPr>
          <w:rFonts w:eastAsiaTheme="minorHAnsi"/>
          <w:szCs w:val="24"/>
        </w:rPr>
        <w:t xml:space="preserve"> under Section 3301(c), 66 Pa. C.S. § 3301(c), at the time of the gas leak and explosion</w:t>
      </w:r>
      <w:r w:rsidR="00E60686">
        <w:rPr>
          <w:rFonts w:eastAsiaTheme="minorHAnsi"/>
          <w:szCs w:val="24"/>
        </w:rPr>
        <w:t>.</w:t>
      </w:r>
      <w:r w:rsidR="0007092B">
        <w:rPr>
          <w:rStyle w:val="FootnoteReference"/>
          <w:rFonts w:eastAsiaTheme="minorHAnsi"/>
          <w:szCs w:val="24"/>
        </w:rPr>
        <w:footnoteReference w:id="3"/>
      </w:r>
      <w:r w:rsidR="0062296C">
        <w:rPr>
          <w:rFonts w:eastAsiaTheme="minorHAnsi"/>
          <w:szCs w:val="24"/>
        </w:rPr>
        <w:t xml:space="preserve">  The ALJ concluded that to obtain this amount and to avoid the time, costs, and resources of litigation was beneficial.  </w:t>
      </w:r>
      <w:r w:rsidR="00D3455B" w:rsidRPr="00D3455B">
        <w:rPr>
          <w:rFonts w:eastAsiaTheme="minorHAnsi"/>
          <w:i/>
          <w:szCs w:val="24"/>
        </w:rPr>
        <w:t>Id</w:t>
      </w:r>
      <w:r w:rsidR="0053158C">
        <w:rPr>
          <w:rFonts w:eastAsiaTheme="minorHAnsi"/>
          <w:szCs w:val="24"/>
        </w:rPr>
        <w:t>. at 25</w:t>
      </w:r>
      <w:r>
        <w:rPr>
          <w:rFonts w:eastAsiaTheme="minorHAnsi"/>
          <w:szCs w:val="24"/>
        </w:rPr>
        <w:t>, 33-34</w:t>
      </w:r>
      <w:r w:rsidR="0053158C">
        <w:rPr>
          <w:rFonts w:eastAsiaTheme="minorHAnsi"/>
          <w:szCs w:val="24"/>
        </w:rPr>
        <w:t xml:space="preserve">.  The ALJ also found that the contribution by PGW to the PFD’s existing smoke detector program was in </w:t>
      </w:r>
      <w:r w:rsidR="0053158C">
        <w:rPr>
          <w:rFonts w:eastAsiaTheme="minorHAnsi"/>
          <w:szCs w:val="24"/>
        </w:rPr>
        <w:lastRenderedPageBreak/>
        <w:t>the public interest</w:t>
      </w:r>
      <w:r w:rsidR="00A52667">
        <w:rPr>
          <w:rFonts w:eastAsiaTheme="minorHAnsi"/>
          <w:szCs w:val="24"/>
        </w:rPr>
        <w:t xml:space="preserve">, because the contribution </w:t>
      </w:r>
      <w:r w:rsidR="00E60686">
        <w:rPr>
          <w:rFonts w:eastAsiaTheme="minorHAnsi"/>
          <w:szCs w:val="24"/>
        </w:rPr>
        <w:t xml:space="preserve">would </w:t>
      </w:r>
      <w:r w:rsidR="004C6880">
        <w:rPr>
          <w:rFonts w:eastAsiaTheme="minorHAnsi"/>
          <w:szCs w:val="24"/>
        </w:rPr>
        <w:t>provide a safety benefit to a significant nexus of the public affected by the incident,</w:t>
      </w:r>
      <w:r w:rsidR="00A52667">
        <w:rPr>
          <w:rFonts w:eastAsiaTheme="minorHAnsi"/>
          <w:szCs w:val="24"/>
        </w:rPr>
        <w:t xml:space="preserve"> including </w:t>
      </w:r>
      <w:r w:rsidR="00532A39">
        <w:rPr>
          <w:rFonts w:eastAsiaTheme="minorHAnsi"/>
          <w:szCs w:val="24"/>
        </w:rPr>
        <w:t xml:space="preserve">the employees and customers of </w:t>
      </w:r>
      <w:r w:rsidR="004C6880">
        <w:rPr>
          <w:rFonts w:eastAsiaTheme="minorHAnsi"/>
          <w:szCs w:val="24"/>
        </w:rPr>
        <w:t>PGW</w:t>
      </w:r>
      <w:r w:rsidR="00532A39">
        <w:rPr>
          <w:rFonts w:eastAsiaTheme="minorHAnsi"/>
          <w:szCs w:val="24"/>
        </w:rPr>
        <w:t>, the PFD and other emergency responders, and the citizens of Philadelphia.</w:t>
      </w:r>
      <w:r w:rsidR="004C6880">
        <w:rPr>
          <w:rFonts w:eastAsiaTheme="minorHAnsi"/>
          <w:szCs w:val="24"/>
        </w:rPr>
        <w:t xml:space="preserve">  </w:t>
      </w:r>
      <w:r w:rsidR="004C6880" w:rsidRPr="004C6880">
        <w:rPr>
          <w:rFonts w:eastAsiaTheme="minorHAnsi"/>
          <w:i/>
          <w:szCs w:val="24"/>
        </w:rPr>
        <w:t>Id</w:t>
      </w:r>
      <w:r w:rsidR="004C6880">
        <w:rPr>
          <w:rFonts w:eastAsiaTheme="minorHAnsi"/>
          <w:szCs w:val="24"/>
        </w:rPr>
        <w:t xml:space="preserve">. at 26, 34, 35.  </w:t>
      </w:r>
    </w:p>
    <w:p w:rsidR="007E43E6" w:rsidRDefault="007E43E6" w:rsidP="00C410CF">
      <w:pPr>
        <w:spacing w:line="360" w:lineRule="auto"/>
        <w:ind w:firstLine="1440"/>
        <w:rPr>
          <w:rFonts w:eastAsiaTheme="minorHAnsi"/>
          <w:szCs w:val="24"/>
        </w:rPr>
      </w:pPr>
    </w:p>
    <w:p w:rsidR="00E232FA" w:rsidRDefault="007E43E6" w:rsidP="00C410CF">
      <w:pPr>
        <w:spacing w:line="360" w:lineRule="auto"/>
        <w:ind w:firstLine="1440"/>
        <w:rPr>
          <w:rFonts w:eastAsiaTheme="minorHAnsi"/>
          <w:szCs w:val="24"/>
        </w:rPr>
      </w:pPr>
      <w:r>
        <w:rPr>
          <w:rFonts w:eastAsiaTheme="minorHAnsi"/>
          <w:szCs w:val="24"/>
        </w:rPr>
        <w:t xml:space="preserve">Furthermore, the ALJ determined that the alternative allocation PGW suggested </w:t>
      </w:r>
      <w:r w:rsidR="001A3BF6">
        <w:rPr>
          <w:rFonts w:eastAsiaTheme="minorHAnsi"/>
          <w:szCs w:val="24"/>
        </w:rPr>
        <w:t xml:space="preserve">that the ALJ and the Commission approve </w:t>
      </w:r>
      <w:r>
        <w:rPr>
          <w:rFonts w:eastAsiaTheme="minorHAnsi"/>
          <w:szCs w:val="24"/>
        </w:rPr>
        <w:t>was not appropriate.</w:t>
      </w:r>
      <w:r w:rsidR="00417298">
        <w:rPr>
          <w:rFonts w:eastAsiaTheme="minorHAnsi"/>
          <w:szCs w:val="24"/>
        </w:rPr>
        <w:t xml:space="preserve">  The ALJ noted that</w:t>
      </w:r>
      <w:r w:rsidR="0098214E">
        <w:rPr>
          <w:rFonts w:eastAsiaTheme="minorHAnsi"/>
          <w:szCs w:val="24"/>
        </w:rPr>
        <w:t>,</w:t>
      </w:r>
      <w:r w:rsidR="00417298">
        <w:rPr>
          <w:rFonts w:eastAsiaTheme="minorHAnsi"/>
          <w:szCs w:val="24"/>
        </w:rPr>
        <w:t xml:space="preserve"> in its </w:t>
      </w:r>
      <w:r w:rsidR="0098214E">
        <w:rPr>
          <w:rFonts w:eastAsiaTheme="minorHAnsi"/>
          <w:szCs w:val="24"/>
        </w:rPr>
        <w:t xml:space="preserve">Statement in Support of the Settlement, PGW proposed an alternative allocation </w:t>
      </w:r>
      <w:r w:rsidR="001A3BF6">
        <w:rPr>
          <w:rFonts w:eastAsiaTheme="minorHAnsi"/>
          <w:szCs w:val="24"/>
        </w:rPr>
        <w:t xml:space="preserve">for approval.  The alternative allocation </w:t>
      </w:r>
      <w:r w:rsidR="00E60686">
        <w:rPr>
          <w:rFonts w:eastAsiaTheme="minorHAnsi"/>
          <w:szCs w:val="24"/>
        </w:rPr>
        <w:t>consisted of</w:t>
      </w:r>
      <w:r w:rsidR="0098214E">
        <w:rPr>
          <w:rFonts w:eastAsiaTheme="minorHAnsi"/>
          <w:szCs w:val="24"/>
        </w:rPr>
        <w:t xml:space="preserve"> a total payment of $500,000, but distributed monetary contributions to different natural gas and safety programs and allocated a smaller civil settlement amount to the General Fund.  </w:t>
      </w:r>
      <w:r w:rsidR="0098214E" w:rsidRPr="0098214E">
        <w:rPr>
          <w:rFonts w:eastAsiaTheme="minorHAnsi"/>
          <w:i/>
          <w:szCs w:val="24"/>
        </w:rPr>
        <w:t>Id</w:t>
      </w:r>
      <w:r w:rsidR="0098214E">
        <w:rPr>
          <w:rFonts w:eastAsiaTheme="minorHAnsi"/>
          <w:szCs w:val="24"/>
        </w:rPr>
        <w:t xml:space="preserve">. at 36.  The programs and the corresponding allocations proposed by PGW included the following: </w:t>
      </w:r>
    </w:p>
    <w:p w:rsidR="005E7F70" w:rsidRDefault="005E7F70" w:rsidP="00C410CF">
      <w:pPr>
        <w:spacing w:line="360" w:lineRule="auto"/>
        <w:ind w:firstLine="1440"/>
        <w:rPr>
          <w:rFonts w:eastAsiaTheme="minorHAnsi"/>
          <w:szCs w:val="24"/>
        </w:rPr>
      </w:pPr>
    </w:p>
    <w:p w:rsidR="00E232FA" w:rsidRPr="00810715" w:rsidRDefault="00E232FA" w:rsidP="00E232FA">
      <w:pPr>
        <w:numPr>
          <w:ilvl w:val="0"/>
          <w:numId w:val="15"/>
        </w:numPr>
        <w:tabs>
          <w:tab w:val="left" w:pos="-720"/>
        </w:tabs>
        <w:suppressAutoHyphens/>
        <w:ind w:left="2160" w:right="1440" w:hanging="720"/>
        <w:rPr>
          <w:szCs w:val="24"/>
        </w:rPr>
      </w:pPr>
      <w:r w:rsidRPr="00E232FA">
        <w:rPr>
          <w:spacing w:val="-3"/>
          <w:szCs w:val="24"/>
        </w:rPr>
        <w:t>$100,000 contribution to the PFD’s smoke detector program (as proposed in the Settlement Agreement);</w:t>
      </w:r>
    </w:p>
    <w:p w:rsidR="00810715" w:rsidRPr="00E232FA" w:rsidRDefault="00810715" w:rsidP="00810715">
      <w:pPr>
        <w:tabs>
          <w:tab w:val="left" w:pos="-720"/>
        </w:tabs>
        <w:suppressAutoHyphens/>
        <w:ind w:left="1440" w:right="1440"/>
        <w:rPr>
          <w:szCs w:val="24"/>
        </w:rPr>
      </w:pPr>
    </w:p>
    <w:p w:rsidR="00E232FA" w:rsidRPr="00837644" w:rsidRDefault="00E232FA" w:rsidP="00E232FA">
      <w:pPr>
        <w:numPr>
          <w:ilvl w:val="0"/>
          <w:numId w:val="15"/>
        </w:numPr>
        <w:tabs>
          <w:tab w:val="left" w:pos="-720"/>
        </w:tabs>
        <w:suppressAutoHyphens/>
        <w:ind w:left="2160" w:right="1440" w:hanging="720"/>
        <w:rPr>
          <w:szCs w:val="24"/>
        </w:rPr>
      </w:pPr>
      <w:r w:rsidRPr="00E232FA">
        <w:rPr>
          <w:spacing w:val="-3"/>
          <w:szCs w:val="24"/>
        </w:rPr>
        <w:t>$107,000 for furnace repair or replacement of damaged or malfunctioning heaters for low income citizens of Philadelphia;</w:t>
      </w:r>
    </w:p>
    <w:p w:rsidR="00837644" w:rsidRPr="00E232FA" w:rsidRDefault="00837644" w:rsidP="00837644">
      <w:pPr>
        <w:tabs>
          <w:tab w:val="left" w:pos="-720"/>
        </w:tabs>
        <w:suppressAutoHyphens/>
        <w:ind w:left="1440" w:right="1440"/>
        <w:rPr>
          <w:szCs w:val="24"/>
        </w:rPr>
      </w:pPr>
    </w:p>
    <w:p w:rsidR="00E232FA" w:rsidRPr="00E232FA" w:rsidRDefault="00E232FA" w:rsidP="00E232FA">
      <w:pPr>
        <w:numPr>
          <w:ilvl w:val="0"/>
          <w:numId w:val="15"/>
        </w:numPr>
        <w:tabs>
          <w:tab w:val="left" w:pos="-720"/>
        </w:tabs>
        <w:suppressAutoHyphens/>
        <w:ind w:left="2160" w:right="1440" w:hanging="720"/>
        <w:rPr>
          <w:szCs w:val="24"/>
        </w:rPr>
      </w:pPr>
      <w:r w:rsidRPr="00E232FA">
        <w:rPr>
          <w:spacing w:val="-3"/>
          <w:szCs w:val="24"/>
        </w:rPr>
        <w:t xml:space="preserve">$36,000 for special safety information bill stuffers to residential customers describing safe natural gas safety practices in the home; </w:t>
      </w:r>
    </w:p>
    <w:p w:rsidR="00E232FA" w:rsidRPr="00E232FA" w:rsidRDefault="00E232FA" w:rsidP="00E232FA">
      <w:pPr>
        <w:tabs>
          <w:tab w:val="left" w:pos="-720"/>
        </w:tabs>
        <w:suppressAutoHyphens/>
        <w:ind w:left="1440" w:right="1440"/>
        <w:rPr>
          <w:szCs w:val="24"/>
        </w:rPr>
      </w:pPr>
    </w:p>
    <w:p w:rsidR="00E232FA" w:rsidRPr="00A52C5D" w:rsidRDefault="00E232FA" w:rsidP="00E232FA">
      <w:pPr>
        <w:numPr>
          <w:ilvl w:val="0"/>
          <w:numId w:val="15"/>
        </w:numPr>
        <w:ind w:left="2160" w:right="1440" w:hanging="720"/>
        <w:rPr>
          <w:szCs w:val="24"/>
        </w:rPr>
      </w:pPr>
      <w:r w:rsidRPr="00E232FA">
        <w:rPr>
          <w:spacing w:val="-3"/>
          <w:szCs w:val="24"/>
        </w:rPr>
        <w:t>$107,000 for programs to improve public education on gas safety.  This program would be an adjunct to a current program offered by the PFD and aimed at educatin</w:t>
      </w:r>
      <w:r w:rsidR="00780FAF">
        <w:rPr>
          <w:spacing w:val="-3"/>
          <w:szCs w:val="24"/>
        </w:rPr>
        <w:t>g</w:t>
      </w:r>
      <w:r w:rsidRPr="00E232FA">
        <w:rPr>
          <w:spacing w:val="-3"/>
          <w:szCs w:val="24"/>
        </w:rPr>
        <w:t xml:space="preserve"> fourth and fifth graders in elementary and middle schools in Philadelphia.</w:t>
      </w:r>
    </w:p>
    <w:p w:rsidR="00A52C5D" w:rsidRPr="00E232FA" w:rsidRDefault="00A52C5D" w:rsidP="00A52C5D">
      <w:pPr>
        <w:ind w:left="1440" w:right="1440"/>
        <w:rPr>
          <w:szCs w:val="24"/>
        </w:rPr>
      </w:pPr>
    </w:p>
    <w:p w:rsidR="00BC433F" w:rsidRDefault="00A52C5D" w:rsidP="00D73316">
      <w:pPr>
        <w:spacing w:line="360" w:lineRule="auto"/>
        <w:rPr>
          <w:rFonts w:eastAsiaTheme="minorHAnsi"/>
          <w:szCs w:val="24"/>
        </w:rPr>
      </w:pPr>
      <w:r w:rsidRPr="00A52C5D">
        <w:rPr>
          <w:i/>
          <w:spacing w:val="-3"/>
          <w:szCs w:val="24"/>
        </w:rPr>
        <w:t xml:space="preserve">Id. </w:t>
      </w:r>
      <w:r w:rsidRPr="00A52C5D">
        <w:rPr>
          <w:spacing w:val="-3"/>
          <w:szCs w:val="24"/>
        </w:rPr>
        <w:t xml:space="preserve">at  </w:t>
      </w:r>
      <w:r>
        <w:rPr>
          <w:rFonts w:eastAsiaTheme="minorHAnsi"/>
          <w:szCs w:val="24"/>
        </w:rPr>
        <w:t xml:space="preserve">36-37 (citing PGW Statement in Support at 4).  </w:t>
      </w:r>
      <w:r w:rsidR="00C3501E">
        <w:rPr>
          <w:rFonts w:eastAsiaTheme="minorHAnsi"/>
          <w:szCs w:val="24"/>
        </w:rPr>
        <w:t xml:space="preserve">With the exception of the </w:t>
      </w:r>
      <w:r w:rsidR="00D73316">
        <w:rPr>
          <w:rFonts w:eastAsiaTheme="minorHAnsi"/>
          <w:szCs w:val="24"/>
        </w:rPr>
        <w:t>allocation to the smoke detector program, as set forth in the Settlement, the ALJ found the remaining three allocations to be problematic.</w:t>
      </w:r>
      <w:r w:rsidR="00BC433F">
        <w:rPr>
          <w:rFonts w:eastAsiaTheme="minorHAnsi"/>
          <w:szCs w:val="24"/>
        </w:rPr>
        <w:t xml:space="preserve">  </w:t>
      </w:r>
      <w:r w:rsidR="00BC433F" w:rsidRPr="00BC433F">
        <w:rPr>
          <w:rFonts w:eastAsiaTheme="minorHAnsi"/>
          <w:i/>
          <w:szCs w:val="24"/>
        </w:rPr>
        <w:t>Id</w:t>
      </w:r>
      <w:r w:rsidR="00BC433F">
        <w:rPr>
          <w:rFonts w:eastAsiaTheme="minorHAnsi"/>
          <w:szCs w:val="24"/>
        </w:rPr>
        <w:t xml:space="preserve">. at 37.  </w:t>
      </w:r>
      <w:r w:rsidR="00D73316">
        <w:rPr>
          <w:rFonts w:eastAsiaTheme="minorHAnsi"/>
          <w:szCs w:val="24"/>
        </w:rPr>
        <w:t xml:space="preserve">  </w:t>
      </w:r>
    </w:p>
    <w:p w:rsidR="00810715" w:rsidRDefault="00BC433F" w:rsidP="00D73316">
      <w:pPr>
        <w:spacing w:line="360" w:lineRule="auto"/>
        <w:rPr>
          <w:rFonts w:eastAsiaTheme="minorHAnsi"/>
          <w:szCs w:val="24"/>
        </w:rPr>
      </w:pPr>
      <w:r>
        <w:rPr>
          <w:rFonts w:eastAsiaTheme="minorHAnsi"/>
          <w:szCs w:val="24"/>
        </w:rPr>
        <w:lastRenderedPageBreak/>
        <w:tab/>
      </w:r>
      <w:r>
        <w:rPr>
          <w:rFonts w:eastAsiaTheme="minorHAnsi"/>
          <w:szCs w:val="24"/>
        </w:rPr>
        <w:tab/>
      </w:r>
      <w:r w:rsidR="00DE6800">
        <w:rPr>
          <w:rFonts w:eastAsiaTheme="minorHAnsi"/>
          <w:szCs w:val="24"/>
        </w:rPr>
        <w:t xml:space="preserve">The ALJ </w:t>
      </w:r>
      <w:r w:rsidR="008534FC">
        <w:rPr>
          <w:rFonts w:eastAsiaTheme="minorHAnsi"/>
          <w:szCs w:val="24"/>
        </w:rPr>
        <w:t>stated</w:t>
      </w:r>
      <w:r w:rsidR="00DE6800">
        <w:rPr>
          <w:rFonts w:eastAsiaTheme="minorHAnsi"/>
          <w:szCs w:val="24"/>
        </w:rPr>
        <w:t xml:space="preserve"> that the allocations presented a benefit to only a subset of citizens affected by the incident and that a wider section of the public</w:t>
      </w:r>
      <w:r w:rsidR="008534FC">
        <w:rPr>
          <w:rFonts w:eastAsiaTheme="minorHAnsi"/>
          <w:szCs w:val="24"/>
        </w:rPr>
        <w:t xml:space="preserve"> should receive benefits stemming from the incident since all Philadelphia citizens, PGW, and its employees were affected by the incident.  The ALJ did not find the allocations reasonable due to the preferences ingrained in the proposals.  </w:t>
      </w:r>
      <w:r w:rsidR="008410AF" w:rsidRPr="008410AF">
        <w:rPr>
          <w:rFonts w:eastAsiaTheme="minorHAnsi"/>
          <w:i/>
          <w:szCs w:val="24"/>
        </w:rPr>
        <w:t>Id</w:t>
      </w:r>
      <w:r w:rsidR="008410AF">
        <w:rPr>
          <w:rFonts w:eastAsiaTheme="minorHAnsi"/>
          <w:szCs w:val="24"/>
        </w:rPr>
        <w:t xml:space="preserve">. at 37-38.  </w:t>
      </w:r>
      <w:r w:rsidR="008534FC">
        <w:rPr>
          <w:rFonts w:eastAsiaTheme="minorHAnsi"/>
          <w:szCs w:val="24"/>
        </w:rPr>
        <w:t>With regard to the allocation for safety information bill stuffers, the ALJ found that it may have been problematic in a future Commission proceeding to differentiate this allocation from the Company’s business expense in providing adequate natural gas service to its customers.</w:t>
      </w:r>
      <w:r w:rsidR="008410AF">
        <w:rPr>
          <w:rFonts w:eastAsiaTheme="minorHAnsi"/>
          <w:szCs w:val="24"/>
        </w:rPr>
        <w:t xml:space="preserve">  </w:t>
      </w:r>
      <w:r w:rsidR="004E1B53">
        <w:rPr>
          <w:rFonts w:eastAsiaTheme="minorHAnsi"/>
          <w:szCs w:val="24"/>
        </w:rPr>
        <w:t xml:space="preserve">The ALJ also addressed PGW’s suggestion that the Commission could provide any different allocation than that presented in the Settlement to programs that benefitted PGW customers and Philadelphia citizens.  The ALJ did not recommend that the Commission </w:t>
      </w:r>
      <w:r w:rsidR="00B437EC">
        <w:rPr>
          <w:rFonts w:eastAsiaTheme="minorHAnsi"/>
          <w:szCs w:val="24"/>
        </w:rPr>
        <w:t>adopt this approach</w:t>
      </w:r>
      <w:r w:rsidR="004E1B53">
        <w:rPr>
          <w:rFonts w:eastAsiaTheme="minorHAnsi"/>
          <w:szCs w:val="24"/>
        </w:rPr>
        <w:t xml:space="preserve">, because the ALJ found that there was no record to support a different allocation, and such a procedure would further delay the implementation of the benefits in the Settlement.  </w:t>
      </w:r>
      <w:r w:rsidR="004E1B53" w:rsidRPr="008410AF">
        <w:rPr>
          <w:rFonts w:eastAsiaTheme="minorHAnsi"/>
          <w:i/>
          <w:szCs w:val="24"/>
        </w:rPr>
        <w:t>Id</w:t>
      </w:r>
      <w:r w:rsidR="004E1B53">
        <w:rPr>
          <w:rFonts w:eastAsiaTheme="minorHAnsi"/>
          <w:szCs w:val="24"/>
        </w:rPr>
        <w:t xml:space="preserve">. at 38.   </w:t>
      </w:r>
    </w:p>
    <w:p w:rsidR="00E232FA" w:rsidRPr="00A52C5D" w:rsidRDefault="004E1B53" w:rsidP="00D73316">
      <w:pPr>
        <w:spacing w:line="360" w:lineRule="auto"/>
        <w:rPr>
          <w:rFonts w:eastAsiaTheme="minorHAnsi"/>
          <w:szCs w:val="24"/>
        </w:rPr>
      </w:pPr>
      <w:r>
        <w:rPr>
          <w:rFonts w:eastAsiaTheme="minorHAnsi"/>
          <w:szCs w:val="24"/>
        </w:rPr>
        <w:t xml:space="preserve">    </w:t>
      </w:r>
      <w:r w:rsidR="008410AF">
        <w:rPr>
          <w:rFonts w:eastAsiaTheme="minorHAnsi"/>
          <w:szCs w:val="24"/>
        </w:rPr>
        <w:t xml:space="preserve">    </w:t>
      </w:r>
      <w:r w:rsidR="008534FC">
        <w:rPr>
          <w:rFonts w:eastAsiaTheme="minorHAnsi"/>
          <w:szCs w:val="24"/>
        </w:rPr>
        <w:t xml:space="preserve">        </w:t>
      </w:r>
      <w:r w:rsidR="00DE6800">
        <w:rPr>
          <w:rFonts w:eastAsiaTheme="minorHAnsi"/>
          <w:szCs w:val="24"/>
        </w:rPr>
        <w:t xml:space="preserve">      </w:t>
      </w:r>
      <w:r w:rsidR="00A52C5D" w:rsidRPr="00A52C5D">
        <w:rPr>
          <w:rFonts w:eastAsiaTheme="minorHAnsi"/>
          <w:szCs w:val="24"/>
        </w:rPr>
        <w:t xml:space="preserve"> </w:t>
      </w:r>
    </w:p>
    <w:p w:rsidR="003A585F" w:rsidRDefault="00D978DE" w:rsidP="00E24988">
      <w:pPr>
        <w:spacing w:after="200" w:line="276" w:lineRule="auto"/>
        <w:rPr>
          <w:rFonts w:eastAsiaTheme="minorHAnsi"/>
          <w:b/>
          <w:szCs w:val="24"/>
        </w:rPr>
      </w:pPr>
      <w:r>
        <w:rPr>
          <w:rFonts w:eastAsiaTheme="minorHAnsi"/>
          <w:b/>
          <w:szCs w:val="24"/>
        </w:rPr>
        <w:t>B.</w:t>
      </w:r>
      <w:r>
        <w:rPr>
          <w:rFonts w:eastAsiaTheme="minorHAnsi"/>
          <w:b/>
          <w:szCs w:val="24"/>
        </w:rPr>
        <w:tab/>
        <w:t xml:space="preserve">Exceptions and Replies </w:t>
      </w:r>
    </w:p>
    <w:p w:rsidR="00D978DE" w:rsidRDefault="00D978DE" w:rsidP="00810715">
      <w:pPr>
        <w:spacing w:line="360" w:lineRule="auto"/>
        <w:rPr>
          <w:rFonts w:eastAsiaTheme="minorHAnsi"/>
          <w:b/>
          <w:szCs w:val="24"/>
        </w:rPr>
      </w:pPr>
    </w:p>
    <w:p w:rsidR="00267D49" w:rsidRDefault="006D4233" w:rsidP="003C3F09">
      <w:pPr>
        <w:spacing w:line="360" w:lineRule="auto"/>
        <w:rPr>
          <w:rFonts w:eastAsiaTheme="minorHAnsi"/>
          <w:szCs w:val="24"/>
        </w:rPr>
      </w:pPr>
      <w:r>
        <w:rPr>
          <w:rFonts w:eastAsiaTheme="minorHAnsi"/>
          <w:b/>
          <w:szCs w:val="24"/>
        </w:rPr>
        <w:tab/>
      </w:r>
      <w:r>
        <w:rPr>
          <w:rFonts w:eastAsiaTheme="minorHAnsi"/>
          <w:b/>
          <w:szCs w:val="24"/>
        </w:rPr>
        <w:tab/>
      </w:r>
      <w:r w:rsidR="003C3F09">
        <w:rPr>
          <w:rFonts w:eastAsiaTheme="minorHAnsi"/>
          <w:szCs w:val="24"/>
        </w:rPr>
        <w:t>In its Exceptions, PGW avers that the ALJ erred in rejecting PGW’s alternative allocation</w:t>
      </w:r>
      <w:r w:rsidR="003C3F09">
        <w:rPr>
          <w:rFonts w:eastAsiaTheme="minorHAnsi"/>
          <w:b/>
          <w:szCs w:val="24"/>
        </w:rPr>
        <w:t xml:space="preserve"> </w:t>
      </w:r>
      <w:r w:rsidR="003C3F09">
        <w:rPr>
          <w:rFonts w:eastAsiaTheme="minorHAnsi"/>
          <w:szCs w:val="24"/>
        </w:rPr>
        <w:t xml:space="preserve">for several reasons.  </w:t>
      </w:r>
      <w:r w:rsidR="00837644">
        <w:rPr>
          <w:rFonts w:eastAsiaTheme="minorHAnsi"/>
          <w:szCs w:val="24"/>
        </w:rPr>
        <w:t xml:space="preserve">Exc. at 2.  </w:t>
      </w:r>
      <w:r w:rsidR="003C3F09">
        <w:rPr>
          <w:rFonts w:eastAsiaTheme="minorHAnsi"/>
          <w:szCs w:val="24"/>
        </w:rPr>
        <w:t xml:space="preserve">First, PGW states that the alternative </w:t>
      </w:r>
      <w:r w:rsidR="00837644">
        <w:rPr>
          <w:rFonts w:eastAsiaTheme="minorHAnsi"/>
          <w:szCs w:val="24"/>
        </w:rPr>
        <w:t xml:space="preserve">allocation it suggests is reasonable and </w:t>
      </w:r>
      <w:r w:rsidR="00B63184">
        <w:rPr>
          <w:rFonts w:eastAsiaTheme="minorHAnsi"/>
          <w:szCs w:val="24"/>
        </w:rPr>
        <w:t xml:space="preserve">is </w:t>
      </w:r>
      <w:r w:rsidR="00837644">
        <w:rPr>
          <w:rFonts w:eastAsiaTheme="minorHAnsi"/>
          <w:szCs w:val="24"/>
        </w:rPr>
        <w:t xml:space="preserve">in the public interest.  PGW believes that allocating a majority or all of the $500,000 payment to fund worthy programs to benefit the City of Philadelphia (City) is justified because of PGW’s unique status as a municipally-owned natural gas distribution utility and the unique facts of this incident.  PGW explains that it has no shareholders in the typical sense, and its “shareholders” are the citizens of the City.  PGW states that, while it has agreed that it will not request recovery of any portion of the $500,000 payment in a future rate case, since the Company is </w:t>
      </w:r>
      <w:r w:rsidR="00497659">
        <w:rPr>
          <w:rFonts w:eastAsiaTheme="minorHAnsi"/>
          <w:szCs w:val="24"/>
        </w:rPr>
        <w:t xml:space="preserve">a cash-flow regulated company, </w:t>
      </w:r>
      <w:r w:rsidR="00A95335">
        <w:rPr>
          <w:rFonts w:eastAsiaTheme="minorHAnsi"/>
          <w:szCs w:val="24"/>
        </w:rPr>
        <w:t xml:space="preserve">the payment will affect its cash flow and, at some point, will affect its “shareholders.”  </w:t>
      </w:r>
      <w:r w:rsidR="00A95335" w:rsidRPr="00A95335">
        <w:rPr>
          <w:rFonts w:eastAsiaTheme="minorHAnsi"/>
          <w:i/>
          <w:szCs w:val="24"/>
        </w:rPr>
        <w:t>Id</w:t>
      </w:r>
      <w:r w:rsidR="00A95335">
        <w:rPr>
          <w:rFonts w:eastAsiaTheme="minorHAnsi"/>
          <w:szCs w:val="24"/>
        </w:rPr>
        <w:t>. at 4.</w:t>
      </w:r>
      <w:r w:rsidR="001632EC">
        <w:rPr>
          <w:rFonts w:eastAsiaTheme="minorHAnsi"/>
          <w:szCs w:val="24"/>
        </w:rPr>
        <w:t xml:space="preserve">  PGW notes that it is obligated to make an annual $18 million payment to the City</w:t>
      </w:r>
      <w:r w:rsidR="00B63184">
        <w:rPr>
          <w:rFonts w:eastAsiaTheme="minorHAnsi"/>
          <w:szCs w:val="24"/>
        </w:rPr>
        <w:t>,</w:t>
      </w:r>
      <w:r w:rsidR="001632EC">
        <w:rPr>
          <w:rFonts w:eastAsiaTheme="minorHAnsi"/>
          <w:szCs w:val="24"/>
        </w:rPr>
        <w:t xml:space="preserve"> consistent with Section 2212(f) of the </w:t>
      </w:r>
      <w:r w:rsidR="00267D49">
        <w:rPr>
          <w:rFonts w:eastAsiaTheme="minorHAnsi"/>
          <w:szCs w:val="24"/>
        </w:rPr>
        <w:t>Code,</w:t>
      </w:r>
    </w:p>
    <w:p w:rsidR="000613A8" w:rsidRDefault="00267D49" w:rsidP="003C3F09">
      <w:pPr>
        <w:spacing w:line="360" w:lineRule="auto"/>
        <w:rPr>
          <w:rFonts w:eastAsiaTheme="minorHAnsi"/>
          <w:szCs w:val="24"/>
        </w:rPr>
      </w:pPr>
      <w:r>
        <w:rPr>
          <w:rFonts w:eastAsiaTheme="minorHAnsi"/>
          <w:szCs w:val="24"/>
        </w:rPr>
        <w:lastRenderedPageBreak/>
        <w:t xml:space="preserve">66 Pa. C.S. § 2212(f).  </w:t>
      </w:r>
      <w:r w:rsidR="004E2FC3">
        <w:rPr>
          <w:rFonts w:eastAsiaTheme="minorHAnsi"/>
          <w:szCs w:val="24"/>
        </w:rPr>
        <w:t xml:space="preserve">PGW specifically avers the following:  “Even if it were legally possible to reduce that payment to account for the financial payment agreed to here (which it is not), the payment would nonetheless affect the citizens of Philadelphia by reducing the amount of support provided to the City by the Gas Works’ operations.”  </w:t>
      </w:r>
      <w:r w:rsidR="00E714B5" w:rsidRPr="00E714B5">
        <w:rPr>
          <w:rFonts w:eastAsiaTheme="minorHAnsi"/>
          <w:i/>
          <w:szCs w:val="24"/>
        </w:rPr>
        <w:t>Id</w:t>
      </w:r>
      <w:r w:rsidR="00E714B5">
        <w:rPr>
          <w:rFonts w:eastAsiaTheme="minorHAnsi"/>
          <w:szCs w:val="24"/>
        </w:rPr>
        <w:t>. n.7.</w:t>
      </w:r>
      <w:r w:rsidR="00F6212A">
        <w:rPr>
          <w:rFonts w:eastAsiaTheme="minorHAnsi"/>
          <w:szCs w:val="24"/>
        </w:rPr>
        <w:t xml:space="preserve">  </w:t>
      </w:r>
      <w:r w:rsidR="00E714B5">
        <w:rPr>
          <w:rFonts w:eastAsiaTheme="minorHAnsi"/>
          <w:szCs w:val="24"/>
        </w:rPr>
        <w:t xml:space="preserve">  </w:t>
      </w:r>
      <w:r>
        <w:rPr>
          <w:rFonts w:eastAsiaTheme="minorHAnsi"/>
          <w:szCs w:val="24"/>
        </w:rPr>
        <w:t xml:space="preserve">  </w:t>
      </w:r>
      <w:r w:rsidR="00A95335">
        <w:rPr>
          <w:rFonts w:eastAsiaTheme="minorHAnsi"/>
          <w:szCs w:val="24"/>
        </w:rPr>
        <w:t xml:space="preserve">  </w:t>
      </w:r>
    </w:p>
    <w:p w:rsidR="000613A8" w:rsidRDefault="000613A8" w:rsidP="003C3F09">
      <w:pPr>
        <w:spacing w:line="360" w:lineRule="auto"/>
        <w:rPr>
          <w:rFonts w:eastAsiaTheme="minorHAnsi"/>
          <w:szCs w:val="24"/>
        </w:rPr>
      </w:pPr>
    </w:p>
    <w:p w:rsidR="009F7ECD" w:rsidRDefault="00A95335" w:rsidP="000613A8">
      <w:pPr>
        <w:spacing w:line="360" w:lineRule="auto"/>
        <w:ind w:firstLine="1440"/>
        <w:rPr>
          <w:rFonts w:eastAsiaTheme="minorHAnsi"/>
          <w:szCs w:val="24"/>
        </w:rPr>
      </w:pPr>
      <w:r>
        <w:rPr>
          <w:rFonts w:eastAsiaTheme="minorHAnsi"/>
          <w:szCs w:val="24"/>
        </w:rPr>
        <w:t xml:space="preserve">PGW avers that the Commission has recognized PGW’s status as a municipally-owned utility and has refrained from imposing civil penalties on the Company in certain cases.  </w:t>
      </w:r>
      <w:r w:rsidRPr="00A95335">
        <w:rPr>
          <w:rFonts w:eastAsiaTheme="minorHAnsi"/>
          <w:i/>
          <w:szCs w:val="24"/>
        </w:rPr>
        <w:t>Id</w:t>
      </w:r>
      <w:r>
        <w:rPr>
          <w:rFonts w:eastAsiaTheme="minorHAnsi"/>
          <w:szCs w:val="24"/>
        </w:rPr>
        <w:t xml:space="preserve">. at 4-5 (citing </w:t>
      </w:r>
      <w:r w:rsidRPr="001E73FB">
        <w:rPr>
          <w:rFonts w:eastAsiaTheme="minorHAnsi"/>
          <w:i/>
          <w:szCs w:val="24"/>
        </w:rPr>
        <w:t>Malisa Alexander v. Philadelphia Gas Works</w:t>
      </w:r>
      <w:r>
        <w:rPr>
          <w:rFonts w:eastAsiaTheme="minorHAnsi"/>
          <w:szCs w:val="24"/>
        </w:rPr>
        <w:t xml:space="preserve">, Docket No. C-20077389 (Order entered November 6, 2008); </w:t>
      </w:r>
      <w:r w:rsidRPr="001E73FB">
        <w:rPr>
          <w:rFonts w:eastAsiaTheme="minorHAnsi"/>
          <w:i/>
          <w:szCs w:val="24"/>
        </w:rPr>
        <w:t>Thea Jones v. Philadelphia Gas Works</w:t>
      </w:r>
      <w:r>
        <w:rPr>
          <w:rFonts w:eastAsiaTheme="minorHAnsi"/>
          <w:szCs w:val="24"/>
        </w:rPr>
        <w:t>, Docket No. F-2009-2138367 (Order entered December 16, 2010);</w:t>
      </w:r>
      <w:r w:rsidR="00FD5A44">
        <w:rPr>
          <w:rFonts w:eastAsiaTheme="minorHAnsi"/>
          <w:szCs w:val="24"/>
        </w:rPr>
        <w:t xml:space="preserve"> and</w:t>
      </w:r>
      <w:r>
        <w:rPr>
          <w:rFonts w:eastAsiaTheme="minorHAnsi"/>
          <w:szCs w:val="24"/>
        </w:rPr>
        <w:t xml:space="preserve"> </w:t>
      </w:r>
      <w:r w:rsidRPr="001E73FB">
        <w:rPr>
          <w:rFonts w:eastAsiaTheme="minorHAnsi"/>
          <w:i/>
          <w:szCs w:val="24"/>
        </w:rPr>
        <w:t>Nia Peterson v. Philadelphia Gas Works</w:t>
      </w:r>
      <w:r>
        <w:rPr>
          <w:rFonts w:eastAsiaTheme="minorHAnsi"/>
          <w:szCs w:val="24"/>
        </w:rPr>
        <w:t>, Docket No. F-2010-2215379 (Order entered January 27, 2012)</w:t>
      </w:r>
      <w:r w:rsidR="00F25652">
        <w:rPr>
          <w:rFonts w:eastAsiaTheme="minorHAnsi"/>
          <w:szCs w:val="24"/>
        </w:rPr>
        <w:t>)</w:t>
      </w:r>
      <w:r>
        <w:rPr>
          <w:rFonts w:eastAsiaTheme="minorHAnsi"/>
          <w:szCs w:val="24"/>
        </w:rPr>
        <w:t>.</w:t>
      </w:r>
      <w:r w:rsidR="000613A8">
        <w:rPr>
          <w:rFonts w:eastAsiaTheme="minorHAnsi"/>
          <w:szCs w:val="24"/>
        </w:rPr>
        <w:t xml:space="preserve">  PGW asserts that the imposition of a substantial civil penalty in this case would be inconsistent with the Commission’s </w:t>
      </w:r>
      <w:r w:rsidR="005E7F70">
        <w:rPr>
          <w:rFonts w:eastAsiaTheme="minorHAnsi"/>
          <w:szCs w:val="24"/>
        </w:rPr>
        <w:t xml:space="preserve">general approach toward PGW.  </w:t>
      </w:r>
      <w:r w:rsidR="000613A8">
        <w:rPr>
          <w:rFonts w:eastAsiaTheme="minorHAnsi"/>
          <w:szCs w:val="24"/>
        </w:rPr>
        <w:t>PGW believes that it would be appropriate and more consistent with the Commission’s prior actions to reallocate the payment in a manner that provides benefits to PGW’s customers.  Exc. at 5.</w:t>
      </w:r>
      <w:r w:rsidR="0087607C">
        <w:rPr>
          <w:rFonts w:eastAsiaTheme="minorHAnsi"/>
          <w:szCs w:val="24"/>
        </w:rPr>
        <w:t xml:space="preserve">  </w:t>
      </w:r>
      <w:r w:rsidR="00D12724">
        <w:rPr>
          <w:rFonts w:eastAsiaTheme="minorHAnsi"/>
          <w:szCs w:val="24"/>
        </w:rPr>
        <w:t xml:space="preserve">PGW states that, if the Commission </w:t>
      </w:r>
      <w:r w:rsidR="00451EF9">
        <w:rPr>
          <w:rFonts w:eastAsiaTheme="minorHAnsi"/>
          <w:szCs w:val="24"/>
        </w:rPr>
        <w:t xml:space="preserve">agrees with the general principal of allocating funds to beneficial programs, but is not comfortable with the specific programs proposed by the Company, then the Commission can establish a process, via a workshop or process through its Director of </w:t>
      </w:r>
      <w:r w:rsidR="00FD5A44">
        <w:rPr>
          <w:rFonts w:eastAsiaTheme="minorHAnsi"/>
          <w:szCs w:val="24"/>
        </w:rPr>
        <w:t xml:space="preserve">Regulatory </w:t>
      </w:r>
      <w:r w:rsidR="00451EF9">
        <w:rPr>
          <w:rFonts w:eastAsiaTheme="minorHAnsi"/>
          <w:szCs w:val="24"/>
        </w:rPr>
        <w:t xml:space="preserve">Operations, to identify different workshops and supervise the funding of those programs by PGW from the $500,000 payment.  </w:t>
      </w:r>
      <w:r w:rsidR="0087607C">
        <w:rPr>
          <w:rFonts w:eastAsiaTheme="minorHAnsi"/>
          <w:szCs w:val="24"/>
        </w:rPr>
        <w:t xml:space="preserve">PGW also states that funding programs, rather than imposing a civil penalty, will create positive benefits from this tragic incident by enhancing public safety.  </w:t>
      </w:r>
      <w:r w:rsidR="0087607C" w:rsidRPr="0087607C">
        <w:rPr>
          <w:rFonts w:eastAsiaTheme="minorHAnsi"/>
          <w:i/>
          <w:szCs w:val="24"/>
        </w:rPr>
        <w:t>Id</w:t>
      </w:r>
      <w:r w:rsidR="0087607C">
        <w:rPr>
          <w:rFonts w:eastAsiaTheme="minorHAnsi"/>
          <w:szCs w:val="24"/>
        </w:rPr>
        <w:t xml:space="preserve">. at 6.  </w:t>
      </w:r>
    </w:p>
    <w:p w:rsidR="009F7ECD" w:rsidRDefault="009F7ECD" w:rsidP="000613A8">
      <w:pPr>
        <w:spacing w:line="360" w:lineRule="auto"/>
        <w:ind w:firstLine="1440"/>
        <w:rPr>
          <w:rFonts w:eastAsiaTheme="minorHAnsi"/>
          <w:szCs w:val="24"/>
        </w:rPr>
      </w:pPr>
    </w:p>
    <w:p w:rsidR="006D4233" w:rsidRPr="006D4233" w:rsidRDefault="009F7ECD" w:rsidP="000613A8">
      <w:pPr>
        <w:spacing w:line="360" w:lineRule="auto"/>
        <w:ind w:firstLine="1440"/>
        <w:rPr>
          <w:rFonts w:eastAsiaTheme="minorHAnsi"/>
          <w:szCs w:val="24"/>
        </w:rPr>
      </w:pPr>
      <w:r>
        <w:rPr>
          <w:rFonts w:eastAsiaTheme="minorHAnsi"/>
          <w:szCs w:val="24"/>
        </w:rPr>
        <w:t xml:space="preserve">Second, PGW argues that, contrary to the ALJ’s determination, the specific programs that PGW proposes to fund are worthy of support from the payment in this proceeding.  PGW states that any program funded by a utility will benefit some portion of the public more than another, but such distinctions are acceptable as long as there is a </w:t>
      </w:r>
      <w:r>
        <w:rPr>
          <w:rFonts w:eastAsiaTheme="minorHAnsi"/>
          <w:szCs w:val="24"/>
        </w:rPr>
        <w:lastRenderedPageBreak/>
        <w:t xml:space="preserve">reasonable justification for the distinction.  </w:t>
      </w:r>
      <w:r w:rsidR="00B8170A" w:rsidRPr="00B8170A">
        <w:rPr>
          <w:rFonts w:eastAsiaTheme="minorHAnsi"/>
          <w:i/>
          <w:szCs w:val="24"/>
        </w:rPr>
        <w:t>Id</w:t>
      </w:r>
      <w:r w:rsidR="00B8170A">
        <w:rPr>
          <w:rFonts w:eastAsiaTheme="minorHAnsi"/>
          <w:szCs w:val="24"/>
        </w:rPr>
        <w:t xml:space="preserve">. at 7.  </w:t>
      </w:r>
      <w:r w:rsidR="00E03E08">
        <w:rPr>
          <w:rFonts w:eastAsiaTheme="minorHAnsi"/>
          <w:szCs w:val="24"/>
        </w:rPr>
        <w:t xml:space="preserve">PGW also states that, like the PFD smoke detector program, each of the selected programs serves the public, enhances public safety, and has the potential to save lives.  With regard to the safety information bill stuffers, PGW avers that the ALJ’s concern that PGW may not be able to distinguish those bill stuffers from its regular bill stuffers is speculative.  </w:t>
      </w:r>
      <w:r w:rsidR="00E03E08" w:rsidRPr="00E03E08">
        <w:rPr>
          <w:rFonts w:eastAsiaTheme="minorHAnsi"/>
          <w:i/>
          <w:szCs w:val="24"/>
        </w:rPr>
        <w:t>Id</w:t>
      </w:r>
      <w:r w:rsidR="00EA6B25">
        <w:rPr>
          <w:rFonts w:eastAsiaTheme="minorHAnsi"/>
          <w:szCs w:val="24"/>
        </w:rPr>
        <w:t>. at 8.  PGW notes that it h</w:t>
      </w:r>
      <w:r w:rsidR="00E03E08">
        <w:rPr>
          <w:rFonts w:eastAsiaTheme="minorHAnsi"/>
          <w:szCs w:val="24"/>
        </w:rPr>
        <w:t xml:space="preserve">as agreed that costs for the bill stuffers would not be recovered in rates and any effort by the Company to do so would be objectionable in a future rate proceeding.  </w:t>
      </w:r>
      <w:r w:rsidR="00E03E08" w:rsidRPr="00E03E08">
        <w:rPr>
          <w:rFonts w:eastAsiaTheme="minorHAnsi"/>
          <w:i/>
          <w:szCs w:val="24"/>
        </w:rPr>
        <w:t>Id</w:t>
      </w:r>
      <w:r w:rsidR="00EA6B25">
        <w:rPr>
          <w:rFonts w:eastAsiaTheme="minorHAnsi"/>
          <w:szCs w:val="24"/>
        </w:rPr>
        <w:t xml:space="preserve">. at 8-9. </w:t>
      </w:r>
      <w:r w:rsidR="00837644">
        <w:rPr>
          <w:rFonts w:eastAsiaTheme="minorHAnsi"/>
          <w:szCs w:val="24"/>
        </w:rPr>
        <w:t xml:space="preserve">      </w:t>
      </w:r>
      <w:r w:rsidR="003C3F09">
        <w:rPr>
          <w:rFonts w:eastAsiaTheme="minorHAnsi"/>
          <w:b/>
          <w:szCs w:val="24"/>
        </w:rPr>
        <w:t xml:space="preserve"> </w:t>
      </w:r>
    </w:p>
    <w:p w:rsidR="00C704B1" w:rsidRDefault="00C704B1" w:rsidP="00E24988">
      <w:pPr>
        <w:spacing w:after="200" w:line="276" w:lineRule="auto"/>
        <w:rPr>
          <w:rFonts w:eastAsiaTheme="minorHAnsi"/>
          <w:b/>
          <w:szCs w:val="24"/>
        </w:rPr>
      </w:pPr>
      <w:r>
        <w:rPr>
          <w:rFonts w:eastAsiaTheme="minorHAnsi"/>
          <w:b/>
          <w:szCs w:val="24"/>
        </w:rPr>
        <w:tab/>
      </w:r>
      <w:r>
        <w:rPr>
          <w:rFonts w:eastAsiaTheme="minorHAnsi"/>
          <w:b/>
          <w:szCs w:val="24"/>
        </w:rPr>
        <w:tab/>
      </w:r>
    </w:p>
    <w:p w:rsidR="008C04BE" w:rsidRDefault="00D978DE" w:rsidP="00CF77A5">
      <w:pPr>
        <w:spacing w:line="360" w:lineRule="auto"/>
        <w:rPr>
          <w:rFonts w:eastAsiaTheme="minorHAnsi"/>
          <w:szCs w:val="24"/>
        </w:rPr>
      </w:pPr>
      <w:r>
        <w:rPr>
          <w:rFonts w:eastAsiaTheme="minorHAnsi"/>
          <w:b/>
          <w:szCs w:val="24"/>
        </w:rPr>
        <w:tab/>
      </w:r>
      <w:r>
        <w:rPr>
          <w:rFonts w:eastAsiaTheme="minorHAnsi"/>
          <w:b/>
          <w:szCs w:val="24"/>
        </w:rPr>
        <w:tab/>
      </w:r>
      <w:r w:rsidR="00CF77A5" w:rsidRPr="00CF77A5">
        <w:rPr>
          <w:rFonts w:eastAsiaTheme="minorHAnsi"/>
          <w:szCs w:val="24"/>
        </w:rPr>
        <w:t xml:space="preserve">Third, </w:t>
      </w:r>
      <w:r w:rsidR="00CF77A5">
        <w:rPr>
          <w:rFonts w:eastAsiaTheme="minorHAnsi"/>
          <w:szCs w:val="24"/>
        </w:rPr>
        <w:t xml:space="preserve">PGW addressed the ALJ’s recommendation that the Commission not act on its own discretion in providing for a different allocation than that set forth in the Settlement because such action would delay implementation of the Settlement.  </w:t>
      </w:r>
      <w:r w:rsidR="00436EB3">
        <w:rPr>
          <w:rFonts w:eastAsiaTheme="minorHAnsi"/>
          <w:szCs w:val="24"/>
        </w:rPr>
        <w:t xml:space="preserve">PGW avers that the ALJ’s concern is not supported by the record.  PGW states that, as noted in the Settlement, it has already implemented most of the changes to its operating procedures as sought by I&amp;E.  PGW acknowledges that, while there would be a delay in making the payment, that delay would only be as long as it required the Commission to determine the best allocation of the $500,000.  </w:t>
      </w:r>
      <w:r w:rsidR="00436EB3" w:rsidRPr="00436EB3">
        <w:rPr>
          <w:rFonts w:eastAsiaTheme="minorHAnsi"/>
          <w:i/>
          <w:szCs w:val="24"/>
        </w:rPr>
        <w:t>Id</w:t>
      </w:r>
      <w:r w:rsidR="00436EB3">
        <w:rPr>
          <w:rFonts w:eastAsiaTheme="minorHAnsi"/>
          <w:szCs w:val="24"/>
        </w:rPr>
        <w:t xml:space="preserve">. at 9.     </w:t>
      </w:r>
    </w:p>
    <w:p w:rsidR="008C04BE" w:rsidRDefault="008C04BE" w:rsidP="00CF77A5">
      <w:pPr>
        <w:spacing w:line="360" w:lineRule="auto"/>
        <w:rPr>
          <w:rFonts w:eastAsiaTheme="minorHAnsi"/>
          <w:szCs w:val="24"/>
        </w:rPr>
      </w:pPr>
    </w:p>
    <w:p w:rsidR="00424CB6" w:rsidRDefault="008C04BE" w:rsidP="00CF77A5">
      <w:pPr>
        <w:spacing w:line="360" w:lineRule="auto"/>
        <w:rPr>
          <w:rFonts w:eastAsiaTheme="minorHAnsi"/>
          <w:szCs w:val="24"/>
        </w:rPr>
      </w:pPr>
      <w:r>
        <w:rPr>
          <w:rFonts w:eastAsiaTheme="minorHAnsi"/>
          <w:szCs w:val="24"/>
        </w:rPr>
        <w:tab/>
      </w:r>
      <w:r>
        <w:rPr>
          <w:rFonts w:eastAsiaTheme="minorHAnsi"/>
          <w:szCs w:val="24"/>
        </w:rPr>
        <w:tab/>
      </w:r>
      <w:r w:rsidR="00C237AE">
        <w:rPr>
          <w:rFonts w:eastAsiaTheme="minorHAnsi"/>
          <w:szCs w:val="24"/>
        </w:rPr>
        <w:t xml:space="preserve">In its Replies to Exceptions, I&amp;E challenges PGW’s statements regarding the Commission’s general approach toward PGW and not imposing civil penalties on the Company.  I&amp;E asserts that the Commission has no established position of avoiding the imposition of a civil penalty on PGW.  I&amp;E states that the Commission has, in fact, imposed civil penalties against PGW.  </w:t>
      </w:r>
      <w:r w:rsidR="00F25652">
        <w:rPr>
          <w:rFonts w:eastAsiaTheme="minorHAnsi"/>
          <w:szCs w:val="24"/>
        </w:rPr>
        <w:t xml:space="preserve">R. Exc. at 4-5 (citing </w:t>
      </w:r>
      <w:r w:rsidR="00F25652">
        <w:rPr>
          <w:rFonts w:eastAsiaTheme="minorHAnsi"/>
          <w:i/>
          <w:szCs w:val="24"/>
        </w:rPr>
        <w:t>Doe v. Philadelphia Gas Works</w:t>
      </w:r>
      <w:r w:rsidR="00F25652">
        <w:rPr>
          <w:rFonts w:eastAsiaTheme="minorHAnsi"/>
          <w:szCs w:val="24"/>
        </w:rPr>
        <w:t>, Docket No. F-01559449 (Order entered December 13, 2005)</w:t>
      </w:r>
      <w:r w:rsidR="00F720E7">
        <w:rPr>
          <w:rFonts w:eastAsiaTheme="minorHAnsi"/>
          <w:szCs w:val="24"/>
        </w:rPr>
        <w:t>;</w:t>
      </w:r>
      <w:r w:rsidR="00FD5A44">
        <w:rPr>
          <w:rFonts w:eastAsiaTheme="minorHAnsi"/>
          <w:szCs w:val="24"/>
        </w:rPr>
        <w:t xml:space="preserve"> and</w:t>
      </w:r>
      <w:r w:rsidR="00F720E7">
        <w:rPr>
          <w:rFonts w:eastAsiaTheme="minorHAnsi"/>
          <w:szCs w:val="24"/>
        </w:rPr>
        <w:t xml:space="preserve"> </w:t>
      </w:r>
      <w:r w:rsidR="00F720E7" w:rsidRPr="00F720E7">
        <w:rPr>
          <w:rFonts w:eastAsiaTheme="minorHAnsi"/>
          <w:i/>
          <w:szCs w:val="24"/>
        </w:rPr>
        <w:t>Perez v. P</w:t>
      </w:r>
      <w:r w:rsidR="008B5587">
        <w:rPr>
          <w:rFonts w:eastAsiaTheme="minorHAnsi"/>
          <w:i/>
          <w:szCs w:val="24"/>
        </w:rPr>
        <w:t xml:space="preserve">hiladelphia </w:t>
      </w:r>
      <w:r w:rsidR="00F720E7" w:rsidRPr="00F720E7">
        <w:rPr>
          <w:rFonts w:eastAsiaTheme="minorHAnsi"/>
          <w:i/>
          <w:szCs w:val="24"/>
        </w:rPr>
        <w:t>G</w:t>
      </w:r>
      <w:r w:rsidR="008B5587">
        <w:rPr>
          <w:rFonts w:eastAsiaTheme="minorHAnsi"/>
          <w:i/>
          <w:szCs w:val="24"/>
        </w:rPr>
        <w:t xml:space="preserve">as </w:t>
      </w:r>
      <w:r w:rsidR="00F720E7" w:rsidRPr="00F720E7">
        <w:rPr>
          <w:rFonts w:eastAsiaTheme="minorHAnsi"/>
          <w:i/>
          <w:szCs w:val="24"/>
        </w:rPr>
        <w:t>W</w:t>
      </w:r>
      <w:r w:rsidR="008B5587">
        <w:rPr>
          <w:rFonts w:eastAsiaTheme="minorHAnsi"/>
          <w:i/>
          <w:szCs w:val="24"/>
        </w:rPr>
        <w:t>orks</w:t>
      </w:r>
      <w:r w:rsidR="00F720E7">
        <w:rPr>
          <w:rFonts w:eastAsiaTheme="minorHAnsi"/>
          <w:szCs w:val="24"/>
        </w:rPr>
        <w:t xml:space="preserve">, Docket No. </w:t>
      </w:r>
      <w:r w:rsidR="007638B8">
        <w:rPr>
          <w:rFonts w:eastAsiaTheme="minorHAnsi"/>
          <w:szCs w:val="24"/>
        </w:rPr>
        <w:t>F</w:t>
      </w:r>
      <w:r w:rsidR="00F720E7">
        <w:rPr>
          <w:rFonts w:eastAsiaTheme="minorHAnsi"/>
          <w:szCs w:val="24"/>
        </w:rPr>
        <w:t>-01761817 (Order entered September 19, 2006)</w:t>
      </w:r>
      <w:r w:rsidR="00FD5A44">
        <w:rPr>
          <w:rFonts w:eastAsiaTheme="minorHAnsi"/>
          <w:szCs w:val="24"/>
        </w:rPr>
        <w:t>)</w:t>
      </w:r>
      <w:r w:rsidR="00F720E7">
        <w:rPr>
          <w:rFonts w:eastAsiaTheme="minorHAnsi"/>
          <w:szCs w:val="24"/>
        </w:rPr>
        <w:t>.</w:t>
      </w:r>
      <w:r w:rsidR="004A4331">
        <w:rPr>
          <w:rFonts w:eastAsiaTheme="minorHAnsi"/>
          <w:szCs w:val="24"/>
        </w:rPr>
        <w:t xml:space="preserve">  I&amp;E opines that</w:t>
      </w:r>
      <w:r w:rsidR="008267A3">
        <w:rPr>
          <w:rFonts w:eastAsiaTheme="minorHAnsi"/>
          <w:szCs w:val="24"/>
        </w:rPr>
        <w:t>,</w:t>
      </w:r>
      <w:r w:rsidR="004A4331">
        <w:rPr>
          <w:rFonts w:eastAsiaTheme="minorHAnsi"/>
          <w:szCs w:val="24"/>
        </w:rPr>
        <w:t xml:space="preserve"> if PGW’s claim is accepted, then PGW will be exonerated in all future actions regardless of the nature or severity of the alleged violations.  I&amp;E avers that the Commission has not sent PGW a message that no matter how tragic or egregious the violation, PGW is exempt from the imposition of a civil penalty.  I&amp;E indicates that the Commission made clear, in </w:t>
      </w:r>
      <w:r w:rsidR="004A4331" w:rsidRPr="004A4331">
        <w:rPr>
          <w:rFonts w:eastAsiaTheme="minorHAnsi"/>
          <w:i/>
          <w:szCs w:val="24"/>
        </w:rPr>
        <w:t>Mullins v. Philadelphia Gas Works</w:t>
      </w:r>
      <w:r w:rsidR="004A4331">
        <w:rPr>
          <w:rFonts w:eastAsiaTheme="minorHAnsi"/>
          <w:szCs w:val="24"/>
        </w:rPr>
        <w:t xml:space="preserve">, Docket No. </w:t>
      </w:r>
      <w:r w:rsidR="004A4331">
        <w:rPr>
          <w:rFonts w:eastAsiaTheme="minorHAnsi"/>
          <w:szCs w:val="24"/>
        </w:rPr>
        <w:lastRenderedPageBreak/>
        <w:t>C</w:t>
      </w:r>
      <w:r w:rsidR="00EA6B25">
        <w:rPr>
          <w:rFonts w:eastAsiaTheme="minorHAnsi"/>
          <w:szCs w:val="24"/>
        </w:rPr>
        <w:noBreakHyphen/>
      </w:r>
      <w:r w:rsidR="004A4331">
        <w:rPr>
          <w:rFonts w:eastAsiaTheme="minorHAnsi"/>
          <w:szCs w:val="24"/>
        </w:rPr>
        <w:t>2011</w:t>
      </w:r>
      <w:r w:rsidR="00EA6B25">
        <w:rPr>
          <w:rFonts w:eastAsiaTheme="minorHAnsi"/>
          <w:szCs w:val="24"/>
        </w:rPr>
        <w:noBreakHyphen/>
      </w:r>
      <w:r w:rsidR="004A4331">
        <w:rPr>
          <w:rFonts w:eastAsiaTheme="minorHAnsi"/>
          <w:szCs w:val="24"/>
        </w:rPr>
        <w:t xml:space="preserve">2266040 (Order entered October 2, 2012), that “PGW’s status as a municipally-owned utility does not negate the Commission’s authority to impose a penalty on PGW when appropriate.”  </w:t>
      </w:r>
      <w:r w:rsidR="00FD5A44">
        <w:rPr>
          <w:rFonts w:eastAsiaTheme="minorHAnsi"/>
          <w:szCs w:val="24"/>
        </w:rPr>
        <w:t xml:space="preserve">R. Exc. </w:t>
      </w:r>
      <w:r w:rsidR="004A4331">
        <w:rPr>
          <w:rFonts w:eastAsiaTheme="minorHAnsi"/>
          <w:szCs w:val="24"/>
        </w:rPr>
        <w:t xml:space="preserve">at 5 (quoting </w:t>
      </w:r>
      <w:r w:rsidR="004A4331" w:rsidRPr="004A4331">
        <w:rPr>
          <w:rFonts w:eastAsiaTheme="minorHAnsi"/>
          <w:i/>
          <w:szCs w:val="24"/>
        </w:rPr>
        <w:t>Mullins</w:t>
      </w:r>
      <w:r w:rsidR="004A4331">
        <w:rPr>
          <w:rFonts w:eastAsiaTheme="minorHAnsi"/>
          <w:szCs w:val="24"/>
        </w:rPr>
        <w:t xml:space="preserve"> at 4).  </w:t>
      </w:r>
      <w:r w:rsidR="002652EA">
        <w:rPr>
          <w:rFonts w:eastAsiaTheme="minorHAnsi"/>
          <w:szCs w:val="24"/>
        </w:rPr>
        <w:t xml:space="preserve">I&amp;E states that the </w:t>
      </w:r>
      <w:r w:rsidR="002652EA" w:rsidRPr="002652EA">
        <w:rPr>
          <w:rFonts w:eastAsiaTheme="minorHAnsi"/>
          <w:i/>
          <w:szCs w:val="24"/>
        </w:rPr>
        <w:t>Alexander</w:t>
      </w:r>
      <w:r w:rsidR="002652EA">
        <w:rPr>
          <w:rFonts w:eastAsiaTheme="minorHAnsi"/>
          <w:szCs w:val="24"/>
        </w:rPr>
        <w:t xml:space="preserve"> and </w:t>
      </w:r>
      <w:r w:rsidR="002652EA" w:rsidRPr="002652EA">
        <w:rPr>
          <w:rFonts w:eastAsiaTheme="minorHAnsi"/>
          <w:i/>
          <w:szCs w:val="24"/>
        </w:rPr>
        <w:t>Jones</w:t>
      </w:r>
      <w:r w:rsidR="002652EA">
        <w:rPr>
          <w:rFonts w:eastAsiaTheme="minorHAnsi"/>
          <w:szCs w:val="24"/>
        </w:rPr>
        <w:t xml:space="preserve"> decisions, cited by PGW as representative of the Commission’s desire to avoid penalties that would result in an additional burden on the ratepayers, are not dispositive in this case because PGW has already agreed that it would not seek recovery of the civil penalty amount from ratepayers.</w:t>
      </w:r>
      <w:r w:rsidR="00424CB6">
        <w:rPr>
          <w:rFonts w:eastAsiaTheme="minorHAnsi"/>
          <w:szCs w:val="24"/>
        </w:rPr>
        <w:t xml:space="preserve">  </w:t>
      </w:r>
      <w:r w:rsidR="00424CB6" w:rsidRPr="00424CB6">
        <w:rPr>
          <w:rFonts w:eastAsiaTheme="minorHAnsi"/>
          <w:i/>
          <w:szCs w:val="24"/>
        </w:rPr>
        <w:t>Id</w:t>
      </w:r>
      <w:r w:rsidR="00424CB6">
        <w:rPr>
          <w:rFonts w:eastAsiaTheme="minorHAnsi"/>
          <w:szCs w:val="24"/>
        </w:rPr>
        <w:t>.</w:t>
      </w:r>
      <w:r w:rsidR="002652EA">
        <w:rPr>
          <w:rFonts w:eastAsiaTheme="minorHAnsi"/>
          <w:szCs w:val="24"/>
        </w:rPr>
        <w:t xml:space="preserve">    </w:t>
      </w:r>
      <w:r w:rsidR="004A4331">
        <w:rPr>
          <w:rFonts w:eastAsiaTheme="minorHAnsi"/>
          <w:szCs w:val="24"/>
        </w:rPr>
        <w:t xml:space="preserve">  </w:t>
      </w:r>
    </w:p>
    <w:p w:rsidR="00424CB6" w:rsidRDefault="00424CB6" w:rsidP="00CF77A5">
      <w:pPr>
        <w:spacing w:line="360" w:lineRule="auto"/>
        <w:rPr>
          <w:rFonts w:eastAsiaTheme="minorHAnsi"/>
          <w:szCs w:val="24"/>
        </w:rPr>
      </w:pPr>
    </w:p>
    <w:p w:rsidR="00FD2A31" w:rsidRDefault="004A4331" w:rsidP="00CE29F2">
      <w:pPr>
        <w:tabs>
          <w:tab w:val="left" w:pos="1440"/>
        </w:tabs>
        <w:spacing w:line="360" w:lineRule="auto"/>
        <w:rPr>
          <w:rFonts w:eastAsiaTheme="minorHAnsi"/>
          <w:szCs w:val="24"/>
        </w:rPr>
      </w:pPr>
      <w:r>
        <w:rPr>
          <w:rFonts w:eastAsiaTheme="minorHAnsi"/>
          <w:szCs w:val="24"/>
        </w:rPr>
        <w:t xml:space="preserve">    </w:t>
      </w:r>
      <w:r w:rsidR="00F720E7">
        <w:rPr>
          <w:rFonts w:eastAsiaTheme="minorHAnsi"/>
          <w:szCs w:val="24"/>
        </w:rPr>
        <w:t xml:space="preserve">   </w:t>
      </w:r>
      <w:r w:rsidR="00F25652">
        <w:rPr>
          <w:rFonts w:eastAsiaTheme="minorHAnsi"/>
          <w:szCs w:val="24"/>
        </w:rPr>
        <w:t xml:space="preserve"> </w:t>
      </w:r>
      <w:r w:rsidR="00EA6B25">
        <w:rPr>
          <w:rFonts w:eastAsiaTheme="minorHAnsi"/>
          <w:szCs w:val="24"/>
        </w:rPr>
        <w:t xml:space="preserve"> </w:t>
      </w:r>
      <w:r w:rsidR="00EA6B25">
        <w:rPr>
          <w:rFonts w:eastAsiaTheme="minorHAnsi"/>
          <w:szCs w:val="24"/>
        </w:rPr>
        <w:tab/>
      </w:r>
      <w:r w:rsidR="00FD2A31">
        <w:rPr>
          <w:rFonts w:eastAsiaTheme="minorHAnsi"/>
          <w:szCs w:val="24"/>
        </w:rPr>
        <w:t xml:space="preserve">Regarding PGW’s statements about its annual $18 million payment to the City, I&amp;E asserts that there is no factual basis for the Company’s contention that this source of funds could not be used to absorb the civil penalty agreed to in the Settlement.  I&amp;E states that, in a June 22, 2011 PGW news release, the Company noted that in past years the City had granted all or part of the $18 million payment back to PGW.  </w:t>
      </w:r>
      <w:r w:rsidR="00FD2A31" w:rsidRPr="00FD2A31">
        <w:rPr>
          <w:rFonts w:eastAsiaTheme="minorHAnsi"/>
          <w:i/>
          <w:szCs w:val="24"/>
        </w:rPr>
        <w:t>Id</w:t>
      </w:r>
      <w:r w:rsidR="00FD2A31">
        <w:rPr>
          <w:rFonts w:eastAsiaTheme="minorHAnsi"/>
          <w:szCs w:val="24"/>
        </w:rPr>
        <w:t>. at 6.</w:t>
      </w:r>
    </w:p>
    <w:p w:rsidR="00FF49D5" w:rsidRDefault="00FF49D5" w:rsidP="00CE29F2">
      <w:pPr>
        <w:tabs>
          <w:tab w:val="left" w:pos="1440"/>
        </w:tabs>
        <w:spacing w:line="360" w:lineRule="auto"/>
        <w:rPr>
          <w:rFonts w:eastAsiaTheme="minorHAnsi"/>
          <w:szCs w:val="24"/>
        </w:rPr>
      </w:pPr>
    </w:p>
    <w:p w:rsidR="005E79EE" w:rsidRDefault="00FF49D5" w:rsidP="00CE29F2">
      <w:pPr>
        <w:tabs>
          <w:tab w:val="left" w:pos="1440"/>
        </w:tabs>
        <w:spacing w:line="360" w:lineRule="auto"/>
        <w:rPr>
          <w:rFonts w:eastAsiaTheme="minorHAnsi"/>
          <w:szCs w:val="24"/>
        </w:rPr>
      </w:pPr>
      <w:r>
        <w:rPr>
          <w:rFonts w:eastAsiaTheme="minorHAnsi"/>
          <w:szCs w:val="24"/>
        </w:rPr>
        <w:tab/>
      </w:r>
      <w:r w:rsidR="00C71A0F">
        <w:rPr>
          <w:rFonts w:eastAsiaTheme="minorHAnsi"/>
          <w:szCs w:val="24"/>
        </w:rPr>
        <w:t xml:space="preserve">Lastly, I&amp;E excepts to PGW’s suggestion that the Commission establish a process to identify and fund worthy projects from the $500,000 payment amount.  I&amp;E avers that PGW’s suggestion is inappropriately raised for the first time in the Company’s Exceptions.  I&amp;E also asserts that establishing such a workshop would delay the implementation of the monetary allocation.  </w:t>
      </w:r>
      <w:r w:rsidR="00C71A0F" w:rsidRPr="00C71A0F">
        <w:rPr>
          <w:rFonts w:eastAsiaTheme="minorHAnsi"/>
          <w:i/>
          <w:szCs w:val="24"/>
        </w:rPr>
        <w:t>Id</w:t>
      </w:r>
      <w:r w:rsidR="00C71A0F">
        <w:rPr>
          <w:rFonts w:eastAsiaTheme="minorHAnsi"/>
          <w:szCs w:val="24"/>
        </w:rPr>
        <w:t>. at 6-7.</w:t>
      </w:r>
    </w:p>
    <w:p w:rsidR="005E79EE" w:rsidRDefault="005E79EE" w:rsidP="00CE29F2">
      <w:pPr>
        <w:tabs>
          <w:tab w:val="left" w:pos="1440"/>
        </w:tabs>
        <w:spacing w:line="360" w:lineRule="auto"/>
        <w:rPr>
          <w:rFonts w:eastAsiaTheme="minorHAnsi"/>
          <w:szCs w:val="24"/>
        </w:rPr>
      </w:pPr>
    </w:p>
    <w:p w:rsidR="00FF49D5" w:rsidRPr="00FA2A73" w:rsidRDefault="00FA2A73" w:rsidP="00FA2A73">
      <w:pPr>
        <w:tabs>
          <w:tab w:val="left" w:pos="720"/>
        </w:tabs>
        <w:spacing w:line="360" w:lineRule="auto"/>
        <w:rPr>
          <w:rFonts w:eastAsiaTheme="minorHAnsi"/>
          <w:b/>
          <w:szCs w:val="24"/>
        </w:rPr>
      </w:pPr>
      <w:r w:rsidRPr="00FA2A73">
        <w:rPr>
          <w:rFonts w:eastAsiaTheme="minorHAnsi"/>
          <w:b/>
          <w:szCs w:val="24"/>
        </w:rPr>
        <w:t>C.</w:t>
      </w:r>
      <w:r w:rsidRPr="00FA2A73">
        <w:rPr>
          <w:rFonts w:eastAsiaTheme="minorHAnsi"/>
          <w:b/>
          <w:szCs w:val="24"/>
        </w:rPr>
        <w:tab/>
        <w:t>Disposition</w:t>
      </w:r>
      <w:r w:rsidR="00C71A0F" w:rsidRPr="00FA2A73">
        <w:rPr>
          <w:rFonts w:eastAsiaTheme="minorHAnsi"/>
          <w:b/>
          <w:szCs w:val="24"/>
        </w:rPr>
        <w:t xml:space="preserve">   </w:t>
      </w:r>
    </w:p>
    <w:p w:rsidR="00FD2A31" w:rsidRDefault="00FD2A31" w:rsidP="00CE29F2">
      <w:pPr>
        <w:tabs>
          <w:tab w:val="left" w:pos="1440"/>
        </w:tabs>
        <w:spacing w:line="360" w:lineRule="auto"/>
        <w:rPr>
          <w:rFonts w:eastAsiaTheme="minorHAnsi"/>
          <w:szCs w:val="24"/>
        </w:rPr>
      </w:pPr>
    </w:p>
    <w:p w:rsidR="00226AC5" w:rsidRPr="00DE09CE" w:rsidRDefault="00226AC5" w:rsidP="00777C82">
      <w:pPr>
        <w:spacing w:line="360" w:lineRule="auto"/>
        <w:ind w:firstLine="1440"/>
        <w:rPr>
          <w:szCs w:val="26"/>
          <w:u w:color="000000"/>
        </w:rPr>
      </w:pPr>
      <w:r>
        <w:rPr>
          <w:szCs w:val="26"/>
        </w:rPr>
        <w:t>Initially, we note that</w:t>
      </w:r>
      <w:r w:rsidR="000120C9">
        <w:rPr>
          <w:szCs w:val="26"/>
        </w:rPr>
        <w:t>,</w:t>
      </w:r>
      <w:r>
        <w:rPr>
          <w:szCs w:val="26"/>
        </w:rPr>
        <w:t xml:space="preserve"> p</w:t>
      </w:r>
      <w:r w:rsidRPr="00DE09CE">
        <w:rPr>
          <w:szCs w:val="26"/>
        </w:rPr>
        <w:t xml:space="preserve">ursuant to our Regulations at 52 Pa. Code § 5.231, it is </w:t>
      </w:r>
      <w:r>
        <w:rPr>
          <w:szCs w:val="26"/>
        </w:rPr>
        <w:t>t</w:t>
      </w:r>
      <w:r w:rsidRPr="00DE09CE">
        <w:rPr>
          <w:szCs w:val="26"/>
        </w:rPr>
        <w:t xml:space="preserve">he Commission’s policy to promote settlements.  The Commission must review proposed settlements to determine whether the terms are in the public interest.  </w:t>
      </w:r>
      <w:r w:rsidRPr="00DE09CE">
        <w:rPr>
          <w:i/>
          <w:szCs w:val="26"/>
        </w:rPr>
        <w:t>Pa. PUC v. Philadelphia Gas Works</w:t>
      </w:r>
      <w:r w:rsidRPr="00DE09CE">
        <w:rPr>
          <w:szCs w:val="26"/>
        </w:rPr>
        <w:t>, Docket No. M-00031768 (Order entered January 7, 2004).</w:t>
      </w:r>
      <w:r w:rsidR="003A0B2D">
        <w:rPr>
          <w:szCs w:val="26"/>
        </w:rPr>
        <w:t xml:space="preserve">  T</w:t>
      </w:r>
      <w:r w:rsidRPr="00DE09CE">
        <w:rPr>
          <w:szCs w:val="26"/>
        </w:rPr>
        <w:t xml:space="preserve">he Commission has promulgated a Policy Statement at 52 Pa. Code § 69.1201 that sets forth ten factors that we may consider in evaluating whether a fine for violating a Commission </w:t>
      </w:r>
      <w:r>
        <w:rPr>
          <w:szCs w:val="26"/>
        </w:rPr>
        <w:t>O</w:t>
      </w:r>
      <w:r w:rsidRPr="00DE09CE">
        <w:rPr>
          <w:szCs w:val="26"/>
        </w:rPr>
        <w:t xml:space="preserve">rder, </w:t>
      </w:r>
      <w:r>
        <w:rPr>
          <w:szCs w:val="26"/>
        </w:rPr>
        <w:t>R</w:t>
      </w:r>
      <w:r w:rsidRPr="00DE09CE">
        <w:rPr>
          <w:szCs w:val="26"/>
        </w:rPr>
        <w:t xml:space="preserve">egulation or statute is appropriate, as well as if a proposed </w:t>
      </w:r>
      <w:r w:rsidRPr="00DE09CE">
        <w:rPr>
          <w:szCs w:val="26"/>
        </w:rPr>
        <w:lastRenderedPageBreak/>
        <w:t xml:space="preserve">settlement for a violation is reasonable and approval of the settlement agreement is in the public interest.  In this case, </w:t>
      </w:r>
      <w:r w:rsidR="003A0B2D">
        <w:rPr>
          <w:szCs w:val="26"/>
        </w:rPr>
        <w:t xml:space="preserve">we find that the ALJ </w:t>
      </w:r>
      <w:r w:rsidR="00FD4A71">
        <w:rPr>
          <w:szCs w:val="26"/>
        </w:rPr>
        <w:t xml:space="preserve">properly determined that the Settlement was in the public interest and that the </w:t>
      </w:r>
      <w:r w:rsidRPr="00DE09CE">
        <w:rPr>
          <w:szCs w:val="26"/>
        </w:rPr>
        <w:t xml:space="preserve">application of the </w:t>
      </w:r>
      <w:r w:rsidR="00FD4A71">
        <w:rPr>
          <w:szCs w:val="26"/>
        </w:rPr>
        <w:t>Policy Statement</w:t>
      </w:r>
      <w:r w:rsidRPr="00DE09CE">
        <w:rPr>
          <w:szCs w:val="26"/>
        </w:rPr>
        <w:t xml:space="preserve"> support</w:t>
      </w:r>
      <w:r w:rsidR="00FD4A71">
        <w:rPr>
          <w:szCs w:val="26"/>
        </w:rPr>
        <w:t>ed</w:t>
      </w:r>
      <w:r w:rsidRPr="00DE09CE">
        <w:rPr>
          <w:szCs w:val="26"/>
        </w:rPr>
        <w:t xml:space="preserve"> approval of </w:t>
      </w:r>
      <w:r w:rsidR="00FD4A71">
        <w:rPr>
          <w:szCs w:val="26"/>
        </w:rPr>
        <w:t xml:space="preserve">all of the terms of </w:t>
      </w:r>
      <w:r w:rsidRPr="00DE09CE">
        <w:rPr>
          <w:szCs w:val="26"/>
        </w:rPr>
        <w:t>the Settlement as filed</w:t>
      </w:r>
      <w:r w:rsidRPr="005B6F6A">
        <w:rPr>
          <w:szCs w:val="26"/>
        </w:rPr>
        <w:t>.</w:t>
      </w:r>
      <w:r w:rsidR="00DD2F58" w:rsidRPr="005B6F6A">
        <w:rPr>
          <w:szCs w:val="26"/>
        </w:rPr>
        <w:t xml:space="preserve">  Nevertheless, as discussed in more detail below, we conclude that one modification to the Settlement is necessary.</w:t>
      </w:r>
      <w:r w:rsidR="00103308">
        <w:rPr>
          <w:szCs w:val="26"/>
        </w:rPr>
        <w:t xml:space="preserve">  We will therefore approve the Settlement, subject to the condition that no Party elects to withdraw from it.</w:t>
      </w:r>
      <w:r w:rsidR="00DD2F58">
        <w:rPr>
          <w:szCs w:val="26"/>
        </w:rPr>
        <w:t xml:space="preserve">  </w:t>
      </w:r>
      <w:r w:rsidR="00FD4A71">
        <w:rPr>
          <w:szCs w:val="26"/>
        </w:rPr>
        <w:t xml:space="preserve">  </w:t>
      </w:r>
    </w:p>
    <w:p w:rsidR="00226AC5" w:rsidRDefault="00226AC5" w:rsidP="00226AC5">
      <w:pPr>
        <w:spacing w:line="360" w:lineRule="auto"/>
        <w:ind w:firstLine="1440"/>
        <w:rPr>
          <w:szCs w:val="26"/>
          <w:u w:color="000000"/>
        </w:rPr>
      </w:pPr>
    </w:p>
    <w:p w:rsidR="00967AD0" w:rsidRPr="00967AD0" w:rsidRDefault="00485CB4" w:rsidP="00967AD0">
      <w:pPr>
        <w:suppressAutoHyphens/>
        <w:spacing w:line="360" w:lineRule="auto"/>
        <w:ind w:firstLine="1440"/>
        <w:rPr>
          <w:color w:val="000000"/>
          <w:szCs w:val="26"/>
          <w:u w:color="000000"/>
        </w:rPr>
      </w:pPr>
      <w:r>
        <w:rPr>
          <w:szCs w:val="26"/>
          <w:u w:color="000000"/>
        </w:rPr>
        <w:t>Given the facts in this case and the tragic loss</w:t>
      </w:r>
      <w:r w:rsidR="00436EDB">
        <w:rPr>
          <w:szCs w:val="26"/>
          <w:u w:color="000000"/>
        </w:rPr>
        <w:t xml:space="preserve"> of life</w:t>
      </w:r>
      <w:r>
        <w:rPr>
          <w:szCs w:val="26"/>
          <w:u w:color="000000"/>
        </w:rPr>
        <w:t xml:space="preserve"> caused by the explosion, we </w:t>
      </w:r>
      <w:r w:rsidR="00DD2F58">
        <w:rPr>
          <w:szCs w:val="26"/>
          <w:u w:color="000000"/>
        </w:rPr>
        <w:t>d</w:t>
      </w:r>
      <w:r>
        <w:rPr>
          <w:szCs w:val="26"/>
          <w:u w:color="000000"/>
        </w:rPr>
        <w:t>e</w:t>
      </w:r>
      <w:r w:rsidR="00DD2F58">
        <w:rPr>
          <w:szCs w:val="26"/>
          <w:u w:color="000000"/>
        </w:rPr>
        <w:t>termine</w:t>
      </w:r>
      <w:r>
        <w:rPr>
          <w:szCs w:val="26"/>
          <w:u w:color="000000"/>
        </w:rPr>
        <w:t xml:space="preserve"> that </w:t>
      </w:r>
      <w:r w:rsidR="00736B29">
        <w:rPr>
          <w:szCs w:val="26"/>
          <w:u w:color="000000"/>
        </w:rPr>
        <w:t>the allocation the Parties agree</w:t>
      </w:r>
      <w:r w:rsidR="00112B0F">
        <w:rPr>
          <w:szCs w:val="26"/>
          <w:u w:color="000000"/>
        </w:rPr>
        <w:t>d</w:t>
      </w:r>
      <w:r w:rsidR="00736B29">
        <w:rPr>
          <w:szCs w:val="26"/>
          <w:u w:color="000000"/>
        </w:rPr>
        <w:t xml:space="preserve"> to in the Settlement, which included </w:t>
      </w:r>
      <w:r>
        <w:rPr>
          <w:szCs w:val="26"/>
          <w:u w:color="000000"/>
        </w:rPr>
        <w:t xml:space="preserve">a civil </w:t>
      </w:r>
      <w:r w:rsidR="00313F35">
        <w:rPr>
          <w:szCs w:val="26"/>
          <w:u w:color="000000"/>
        </w:rPr>
        <w:t>settlement of</w:t>
      </w:r>
      <w:r>
        <w:rPr>
          <w:szCs w:val="26"/>
          <w:u w:color="000000"/>
        </w:rPr>
        <w:t xml:space="preserve"> $400,000 and a </w:t>
      </w:r>
      <w:r w:rsidR="00736B29">
        <w:rPr>
          <w:szCs w:val="26"/>
          <w:u w:color="000000"/>
        </w:rPr>
        <w:t xml:space="preserve">monetary contribution of $100,000 to the </w:t>
      </w:r>
      <w:r w:rsidR="00736B29" w:rsidRPr="008A14B1">
        <w:rPr>
          <w:spacing w:val="-3"/>
          <w:szCs w:val="24"/>
        </w:rPr>
        <w:t>existing smoke alarm program operated by the Fire Prevention Division of the PFD</w:t>
      </w:r>
      <w:r w:rsidR="00736B29">
        <w:rPr>
          <w:spacing w:val="-3"/>
          <w:szCs w:val="24"/>
        </w:rPr>
        <w:t xml:space="preserve">, is </w:t>
      </w:r>
      <w:r w:rsidR="00736B29" w:rsidRPr="008C6BAA">
        <w:rPr>
          <w:spacing w:val="-3"/>
          <w:szCs w:val="24"/>
        </w:rPr>
        <w:t>appropriate</w:t>
      </w:r>
      <w:r w:rsidR="00DD2F58" w:rsidRPr="008C6BAA">
        <w:rPr>
          <w:spacing w:val="-3"/>
          <w:szCs w:val="24"/>
        </w:rPr>
        <w:t xml:space="preserve"> </w:t>
      </w:r>
      <w:r w:rsidR="00DD2F58" w:rsidRPr="00F47CE5">
        <w:rPr>
          <w:spacing w:val="-3"/>
          <w:szCs w:val="24"/>
        </w:rPr>
        <w:t>under the circumstances a</w:t>
      </w:r>
      <w:r w:rsidR="00DF328A" w:rsidRPr="00F47CE5">
        <w:rPr>
          <w:spacing w:val="-3"/>
          <w:szCs w:val="24"/>
        </w:rPr>
        <w:t>s it</w:t>
      </w:r>
      <w:r w:rsidR="00DD2F58" w:rsidRPr="00F47CE5">
        <w:rPr>
          <w:spacing w:val="-3"/>
          <w:szCs w:val="24"/>
        </w:rPr>
        <w:t xml:space="preserve"> equals the maximum amount that was permitted under the Code at the time of the incident</w:t>
      </w:r>
      <w:r w:rsidR="00967AD0" w:rsidRPr="008C6BAA">
        <w:rPr>
          <w:spacing w:val="-3"/>
          <w:szCs w:val="24"/>
        </w:rPr>
        <w:t>.  The civil</w:t>
      </w:r>
      <w:r w:rsidR="00967AD0">
        <w:rPr>
          <w:spacing w:val="-3"/>
          <w:szCs w:val="24"/>
        </w:rPr>
        <w:t xml:space="preserve"> settlement amount of $400,000 is also</w:t>
      </w:r>
      <w:r w:rsidR="00736B29">
        <w:rPr>
          <w:spacing w:val="-3"/>
          <w:szCs w:val="24"/>
        </w:rPr>
        <w:t xml:space="preserve"> consistent with our recent decisions.  </w:t>
      </w:r>
      <w:r w:rsidR="00421631">
        <w:rPr>
          <w:i/>
          <w:spacing w:val="-3"/>
          <w:szCs w:val="24"/>
        </w:rPr>
        <w:t>See, e.g</w:t>
      </w:r>
      <w:r w:rsidR="00421631">
        <w:rPr>
          <w:spacing w:val="-3"/>
          <w:szCs w:val="24"/>
        </w:rPr>
        <w:t xml:space="preserve">., </w:t>
      </w:r>
      <w:r w:rsidR="00421631" w:rsidRPr="00421631">
        <w:rPr>
          <w:i/>
          <w:spacing w:val="-3"/>
          <w:szCs w:val="24"/>
        </w:rPr>
        <w:t>Pa. PUC, Bureau of Investigation and Enforcement v. UGI Utilities, Inc</w:t>
      </w:r>
      <w:r w:rsidR="00421631">
        <w:rPr>
          <w:spacing w:val="-3"/>
          <w:szCs w:val="24"/>
        </w:rPr>
        <w:t xml:space="preserve">., Docket No. </w:t>
      </w:r>
      <w:r w:rsidR="00421631">
        <w:rPr>
          <w:szCs w:val="26"/>
        </w:rPr>
        <w:t>C-2012-</w:t>
      </w:r>
      <w:r w:rsidR="005E7F70">
        <w:rPr>
          <w:szCs w:val="26"/>
        </w:rPr>
        <w:t>2308997 (Order entered February </w:t>
      </w:r>
      <w:r w:rsidR="00421631">
        <w:rPr>
          <w:szCs w:val="26"/>
        </w:rPr>
        <w:t xml:space="preserve">19, 2013) (finding that, </w:t>
      </w:r>
      <w:r w:rsidR="00421631" w:rsidRPr="00865658">
        <w:rPr>
          <w:szCs w:val="24"/>
        </w:rPr>
        <w:t xml:space="preserve">given the catastrophic losses caused by the explosion, UGI </w:t>
      </w:r>
      <w:r w:rsidR="00421631">
        <w:rPr>
          <w:szCs w:val="24"/>
        </w:rPr>
        <w:t xml:space="preserve">Utilities, Inc. </w:t>
      </w:r>
      <w:r w:rsidR="00421631" w:rsidRPr="00865658">
        <w:rPr>
          <w:szCs w:val="24"/>
        </w:rPr>
        <w:t xml:space="preserve">must pay the maximum </w:t>
      </w:r>
      <w:r w:rsidR="00421631">
        <w:rPr>
          <w:szCs w:val="24"/>
        </w:rPr>
        <w:t xml:space="preserve">$500,000 civil </w:t>
      </w:r>
      <w:r w:rsidR="00421631" w:rsidRPr="00865658">
        <w:rPr>
          <w:szCs w:val="24"/>
        </w:rPr>
        <w:t xml:space="preserve">penalty this Commission is </w:t>
      </w:r>
      <w:r w:rsidR="00421631">
        <w:rPr>
          <w:szCs w:val="24"/>
        </w:rPr>
        <w:t>authorized</w:t>
      </w:r>
      <w:r w:rsidR="00421631" w:rsidRPr="00865658">
        <w:rPr>
          <w:szCs w:val="24"/>
        </w:rPr>
        <w:t xml:space="preserve"> to levy under </w:t>
      </w:r>
      <w:r w:rsidR="00421631">
        <w:rPr>
          <w:szCs w:val="24"/>
        </w:rPr>
        <w:t>t</w:t>
      </w:r>
      <w:r w:rsidR="00421631" w:rsidRPr="00865658">
        <w:rPr>
          <w:szCs w:val="24"/>
        </w:rPr>
        <w:t>he Code</w:t>
      </w:r>
      <w:r w:rsidR="00421631">
        <w:rPr>
          <w:szCs w:val="24"/>
        </w:rPr>
        <w:t>).</w:t>
      </w:r>
      <w:r w:rsidR="00967AD0">
        <w:rPr>
          <w:szCs w:val="24"/>
        </w:rPr>
        <w:t xml:space="preserve"> </w:t>
      </w:r>
      <w:r w:rsidR="00112B0F">
        <w:rPr>
          <w:szCs w:val="24"/>
        </w:rPr>
        <w:t xml:space="preserve"> </w:t>
      </w:r>
      <w:r w:rsidR="00967AD0" w:rsidRPr="00967AD0">
        <w:rPr>
          <w:szCs w:val="26"/>
        </w:rPr>
        <w:t xml:space="preserve">The Legislature has entrusted us with the important task of ensuring that our public utilities operate safely, and we intend to use the authority given to us by the Code and our Regulations to deter unsafe practices.           </w:t>
      </w:r>
    </w:p>
    <w:p w:rsidR="005156D5" w:rsidRPr="00421631" w:rsidRDefault="00112B0F" w:rsidP="00226AC5">
      <w:pPr>
        <w:spacing w:line="360" w:lineRule="auto"/>
        <w:ind w:firstLine="1440"/>
        <w:rPr>
          <w:i/>
          <w:szCs w:val="26"/>
          <w:u w:color="000000"/>
        </w:rPr>
      </w:pPr>
      <w:r>
        <w:rPr>
          <w:szCs w:val="24"/>
        </w:rPr>
        <w:t xml:space="preserve"> </w:t>
      </w:r>
      <w:r w:rsidR="00421631">
        <w:rPr>
          <w:szCs w:val="24"/>
        </w:rPr>
        <w:t xml:space="preserve">  </w:t>
      </w:r>
      <w:r w:rsidR="00421631">
        <w:rPr>
          <w:spacing w:val="-3"/>
          <w:szCs w:val="24"/>
        </w:rPr>
        <w:t xml:space="preserve">  </w:t>
      </w:r>
    </w:p>
    <w:p w:rsidR="00D978DE" w:rsidRDefault="00ED7E4E" w:rsidP="00E7251F">
      <w:pPr>
        <w:tabs>
          <w:tab w:val="left" w:pos="9360"/>
        </w:tabs>
        <w:spacing w:line="360" w:lineRule="auto"/>
        <w:ind w:firstLine="1440"/>
        <w:rPr>
          <w:szCs w:val="26"/>
        </w:rPr>
      </w:pPr>
      <w:r>
        <w:t xml:space="preserve">We do not question the value and worthiness of the programs to which PGW proposes a reallocation of the </w:t>
      </w:r>
      <w:r w:rsidR="00025BC4">
        <w:t xml:space="preserve">monetary </w:t>
      </w:r>
      <w:r>
        <w:t xml:space="preserve">amount agreed to in the Settlement.  </w:t>
      </w:r>
      <w:r w:rsidR="00E152FF">
        <w:t xml:space="preserve">However, </w:t>
      </w:r>
      <w:r>
        <w:t xml:space="preserve">we note that </w:t>
      </w:r>
      <w:r w:rsidR="00E152FF">
        <w:t xml:space="preserve">the Parties expressly agreed to only one monetary allocation in the Settlement:  that PGW would pay a $400,000 civil </w:t>
      </w:r>
      <w:r w:rsidR="00313F35">
        <w:t xml:space="preserve">settlement amount and </w:t>
      </w:r>
      <w:r w:rsidR="00313F35">
        <w:rPr>
          <w:spacing w:val="-3"/>
          <w:szCs w:val="24"/>
        </w:rPr>
        <w:t xml:space="preserve">make a $100,000 contribution to the smoke alarm program operated by the Fire Prevention Division of the PFD.  </w:t>
      </w:r>
      <w:r w:rsidRPr="00ED7E4E">
        <w:rPr>
          <w:i/>
          <w:spacing w:val="-3"/>
          <w:szCs w:val="24"/>
        </w:rPr>
        <w:t>Id</w:t>
      </w:r>
      <w:r>
        <w:rPr>
          <w:spacing w:val="-3"/>
          <w:szCs w:val="24"/>
        </w:rPr>
        <w:t xml:space="preserve">. at 20-21.  </w:t>
      </w:r>
      <w:r w:rsidR="00616073">
        <w:rPr>
          <w:szCs w:val="26"/>
        </w:rPr>
        <w:t xml:space="preserve">As parties to settled cases are afforded flexibility in reaching amicable resolutions, so long as the settlement is in the public interest, we are not </w:t>
      </w:r>
      <w:r w:rsidR="00616073">
        <w:rPr>
          <w:szCs w:val="26"/>
        </w:rPr>
        <w:lastRenderedPageBreak/>
        <w:t>inclined, under the circumstances in this case, to disturb the proposed Settlement</w:t>
      </w:r>
      <w:r w:rsidR="0076578B">
        <w:rPr>
          <w:szCs w:val="26"/>
        </w:rPr>
        <w:t xml:space="preserve"> terms</w:t>
      </w:r>
      <w:r>
        <w:rPr>
          <w:szCs w:val="26"/>
        </w:rPr>
        <w:t xml:space="preserve"> </w:t>
      </w:r>
      <w:r w:rsidR="00DE686C">
        <w:rPr>
          <w:szCs w:val="26"/>
        </w:rPr>
        <w:t xml:space="preserve">regarding </w:t>
      </w:r>
      <w:r>
        <w:rPr>
          <w:szCs w:val="26"/>
        </w:rPr>
        <w:t xml:space="preserve">the </w:t>
      </w:r>
      <w:r w:rsidR="00025BC4">
        <w:rPr>
          <w:szCs w:val="26"/>
        </w:rPr>
        <w:t>specified</w:t>
      </w:r>
      <w:r>
        <w:rPr>
          <w:szCs w:val="26"/>
        </w:rPr>
        <w:t xml:space="preserve"> monetary allocation</w:t>
      </w:r>
      <w:r w:rsidR="0076578B">
        <w:rPr>
          <w:szCs w:val="26"/>
        </w:rPr>
        <w:t>.</w:t>
      </w:r>
      <w:r>
        <w:rPr>
          <w:szCs w:val="26"/>
        </w:rPr>
        <w:t xml:space="preserve">  </w:t>
      </w:r>
      <w:r w:rsidR="0076578B">
        <w:rPr>
          <w:szCs w:val="26"/>
        </w:rPr>
        <w:t xml:space="preserve">  </w:t>
      </w:r>
    </w:p>
    <w:p w:rsidR="004518AF" w:rsidRDefault="004518AF" w:rsidP="00E7251F">
      <w:pPr>
        <w:tabs>
          <w:tab w:val="left" w:pos="9360"/>
        </w:tabs>
        <w:spacing w:line="360" w:lineRule="auto"/>
        <w:ind w:firstLine="1440"/>
        <w:rPr>
          <w:szCs w:val="26"/>
        </w:rPr>
      </w:pPr>
    </w:p>
    <w:p w:rsidR="0076634B" w:rsidRDefault="00BF7F00" w:rsidP="00DD2F58">
      <w:pPr>
        <w:spacing w:line="360" w:lineRule="auto"/>
        <w:rPr>
          <w:rFonts w:eastAsiaTheme="minorHAnsi"/>
          <w:szCs w:val="24"/>
        </w:rPr>
      </w:pPr>
      <w:r>
        <w:rPr>
          <w:rFonts w:eastAsiaTheme="minorHAnsi"/>
          <w:b/>
          <w:szCs w:val="24"/>
        </w:rPr>
        <w:tab/>
      </w:r>
      <w:r>
        <w:rPr>
          <w:rFonts w:eastAsiaTheme="minorHAnsi"/>
          <w:b/>
          <w:szCs w:val="24"/>
        </w:rPr>
        <w:tab/>
      </w:r>
      <w:r>
        <w:rPr>
          <w:rFonts w:eastAsiaTheme="minorHAnsi"/>
          <w:szCs w:val="24"/>
        </w:rPr>
        <w:t xml:space="preserve">The case before us is distinguishable from the cases that PGW relies </w:t>
      </w:r>
      <w:r w:rsidR="00C24B1B">
        <w:rPr>
          <w:rFonts w:eastAsiaTheme="minorHAnsi"/>
          <w:szCs w:val="24"/>
        </w:rPr>
        <w:t xml:space="preserve">on </w:t>
      </w:r>
      <w:r w:rsidR="0063487B">
        <w:rPr>
          <w:rFonts w:eastAsiaTheme="minorHAnsi"/>
          <w:szCs w:val="24"/>
        </w:rPr>
        <w:t xml:space="preserve">in support of its position </w:t>
      </w:r>
      <w:r w:rsidR="00FB67C4">
        <w:rPr>
          <w:rFonts w:eastAsiaTheme="minorHAnsi"/>
          <w:szCs w:val="24"/>
        </w:rPr>
        <w:t>that the imposition of a civil penalty in this case would be inconsistent with our general approach toward PGW</w:t>
      </w:r>
      <w:r w:rsidR="007A6969">
        <w:rPr>
          <w:rFonts w:eastAsiaTheme="minorHAnsi"/>
          <w:szCs w:val="24"/>
        </w:rPr>
        <w:t xml:space="preserve"> and our </w:t>
      </w:r>
      <w:r w:rsidR="00DD6D01">
        <w:rPr>
          <w:rFonts w:eastAsiaTheme="minorHAnsi"/>
          <w:szCs w:val="24"/>
        </w:rPr>
        <w:t>recent decisions</w:t>
      </w:r>
      <w:r w:rsidR="007A6969">
        <w:rPr>
          <w:rFonts w:eastAsiaTheme="minorHAnsi"/>
          <w:szCs w:val="24"/>
        </w:rPr>
        <w:t xml:space="preserve"> to refrain from imposing civil penalties on the Company</w:t>
      </w:r>
      <w:r w:rsidR="00C24B1B">
        <w:rPr>
          <w:rFonts w:eastAsiaTheme="minorHAnsi"/>
          <w:szCs w:val="24"/>
        </w:rPr>
        <w:t>.</w:t>
      </w:r>
      <w:r w:rsidR="001B2DE1">
        <w:rPr>
          <w:rFonts w:eastAsiaTheme="minorHAnsi"/>
          <w:szCs w:val="24"/>
        </w:rPr>
        <w:t xml:space="preserve">  </w:t>
      </w:r>
      <w:r w:rsidR="008C4B21" w:rsidRPr="008C4B21">
        <w:rPr>
          <w:rFonts w:eastAsiaTheme="minorHAnsi"/>
          <w:i/>
          <w:szCs w:val="24"/>
        </w:rPr>
        <w:t>Alexander</w:t>
      </w:r>
      <w:r w:rsidR="008C4B21">
        <w:rPr>
          <w:rFonts w:eastAsiaTheme="minorHAnsi"/>
          <w:szCs w:val="24"/>
        </w:rPr>
        <w:t xml:space="preserve">, </w:t>
      </w:r>
      <w:r w:rsidR="008C4B21" w:rsidRPr="008C4B21">
        <w:rPr>
          <w:rFonts w:eastAsiaTheme="minorHAnsi"/>
          <w:i/>
          <w:szCs w:val="24"/>
        </w:rPr>
        <w:t>Jones</w:t>
      </w:r>
      <w:r w:rsidR="008C4B21">
        <w:rPr>
          <w:rFonts w:eastAsiaTheme="minorHAnsi"/>
          <w:szCs w:val="24"/>
        </w:rPr>
        <w:t xml:space="preserve">, and </w:t>
      </w:r>
      <w:r w:rsidR="008C4B21" w:rsidRPr="008C4B21">
        <w:rPr>
          <w:rFonts w:eastAsiaTheme="minorHAnsi"/>
          <w:i/>
          <w:szCs w:val="24"/>
        </w:rPr>
        <w:t>Peterson</w:t>
      </w:r>
      <w:r w:rsidR="008C4B21">
        <w:rPr>
          <w:rFonts w:eastAsiaTheme="minorHAnsi"/>
          <w:szCs w:val="24"/>
        </w:rPr>
        <w:t xml:space="preserve"> were all litigated proceedings, whereas the instant proceeding was resolved through a Settlement.  As part of the Settlement, PGW expressly agreed to and signed-off on </w:t>
      </w:r>
      <w:r w:rsidR="005877E5">
        <w:rPr>
          <w:rFonts w:eastAsiaTheme="minorHAnsi"/>
          <w:szCs w:val="24"/>
        </w:rPr>
        <w:t xml:space="preserve">the $400,000 civil settlement amount to which it is objecting.  </w:t>
      </w:r>
    </w:p>
    <w:p w:rsidR="0076634B" w:rsidRDefault="0076634B" w:rsidP="00C24B1B">
      <w:pPr>
        <w:spacing w:line="360" w:lineRule="auto"/>
        <w:rPr>
          <w:rFonts w:eastAsiaTheme="minorHAnsi"/>
          <w:szCs w:val="24"/>
        </w:rPr>
      </w:pPr>
    </w:p>
    <w:p w:rsidR="004A7132" w:rsidRDefault="0030298B" w:rsidP="00DE5DD9">
      <w:pPr>
        <w:tabs>
          <w:tab w:val="left" w:pos="9360"/>
        </w:tabs>
        <w:spacing w:line="360" w:lineRule="auto"/>
        <w:ind w:firstLine="1440"/>
        <w:rPr>
          <w:rFonts w:eastAsiaTheme="minorHAnsi"/>
          <w:szCs w:val="24"/>
        </w:rPr>
      </w:pPr>
      <w:r>
        <w:rPr>
          <w:rFonts w:eastAsiaTheme="minorHAnsi"/>
          <w:szCs w:val="24"/>
        </w:rPr>
        <w:t xml:space="preserve">We also find these cases to be distinguishable from the case before us, because </w:t>
      </w:r>
      <w:r w:rsidR="004070A2">
        <w:rPr>
          <w:rFonts w:eastAsiaTheme="minorHAnsi"/>
          <w:szCs w:val="24"/>
        </w:rPr>
        <w:t>PGW’s conduct and the resulting consequences of PGW’s conduct were of a much more serious nature in this case than in the</w:t>
      </w:r>
      <w:r>
        <w:rPr>
          <w:rFonts w:eastAsiaTheme="minorHAnsi"/>
          <w:szCs w:val="24"/>
        </w:rPr>
        <w:t xml:space="preserve"> </w:t>
      </w:r>
      <w:r w:rsidR="00AB1C36" w:rsidRPr="008C4B21">
        <w:rPr>
          <w:rFonts w:eastAsiaTheme="minorHAnsi"/>
          <w:i/>
          <w:szCs w:val="24"/>
        </w:rPr>
        <w:t>Alexander</w:t>
      </w:r>
      <w:r w:rsidR="00AB1C36">
        <w:rPr>
          <w:rFonts w:eastAsiaTheme="minorHAnsi"/>
          <w:szCs w:val="24"/>
        </w:rPr>
        <w:t xml:space="preserve">, </w:t>
      </w:r>
      <w:r w:rsidR="00AB1C36" w:rsidRPr="008C4B21">
        <w:rPr>
          <w:rFonts w:eastAsiaTheme="minorHAnsi"/>
          <w:i/>
          <w:szCs w:val="24"/>
        </w:rPr>
        <w:t>Jones</w:t>
      </w:r>
      <w:r w:rsidR="00AB1C36">
        <w:rPr>
          <w:rFonts w:eastAsiaTheme="minorHAnsi"/>
          <w:szCs w:val="24"/>
        </w:rPr>
        <w:t xml:space="preserve">, and </w:t>
      </w:r>
      <w:r w:rsidR="00AB1C36" w:rsidRPr="008C4B21">
        <w:rPr>
          <w:rFonts w:eastAsiaTheme="minorHAnsi"/>
          <w:i/>
          <w:szCs w:val="24"/>
        </w:rPr>
        <w:t>Peterson</w:t>
      </w:r>
      <w:r w:rsidR="00AB1C36">
        <w:rPr>
          <w:rFonts w:eastAsiaTheme="minorHAnsi"/>
          <w:szCs w:val="24"/>
        </w:rPr>
        <w:t xml:space="preserve"> cases. </w:t>
      </w:r>
      <w:r w:rsidR="00361716">
        <w:rPr>
          <w:rFonts w:eastAsiaTheme="minorHAnsi"/>
          <w:szCs w:val="24"/>
        </w:rPr>
        <w:t xml:space="preserve"> </w:t>
      </w:r>
      <w:r w:rsidR="00361716">
        <w:t>The natural gas explosion in this case resulted in the tragic death of a nineteen-year-old PGW employee and the injury of five PGW employees.  Several surrounding properties, as well as six vehicles, were also damaged.</w:t>
      </w:r>
      <w:r w:rsidR="00DE5DD9">
        <w:t xml:space="preserve">  </w:t>
      </w:r>
      <w:r w:rsidR="00DE5DD9" w:rsidRPr="00DE5DD9">
        <w:rPr>
          <w:rFonts w:eastAsiaTheme="minorHAnsi"/>
          <w:szCs w:val="24"/>
        </w:rPr>
        <w:t xml:space="preserve">As I&amp;E pointed out, we have stated that “PGW’s status as a municipally-owned utility does not negate the Commission’s authority to impose a penalty on PGW when appropriate.”  </w:t>
      </w:r>
      <w:r w:rsidR="00DE5DD9" w:rsidRPr="00DE5DD9">
        <w:rPr>
          <w:rFonts w:eastAsiaTheme="minorHAnsi"/>
          <w:i/>
          <w:szCs w:val="24"/>
        </w:rPr>
        <w:t>Mullins v. Philadelphia Gas Works</w:t>
      </w:r>
      <w:r w:rsidR="00DE5DD9" w:rsidRPr="00DE5DD9">
        <w:rPr>
          <w:rFonts w:eastAsiaTheme="minorHAnsi"/>
          <w:szCs w:val="24"/>
        </w:rPr>
        <w:t xml:space="preserve">, </w:t>
      </w:r>
      <w:r w:rsidR="00045E73">
        <w:rPr>
          <w:rFonts w:eastAsiaTheme="minorHAnsi"/>
          <w:i/>
          <w:szCs w:val="24"/>
        </w:rPr>
        <w:t>supra</w:t>
      </w:r>
      <w:r w:rsidR="00DE5DD9" w:rsidRPr="00DE5DD9">
        <w:rPr>
          <w:rFonts w:eastAsiaTheme="minorHAnsi"/>
          <w:szCs w:val="24"/>
        </w:rPr>
        <w:t>, at 4 (citing 66 Pa. C.S. § 3301(a).</w:t>
      </w:r>
      <w:r w:rsidR="00DE5DD9">
        <w:rPr>
          <w:rFonts w:eastAsiaTheme="minorHAnsi"/>
          <w:szCs w:val="24"/>
        </w:rPr>
        <w:t xml:space="preserve">  We believe that the circumstances in this case justify our approval of the $400,000 civil settlement amount agreed to by the Parties. </w:t>
      </w:r>
    </w:p>
    <w:p w:rsidR="004A7132" w:rsidRDefault="004A7132" w:rsidP="00DE5DD9">
      <w:pPr>
        <w:tabs>
          <w:tab w:val="left" w:pos="9360"/>
        </w:tabs>
        <w:spacing w:line="360" w:lineRule="auto"/>
        <w:ind w:firstLine="1440"/>
        <w:rPr>
          <w:rFonts w:eastAsiaTheme="minorHAnsi"/>
          <w:szCs w:val="24"/>
        </w:rPr>
      </w:pPr>
    </w:p>
    <w:p w:rsidR="00DD2F58" w:rsidRPr="00FB7594" w:rsidRDefault="00DD2F58" w:rsidP="00DD2F58">
      <w:pPr>
        <w:spacing w:line="360" w:lineRule="auto"/>
        <w:ind w:firstLine="1440"/>
      </w:pPr>
      <w:r w:rsidRPr="00FB7594">
        <w:t xml:space="preserve">We also conclude that the non-monetary provisions of the Settlement, pursuant to which PGW has implemented, or will implement in the future, certain modifications to its operating procedures, are in the public interest.  We note that PGW has revised its written procedures and re-qualified its emergency responder crews and field supervisors regarding the proper way to respond in these situations.  We urge PGW to also continually train its employees regarding the need for and use of good </w:t>
      </w:r>
      <w:r w:rsidRPr="00FB7594">
        <w:lastRenderedPageBreak/>
        <w:t>communication skills and the prompt transfer of vital information about potentially dangerous gas levels between and among its responding crew members and other persons in harm’s way.</w:t>
      </w:r>
    </w:p>
    <w:p w:rsidR="00DD2F58" w:rsidRDefault="00DD2F58" w:rsidP="00BF1B4C">
      <w:pPr>
        <w:spacing w:line="360" w:lineRule="auto"/>
        <w:ind w:firstLine="1440"/>
        <w:rPr>
          <w:rFonts w:eastAsiaTheme="minorHAnsi"/>
          <w:szCs w:val="24"/>
        </w:rPr>
      </w:pPr>
    </w:p>
    <w:p w:rsidR="00BF1B4C" w:rsidRPr="00F47CE5" w:rsidRDefault="004A7132" w:rsidP="00BF1B4C">
      <w:pPr>
        <w:spacing w:line="360" w:lineRule="auto"/>
        <w:ind w:firstLine="1440"/>
        <w:rPr>
          <w:szCs w:val="24"/>
        </w:rPr>
      </w:pPr>
      <w:r w:rsidRPr="00F47CE5">
        <w:rPr>
          <w:rFonts w:eastAsiaTheme="minorHAnsi"/>
          <w:szCs w:val="24"/>
        </w:rPr>
        <w:t>While we agree with ALJ</w:t>
      </w:r>
      <w:r w:rsidR="00BF1B4C" w:rsidRPr="00F47CE5">
        <w:rPr>
          <w:rFonts w:eastAsiaTheme="minorHAnsi"/>
          <w:szCs w:val="24"/>
        </w:rPr>
        <w:t xml:space="preserve"> </w:t>
      </w:r>
      <w:r w:rsidR="00BF1B4C" w:rsidRPr="00F47CE5">
        <w:rPr>
          <w:szCs w:val="24"/>
        </w:rPr>
        <w:t xml:space="preserve">Jones’s evaluation of the Settlement and find it to be in the public interest, we conclude that one modification to the Settlement is necessary.  Just as with this Commission’s recent determination in </w:t>
      </w:r>
      <w:r w:rsidR="00BF1B4C" w:rsidRPr="00F47CE5">
        <w:rPr>
          <w:i/>
          <w:szCs w:val="24"/>
        </w:rPr>
        <w:t>Pa. PUC, Bureau of Investigation and Enforcement v. UGI Utilities, Inc</w:t>
      </w:r>
      <w:r w:rsidR="00BF1B4C" w:rsidRPr="00F47CE5">
        <w:rPr>
          <w:szCs w:val="24"/>
        </w:rPr>
        <w:t xml:space="preserve">., Docket No. C-2012-2308997 (Order entered February 19, 2013), </w:t>
      </w:r>
      <w:r w:rsidR="005B000A" w:rsidRPr="00F47CE5">
        <w:rPr>
          <w:szCs w:val="24"/>
        </w:rPr>
        <w:t>regarding</w:t>
      </w:r>
      <w:r w:rsidR="00BF1B4C" w:rsidRPr="00F47CE5">
        <w:rPr>
          <w:szCs w:val="24"/>
        </w:rPr>
        <w:t xml:space="preserve"> the catastrophic explosion in Allentown in February, 2011, we believe that PGW should explore enhanced leak detection measures and file a pilot program to utilize one or more of those enhanced leak detection measures.  </w:t>
      </w:r>
      <w:r w:rsidR="00FF7FDE" w:rsidRPr="00F47CE5">
        <w:rPr>
          <w:szCs w:val="24"/>
        </w:rPr>
        <w:t>I</w:t>
      </w:r>
      <w:r w:rsidR="00BF1B4C" w:rsidRPr="00F47CE5">
        <w:rPr>
          <w:szCs w:val="24"/>
        </w:rPr>
        <w:t xml:space="preserve">f at all possible, PGW should utilize a different vendor than UGI to give the Commission and all interested stakeholders the opportunity to evaluate more than just one of the various technologies available.  This filing shall be made </w:t>
      </w:r>
      <w:r w:rsidR="00FF7FDE" w:rsidRPr="00F47CE5">
        <w:rPr>
          <w:szCs w:val="24"/>
        </w:rPr>
        <w:t xml:space="preserve">with the Commission’s Secretary, with a copy served on the Commission’s Pipeline Safety Division, </w:t>
      </w:r>
      <w:r w:rsidR="00BF1B4C" w:rsidRPr="00F47CE5">
        <w:rPr>
          <w:szCs w:val="24"/>
        </w:rPr>
        <w:t xml:space="preserve">within </w:t>
      </w:r>
      <w:r w:rsidR="00FF7FDE" w:rsidRPr="00F47CE5">
        <w:rPr>
          <w:szCs w:val="24"/>
        </w:rPr>
        <w:t>forty-five</w:t>
      </w:r>
      <w:r w:rsidR="00BF1B4C" w:rsidRPr="00F47CE5">
        <w:rPr>
          <w:szCs w:val="24"/>
        </w:rPr>
        <w:t xml:space="preserve"> days of the </w:t>
      </w:r>
      <w:r w:rsidR="00FF7FDE" w:rsidRPr="00F47CE5">
        <w:rPr>
          <w:szCs w:val="24"/>
        </w:rPr>
        <w:t xml:space="preserve">date that this Opinion and </w:t>
      </w:r>
      <w:r w:rsidR="00BF1B4C" w:rsidRPr="00F47CE5">
        <w:rPr>
          <w:szCs w:val="24"/>
        </w:rPr>
        <w:t xml:space="preserve">Order </w:t>
      </w:r>
      <w:r w:rsidR="00FF7FDE" w:rsidRPr="00F47CE5">
        <w:rPr>
          <w:szCs w:val="24"/>
        </w:rPr>
        <w:t xml:space="preserve">becomes final.  Notice of the pilot program filing shall be published in the </w:t>
      </w:r>
      <w:r w:rsidR="00FF7FDE" w:rsidRPr="00F47CE5">
        <w:rPr>
          <w:i/>
          <w:szCs w:val="24"/>
        </w:rPr>
        <w:t>Pennsylvania Bulletin</w:t>
      </w:r>
      <w:r w:rsidR="00FF7FDE" w:rsidRPr="00F47CE5">
        <w:rPr>
          <w:szCs w:val="24"/>
        </w:rPr>
        <w:t>, so that interested parties may provide comments to the pilot program.</w:t>
      </w:r>
      <w:r w:rsidR="00FF7FDE" w:rsidRPr="00F47CE5">
        <w:rPr>
          <w:i/>
          <w:szCs w:val="24"/>
        </w:rPr>
        <w:t xml:space="preserve">  </w:t>
      </w:r>
      <w:r w:rsidR="00FF7FDE" w:rsidRPr="00F47CE5">
        <w:rPr>
          <w:szCs w:val="24"/>
        </w:rPr>
        <w:t xml:space="preserve">Comments shall be filed within twenty days from the date of publication in the </w:t>
      </w:r>
      <w:r w:rsidR="00FF7FDE" w:rsidRPr="00F47CE5">
        <w:rPr>
          <w:i/>
          <w:szCs w:val="24"/>
        </w:rPr>
        <w:t>Pennsylvania Bulletin</w:t>
      </w:r>
      <w:r w:rsidR="00FF7FDE" w:rsidRPr="00F47CE5">
        <w:rPr>
          <w:szCs w:val="24"/>
        </w:rPr>
        <w:t xml:space="preserve">.  </w:t>
      </w:r>
      <w:r w:rsidR="00BF1B4C" w:rsidRPr="00F47CE5">
        <w:rPr>
          <w:szCs w:val="24"/>
        </w:rPr>
        <w:t>The Commission shall consider any comments and approve, modify</w:t>
      </w:r>
      <w:r w:rsidR="00FF7FDE" w:rsidRPr="00F47CE5">
        <w:rPr>
          <w:szCs w:val="24"/>
        </w:rPr>
        <w:t>,</w:t>
      </w:r>
      <w:r w:rsidR="00BF1B4C" w:rsidRPr="00F47CE5">
        <w:rPr>
          <w:szCs w:val="24"/>
        </w:rPr>
        <w:t xml:space="preserve"> or reject the pilot program.</w:t>
      </w:r>
    </w:p>
    <w:p w:rsidR="00BF1B4C" w:rsidRDefault="00BF1B4C" w:rsidP="00BF1B4C">
      <w:pPr>
        <w:spacing w:line="360" w:lineRule="auto"/>
        <w:ind w:firstLine="720"/>
        <w:rPr>
          <w:szCs w:val="24"/>
          <w:highlight w:val="yellow"/>
        </w:rPr>
      </w:pPr>
    </w:p>
    <w:p w:rsidR="008949A1" w:rsidRDefault="008949A1" w:rsidP="008C6BAA">
      <w:pPr>
        <w:spacing w:line="360" w:lineRule="auto"/>
        <w:ind w:firstLine="1440"/>
        <w:rPr>
          <w:szCs w:val="24"/>
          <w:highlight w:val="yellow"/>
        </w:rPr>
      </w:pPr>
      <w:r>
        <w:rPr>
          <w:szCs w:val="24"/>
        </w:rPr>
        <w:t xml:space="preserve">We recognize that the </w:t>
      </w:r>
      <w:r w:rsidRPr="000F23A5">
        <w:rPr>
          <w:szCs w:val="26"/>
        </w:rPr>
        <w:t xml:space="preserve">Parties </w:t>
      </w:r>
      <w:r w:rsidR="004266E8">
        <w:rPr>
          <w:szCs w:val="26"/>
        </w:rPr>
        <w:t xml:space="preserve">have </w:t>
      </w:r>
      <w:r>
        <w:rPr>
          <w:szCs w:val="26"/>
        </w:rPr>
        <w:t>the right, under the Settlement, to withdraw from the Settlement</w:t>
      </w:r>
      <w:r w:rsidR="004266E8">
        <w:rPr>
          <w:szCs w:val="26"/>
        </w:rPr>
        <w:t xml:space="preserve"> if the Commission does not approve it as filed</w:t>
      </w:r>
      <w:r w:rsidR="00103308">
        <w:rPr>
          <w:szCs w:val="26"/>
        </w:rPr>
        <w:t xml:space="preserve">.  If any </w:t>
      </w:r>
      <w:r w:rsidRPr="000F23A5">
        <w:rPr>
          <w:szCs w:val="26"/>
        </w:rPr>
        <w:t>Part</w:t>
      </w:r>
      <w:r>
        <w:rPr>
          <w:szCs w:val="26"/>
        </w:rPr>
        <w:t>y</w:t>
      </w:r>
      <w:r w:rsidRPr="000F23A5">
        <w:rPr>
          <w:szCs w:val="26"/>
        </w:rPr>
        <w:t xml:space="preserve"> wish</w:t>
      </w:r>
      <w:r>
        <w:rPr>
          <w:szCs w:val="26"/>
        </w:rPr>
        <w:t>es</w:t>
      </w:r>
      <w:r w:rsidRPr="000F23A5">
        <w:rPr>
          <w:szCs w:val="26"/>
        </w:rPr>
        <w:t xml:space="preserve"> to withdraw from the Settlement, </w:t>
      </w:r>
      <w:r>
        <w:rPr>
          <w:szCs w:val="26"/>
        </w:rPr>
        <w:t>it</w:t>
      </w:r>
      <w:r w:rsidRPr="000F23A5">
        <w:rPr>
          <w:szCs w:val="26"/>
        </w:rPr>
        <w:t xml:space="preserve"> shall file with the Secretary of the Commission</w:t>
      </w:r>
      <w:r>
        <w:rPr>
          <w:szCs w:val="26"/>
        </w:rPr>
        <w:t>,</w:t>
      </w:r>
      <w:r w:rsidRPr="000F23A5">
        <w:rPr>
          <w:szCs w:val="26"/>
        </w:rPr>
        <w:t xml:space="preserve"> and serve on all Parties to this proceeding</w:t>
      </w:r>
      <w:r>
        <w:rPr>
          <w:szCs w:val="26"/>
        </w:rPr>
        <w:t>,</w:t>
      </w:r>
      <w:r w:rsidRPr="000F23A5">
        <w:rPr>
          <w:szCs w:val="26"/>
        </w:rPr>
        <w:t xml:space="preserve"> an election to withdraw within five business days from the date that this Opinion and Order is entered.  If such an election to withdraw is filed, the Initial Decision shall be reversed and the Settlement shall be disapproved, without further action by this Commission, and this matter shall be remanded to the Office of Administrative Law Judge for such further proceedings as may </w:t>
      </w:r>
      <w:r w:rsidRPr="000F23A5">
        <w:rPr>
          <w:szCs w:val="26"/>
        </w:rPr>
        <w:lastRenderedPageBreak/>
        <w:t>be necessary.</w:t>
      </w:r>
      <w:r>
        <w:rPr>
          <w:szCs w:val="26"/>
        </w:rPr>
        <w:t xml:space="preserve">  If </w:t>
      </w:r>
      <w:r w:rsidR="00103308">
        <w:rPr>
          <w:szCs w:val="26"/>
        </w:rPr>
        <w:t xml:space="preserve">no </w:t>
      </w:r>
      <w:r>
        <w:rPr>
          <w:szCs w:val="26"/>
        </w:rPr>
        <w:t>Part</w:t>
      </w:r>
      <w:r w:rsidR="00103308">
        <w:rPr>
          <w:szCs w:val="26"/>
        </w:rPr>
        <w:t xml:space="preserve">y elects </w:t>
      </w:r>
      <w:r>
        <w:rPr>
          <w:szCs w:val="26"/>
        </w:rPr>
        <w:t>to withdraw from the Settlement within five business days from the entry date of this Opinion and Order, then this Opinion and Order shall become final without further action by this Commission,</w:t>
      </w:r>
      <w:r>
        <w:rPr>
          <w:rStyle w:val="FootnoteReference"/>
          <w:szCs w:val="26"/>
        </w:rPr>
        <w:footnoteReference w:id="4"/>
      </w:r>
      <w:r>
        <w:rPr>
          <w:szCs w:val="26"/>
        </w:rPr>
        <w:t xml:space="preserve"> and the Settlement, with the modification discussed herein, will be approved without further action by this Commission.     </w:t>
      </w:r>
      <w:r w:rsidRPr="00960C8A">
        <w:rPr>
          <w:szCs w:val="26"/>
        </w:rPr>
        <w:t xml:space="preserve"> </w:t>
      </w:r>
      <w:r w:rsidRPr="00865658">
        <w:rPr>
          <w:szCs w:val="26"/>
        </w:rPr>
        <w:t xml:space="preserve"> </w:t>
      </w:r>
    </w:p>
    <w:p w:rsidR="008949A1" w:rsidRPr="009F58DF" w:rsidRDefault="008949A1" w:rsidP="00BF1B4C">
      <w:pPr>
        <w:spacing w:line="360" w:lineRule="auto"/>
        <w:ind w:firstLine="720"/>
        <w:rPr>
          <w:szCs w:val="24"/>
          <w:highlight w:val="yellow"/>
        </w:rPr>
      </w:pPr>
    </w:p>
    <w:p w:rsidR="00E8055C" w:rsidRPr="00E8055C" w:rsidRDefault="006E6816" w:rsidP="00E8055C">
      <w:pPr>
        <w:spacing w:line="360" w:lineRule="auto"/>
        <w:ind w:firstLine="720"/>
        <w:rPr>
          <w:szCs w:val="24"/>
        </w:rPr>
      </w:pPr>
      <w:r w:rsidRPr="00F47CE5">
        <w:rPr>
          <w:szCs w:val="24"/>
        </w:rPr>
        <w:tab/>
      </w:r>
      <w:r w:rsidR="008B47B9" w:rsidRPr="00F47CE5">
        <w:rPr>
          <w:szCs w:val="24"/>
        </w:rPr>
        <w:t>Moreover, we e</w:t>
      </w:r>
      <w:r w:rsidR="00DF328A" w:rsidRPr="00F47CE5">
        <w:rPr>
          <w:szCs w:val="24"/>
        </w:rPr>
        <w:t>mphasize</w:t>
      </w:r>
      <w:r w:rsidR="008B47B9" w:rsidRPr="00F47CE5">
        <w:rPr>
          <w:szCs w:val="24"/>
        </w:rPr>
        <w:t xml:space="preserve"> that</w:t>
      </w:r>
      <w:r w:rsidR="00A52A8A" w:rsidRPr="00F47CE5">
        <w:rPr>
          <w:szCs w:val="24"/>
        </w:rPr>
        <w:t>,</w:t>
      </w:r>
      <w:r w:rsidR="008B47B9" w:rsidRPr="00F47CE5">
        <w:rPr>
          <w:szCs w:val="24"/>
        </w:rPr>
        <w:t xml:space="preserve"> w</w:t>
      </w:r>
      <w:r w:rsidR="00E8055C" w:rsidRPr="00F47CE5">
        <w:rPr>
          <w:szCs w:val="24"/>
        </w:rPr>
        <w:t xml:space="preserve">hile we are </w:t>
      </w:r>
      <w:r w:rsidR="00103308" w:rsidRPr="00F47CE5">
        <w:rPr>
          <w:szCs w:val="24"/>
        </w:rPr>
        <w:t xml:space="preserve">conditionally </w:t>
      </w:r>
      <w:r w:rsidR="00E8055C" w:rsidRPr="00F47CE5">
        <w:rPr>
          <w:szCs w:val="24"/>
        </w:rPr>
        <w:t>approv</w:t>
      </w:r>
      <w:r w:rsidR="000F52E6" w:rsidRPr="00F47CE5">
        <w:rPr>
          <w:szCs w:val="24"/>
        </w:rPr>
        <w:t>ing</w:t>
      </w:r>
      <w:r w:rsidR="00E8055C" w:rsidRPr="00F47CE5">
        <w:rPr>
          <w:szCs w:val="24"/>
        </w:rPr>
        <w:t xml:space="preserve"> the agreed-upon civil settlement </w:t>
      </w:r>
      <w:r w:rsidR="000F52E6" w:rsidRPr="00F47CE5">
        <w:rPr>
          <w:szCs w:val="24"/>
        </w:rPr>
        <w:t xml:space="preserve">amount </w:t>
      </w:r>
      <w:r w:rsidR="00E8055C" w:rsidRPr="00F47CE5">
        <w:rPr>
          <w:szCs w:val="24"/>
        </w:rPr>
        <w:t>and</w:t>
      </w:r>
      <w:r w:rsidR="000F52E6" w:rsidRPr="00F47CE5">
        <w:rPr>
          <w:szCs w:val="24"/>
        </w:rPr>
        <w:t xml:space="preserve"> the </w:t>
      </w:r>
      <w:r w:rsidR="00E8055C" w:rsidRPr="00F47CE5">
        <w:rPr>
          <w:szCs w:val="24"/>
        </w:rPr>
        <w:t>contribution to the PFD’s Fire Prevention Division, we remain far from convinced that these amounts adequately penalize PGW for i</w:t>
      </w:r>
      <w:r w:rsidR="000F52E6" w:rsidRPr="00F47CE5">
        <w:rPr>
          <w:szCs w:val="24"/>
        </w:rPr>
        <w:t>ts</w:t>
      </w:r>
      <w:r w:rsidR="00E8055C" w:rsidRPr="00F47CE5">
        <w:rPr>
          <w:szCs w:val="24"/>
        </w:rPr>
        <w:t xml:space="preserve"> numerous actions and inactions that culminated in the devastating losses</w:t>
      </w:r>
      <w:r w:rsidR="008B47B9" w:rsidRPr="00F47CE5">
        <w:rPr>
          <w:szCs w:val="24"/>
        </w:rPr>
        <w:t xml:space="preserve"> resulting from the January 18, 2011 gas explosion</w:t>
      </w:r>
      <w:r w:rsidR="00E8055C" w:rsidRPr="00F47CE5">
        <w:rPr>
          <w:szCs w:val="24"/>
        </w:rPr>
        <w:t xml:space="preserve">.  The Commission is, however, limited by the statutory civil penalty </w:t>
      </w:r>
      <w:r w:rsidR="008B47B9" w:rsidRPr="00F47CE5">
        <w:rPr>
          <w:szCs w:val="24"/>
        </w:rPr>
        <w:t>threshold</w:t>
      </w:r>
      <w:r w:rsidR="00E8055C" w:rsidRPr="00F47CE5">
        <w:rPr>
          <w:szCs w:val="24"/>
        </w:rPr>
        <w:t xml:space="preserve"> </w:t>
      </w:r>
      <w:r w:rsidR="000F52E6" w:rsidRPr="00F47CE5">
        <w:rPr>
          <w:szCs w:val="24"/>
        </w:rPr>
        <w:t xml:space="preserve">in Section 3301(c) of the Code </w:t>
      </w:r>
      <w:r w:rsidR="00E8055C" w:rsidRPr="00F47CE5">
        <w:rPr>
          <w:szCs w:val="24"/>
        </w:rPr>
        <w:t>that w</w:t>
      </w:r>
      <w:r w:rsidR="008B47B9" w:rsidRPr="00F47CE5">
        <w:rPr>
          <w:szCs w:val="24"/>
        </w:rPr>
        <w:t>as</w:t>
      </w:r>
      <w:r w:rsidR="00E8055C" w:rsidRPr="00F47CE5">
        <w:rPr>
          <w:szCs w:val="24"/>
        </w:rPr>
        <w:t xml:space="preserve"> in place at the time of the incident and by the fact that PGW, as a municipally-owned utility, operates on a cash-flow basis.  </w:t>
      </w:r>
    </w:p>
    <w:p w:rsidR="00DE5DD9" w:rsidRPr="00DE5DD9" w:rsidRDefault="00DE5DD9" w:rsidP="00DE5DD9">
      <w:pPr>
        <w:tabs>
          <w:tab w:val="left" w:pos="9360"/>
        </w:tabs>
        <w:spacing w:line="360" w:lineRule="auto"/>
        <w:ind w:firstLine="1440"/>
        <w:rPr>
          <w:rFonts w:eastAsiaTheme="minorHAnsi"/>
          <w:szCs w:val="24"/>
        </w:rPr>
      </w:pPr>
      <w:r w:rsidRPr="00DE5DD9">
        <w:rPr>
          <w:rFonts w:eastAsiaTheme="minorHAnsi"/>
          <w:szCs w:val="24"/>
        </w:rPr>
        <w:t xml:space="preserve"> </w:t>
      </w:r>
    </w:p>
    <w:p w:rsidR="00BC1B7D" w:rsidRDefault="004C21CA" w:rsidP="005E7F70">
      <w:pPr>
        <w:spacing w:line="360" w:lineRule="auto"/>
        <w:jc w:val="center"/>
        <w:rPr>
          <w:rFonts w:ascii="Times New (W1)" w:hAnsi="Times New (W1)"/>
          <w:b/>
          <w:szCs w:val="22"/>
        </w:rPr>
      </w:pPr>
      <w:r>
        <w:rPr>
          <w:b/>
          <w:color w:val="000000"/>
          <w:szCs w:val="26"/>
        </w:rPr>
        <w:t>V.</w:t>
      </w:r>
      <w:r>
        <w:rPr>
          <w:b/>
          <w:color w:val="000000"/>
          <w:szCs w:val="26"/>
        </w:rPr>
        <w:tab/>
      </w:r>
      <w:r w:rsidR="005C446F">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Default="000A4744" w:rsidP="00066A76">
      <w:pPr>
        <w:spacing w:line="360" w:lineRule="auto"/>
        <w:rPr>
          <w:szCs w:val="26"/>
        </w:rPr>
      </w:pPr>
      <w:r w:rsidRPr="00A55BFB">
        <w:rPr>
          <w:b/>
          <w:szCs w:val="22"/>
        </w:rPr>
        <w:tab/>
      </w:r>
      <w:r w:rsidRPr="00A55BFB">
        <w:rPr>
          <w:b/>
          <w:szCs w:val="22"/>
        </w:rPr>
        <w:tab/>
      </w:r>
      <w:r w:rsidR="0091719B" w:rsidRPr="0091719B">
        <w:rPr>
          <w:szCs w:val="22"/>
        </w:rPr>
        <w:t>Based on our review</w:t>
      </w:r>
      <w:r w:rsidR="0091719B">
        <w:rPr>
          <w:b/>
          <w:szCs w:val="22"/>
        </w:rPr>
        <w:t xml:space="preserve"> </w:t>
      </w:r>
      <w:r w:rsidR="0091719B">
        <w:rPr>
          <w:szCs w:val="26"/>
        </w:rPr>
        <w:t xml:space="preserve">and analysis of the record in this proceeding, </w:t>
      </w:r>
      <w:r w:rsidR="00AF741B">
        <w:rPr>
          <w:szCs w:val="26"/>
        </w:rPr>
        <w:t xml:space="preserve">including </w:t>
      </w:r>
      <w:r w:rsidR="0091719B">
        <w:rPr>
          <w:szCs w:val="26"/>
        </w:rPr>
        <w:t xml:space="preserve">the Initial Decision, the Settlement, </w:t>
      </w:r>
      <w:r w:rsidR="00616C62">
        <w:rPr>
          <w:szCs w:val="26"/>
        </w:rPr>
        <w:t xml:space="preserve">and </w:t>
      </w:r>
      <w:r w:rsidR="0091719B">
        <w:rPr>
          <w:szCs w:val="26"/>
        </w:rPr>
        <w:t>the Exceptions and Replies thereto</w:t>
      </w:r>
      <w:r w:rsidR="00616C62">
        <w:rPr>
          <w:szCs w:val="26"/>
        </w:rPr>
        <w:t>,</w:t>
      </w:r>
      <w:r w:rsidR="0091719B">
        <w:rPr>
          <w:szCs w:val="26"/>
        </w:rPr>
        <w:t xml:space="preserve"> we </w:t>
      </w:r>
      <w:r w:rsidR="0049202A">
        <w:rPr>
          <w:szCs w:val="26"/>
        </w:rPr>
        <w:t xml:space="preserve">shall deny the Exceptions and </w:t>
      </w:r>
      <w:r w:rsidR="00C12C38">
        <w:rPr>
          <w:szCs w:val="26"/>
        </w:rPr>
        <w:t xml:space="preserve">modify </w:t>
      </w:r>
      <w:r w:rsidR="0049202A">
        <w:rPr>
          <w:szCs w:val="26"/>
        </w:rPr>
        <w:t>the ALJ’s Initial Decision</w:t>
      </w:r>
      <w:r w:rsidR="0049202A" w:rsidRPr="008C6BAA">
        <w:rPr>
          <w:szCs w:val="26"/>
        </w:rPr>
        <w:t xml:space="preserve">, </w:t>
      </w:r>
      <w:r w:rsidR="0049202A" w:rsidRPr="00F47CE5">
        <w:rPr>
          <w:szCs w:val="26"/>
        </w:rPr>
        <w:t>consistent with this Opinion and Order</w:t>
      </w:r>
      <w:r w:rsidR="00C12C38" w:rsidRPr="008C6BAA">
        <w:rPr>
          <w:szCs w:val="26"/>
        </w:rPr>
        <w:t>.</w:t>
      </w:r>
      <w:r w:rsidR="00C12C38">
        <w:rPr>
          <w:szCs w:val="26"/>
        </w:rPr>
        <w:t xml:space="preserve">  Additionally, we shall </w:t>
      </w:r>
      <w:r w:rsidR="00103308">
        <w:rPr>
          <w:szCs w:val="26"/>
        </w:rPr>
        <w:t xml:space="preserve">conditionally </w:t>
      </w:r>
      <w:r w:rsidR="00C12C38">
        <w:rPr>
          <w:szCs w:val="26"/>
        </w:rPr>
        <w:t>approve the Settlement</w:t>
      </w:r>
      <w:r w:rsidR="00103308">
        <w:rPr>
          <w:szCs w:val="26"/>
        </w:rPr>
        <w:t>,</w:t>
      </w:r>
      <w:r w:rsidR="00C12C38">
        <w:rPr>
          <w:szCs w:val="26"/>
        </w:rPr>
        <w:t xml:space="preserve"> as modified by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8610F" w:rsidRDefault="00066A76" w:rsidP="007938E4">
      <w:pPr>
        <w:spacing w:line="360" w:lineRule="auto"/>
        <w:rPr>
          <w:szCs w:val="26"/>
        </w:rPr>
      </w:pPr>
      <w:r w:rsidRPr="00066A76">
        <w:rPr>
          <w:szCs w:val="26"/>
        </w:rPr>
        <w:tab/>
      </w:r>
      <w:r w:rsidR="007938E4">
        <w:rPr>
          <w:szCs w:val="26"/>
        </w:rPr>
        <w:tab/>
      </w:r>
    </w:p>
    <w:p w:rsidR="00066A76" w:rsidRPr="00066A76" w:rsidRDefault="00066A76" w:rsidP="00CB109C">
      <w:pPr>
        <w:keepNext/>
        <w:spacing w:line="360" w:lineRule="auto"/>
        <w:ind w:left="720" w:firstLine="720"/>
        <w:rPr>
          <w:b/>
          <w:szCs w:val="26"/>
        </w:rPr>
      </w:pPr>
      <w:r w:rsidRPr="00066A76">
        <w:rPr>
          <w:b/>
          <w:szCs w:val="26"/>
        </w:rPr>
        <w:lastRenderedPageBreak/>
        <w:t>IT IS ORDERED:</w:t>
      </w:r>
    </w:p>
    <w:p w:rsidR="00066A76" w:rsidRPr="00066A76" w:rsidRDefault="00066A76" w:rsidP="00CB109C">
      <w:pPr>
        <w:keepNext/>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217612">
        <w:rPr>
          <w:szCs w:val="26"/>
        </w:rPr>
        <w:t xml:space="preserve">Philadelphia Gas Works, filed </w:t>
      </w:r>
      <w:r w:rsidR="00217612" w:rsidRPr="00571F5C">
        <w:rPr>
          <w:szCs w:val="26"/>
        </w:rPr>
        <w:t xml:space="preserve">on </w:t>
      </w:r>
      <w:r w:rsidR="00217612">
        <w:rPr>
          <w:szCs w:val="26"/>
        </w:rPr>
        <w:t>February 4, 2013</w:t>
      </w:r>
      <w:r w:rsidR="007123D3">
        <w:rPr>
          <w:szCs w:val="26"/>
        </w:rPr>
        <w:t xml:space="preserve">, </w:t>
      </w:r>
      <w:r w:rsidR="00151C0A">
        <w:rPr>
          <w:szCs w:val="26"/>
        </w:rPr>
        <w:t xml:space="preserve">are </w:t>
      </w:r>
      <w:r>
        <w:rPr>
          <w:szCs w:val="26"/>
        </w:rPr>
        <w:t>denied.</w:t>
      </w:r>
    </w:p>
    <w:p w:rsidR="004F63F1" w:rsidRDefault="004F63F1"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Initial Decision of Administrative Law Judge </w:t>
      </w:r>
      <w:r w:rsidR="00217612">
        <w:rPr>
          <w:szCs w:val="26"/>
        </w:rPr>
        <w:t xml:space="preserve">Angela T. Jones, issued January 28, 2013, is </w:t>
      </w:r>
      <w:r w:rsidR="00103308">
        <w:rPr>
          <w:szCs w:val="26"/>
        </w:rPr>
        <w:t>modified</w:t>
      </w:r>
      <w:r w:rsidR="004F63F1">
        <w:rPr>
          <w:szCs w:val="26"/>
        </w:rPr>
        <w:t>, consistent with this Opinion and Order</w:t>
      </w:r>
      <w:r w:rsidR="00103308">
        <w:rPr>
          <w:szCs w:val="26"/>
        </w:rPr>
        <w:t>, subject to the condition set forth in Ordering Paragraph No. 4</w:t>
      </w:r>
      <w:r w:rsidR="004F63F1">
        <w:rPr>
          <w:szCs w:val="26"/>
        </w:rPr>
        <w:t>.</w:t>
      </w:r>
      <w:r w:rsidR="00217612">
        <w:rPr>
          <w:szCs w:val="26"/>
        </w:rPr>
        <w:t xml:space="preserve">  </w:t>
      </w:r>
    </w:p>
    <w:p w:rsidR="00456FAD" w:rsidRDefault="00456FAD" w:rsidP="00691B1A">
      <w:pPr>
        <w:spacing w:line="360" w:lineRule="auto"/>
        <w:ind w:firstLine="1440"/>
        <w:rPr>
          <w:szCs w:val="26"/>
        </w:rPr>
      </w:pPr>
    </w:p>
    <w:p w:rsidR="00FA7E06" w:rsidRPr="00F47CE5" w:rsidRDefault="003736B9" w:rsidP="000F23A5">
      <w:pPr>
        <w:spacing w:line="360" w:lineRule="auto"/>
        <w:ind w:firstLine="1350"/>
        <w:rPr>
          <w:szCs w:val="26"/>
        </w:rPr>
      </w:pPr>
      <w:r w:rsidRPr="00F47CE5">
        <w:rPr>
          <w:szCs w:val="26"/>
        </w:rPr>
        <w:t>3</w:t>
      </w:r>
      <w:r w:rsidR="00984515">
        <w:rPr>
          <w:szCs w:val="26"/>
        </w:rPr>
        <w:t>.    </w:t>
      </w:r>
      <w:r w:rsidR="00984515">
        <w:rPr>
          <w:szCs w:val="26"/>
        </w:rPr>
        <w:tab/>
      </w:r>
      <w:r w:rsidR="00FA7E06" w:rsidRPr="00F47CE5">
        <w:rPr>
          <w:szCs w:val="26"/>
        </w:rPr>
        <w:t xml:space="preserve">That the Joint Settlement Petition filed by the Pennsylvania Public Utility Commission’s Bureau of Investigation and Enforcement </w:t>
      </w:r>
      <w:r w:rsidR="000138C9" w:rsidRPr="00F47CE5">
        <w:rPr>
          <w:szCs w:val="26"/>
        </w:rPr>
        <w:t>and Philadelphia Gas Works</w:t>
      </w:r>
      <w:r w:rsidR="000138C9" w:rsidRPr="00F47CE5">
        <w:rPr>
          <w:spacing w:val="-3"/>
          <w:szCs w:val="24"/>
        </w:rPr>
        <w:t xml:space="preserve"> on November 14, 2012</w:t>
      </w:r>
      <w:r w:rsidR="00FA7E06" w:rsidRPr="00F47CE5">
        <w:rPr>
          <w:szCs w:val="26"/>
        </w:rPr>
        <w:t xml:space="preserve">, is </w:t>
      </w:r>
      <w:r w:rsidR="004F63F1" w:rsidRPr="00F47CE5">
        <w:rPr>
          <w:szCs w:val="26"/>
        </w:rPr>
        <w:t>modified by this Opinion and Order, subject to the condition set forth in Ordering Paragraph No. 4</w:t>
      </w:r>
      <w:r w:rsidR="00FA7E06" w:rsidRPr="00F47CE5">
        <w:rPr>
          <w:szCs w:val="26"/>
        </w:rPr>
        <w:t xml:space="preserve">.  </w:t>
      </w:r>
    </w:p>
    <w:p w:rsidR="00FA7E06" w:rsidRPr="00F47CE5" w:rsidRDefault="00FA7E06" w:rsidP="00FA7E06">
      <w:pPr>
        <w:spacing w:line="360" w:lineRule="auto"/>
        <w:rPr>
          <w:szCs w:val="26"/>
        </w:rPr>
      </w:pPr>
    </w:p>
    <w:p w:rsidR="00646588" w:rsidRPr="00F47CE5" w:rsidRDefault="00984515" w:rsidP="00646588">
      <w:pPr>
        <w:spacing w:line="360" w:lineRule="auto"/>
        <w:rPr>
          <w:szCs w:val="26"/>
        </w:rPr>
      </w:pPr>
      <w:r>
        <w:rPr>
          <w:szCs w:val="26"/>
        </w:rPr>
        <w:t>                </w:t>
      </w:r>
      <w:r>
        <w:rPr>
          <w:szCs w:val="26"/>
        </w:rPr>
        <w:tab/>
        <w:t>4.    </w:t>
      </w:r>
      <w:r>
        <w:rPr>
          <w:szCs w:val="26"/>
        </w:rPr>
        <w:tab/>
      </w:r>
      <w:r w:rsidR="00646588" w:rsidRPr="00F47CE5">
        <w:rPr>
          <w:szCs w:val="26"/>
        </w:rPr>
        <w:t xml:space="preserve">That, if either of the Parties wishes to withdraw from the Joint  Petition for Settlement, that Party shall file with the Secretary of the Commission and serve on all Parties to this proceeding an election to withdraw within five (5) business days from the date that this Opinion and Order is entered.  If such an election to withdraw is filed, the Initial Decision shall be reversed and the Joint Petition for Settlement shall be disapproved, without further action by this Commission, and this matter shall be remanded to the Office of Administrative Law Judge for such further proceedings as may be necessary.                  </w:t>
      </w:r>
    </w:p>
    <w:p w:rsidR="00646588" w:rsidRPr="00F47CE5" w:rsidRDefault="00646588" w:rsidP="00646588">
      <w:pPr>
        <w:spacing w:line="360" w:lineRule="auto"/>
        <w:rPr>
          <w:szCs w:val="26"/>
        </w:rPr>
      </w:pPr>
    </w:p>
    <w:p w:rsidR="00646588" w:rsidRPr="00F47CE5" w:rsidRDefault="00984515" w:rsidP="00646588">
      <w:pPr>
        <w:spacing w:line="360" w:lineRule="auto"/>
        <w:ind w:firstLine="1440"/>
        <w:rPr>
          <w:szCs w:val="26"/>
        </w:rPr>
      </w:pPr>
      <w:r>
        <w:rPr>
          <w:szCs w:val="26"/>
        </w:rPr>
        <w:t>5.     </w:t>
      </w:r>
      <w:r>
        <w:rPr>
          <w:szCs w:val="26"/>
        </w:rPr>
        <w:tab/>
      </w:r>
      <w:r w:rsidR="00646588" w:rsidRPr="00F47CE5">
        <w:rPr>
          <w:szCs w:val="26"/>
        </w:rPr>
        <w:t xml:space="preserve">That if no elections to withdraw are filed pursuant to Ordering Paragraph No. 4, this Opinion and Order shall become final without further Commission action, and it is further ordered:    </w:t>
      </w:r>
    </w:p>
    <w:p w:rsidR="00646588" w:rsidRPr="00F47CE5" w:rsidRDefault="00646588" w:rsidP="00646588">
      <w:pPr>
        <w:spacing w:line="360" w:lineRule="auto"/>
        <w:ind w:left="720" w:firstLine="720"/>
        <w:rPr>
          <w:szCs w:val="26"/>
        </w:rPr>
      </w:pPr>
    </w:p>
    <w:p w:rsidR="00646588" w:rsidRPr="00F47CE5" w:rsidRDefault="00646588" w:rsidP="00646588">
      <w:pPr>
        <w:spacing w:line="360" w:lineRule="auto"/>
        <w:ind w:firstLine="2160"/>
        <w:rPr>
          <w:szCs w:val="26"/>
        </w:rPr>
      </w:pPr>
      <w:r w:rsidRPr="00F47CE5">
        <w:rPr>
          <w:szCs w:val="26"/>
        </w:rPr>
        <w:t>a.</w:t>
      </w:r>
      <w:r w:rsidRPr="00F47CE5">
        <w:rPr>
          <w:szCs w:val="26"/>
        </w:rPr>
        <w:tab/>
        <w:t xml:space="preserve">That </w:t>
      </w:r>
      <w:r w:rsidR="0047388D" w:rsidRPr="00F47CE5">
        <w:rPr>
          <w:szCs w:val="26"/>
        </w:rPr>
        <w:t>Philadelphia Gas Works</w:t>
      </w:r>
      <w:r w:rsidRPr="00F47CE5">
        <w:rPr>
          <w:szCs w:val="26"/>
        </w:rPr>
        <w:t xml:space="preserve"> shall file </w:t>
      </w:r>
      <w:r w:rsidRPr="00F47CE5">
        <w:rPr>
          <w:szCs w:val="24"/>
        </w:rPr>
        <w:t>a pilot program designed to test enhanced leak detection measures</w:t>
      </w:r>
      <w:r w:rsidR="002B53C3" w:rsidRPr="00F47CE5">
        <w:rPr>
          <w:szCs w:val="24"/>
        </w:rPr>
        <w:t>.</w:t>
      </w:r>
      <w:r w:rsidRPr="00F47CE5">
        <w:rPr>
          <w:szCs w:val="24"/>
        </w:rPr>
        <w:t xml:space="preserve">  This filing shall be made with the </w:t>
      </w:r>
      <w:r w:rsidRPr="00F47CE5">
        <w:rPr>
          <w:szCs w:val="24"/>
        </w:rPr>
        <w:lastRenderedPageBreak/>
        <w:t>Commission’s Secretary and served on the Commission’s Pipeline Safety Division within forty-five days of the date that this Opinion and Order becomes final.</w:t>
      </w:r>
    </w:p>
    <w:p w:rsidR="00646588" w:rsidRPr="00F47CE5" w:rsidRDefault="00646588" w:rsidP="00646588">
      <w:pPr>
        <w:spacing w:line="360" w:lineRule="auto"/>
        <w:ind w:left="1440"/>
        <w:rPr>
          <w:szCs w:val="26"/>
        </w:rPr>
      </w:pPr>
    </w:p>
    <w:p w:rsidR="00646588" w:rsidRPr="00F47CE5" w:rsidRDefault="00646588" w:rsidP="00646588">
      <w:pPr>
        <w:spacing w:line="360" w:lineRule="auto"/>
        <w:ind w:firstLine="2160"/>
        <w:rPr>
          <w:szCs w:val="24"/>
        </w:rPr>
      </w:pPr>
      <w:r w:rsidRPr="00F47CE5">
        <w:rPr>
          <w:szCs w:val="26"/>
        </w:rPr>
        <w:t>b.</w:t>
      </w:r>
      <w:r w:rsidRPr="00F47CE5">
        <w:rPr>
          <w:szCs w:val="26"/>
        </w:rPr>
        <w:tab/>
        <w:t>That</w:t>
      </w:r>
      <w:r w:rsidRPr="00F47CE5">
        <w:rPr>
          <w:szCs w:val="24"/>
        </w:rPr>
        <w:t xml:space="preserve"> notice of the pilot program filing shall be published in the </w:t>
      </w:r>
      <w:r w:rsidRPr="00F47CE5">
        <w:rPr>
          <w:i/>
          <w:szCs w:val="24"/>
        </w:rPr>
        <w:t>Pennsylvania Bulletin</w:t>
      </w:r>
      <w:r w:rsidRPr="00F47CE5">
        <w:rPr>
          <w:szCs w:val="24"/>
        </w:rPr>
        <w:t xml:space="preserve">, so that interested parties may provide comments to the pilot program.  Such comments shall be filed within twenty days from the date of publication in the </w:t>
      </w:r>
      <w:r w:rsidRPr="00F47CE5">
        <w:rPr>
          <w:i/>
          <w:szCs w:val="24"/>
        </w:rPr>
        <w:t>Pennsylvania Bulletin</w:t>
      </w:r>
      <w:r w:rsidRPr="00F47CE5">
        <w:rPr>
          <w:szCs w:val="24"/>
        </w:rPr>
        <w:t>.</w:t>
      </w:r>
    </w:p>
    <w:p w:rsidR="002B53C3" w:rsidRPr="00F47CE5" w:rsidRDefault="002B53C3" w:rsidP="00646588">
      <w:pPr>
        <w:spacing w:line="360" w:lineRule="auto"/>
        <w:ind w:firstLine="2160"/>
        <w:rPr>
          <w:szCs w:val="24"/>
        </w:rPr>
      </w:pPr>
    </w:p>
    <w:p w:rsidR="00646588" w:rsidRDefault="00646588" w:rsidP="00646588">
      <w:pPr>
        <w:spacing w:line="360" w:lineRule="auto"/>
        <w:ind w:firstLine="2160"/>
        <w:rPr>
          <w:szCs w:val="26"/>
        </w:rPr>
      </w:pPr>
      <w:r w:rsidRPr="00F47CE5">
        <w:rPr>
          <w:szCs w:val="24"/>
        </w:rPr>
        <w:t>c.</w:t>
      </w:r>
      <w:r w:rsidRPr="00F47CE5">
        <w:rPr>
          <w:szCs w:val="24"/>
        </w:rPr>
        <w:tab/>
        <w:t>That the Commission shall consider any comments and approve, modify, or reject the pilot program.</w:t>
      </w:r>
    </w:p>
    <w:p w:rsidR="00646588" w:rsidRDefault="00646588" w:rsidP="00646588">
      <w:pPr>
        <w:spacing w:line="360" w:lineRule="auto"/>
        <w:ind w:left="1440"/>
        <w:rPr>
          <w:szCs w:val="26"/>
        </w:rPr>
      </w:pPr>
    </w:p>
    <w:p w:rsidR="00FA7E06" w:rsidRPr="000F23A5" w:rsidRDefault="00FA7E06" w:rsidP="000138C9">
      <w:pPr>
        <w:spacing w:line="360" w:lineRule="auto"/>
        <w:rPr>
          <w:szCs w:val="26"/>
        </w:rPr>
      </w:pPr>
      <w:r>
        <w:rPr>
          <w:szCs w:val="26"/>
        </w:rPr>
        <w:t> </w:t>
      </w:r>
      <w:r w:rsidR="002B53C3">
        <w:rPr>
          <w:szCs w:val="26"/>
        </w:rPr>
        <w:tab/>
      </w:r>
      <w:r w:rsidR="002B53C3">
        <w:rPr>
          <w:szCs w:val="26"/>
        </w:rPr>
        <w:tab/>
      </w:r>
      <w:r w:rsidR="002B53C3">
        <w:rPr>
          <w:szCs w:val="26"/>
        </w:rPr>
        <w:tab/>
        <w:t>d</w:t>
      </w:r>
      <w:r w:rsidR="00984515">
        <w:rPr>
          <w:szCs w:val="26"/>
        </w:rPr>
        <w:t>.    </w:t>
      </w:r>
      <w:r w:rsidR="00984515">
        <w:rPr>
          <w:szCs w:val="26"/>
        </w:rPr>
        <w:tab/>
      </w:r>
      <w:r w:rsidRPr="000F23A5">
        <w:rPr>
          <w:szCs w:val="26"/>
        </w:rPr>
        <w:t xml:space="preserve">That, in accordance with Section 3301 of the Public Utility Code, 66 Pa. C.S. § 3301, within thirty (30) days of </w:t>
      </w:r>
      <w:r w:rsidR="00045E73">
        <w:rPr>
          <w:szCs w:val="26"/>
        </w:rPr>
        <w:t>entry</w:t>
      </w:r>
      <w:r w:rsidRPr="000F23A5">
        <w:rPr>
          <w:szCs w:val="26"/>
        </w:rPr>
        <w:t xml:space="preserve"> of the Commission’s final Opinion and Order, </w:t>
      </w:r>
      <w:r w:rsidR="000138C9">
        <w:rPr>
          <w:szCs w:val="26"/>
        </w:rPr>
        <w:t>Philadelphia Gas Works</w:t>
      </w:r>
      <w:r w:rsidRPr="000F23A5">
        <w:rPr>
          <w:szCs w:val="26"/>
        </w:rPr>
        <w:t xml:space="preserve"> shall pay a civil </w:t>
      </w:r>
      <w:r w:rsidR="000138C9">
        <w:rPr>
          <w:szCs w:val="26"/>
        </w:rPr>
        <w:t>settlement</w:t>
      </w:r>
      <w:r w:rsidRPr="000F23A5">
        <w:rPr>
          <w:szCs w:val="26"/>
        </w:rPr>
        <w:t xml:space="preserve"> in the amount of $</w:t>
      </w:r>
      <w:r w:rsidR="000138C9">
        <w:rPr>
          <w:szCs w:val="26"/>
        </w:rPr>
        <w:t>4</w:t>
      </w:r>
      <w:r w:rsidRPr="000F23A5">
        <w:rPr>
          <w:szCs w:val="26"/>
        </w:rPr>
        <w:t>00,000.  Said check or money order shall be made payable to</w:t>
      </w:r>
      <w:r w:rsidR="00045E73">
        <w:rPr>
          <w:szCs w:val="26"/>
        </w:rPr>
        <w:t xml:space="preserve"> “Commonwealth of Pennsylvania” and shall be mailed to</w:t>
      </w:r>
      <w:r w:rsidRPr="000F23A5">
        <w:rPr>
          <w:szCs w:val="26"/>
        </w:rPr>
        <w:t>:</w:t>
      </w:r>
    </w:p>
    <w:p w:rsidR="00FA7E06" w:rsidRPr="000F23A5" w:rsidRDefault="00FA7E06" w:rsidP="00777C82">
      <w:pPr>
        <w:ind w:firstLine="1440"/>
        <w:rPr>
          <w:szCs w:val="26"/>
        </w:rPr>
      </w:pPr>
    </w:p>
    <w:p w:rsidR="00FA7E06" w:rsidRPr="000F23A5" w:rsidRDefault="00FA7E06" w:rsidP="002B53C3">
      <w:pPr>
        <w:keepNext/>
        <w:ind w:left="720" w:firstLine="1440"/>
        <w:rPr>
          <w:szCs w:val="26"/>
        </w:rPr>
      </w:pPr>
      <w:r w:rsidRPr="000F23A5">
        <w:rPr>
          <w:szCs w:val="26"/>
        </w:rPr>
        <w:t>Pennsylvania Public Utility Commission</w:t>
      </w:r>
    </w:p>
    <w:p w:rsidR="00FA7E06" w:rsidRPr="000F23A5" w:rsidRDefault="00FA7E06" w:rsidP="002B53C3">
      <w:pPr>
        <w:keepNext/>
        <w:ind w:left="720" w:firstLine="1440"/>
        <w:rPr>
          <w:szCs w:val="26"/>
        </w:rPr>
      </w:pPr>
      <w:r w:rsidRPr="000F23A5">
        <w:rPr>
          <w:szCs w:val="26"/>
        </w:rPr>
        <w:t>P.O. Box 3265</w:t>
      </w:r>
    </w:p>
    <w:p w:rsidR="008D1E3A" w:rsidRDefault="00FA7E06" w:rsidP="002B53C3">
      <w:pPr>
        <w:ind w:left="720" w:firstLine="1440"/>
        <w:rPr>
          <w:szCs w:val="26"/>
        </w:rPr>
      </w:pPr>
      <w:r w:rsidRPr="000F23A5">
        <w:rPr>
          <w:szCs w:val="26"/>
        </w:rPr>
        <w:t>Harrisburg, PA  17105-3265</w:t>
      </w:r>
    </w:p>
    <w:p w:rsidR="008D1E3A" w:rsidRDefault="008D1E3A" w:rsidP="00777C82">
      <w:pPr>
        <w:spacing w:line="360" w:lineRule="auto"/>
        <w:ind w:firstLine="1440"/>
        <w:rPr>
          <w:szCs w:val="26"/>
        </w:rPr>
      </w:pPr>
    </w:p>
    <w:p w:rsidR="00E32942" w:rsidRDefault="008D1E3A" w:rsidP="00977AF1">
      <w:pPr>
        <w:spacing w:line="360" w:lineRule="auto"/>
        <w:ind w:firstLine="360"/>
        <w:rPr>
          <w:szCs w:val="26"/>
        </w:rPr>
      </w:pPr>
      <w:r w:rsidRPr="008D1E3A">
        <w:rPr>
          <w:szCs w:val="26"/>
        </w:rPr>
        <w:tab/>
      </w:r>
      <w:r w:rsidRPr="008D1E3A">
        <w:rPr>
          <w:szCs w:val="26"/>
        </w:rPr>
        <w:tab/>
      </w:r>
      <w:r w:rsidR="002B53C3">
        <w:rPr>
          <w:szCs w:val="26"/>
        </w:rPr>
        <w:tab/>
        <w:t>e</w:t>
      </w:r>
      <w:r>
        <w:rPr>
          <w:szCs w:val="26"/>
        </w:rPr>
        <w:t>.</w:t>
      </w:r>
      <w:r>
        <w:rPr>
          <w:szCs w:val="26"/>
        </w:rPr>
        <w:tab/>
        <w:t>That</w:t>
      </w:r>
      <w:r w:rsidR="00977AF1">
        <w:rPr>
          <w:szCs w:val="26"/>
        </w:rPr>
        <w:t xml:space="preserve"> within one (1) year of </w:t>
      </w:r>
      <w:r w:rsidR="00E32942">
        <w:rPr>
          <w:szCs w:val="26"/>
        </w:rPr>
        <w:t>entry</w:t>
      </w:r>
      <w:r w:rsidR="00977AF1" w:rsidRPr="000F23A5">
        <w:rPr>
          <w:szCs w:val="26"/>
        </w:rPr>
        <w:t xml:space="preserve"> of the Commission’s final Opinion and Order</w:t>
      </w:r>
      <w:r w:rsidR="00977AF1">
        <w:rPr>
          <w:szCs w:val="26"/>
        </w:rPr>
        <w:t>,</w:t>
      </w:r>
      <w:r>
        <w:rPr>
          <w:szCs w:val="26"/>
        </w:rPr>
        <w:t xml:space="preserve"> Philadelphia Gas Works </w:t>
      </w:r>
      <w:r w:rsidR="00E32942">
        <w:rPr>
          <w:szCs w:val="26"/>
        </w:rPr>
        <w:t xml:space="preserve">shall </w:t>
      </w:r>
      <w:r>
        <w:rPr>
          <w:szCs w:val="26"/>
        </w:rPr>
        <w:t>make a $100,000 contribution</w:t>
      </w:r>
      <w:r w:rsidR="00977AF1">
        <w:rPr>
          <w:szCs w:val="26"/>
        </w:rPr>
        <w:t xml:space="preserve"> to the existing smoke alarm program operated by the Fire Prevention Division of the Philadelphia Fire Department in partnership with The Citizens for Fire Prevention Committee, a non-profit corporation formed by the Philadelphia Fire Department for education and fundraising.</w:t>
      </w:r>
    </w:p>
    <w:p w:rsidR="00E32942" w:rsidRDefault="00E32942" w:rsidP="00977AF1">
      <w:pPr>
        <w:spacing w:line="360" w:lineRule="auto"/>
        <w:ind w:firstLine="360"/>
        <w:rPr>
          <w:szCs w:val="26"/>
        </w:rPr>
      </w:pPr>
    </w:p>
    <w:p w:rsidR="008D1E3A" w:rsidRPr="008D1E3A" w:rsidRDefault="002B53C3" w:rsidP="002B53C3">
      <w:pPr>
        <w:spacing w:line="360" w:lineRule="auto"/>
        <w:ind w:firstLine="2160"/>
        <w:rPr>
          <w:szCs w:val="26"/>
        </w:rPr>
      </w:pPr>
      <w:r>
        <w:rPr>
          <w:szCs w:val="26"/>
        </w:rPr>
        <w:t>f</w:t>
      </w:r>
      <w:r w:rsidR="00E32942">
        <w:rPr>
          <w:szCs w:val="26"/>
        </w:rPr>
        <w:t>.</w:t>
      </w:r>
      <w:r w:rsidR="00E32942">
        <w:rPr>
          <w:szCs w:val="26"/>
        </w:rPr>
        <w:tab/>
        <w:t>That Philadelphia Gas Works shall notify the Commission</w:t>
      </w:r>
      <w:r w:rsidR="00822A8A">
        <w:rPr>
          <w:szCs w:val="26"/>
        </w:rPr>
        <w:t xml:space="preserve"> </w:t>
      </w:r>
      <w:r w:rsidR="00E32942">
        <w:rPr>
          <w:szCs w:val="26"/>
        </w:rPr>
        <w:t>that it</w:t>
      </w:r>
      <w:r w:rsidR="00822A8A">
        <w:rPr>
          <w:szCs w:val="26"/>
        </w:rPr>
        <w:t xml:space="preserve"> has made the contribution</w:t>
      </w:r>
      <w:r w:rsidR="00E32942">
        <w:rPr>
          <w:szCs w:val="26"/>
        </w:rPr>
        <w:t xml:space="preserve"> required by Ordering Paragraph 5</w:t>
      </w:r>
      <w:r>
        <w:rPr>
          <w:szCs w:val="26"/>
        </w:rPr>
        <w:t>(e)</w:t>
      </w:r>
      <w:r w:rsidR="00E32942">
        <w:rPr>
          <w:szCs w:val="26"/>
        </w:rPr>
        <w:t xml:space="preserve">.  Such notice shall </w:t>
      </w:r>
      <w:r w:rsidR="00E32942">
        <w:rPr>
          <w:szCs w:val="26"/>
        </w:rPr>
        <w:lastRenderedPageBreak/>
        <w:t>be filed with the Secretary’s Bureau</w:t>
      </w:r>
      <w:r w:rsidR="00822A8A">
        <w:rPr>
          <w:szCs w:val="26"/>
        </w:rPr>
        <w:t>, at this docket number,</w:t>
      </w:r>
      <w:r w:rsidR="00E32942">
        <w:rPr>
          <w:szCs w:val="26"/>
        </w:rPr>
        <w:t xml:space="preserve"> within thirty days after</w:t>
      </w:r>
      <w:r w:rsidR="00977AF1">
        <w:rPr>
          <w:szCs w:val="26"/>
        </w:rPr>
        <w:t xml:space="preserve"> </w:t>
      </w:r>
      <w:r w:rsidR="00E32942">
        <w:rPr>
          <w:szCs w:val="26"/>
        </w:rPr>
        <w:t>making the</w:t>
      </w:r>
      <w:r w:rsidR="00822A8A">
        <w:rPr>
          <w:szCs w:val="26"/>
        </w:rPr>
        <w:t xml:space="preserve"> contribution.</w:t>
      </w:r>
      <w:r w:rsidR="00E32942">
        <w:rPr>
          <w:szCs w:val="26"/>
        </w:rPr>
        <w:t xml:space="preserve"> </w:t>
      </w:r>
      <w:r w:rsidR="00977AF1">
        <w:rPr>
          <w:szCs w:val="26"/>
        </w:rPr>
        <w:t xml:space="preserve">      </w:t>
      </w:r>
      <w:r w:rsidR="008D1E3A">
        <w:rPr>
          <w:szCs w:val="26"/>
        </w:rPr>
        <w:t xml:space="preserve">    </w:t>
      </w:r>
    </w:p>
    <w:p w:rsidR="008D1E3A" w:rsidRDefault="008D1E3A" w:rsidP="008D1E3A">
      <w:pPr>
        <w:ind w:firstLine="1440"/>
        <w:rPr>
          <w:szCs w:val="26"/>
        </w:rPr>
      </w:pPr>
    </w:p>
    <w:p w:rsidR="00FA7E06" w:rsidRDefault="002B53C3" w:rsidP="002B53C3">
      <w:pPr>
        <w:spacing w:line="360" w:lineRule="auto"/>
        <w:ind w:firstLine="2160"/>
        <w:rPr>
          <w:szCs w:val="26"/>
        </w:rPr>
      </w:pPr>
      <w:r>
        <w:rPr>
          <w:szCs w:val="26"/>
        </w:rPr>
        <w:t>g</w:t>
      </w:r>
      <w:r w:rsidR="00977AF1">
        <w:rPr>
          <w:szCs w:val="26"/>
        </w:rPr>
        <w:t>.</w:t>
      </w:r>
      <w:r w:rsidR="00984515">
        <w:rPr>
          <w:szCs w:val="26"/>
        </w:rPr>
        <w:t>   </w:t>
      </w:r>
      <w:r w:rsidR="00984515">
        <w:rPr>
          <w:szCs w:val="26"/>
        </w:rPr>
        <w:tab/>
      </w:r>
      <w:r w:rsidR="00FA7E06" w:rsidRPr="000F23A5">
        <w:rPr>
          <w:szCs w:val="26"/>
        </w:rPr>
        <w:t>That a copy of this Opinion and Order shall be served upon the Financial and Assessment Chief, Office of Administrative Services.</w:t>
      </w:r>
    </w:p>
    <w:p w:rsidR="00FE23DB" w:rsidRDefault="00FE23DB" w:rsidP="002B53C3">
      <w:pPr>
        <w:spacing w:line="360" w:lineRule="auto"/>
        <w:ind w:firstLine="2160"/>
        <w:rPr>
          <w:szCs w:val="26"/>
        </w:rPr>
      </w:pPr>
    </w:p>
    <w:p w:rsidR="00FA7E06" w:rsidRDefault="004234D9" w:rsidP="00FE23DB">
      <w:pPr>
        <w:spacing w:line="360" w:lineRule="auto"/>
        <w:ind w:firstLine="2160"/>
        <w:rPr>
          <w:szCs w:val="26"/>
        </w:rPr>
      </w:pPr>
      <w:r>
        <w:rPr>
          <w:szCs w:val="26"/>
        </w:rPr>
        <w:t>h</w:t>
      </w:r>
      <w:r w:rsidR="00984515">
        <w:rPr>
          <w:szCs w:val="26"/>
        </w:rPr>
        <w:t>.  </w:t>
      </w:r>
      <w:r w:rsidR="00984515">
        <w:rPr>
          <w:szCs w:val="26"/>
        </w:rPr>
        <w:tab/>
      </w:r>
      <w:r w:rsidR="00FA7E06" w:rsidRPr="000F23A5">
        <w:rPr>
          <w:szCs w:val="26"/>
        </w:rPr>
        <w:t xml:space="preserve">That the Secretary’s Bureau shall mark this proceeding closed upon </w:t>
      </w:r>
      <w:r w:rsidR="00822A8A">
        <w:rPr>
          <w:szCs w:val="26"/>
        </w:rPr>
        <w:t xml:space="preserve">receipt of </w:t>
      </w:r>
      <w:r w:rsidR="00FA7E06" w:rsidRPr="000F23A5">
        <w:rPr>
          <w:szCs w:val="26"/>
        </w:rPr>
        <w:t xml:space="preserve">payment of the </w:t>
      </w:r>
      <w:r w:rsidR="00977AF1">
        <w:rPr>
          <w:szCs w:val="26"/>
        </w:rPr>
        <w:t xml:space="preserve">$400,000 civil settlement amount and notification of the $100,000 contribution, consistent with Ordering Paragraph </w:t>
      </w:r>
      <w:r w:rsidR="009F58DF">
        <w:rPr>
          <w:szCs w:val="26"/>
        </w:rPr>
        <w:t>5(d)-(f)</w:t>
      </w:r>
      <w:r w:rsidR="00977AF1">
        <w:rPr>
          <w:szCs w:val="26"/>
        </w:rPr>
        <w:t xml:space="preserve"> of this Opinion and Order</w:t>
      </w:r>
      <w:r w:rsidR="00FA7E06" w:rsidRPr="000F23A5">
        <w:rPr>
          <w:szCs w:val="26"/>
        </w:rPr>
        <w:t>.</w:t>
      </w:r>
      <w:r w:rsidR="00977AF1">
        <w:rPr>
          <w:szCs w:val="26"/>
        </w:rPr>
        <w:t xml:space="preserve">  </w:t>
      </w:r>
    </w:p>
    <w:p w:rsidR="00FA7E06" w:rsidRPr="000F23A5" w:rsidRDefault="005A612B" w:rsidP="00FA7E06">
      <w:pPr>
        <w:spacing w:line="360" w:lineRule="auto"/>
        <w:ind w:firstLine="1440"/>
        <w:rPr>
          <w:szCs w:val="26"/>
        </w:rPr>
      </w:pPr>
      <w:r>
        <w:rPr>
          <w:noProof/>
        </w:rPr>
        <w:drawing>
          <wp:anchor distT="0" distB="0" distL="114300" distR="114300" simplePos="0" relativeHeight="251659264" behindDoc="1" locked="0" layoutInCell="1" allowOverlap="1" wp14:anchorId="4449058C" wp14:editId="4066B2D0">
            <wp:simplePos x="0" y="0"/>
            <wp:positionH relativeFrom="column">
              <wp:posOffset>2876550</wp:posOffset>
            </wp:positionH>
            <wp:positionV relativeFrom="paragraph">
              <wp:posOffset>247650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066A76" w:rsidRPr="00066A76" w:rsidRDefault="00066A76" w:rsidP="00066A76">
      <w:pPr>
        <w:spacing w:line="360" w:lineRule="auto"/>
        <w:rPr>
          <w:szCs w:val="24"/>
        </w:rPr>
      </w:pP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bookmarkStart w:id="0" w:name="_GoBack"/>
      <w:bookmarkEnd w:id="0"/>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583F6E">
        <w:rPr>
          <w:szCs w:val="24"/>
        </w:rPr>
        <w:t>July</w:t>
      </w:r>
      <w:r w:rsidR="00810715">
        <w:rPr>
          <w:szCs w:val="24"/>
        </w:rPr>
        <w:t xml:space="preserve"> 16</w:t>
      </w:r>
      <w:r w:rsidR="00CD74A9">
        <w:rPr>
          <w:szCs w:val="24"/>
        </w:rPr>
        <w:t>, 2013</w:t>
      </w:r>
      <w:r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5A612B">
        <w:rPr>
          <w:rFonts w:ascii="Times New (W1)" w:hAnsi="Times New (W1)"/>
          <w:szCs w:val="22"/>
        </w:rPr>
        <w:t>July 26, 2013</w:t>
      </w:r>
    </w:p>
    <w:sectPr w:rsidR="00BC1B7D" w:rsidRPr="00BC1B7D" w:rsidSect="00A55BF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3B" w:rsidRDefault="006C623B" w:rsidP="00567496">
      <w:r>
        <w:separator/>
      </w:r>
    </w:p>
  </w:endnote>
  <w:endnote w:type="continuationSeparator" w:id="0">
    <w:p w:rsidR="006C623B" w:rsidRDefault="006C623B"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375798" w:rsidRDefault="00375798">
        <w:pPr>
          <w:pStyle w:val="Footer"/>
          <w:jc w:val="center"/>
        </w:pPr>
        <w:r>
          <w:fldChar w:fldCharType="begin"/>
        </w:r>
        <w:r>
          <w:instrText xml:space="preserve"> PAGE   \* MERGEFORMAT </w:instrText>
        </w:r>
        <w:r>
          <w:fldChar w:fldCharType="separate"/>
        </w:r>
        <w:r w:rsidR="005A612B">
          <w:rPr>
            <w:noProof/>
          </w:rPr>
          <w:t>32</w:t>
        </w:r>
        <w:r>
          <w:rPr>
            <w:noProof/>
          </w:rPr>
          <w:fldChar w:fldCharType="end"/>
        </w:r>
      </w:p>
    </w:sdtContent>
  </w:sdt>
  <w:p w:rsidR="00375798" w:rsidRDefault="00375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3B" w:rsidRDefault="006C623B" w:rsidP="00567496">
      <w:r>
        <w:separator/>
      </w:r>
    </w:p>
  </w:footnote>
  <w:footnote w:type="continuationSeparator" w:id="0">
    <w:p w:rsidR="006C623B" w:rsidRDefault="006C623B" w:rsidP="00567496">
      <w:r>
        <w:continuationSeparator/>
      </w:r>
    </w:p>
  </w:footnote>
  <w:footnote w:id="1">
    <w:p w:rsidR="00375798" w:rsidRPr="005A3FEF" w:rsidRDefault="00375798" w:rsidP="005A3FEF">
      <w:pPr>
        <w:pStyle w:val="FootnoteText"/>
        <w:ind w:firstLine="720"/>
        <w:rPr>
          <w:sz w:val="26"/>
        </w:rPr>
      </w:pPr>
      <w:r w:rsidRPr="005A3FEF">
        <w:rPr>
          <w:rStyle w:val="FootnoteReference"/>
          <w:sz w:val="26"/>
        </w:rPr>
        <w:footnoteRef/>
      </w:r>
      <w:r w:rsidRPr="005A3FEF">
        <w:rPr>
          <w:sz w:val="26"/>
        </w:rPr>
        <w:t xml:space="preserve"> </w:t>
      </w:r>
      <w:r>
        <w:rPr>
          <w:sz w:val="26"/>
        </w:rPr>
        <w:tab/>
      </w:r>
      <w:r w:rsidRPr="005A3FEF">
        <w:rPr>
          <w:sz w:val="26"/>
        </w:rPr>
        <w:t>I&amp;E filed a Proprietary and Non-Proprietary Complaint.</w:t>
      </w:r>
    </w:p>
  </w:footnote>
  <w:footnote w:id="2">
    <w:p w:rsidR="00375798" w:rsidRPr="003E6AA7" w:rsidRDefault="00375798" w:rsidP="00984515">
      <w:pPr>
        <w:tabs>
          <w:tab w:val="left" w:pos="-720"/>
        </w:tabs>
        <w:suppressAutoHyphens/>
        <w:ind w:firstLine="720"/>
        <w:rPr>
          <w:spacing w:val="-3"/>
          <w:szCs w:val="24"/>
        </w:rPr>
      </w:pPr>
      <w:r>
        <w:rPr>
          <w:rStyle w:val="FootnoteReference"/>
        </w:rPr>
        <w:footnoteRef/>
      </w:r>
      <w:r>
        <w:t xml:space="preserve"> </w:t>
      </w:r>
      <w:r>
        <w:tab/>
        <w:t>In response to PGW’s request for an extension of time to file its Answer, the Commission’s Secretary permitted PGW to file an Answer</w:t>
      </w:r>
      <w:r w:rsidRPr="003E6AA7">
        <w:rPr>
          <w:spacing w:val="-3"/>
          <w:szCs w:val="24"/>
        </w:rPr>
        <w:t xml:space="preserve"> on or before February 6, 2012.  </w:t>
      </w:r>
    </w:p>
    <w:p w:rsidR="00375798" w:rsidRDefault="00375798" w:rsidP="003E6AA7">
      <w:pPr>
        <w:pStyle w:val="FootnoteText"/>
      </w:pPr>
    </w:p>
  </w:footnote>
  <w:footnote w:id="3">
    <w:p w:rsidR="00375798" w:rsidRDefault="00375798" w:rsidP="0007092B">
      <w:pPr>
        <w:pStyle w:val="FootnoteText"/>
        <w:ind w:firstLine="720"/>
      </w:pPr>
      <w:r w:rsidRPr="0007092B">
        <w:rPr>
          <w:rStyle w:val="FootnoteReference"/>
          <w:sz w:val="26"/>
        </w:rPr>
        <w:footnoteRef/>
      </w:r>
      <w:r w:rsidRPr="0007092B">
        <w:rPr>
          <w:sz w:val="26"/>
        </w:rPr>
        <w:t xml:space="preserve"> </w:t>
      </w:r>
      <w:r>
        <w:rPr>
          <w:sz w:val="26"/>
        </w:rPr>
        <w:tab/>
        <w:t xml:space="preserve">When the January 18, 2011 explosion occurred, former Section 3301(c) provided that any public utility that violated any gas pipeline safety provisions of the Code “shall be subject to a civil penalty of not to exceed $10,000 for each violation for each day that the violation persists, except that the maximum civil penalty shall not exceed $500,000 for any related series of violations, or subject to a penalty provided under federal pipeline safety laws, whichever is greater.”  Act 11 of 2012 amended Section 3301(c), which now provides that any public utility that violates any gas pipeline safety provisions of the Code “shall be subject to a civil penalty of not to exceed $200,000 for each violation for each day that the violation persists, except that the maximum civil penalty shall not exceed $2,000,000 for any related series of violations, or subject to a penalty provided under federal pipeline safety laws, whichever is greater.”  </w:t>
      </w:r>
    </w:p>
  </w:footnote>
  <w:footnote w:id="4">
    <w:p w:rsidR="008949A1" w:rsidRPr="00BC2F58" w:rsidRDefault="008949A1" w:rsidP="008949A1">
      <w:pPr>
        <w:pStyle w:val="FootnoteText"/>
        <w:ind w:firstLine="720"/>
        <w:rPr>
          <w:sz w:val="26"/>
        </w:rPr>
      </w:pPr>
      <w:r w:rsidRPr="00BC2F58">
        <w:rPr>
          <w:rStyle w:val="FootnoteReference"/>
          <w:sz w:val="26"/>
        </w:rPr>
        <w:footnoteRef/>
      </w:r>
      <w:r w:rsidRPr="00BC2F58">
        <w:rPr>
          <w:sz w:val="26"/>
        </w:rPr>
        <w:t xml:space="preserve"> </w:t>
      </w:r>
      <w:r w:rsidRPr="00BC2F58">
        <w:rPr>
          <w:sz w:val="26"/>
        </w:rPr>
        <w:tab/>
        <w:t xml:space="preserve">In the event that no Settling Party withdraws from the Settlement, this Opinion and Order shall become final effective on the date that is six business days following the entry of this Opinion and Order.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C2D"/>
    <w:multiLevelType w:val="hybridMultilevel"/>
    <w:tmpl w:val="550E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5545"/>
    <w:multiLevelType w:val="hybridMultilevel"/>
    <w:tmpl w:val="80A4BCAA"/>
    <w:lvl w:ilvl="0" w:tplc="4732C7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934998"/>
    <w:multiLevelType w:val="hybridMultilevel"/>
    <w:tmpl w:val="FCF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547D44"/>
    <w:multiLevelType w:val="hybridMultilevel"/>
    <w:tmpl w:val="00004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ED3A11"/>
    <w:multiLevelType w:val="hybridMultilevel"/>
    <w:tmpl w:val="8FCABA54"/>
    <w:lvl w:ilvl="0" w:tplc="561028D4">
      <w:start w:val="1"/>
      <w:numFmt w:val="lowerLetter"/>
      <w:lvlText w:val="%1."/>
      <w:lvlJc w:val="left"/>
      <w:pPr>
        <w:ind w:left="1800" w:hanging="360"/>
      </w:pPr>
      <w:rPr>
        <w:rFonts w:hint="default"/>
      </w:r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9586876"/>
    <w:multiLevelType w:val="hybridMultilevel"/>
    <w:tmpl w:val="6C268428"/>
    <w:lvl w:ilvl="0" w:tplc="A712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4811B23"/>
    <w:multiLevelType w:val="hybridMultilevel"/>
    <w:tmpl w:val="1F08E602"/>
    <w:lvl w:ilvl="0" w:tplc="479823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A2235C6"/>
    <w:multiLevelType w:val="hybridMultilevel"/>
    <w:tmpl w:val="991680D2"/>
    <w:lvl w:ilvl="0" w:tplc="E8E2C4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893A7C"/>
    <w:multiLevelType w:val="hybridMultilevel"/>
    <w:tmpl w:val="87A6515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B553B8B"/>
    <w:multiLevelType w:val="hybridMultilevel"/>
    <w:tmpl w:val="E8768C12"/>
    <w:lvl w:ilvl="0" w:tplc="B8A2A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9"/>
  </w:num>
  <w:num w:numId="4">
    <w:abstractNumId w:val="4"/>
  </w:num>
  <w:num w:numId="5">
    <w:abstractNumId w:val="11"/>
  </w:num>
  <w:num w:numId="6">
    <w:abstractNumId w:val="7"/>
  </w:num>
  <w:num w:numId="7">
    <w:abstractNumId w:val="12"/>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
  </w:num>
  <w:num w:numId="13">
    <w:abstractNumId w:val="13"/>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2C7F"/>
    <w:rsid w:val="000031B7"/>
    <w:rsid w:val="000036E9"/>
    <w:rsid w:val="00003F4A"/>
    <w:rsid w:val="00004052"/>
    <w:rsid w:val="00004858"/>
    <w:rsid w:val="00004E2C"/>
    <w:rsid w:val="00004F7C"/>
    <w:rsid w:val="0000538D"/>
    <w:rsid w:val="00006415"/>
    <w:rsid w:val="00006976"/>
    <w:rsid w:val="00006ECB"/>
    <w:rsid w:val="00006EFA"/>
    <w:rsid w:val="0001057E"/>
    <w:rsid w:val="000120C9"/>
    <w:rsid w:val="00013322"/>
    <w:rsid w:val="00013373"/>
    <w:rsid w:val="000138C9"/>
    <w:rsid w:val="000150EB"/>
    <w:rsid w:val="0001578F"/>
    <w:rsid w:val="00016924"/>
    <w:rsid w:val="00016B40"/>
    <w:rsid w:val="00017680"/>
    <w:rsid w:val="0001780A"/>
    <w:rsid w:val="000211D0"/>
    <w:rsid w:val="00021A4A"/>
    <w:rsid w:val="000222AE"/>
    <w:rsid w:val="00022504"/>
    <w:rsid w:val="0002280B"/>
    <w:rsid w:val="000228FE"/>
    <w:rsid w:val="00022EC2"/>
    <w:rsid w:val="00023CB6"/>
    <w:rsid w:val="00023D09"/>
    <w:rsid w:val="00023E1F"/>
    <w:rsid w:val="00024994"/>
    <w:rsid w:val="000249BD"/>
    <w:rsid w:val="00025BC4"/>
    <w:rsid w:val="00026AFF"/>
    <w:rsid w:val="00027499"/>
    <w:rsid w:val="00027B21"/>
    <w:rsid w:val="0003033F"/>
    <w:rsid w:val="0003064C"/>
    <w:rsid w:val="00031483"/>
    <w:rsid w:val="00031713"/>
    <w:rsid w:val="00031787"/>
    <w:rsid w:val="0003181E"/>
    <w:rsid w:val="00031B5D"/>
    <w:rsid w:val="0003253F"/>
    <w:rsid w:val="00032E09"/>
    <w:rsid w:val="00033027"/>
    <w:rsid w:val="0003338F"/>
    <w:rsid w:val="000346E4"/>
    <w:rsid w:val="00034A58"/>
    <w:rsid w:val="00034F46"/>
    <w:rsid w:val="00034F90"/>
    <w:rsid w:val="00041F9F"/>
    <w:rsid w:val="000422E7"/>
    <w:rsid w:val="00042CC3"/>
    <w:rsid w:val="00042D7B"/>
    <w:rsid w:val="000447CE"/>
    <w:rsid w:val="00044CEB"/>
    <w:rsid w:val="00045551"/>
    <w:rsid w:val="000458C5"/>
    <w:rsid w:val="00045911"/>
    <w:rsid w:val="00045E73"/>
    <w:rsid w:val="000460CA"/>
    <w:rsid w:val="00046962"/>
    <w:rsid w:val="00047785"/>
    <w:rsid w:val="000506DB"/>
    <w:rsid w:val="000509B2"/>
    <w:rsid w:val="00050CF6"/>
    <w:rsid w:val="00051324"/>
    <w:rsid w:val="000519B5"/>
    <w:rsid w:val="00052468"/>
    <w:rsid w:val="00052D75"/>
    <w:rsid w:val="00052FFA"/>
    <w:rsid w:val="000550E9"/>
    <w:rsid w:val="00055623"/>
    <w:rsid w:val="00055A3E"/>
    <w:rsid w:val="00055B5F"/>
    <w:rsid w:val="00056646"/>
    <w:rsid w:val="00057D94"/>
    <w:rsid w:val="000603A3"/>
    <w:rsid w:val="0006109C"/>
    <w:rsid w:val="000613A8"/>
    <w:rsid w:val="00061888"/>
    <w:rsid w:val="00063D15"/>
    <w:rsid w:val="00063E1C"/>
    <w:rsid w:val="00064136"/>
    <w:rsid w:val="00064894"/>
    <w:rsid w:val="000658EB"/>
    <w:rsid w:val="00065A18"/>
    <w:rsid w:val="00065F0E"/>
    <w:rsid w:val="0006697D"/>
    <w:rsid w:val="00066A76"/>
    <w:rsid w:val="00066AE5"/>
    <w:rsid w:val="00067992"/>
    <w:rsid w:val="0007092B"/>
    <w:rsid w:val="00071372"/>
    <w:rsid w:val="0007219D"/>
    <w:rsid w:val="000728F9"/>
    <w:rsid w:val="00072CB2"/>
    <w:rsid w:val="000732CB"/>
    <w:rsid w:val="000740B8"/>
    <w:rsid w:val="00074262"/>
    <w:rsid w:val="00074274"/>
    <w:rsid w:val="00074580"/>
    <w:rsid w:val="000749FD"/>
    <w:rsid w:val="0007550D"/>
    <w:rsid w:val="00075FD6"/>
    <w:rsid w:val="00075FFF"/>
    <w:rsid w:val="00076144"/>
    <w:rsid w:val="00076343"/>
    <w:rsid w:val="0007652E"/>
    <w:rsid w:val="00076FCE"/>
    <w:rsid w:val="000777B3"/>
    <w:rsid w:val="000805CB"/>
    <w:rsid w:val="00081D32"/>
    <w:rsid w:val="00081EEF"/>
    <w:rsid w:val="0008220C"/>
    <w:rsid w:val="000826EF"/>
    <w:rsid w:val="00082E1B"/>
    <w:rsid w:val="00084101"/>
    <w:rsid w:val="000842FB"/>
    <w:rsid w:val="000851ED"/>
    <w:rsid w:val="00085ED7"/>
    <w:rsid w:val="000861D6"/>
    <w:rsid w:val="0008709F"/>
    <w:rsid w:val="00087216"/>
    <w:rsid w:val="000876CC"/>
    <w:rsid w:val="000878DB"/>
    <w:rsid w:val="00090183"/>
    <w:rsid w:val="00090C86"/>
    <w:rsid w:val="000917D1"/>
    <w:rsid w:val="00092F02"/>
    <w:rsid w:val="00093996"/>
    <w:rsid w:val="00093FE1"/>
    <w:rsid w:val="00094084"/>
    <w:rsid w:val="00094193"/>
    <w:rsid w:val="00094355"/>
    <w:rsid w:val="000950BB"/>
    <w:rsid w:val="00095521"/>
    <w:rsid w:val="00096209"/>
    <w:rsid w:val="000971B5"/>
    <w:rsid w:val="000979D4"/>
    <w:rsid w:val="000A01C2"/>
    <w:rsid w:val="000A06B5"/>
    <w:rsid w:val="000A08F0"/>
    <w:rsid w:val="000A0A6B"/>
    <w:rsid w:val="000A0C77"/>
    <w:rsid w:val="000A13F2"/>
    <w:rsid w:val="000A1613"/>
    <w:rsid w:val="000A18F9"/>
    <w:rsid w:val="000A1BE6"/>
    <w:rsid w:val="000A4744"/>
    <w:rsid w:val="000A4F3F"/>
    <w:rsid w:val="000A4FA3"/>
    <w:rsid w:val="000A6F8A"/>
    <w:rsid w:val="000A718D"/>
    <w:rsid w:val="000A78BD"/>
    <w:rsid w:val="000A7DED"/>
    <w:rsid w:val="000B0210"/>
    <w:rsid w:val="000B0B08"/>
    <w:rsid w:val="000B12E3"/>
    <w:rsid w:val="000B1971"/>
    <w:rsid w:val="000B1E0D"/>
    <w:rsid w:val="000B1F90"/>
    <w:rsid w:val="000B297E"/>
    <w:rsid w:val="000B5089"/>
    <w:rsid w:val="000B531C"/>
    <w:rsid w:val="000B544B"/>
    <w:rsid w:val="000B599B"/>
    <w:rsid w:val="000B6883"/>
    <w:rsid w:val="000B6C4C"/>
    <w:rsid w:val="000B710E"/>
    <w:rsid w:val="000B75DD"/>
    <w:rsid w:val="000C0E0E"/>
    <w:rsid w:val="000C2070"/>
    <w:rsid w:val="000C213E"/>
    <w:rsid w:val="000C35F6"/>
    <w:rsid w:val="000C3C6F"/>
    <w:rsid w:val="000C459A"/>
    <w:rsid w:val="000C5F40"/>
    <w:rsid w:val="000C69AD"/>
    <w:rsid w:val="000C7089"/>
    <w:rsid w:val="000C7A35"/>
    <w:rsid w:val="000D0D98"/>
    <w:rsid w:val="000D1091"/>
    <w:rsid w:val="000D1767"/>
    <w:rsid w:val="000D2A6B"/>
    <w:rsid w:val="000D380B"/>
    <w:rsid w:val="000D383A"/>
    <w:rsid w:val="000D3DCC"/>
    <w:rsid w:val="000D43BE"/>
    <w:rsid w:val="000D470D"/>
    <w:rsid w:val="000D476B"/>
    <w:rsid w:val="000D48F9"/>
    <w:rsid w:val="000D520C"/>
    <w:rsid w:val="000D5D86"/>
    <w:rsid w:val="000D5EDA"/>
    <w:rsid w:val="000D6CEF"/>
    <w:rsid w:val="000D7333"/>
    <w:rsid w:val="000D74EC"/>
    <w:rsid w:val="000D7FD2"/>
    <w:rsid w:val="000E007A"/>
    <w:rsid w:val="000E01F7"/>
    <w:rsid w:val="000E0269"/>
    <w:rsid w:val="000E0582"/>
    <w:rsid w:val="000E0764"/>
    <w:rsid w:val="000E0FA7"/>
    <w:rsid w:val="000E124B"/>
    <w:rsid w:val="000E22AE"/>
    <w:rsid w:val="000E285A"/>
    <w:rsid w:val="000E35F4"/>
    <w:rsid w:val="000E3872"/>
    <w:rsid w:val="000E3C3B"/>
    <w:rsid w:val="000E4883"/>
    <w:rsid w:val="000E5496"/>
    <w:rsid w:val="000E5876"/>
    <w:rsid w:val="000E6231"/>
    <w:rsid w:val="000E6DF4"/>
    <w:rsid w:val="000E75E1"/>
    <w:rsid w:val="000E7645"/>
    <w:rsid w:val="000E7975"/>
    <w:rsid w:val="000E7C57"/>
    <w:rsid w:val="000F01E0"/>
    <w:rsid w:val="000F0263"/>
    <w:rsid w:val="000F0EA5"/>
    <w:rsid w:val="000F1E22"/>
    <w:rsid w:val="000F23A5"/>
    <w:rsid w:val="000F2AEE"/>
    <w:rsid w:val="000F3544"/>
    <w:rsid w:val="000F415F"/>
    <w:rsid w:val="000F45BD"/>
    <w:rsid w:val="000F461C"/>
    <w:rsid w:val="000F46D2"/>
    <w:rsid w:val="000F501F"/>
    <w:rsid w:val="000F50A2"/>
    <w:rsid w:val="000F50C8"/>
    <w:rsid w:val="000F51C8"/>
    <w:rsid w:val="000F52E6"/>
    <w:rsid w:val="000F5F90"/>
    <w:rsid w:val="000F7411"/>
    <w:rsid w:val="000F7DAE"/>
    <w:rsid w:val="00100BCA"/>
    <w:rsid w:val="0010174E"/>
    <w:rsid w:val="00101D54"/>
    <w:rsid w:val="00102F7E"/>
    <w:rsid w:val="00103308"/>
    <w:rsid w:val="00103F79"/>
    <w:rsid w:val="00104159"/>
    <w:rsid w:val="00105BF5"/>
    <w:rsid w:val="00105E00"/>
    <w:rsid w:val="00105F1D"/>
    <w:rsid w:val="00106B30"/>
    <w:rsid w:val="00107104"/>
    <w:rsid w:val="00107493"/>
    <w:rsid w:val="00107BD9"/>
    <w:rsid w:val="0011210B"/>
    <w:rsid w:val="00112874"/>
    <w:rsid w:val="00112B0F"/>
    <w:rsid w:val="0011373B"/>
    <w:rsid w:val="00114402"/>
    <w:rsid w:val="00115130"/>
    <w:rsid w:val="001155F9"/>
    <w:rsid w:val="00115D05"/>
    <w:rsid w:val="00115FB0"/>
    <w:rsid w:val="00116C7B"/>
    <w:rsid w:val="0011729D"/>
    <w:rsid w:val="001172E7"/>
    <w:rsid w:val="00117A81"/>
    <w:rsid w:val="00117E2C"/>
    <w:rsid w:val="00120481"/>
    <w:rsid w:val="001212C2"/>
    <w:rsid w:val="00121D4A"/>
    <w:rsid w:val="00121D60"/>
    <w:rsid w:val="00121DD2"/>
    <w:rsid w:val="00122DEA"/>
    <w:rsid w:val="0012301B"/>
    <w:rsid w:val="00123544"/>
    <w:rsid w:val="00123EC1"/>
    <w:rsid w:val="001248B9"/>
    <w:rsid w:val="00124CAA"/>
    <w:rsid w:val="00124D07"/>
    <w:rsid w:val="001251FA"/>
    <w:rsid w:val="00126313"/>
    <w:rsid w:val="00126693"/>
    <w:rsid w:val="001274B0"/>
    <w:rsid w:val="00127A3B"/>
    <w:rsid w:val="00127ADA"/>
    <w:rsid w:val="00130039"/>
    <w:rsid w:val="00130A5C"/>
    <w:rsid w:val="00130A80"/>
    <w:rsid w:val="00130E3F"/>
    <w:rsid w:val="00130FC1"/>
    <w:rsid w:val="00131318"/>
    <w:rsid w:val="0013169F"/>
    <w:rsid w:val="0013185F"/>
    <w:rsid w:val="001318EC"/>
    <w:rsid w:val="001324BC"/>
    <w:rsid w:val="0013263B"/>
    <w:rsid w:val="0013296C"/>
    <w:rsid w:val="0013363F"/>
    <w:rsid w:val="00134BFA"/>
    <w:rsid w:val="00135DD1"/>
    <w:rsid w:val="00135F8A"/>
    <w:rsid w:val="00137474"/>
    <w:rsid w:val="00137993"/>
    <w:rsid w:val="00140308"/>
    <w:rsid w:val="00141235"/>
    <w:rsid w:val="0014343B"/>
    <w:rsid w:val="00143548"/>
    <w:rsid w:val="00143873"/>
    <w:rsid w:val="00143B1D"/>
    <w:rsid w:val="00144359"/>
    <w:rsid w:val="001450D4"/>
    <w:rsid w:val="0014531B"/>
    <w:rsid w:val="00146C68"/>
    <w:rsid w:val="0014737F"/>
    <w:rsid w:val="00150526"/>
    <w:rsid w:val="00150E8C"/>
    <w:rsid w:val="00151710"/>
    <w:rsid w:val="00151890"/>
    <w:rsid w:val="00151C0A"/>
    <w:rsid w:val="00151E19"/>
    <w:rsid w:val="001520DA"/>
    <w:rsid w:val="00152175"/>
    <w:rsid w:val="00153381"/>
    <w:rsid w:val="00153DA6"/>
    <w:rsid w:val="00153E8D"/>
    <w:rsid w:val="00153F8F"/>
    <w:rsid w:val="00154271"/>
    <w:rsid w:val="00154722"/>
    <w:rsid w:val="001550A1"/>
    <w:rsid w:val="0015535F"/>
    <w:rsid w:val="00155EDA"/>
    <w:rsid w:val="00156581"/>
    <w:rsid w:val="00162263"/>
    <w:rsid w:val="001623B6"/>
    <w:rsid w:val="001624A6"/>
    <w:rsid w:val="00162BB6"/>
    <w:rsid w:val="00162E07"/>
    <w:rsid w:val="00163290"/>
    <w:rsid w:val="001632EC"/>
    <w:rsid w:val="0016372F"/>
    <w:rsid w:val="00163854"/>
    <w:rsid w:val="001648F1"/>
    <w:rsid w:val="0016528B"/>
    <w:rsid w:val="001652DA"/>
    <w:rsid w:val="0016597F"/>
    <w:rsid w:val="0016609E"/>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6B5"/>
    <w:rsid w:val="00177D81"/>
    <w:rsid w:val="0018006C"/>
    <w:rsid w:val="00180D82"/>
    <w:rsid w:val="00182093"/>
    <w:rsid w:val="001838F7"/>
    <w:rsid w:val="00184831"/>
    <w:rsid w:val="00185FB2"/>
    <w:rsid w:val="00186927"/>
    <w:rsid w:val="001869F9"/>
    <w:rsid w:val="001876C0"/>
    <w:rsid w:val="00187958"/>
    <w:rsid w:val="0019027A"/>
    <w:rsid w:val="0019028A"/>
    <w:rsid w:val="0019167B"/>
    <w:rsid w:val="00191C9B"/>
    <w:rsid w:val="001920B5"/>
    <w:rsid w:val="001928A2"/>
    <w:rsid w:val="00192C94"/>
    <w:rsid w:val="0019507A"/>
    <w:rsid w:val="001953DA"/>
    <w:rsid w:val="001958F7"/>
    <w:rsid w:val="001960EE"/>
    <w:rsid w:val="001966F5"/>
    <w:rsid w:val="00196961"/>
    <w:rsid w:val="0019771E"/>
    <w:rsid w:val="001A0BA6"/>
    <w:rsid w:val="001A1808"/>
    <w:rsid w:val="001A1EF3"/>
    <w:rsid w:val="001A253A"/>
    <w:rsid w:val="001A272B"/>
    <w:rsid w:val="001A28FC"/>
    <w:rsid w:val="001A2965"/>
    <w:rsid w:val="001A3BD5"/>
    <w:rsid w:val="001A3BF6"/>
    <w:rsid w:val="001A410D"/>
    <w:rsid w:val="001A433C"/>
    <w:rsid w:val="001A462A"/>
    <w:rsid w:val="001A4EB7"/>
    <w:rsid w:val="001A6A0C"/>
    <w:rsid w:val="001A6A14"/>
    <w:rsid w:val="001A6BD4"/>
    <w:rsid w:val="001A6C53"/>
    <w:rsid w:val="001A7031"/>
    <w:rsid w:val="001A7064"/>
    <w:rsid w:val="001A73CD"/>
    <w:rsid w:val="001A7E39"/>
    <w:rsid w:val="001A7EDD"/>
    <w:rsid w:val="001B0475"/>
    <w:rsid w:val="001B1848"/>
    <w:rsid w:val="001B1E6E"/>
    <w:rsid w:val="001B2A8A"/>
    <w:rsid w:val="001B2A98"/>
    <w:rsid w:val="001B2DE1"/>
    <w:rsid w:val="001B4D9F"/>
    <w:rsid w:val="001B4DBE"/>
    <w:rsid w:val="001B52E2"/>
    <w:rsid w:val="001B5DE4"/>
    <w:rsid w:val="001B5ECD"/>
    <w:rsid w:val="001C0244"/>
    <w:rsid w:val="001C18A0"/>
    <w:rsid w:val="001C1CD8"/>
    <w:rsid w:val="001C1DA1"/>
    <w:rsid w:val="001C2554"/>
    <w:rsid w:val="001C27CC"/>
    <w:rsid w:val="001C2933"/>
    <w:rsid w:val="001C2D37"/>
    <w:rsid w:val="001C3981"/>
    <w:rsid w:val="001C3A12"/>
    <w:rsid w:val="001C3C9A"/>
    <w:rsid w:val="001C3E1E"/>
    <w:rsid w:val="001C4360"/>
    <w:rsid w:val="001C44D7"/>
    <w:rsid w:val="001C44FF"/>
    <w:rsid w:val="001C5EF8"/>
    <w:rsid w:val="001C6120"/>
    <w:rsid w:val="001C70A3"/>
    <w:rsid w:val="001C7B31"/>
    <w:rsid w:val="001D0B37"/>
    <w:rsid w:val="001D2F20"/>
    <w:rsid w:val="001D3050"/>
    <w:rsid w:val="001D3CAC"/>
    <w:rsid w:val="001D6158"/>
    <w:rsid w:val="001D62D6"/>
    <w:rsid w:val="001D6915"/>
    <w:rsid w:val="001D6F21"/>
    <w:rsid w:val="001D75BA"/>
    <w:rsid w:val="001E00F5"/>
    <w:rsid w:val="001E11B1"/>
    <w:rsid w:val="001E197D"/>
    <w:rsid w:val="001E19B2"/>
    <w:rsid w:val="001E31CE"/>
    <w:rsid w:val="001E349B"/>
    <w:rsid w:val="001E3599"/>
    <w:rsid w:val="001E3A20"/>
    <w:rsid w:val="001E5224"/>
    <w:rsid w:val="001E6D2C"/>
    <w:rsid w:val="001E700E"/>
    <w:rsid w:val="001E7106"/>
    <w:rsid w:val="001E73FB"/>
    <w:rsid w:val="001E7A0C"/>
    <w:rsid w:val="001E7D0A"/>
    <w:rsid w:val="001E7DAC"/>
    <w:rsid w:val="001F017D"/>
    <w:rsid w:val="001F0B51"/>
    <w:rsid w:val="001F0E9C"/>
    <w:rsid w:val="001F1078"/>
    <w:rsid w:val="001F1B72"/>
    <w:rsid w:val="001F1D88"/>
    <w:rsid w:val="001F2E5D"/>
    <w:rsid w:val="001F4750"/>
    <w:rsid w:val="001F528A"/>
    <w:rsid w:val="001F56EC"/>
    <w:rsid w:val="001F5B72"/>
    <w:rsid w:val="001F5F18"/>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4BEF"/>
    <w:rsid w:val="002056F8"/>
    <w:rsid w:val="00205C93"/>
    <w:rsid w:val="00206D72"/>
    <w:rsid w:val="0020767E"/>
    <w:rsid w:val="00210F6C"/>
    <w:rsid w:val="0021316F"/>
    <w:rsid w:val="002133BD"/>
    <w:rsid w:val="00213844"/>
    <w:rsid w:val="00213CEC"/>
    <w:rsid w:val="0021490C"/>
    <w:rsid w:val="0021575F"/>
    <w:rsid w:val="002166B8"/>
    <w:rsid w:val="00216CD0"/>
    <w:rsid w:val="00217612"/>
    <w:rsid w:val="002177A7"/>
    <w:rsid w:val="00220742"/>
    <w:rsid w:val="00221908"/>
    <w:rsid w:val="00222A33"/>
    <w:rsid w:val="00222E46"/>
    <w:rsid w:val="00223250"/>
    <w:rsid w:val="00223284"/>
    <w:rsid w:val="00223617"/>
    <w:rsid w:val="00223721"/>
    <w:rsid w:val="0022400D"/>
    <w:rsid w:val="002246D7"/>
    <w:rsid w:val="00225062"/>
    <w:rsid w:val="00225DD2"/>
    <w:rsid w:val="0022643D"/>
    <w:rsid w:val="00226A1A"/>
    <w:rsid w:val="00226AC5"/>
    <w:rsid w:val="00227DF9"/>
    <w:rsid w:val="00227EA0"/>
    <w:rsid w:val="00227F83"/>
    <w:rsid w:val="00230192"/>
    <w:rsid w:val="00230DE7"/>
    <w:rsid w:val="00231DE5"/>
    <w:rsid w:val="00232173"/>
    <w:rsid w:val="00232902"/>
    <w:rsid w:val="00232D7D"/>
    <w:rsid w:val="0023365D"/>
    <w:rsid w:val="00234136"/>
    <w:rsid w:val="002362E6"/>
    <w:rsid w:val="00236652"/>
    <w:rsid w:val="002375BA"/>
    <w:rsid w:val="002403F6"/>
    <w:rsid w:val="0024045B"/>
    <w:rsid w:val="00240734"/>
    <w:rsid w:val="0024138C"/>
    <w:rsid w:val="00241868"/>
    <w:rsid w:val="00243200"/>
    <w:rsid w:val="002432FA"/>
    <w:rsid w:val="002439CE"/>
    <w:rsid w:val="00245113"/>
    <w:rsid w:val="00245BA0"/>
    <w:rsid w:val="00246B19"/>
    <w:rsid w:val="00246E31"/>
    <w:rsid w:val="00247038"/>
    <w:rsid w:val="00247997"/>
    <w:rsid w:val="00250871"/>
    <w:rsid w:val="00250EEF"/>
    <w:rsid w:val="0025268A"/>
    <w:rsid w:val="00252AD1"/>
    <w:rsid w:val="00252DDE"/>
    <w:rsid w:val="00253336"/>
    <w:rsid w:val="00253D39"/>
    <w:rsid w:val="002547BA"/>
    <w:rsid w:val="00254CFC"/>
    <w:rsid w:val="002554F7"/>
    <w:rsid w:val="00255974"/>
    <w:rsid w:val="0025615C"/>
    <w:rsid w:val="002561C5"/>
    <w:rsid w:val="00256216"/>
    <w:rsid w:val="00256810"/>
    <w:rsid w:val="00256AF5"/>
    <w:rsid w:val="002609B8"/>
    <w:rsid w:val="00261A12"/>
    <w:rsid w:val="00261F96"/>
    <w:rsid w:val="002624CD"/>
    <w:rsid w:val="00262B0C"/>
    <w:rsid w:val="002633DF"/>
    <w:rsid w:val="002634A2"/>
    <w:rsid w:val="00264338"/>
    <w:rsid w:val="0026462F"/>
    <w:rsid w:val="00264853"/>
    <w:rsid w:val="002652EA"/>
    <w:rsid w:val="00265908"/>
    <w:rsid w:val="00266F27"/>
    <w:rsid w:val="00267054"/>
    <w:rsid w:val="002675F5"/>
    <w:rsid w:val="0026779F"/>
    <w:rsid w:val="002679A8"/>
    <w:rsid w:val="00267BD9"/>
    <w:rsid w:val="00267D49"/>
    <w:rsid w:val="00267E5C"/>
    <w:rsid w:val="00270E51"/>
    <w:rsid w:val="002714E6"/>
    <w:rsid w:val="00271F56"/>
    <w:rsid w:val="00272126"/>
    <w:rsid w:val="00272DDC"/>
    <w:rsid w:val="0027360A"/>
    <w:rsid w:val="00273C9C"/>
    <w:rsid w:val="00273E72"/>
    <w:rsid w:val="00274781"/>
    <w:rsid w:val="00274B3E"/>
    <w:rsid w:val="00274CA0"/>
    <w:rsid w:val="00275369"/>
    <w:rsid w:val="00277406"/>
    <w:rsid w:val="00277ACD"/>
    <w:rsid w:val="00280626"/>
    <w:rsid w:val="00280E7B"/>
    <w:rsid w:val="00280EB7"/>
    <w:rsid w:val="00281A01"/>
    <w:rsid w:val="00282B6B"/>
    <w:rsid w:val="002838DA"/>
    <w:rsid w:val="00283FA2"/>
    <w:rsid w:val="00284EFA"/>
    <w:rsid w:val="002852B8"/>
    <w:rsid w:val="00285779"/>
    <w:rsid w:val="00285AAC"/>
    <w:rsid w:val="00285D20"/>
    <w:rsid w:val="00285DB9"/>
    <w:rsid w:val="002869C4"/>
    <w:rsid w:val="00286EC9"/>
    <w:rsid w:val="002873E8"/>
    <w:rsid w:val="002876A5"/>
    <w:rsid w:val="00287FF2"/>
    <w:rsid w:val="002901BA"/>
    <w:rsid w:val="00290EA4"/>
    <w:rsid w:val="002928D1"/>
    <w:rsid w:val="00292C44"/>
    <w:rsid w:val="00292DC5"/>
    <w:rsid w:val="00293120"/>
    <w:rsid w:val="002935A2"/>
    <w:rsid w:val="0029399B"/>
    <w:rsid w:val="00293AFA"/>
    <w:rsid w:val="00293D94"/>
    <w:rsid w:val="002957BF"/>
    <w:rsid w:val="0029593E"/>
    <w:rsid w:val="002964BA"/>
    <w:rsid w:val="002973DF"/>
    <w:rsid w:val="002974DC"/>
    <w:rsid w:val="0029753D"/>
    <w:rsid w:val="002A14E0"/>
    <w:rsid w:val="002A2130"/>
    <w:rsid w:val="002A2271"/>
    <w:rsid w:val="002A3932"/>
    <w:rsid w:val="002A3AB1"/>
    <w:rsid w:val="002A4218"/>
    <w:rsid w:val="002A48A3"/>
    <w:rsid w:val="002A4CF0"/>
    <w:rsid w:val="002A5492"/>
    <w:rsid w:val="002A54B9"/>
    <w:rsid w:val="002A5E7B"/>
    <w:rsid w:val="002A609D"/>
    <w:rsid w:val="002A6185"/>
    <w:rsid w:val="002A678C"/>
    <w:rsid w:val="002A6C71"/>
    <w:rsid w:val="002A7B3F"/>
    <w:rsid w:val="002A7E3B"/>
    <w:rsid w:val="002B1787"/>
    <w:rsid w:val="002B389B"/>
    <w:rsid w:val="002B3D1D"/>
    <w:rsid w:val="002B3DF1"/>
    <w:rsid w:val="002B47C6"/>
    <w:rsid w:val="002B5116"/>
    <w:rsid w:val="002B53C3"/>
    <w:rsid w:val="002B548B"/>
    <w:rsid w:val="002B56B3"/>
    <w:rsid w:val="002C0955"/>
    <w:rsid w:val="002C0E1C"/>
    <w:rsid w:val="002C15C0"/>
    <w:rsid w:val="002C1776"/>
    <w:rsid w:val="002C26E3"/>
    <w:rsid w:val="002C2BA6"/>
    <w:rsid w:val="002C30DE"/>
    <w:rsid w:val="002C3E78"/>
    <w:rsid w:val="002C403A"/>
    <w:rsid w:val="002C4F37"/>
    <w:rsid w:val="002C5120"/>
    <w:rsid w:val="002C519E"/>
    <w:rsid w:val="002C6655"/>
    <w:rsid w:val="002C6D29"/>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32B"/>
    <w:rsid w:val="002D5459"/>
    <w:rsid w:val="002D64F1"/>
    <w:rsid w:val="002D731F"/>
    <w:rsid w:val="002D74DC"/>
    <w:rsid w:val="002D79EE"/>
    <w:rsid w:val="002E04FA"/>
    <w:rsid w:val="002E098B"/>
    <w:rsid w:val="002E19A7"/>
    <w:rsid w:val="002E19D3"/>
    <w:rsid w:val="002E1A93"/>
    <w:rsid w:val="002E1B4E"/>
    <w:rsid w:val="002E3375"/>
    <w:rsid w:val="002E47ED"/>
    <w:rsid w:val="002E4A5E"/>
    <w:rsid w:val="002E588A"/>
    <w:rsid w:val="002E6DE5"/>
    <w:rsid w:val="002F028F"/>
    <w:rsid w:val="002F0973"/>
    <w:rsid w:val="002F0B35"/>
    <w:rsid w:val="002F0D1C"/>
    <w:rsid w:val="002F1C7E"/>
    <w:rsid w:val="002F3676"/>
    <w:rsid w:val="002F5E58"/>
    <w:rsid w:val="002F645C"/>
    <w:rsid w:val="002F6B14"/>
    <w:rsid w:val="002F7734"/>
    <w:rsid w:val="002F7AFB"/>
    <w:rsid w:val="00300758"/>
    <w:rsid w:val="00301550"/>
    <w:rsid w:val="00301D87"/>
    <w:rsid w:val="00302476"/>
    <w:rsid w:val="0030298B"/>
    <w:rsid w:val="00303159"/>
    <w:rsid w:val="0030374F"/>
    <w:rsid w:val="00304578"/>
    <w:rsid w:val="003055B2"/>
    <w:rsid w:val="003057FD"/>
    <w:rsid w:val="003066F3"/>
    <w:rsid w:val="00306F3B"/>
    <w:rsid w:val="00307545"/>
    <w:rsid w:val="003075BA"/>
    <w:rsid w:val="0030772B"/>
    <w:rsid w:val="00307D1E"/>
    <w:rsid w:val="0031051E"/>
    <w:rsid w:val="003107D8"/>
    <w:rsid w:val="00311738"/>
    <w:rsid w:val="00311DA2"/>
    <w:rsid w:val="00311ECD"/>
    <w:rsid w:val="003127A4"/>
    <w:rsid w:val="0031321C"/>
    <w:rsid w:val="00313295"/>
    <w:rsid w:val="00313F35"/>
    <w:rsid w:val="003149AB"/>
    <w:rsid w:val="00314A49"/>
    <w:rsid w:val="00314D72"/>
    <w:rsid w:val="00314F05"/>
    <w:rsid w:val="003151EA"/>
    <w:rsid w:val="00315C31"/>
    <w:rsid w:val="00315F58"/>
    <w:rsid w:val="00316881"/>
    <w:rsid w:val="00316ED1"/>
    <w:rsid w:val="00317467"/>
    <w:rsid w:val="0031794D"/>
    <w:rsid w:val="00320EF9"/>
    <w:rsid w:val="00321F1A"/>
    <w:rsid w:val="003226C7"/>
    <w:rsid w:val="00322AD6"/>
    <w:rsid w:val="0032459B"/>
    <w:rsid w:val="003246C9"/>
    <w:rsid w:val="003249EC"/>
    <w:rsid w:val="00324B57"/>
    <w:rsid w:val="00324C2D"/>
    <w:rsid w:val="00324D69"/>
    <w:rsid w:val="00324E8F"/>
    <w:rsid w:val="003257FD"/>
    <w:rsid w:val="0032598F"/>
    <w:rsid w:val="0032606A"/>
    <w:rsid w:val="00326389"/>
    <w:rsid w:val="003279E9"/>
    <w:rsid w:val="00330B22"/>
    <w:rsid w:val="00331602"/>
    <w:rsid w:val="00331847"/>
    <w:rsid w:val="00331885"/>
    <w:rsid w:val="00331985"/>
    <w:rsid w:val="003319DD"/>
    <w:rsid w:val="00332DC9"/>
    <w:rsid w:val="00333DB3"/>
    <w:rsid w:val="0033458B"/>
    <w:rsid w:val="0033524A"/>
    <w:rsid w:val="003356A1"/>
    <w:rsid w:val="00336BF4"/>
    <w:rsid w:val="00337357"/>
    <w:rsid w:val="0033758D"/>
    <w:rsid w:val="00337B04"/>
    <w:rsid w:val="00341DC5"/>
    <w:rsid w:val="003435C2"/>
    <w:rsid w:val="003436D0"/>
    <w:rsid w:val="003436EC"/>
    <w:rsid w:val="00343A19"/>
    <w:rsid w:val="00344390"/>
    <w:rsid w:val="00347F37"/>
    <w:rsid w:val="00347FE2"/>
    <w:rsid w:val="00350630"/>
    <w:rsid w:val="00350C04"/>
    <w:rsid w:val="00350EB2"/>
    <w:rsid w:val="003515BA"/>
    <w:rsid w:val="00351617"/>
    <w:rsid w:val="00351BF4"/>
    <w:rsid w:val="00351E77"/>
    <w:rsid w:val="003526AD"/>
    <w:rsid w:val="00352908"/>
    <w:rsid w:val="003534D5"/>
    <w:rsid w:val="00353AD8"/>
    <w:rsid w:val="00354842"/>
    <w:rsid w:val="00354B0D"/>
    <w:rsid w:val="00355AEE"/>
    <w:rsid w:val="00355E8E"/>
    <w:rsid w:val="0035698D"/>
    <w:rsid w:val="00356A5D"/>
    <w:rsid w:val="00356C28"/>
    <w:rsid w:val="00357684"/>
    <w:rsid w:val="00357B78"/>
    <w:rsid w:val="00357C2A"/>
    <w:rsid w:val="00357DCF"/>
    <w:rsid w:val="00360BF4"/>
    <w:rsid w:val="00361584"/>
    <w:rsid w:val="00361716"/>
    <w:rsid w:val="00361A69"/>
    <w:rsid w:val="00362FD4"/>
    <w:rsid w:val="0036351D"/>
    <w:rsid w:val="003639E2"/>
    <w:rsid w:val="00363A0C"/>
    <w:rsid w:val="00363E3B"/>
    <w:rsid w:val="0036420A"/>
    <w:rsid w:val="00364537"/>
    <w:rsid w:val="003647B6"/>
    <w:rsid w:val="0036503E"/>
    <w:rsid w:val="003663E2"/>
    <w:rsid w:val="003668EF"/>
    <w:rsid w:val="003674E8"/>
    <w:rsid w:val="00367C10"/>
    <w:rsid w:val="003715E6"/>
    <w:rsid w:val="00373399"/>
    <w:rsid w:val="003736B9"/>
    <w:rsid w:val="00373BDE"/>
    <w:rsid w:val="0037449F"/>
    <w:rsid w:val="00374CA4"/>
    <w:rsid w:val="003754B9"/>
    <w:rsid w:val="00375798"/>
    <w:rsid w:val="0037610D"/>
    <w:rsid w:val="00377275"/>
    <w:rsid w:val="003773B6"/>
    <w:rsid w:val="0037748F"/>
    <w:rsid w:val="0038179A"/>
    <w:rsid w:val="00382142"/>
    <w:rsid w:val="00383906"/>
    <w:rsid w:val="0038399C"/>
    <w:rsid w:val="00383AE1"/>
    <w:rsid w:val="00383C93"/>
    <w:rsid w:val="003846A6"/>
    <w:rsid w:val="00384A66"/>
    <w:rsid w:val="00384C0D"/>
    <w:rsid w:val="00384EE5"/>
    <w:rsid w:val="00385709"/>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265"/>
    <w:rsid w:val="003969F0"/>
    <w:rsid w:val="003975C0"/>
    <w:rsid w:val="00397ECD"/>
    <w:rsid w:val="003A00BC"/>
    <w:rsid w:val="003A0114"/>
    <w:rsid w:val="003A0B2D"/>
    <w:rsid w:val="003A14E5"/>
    <w:rsid w:val="003A1ACF"/>
    <w:rsid w:val="003A2E8C"/>
    <w:rsid w:val="003A3420"/>
    <w:rsid w:val="003A382D"/>
    <w:rsid w:val="003A3D81"/>
    <w:rsid w:val="003A3F6B"/>
    <w:rsid w:val="003A4B56"/>
    <w:rsid w:val="003A5118"/>
    <w:rsid w:val="003A53FE"/>
    <w:rsid w:val="003A5766"/>
    <w:rsid w:val="003A585F"/>
    <w:rsid w:val="003A6101"/>
    <w:rsid w:val="003A70D4"/>
    <w:rsid w:val="003A7A08"/>
    <w:rsid w:val="003A7CC8"/>
    <w:rsid w:val="003A7D61"/>
    <w:rsid w:val="003B063B"/>
    <w:rsid w:val="003B1375"/>
    <w:rsid w:val="003B14B4"/>
    <w:rsid w:val="003B2D9C"/>
    <w:rsid w:val="003B30B2"/>
    <w:rsid w:val="003B3491"/>
    <w:rsid w:val="003B39C9"/>
    <w:rsid w:val="003B431A"/>
    <w:rsid w:val="003B4495"/>
    <w:rsid w:val="003B4648"/>
    <w:rsid w:val="003B51D4"/>
    <w:rsid w:val="003B5ADE"/>
    <w:rsid w:val="003B5B77"/>
    <w:rsid w:val="003B5FFD"/>
    <w:rsid w:val="003B6749"/>
    <w:rsid w:val="003B70B8"/>
    <w:rsid w:val="003B7145"/>
    <w:rsid w:val="003B7921"/>
    <w:rsid w:val="003B79E7"/>
    <w:rsid w:val="003B7E65"/>
    <w:rsid w:val="003C066C"/>
    <w:rsid w:val="003C1084"/>
    <w:rsid w:val="003C126B"/>
    <w:rsid w:val="003C15E8"/>
    <w:rsid w:val="003C1869"/>
    <w:rsid w:val="003C2662"/>
    <w:rsid w:val="003C27A0"/>
    <w:rsid w:val="003C27F1"/>
    <w:rsid w:val="003C3403"/>
    <w:rsid w:val="003C36DD"/>
    <w:rsid w:val="003C3F09"/>
    <w:rsid w:val="003C3F2C"/>
    <w:rsid w:val="003C4974"/>
    <w:rsid w:val="003C49D4"/>
    <w:rsid w:val="003C55F4"/>
    <w:rsid w:val="003C5846"/>
    <w:rsid w:val="003C5B12"/>
    <w:rsid w:val="003C6836"/>
    <w:rsid w:val="003C7735"/>
    <w:rsid w:val="003C78C2"/>
    <w:rsid w:val="003C7E10"/>
    <w:rsid w:val="003C7F9D"/>
    <w:rsid w:val="003D00D4"/>
    <w:rsid w:val="003D02B7"/>
    <w:rsid w:val="003D059B"/>
    <w:rsid w:val="003D209D"/>
    <w:rsid w:val="003D2E73"/>
    <w:rsid w:val="003D3FDB"/>
    <w:rsid w:val="003D457A"/>
    <w:rsid w:val="003D6980"/>
    <w:rsid w:val="003D7346"/>
    <w:rsid w:val="003D7A67"/>
    <w:rsid w:val="003D7E31"/>
    <w:rsid w:val="003E0094"/>
    <w:rsid w:val="003E0158"/>
    <w:rsid w:val="003E0CB8"/>
    <w:rsid w:val="003E1087"/>
    <w:rsid w:val="003E1582"/>
    <w:rsid w:val="003E2D04"/>
    <w:rsid w:val="003E2E32"/>
    <w:rsid w:val="003E3489"/>
    <w:rsid w:val="003E3902"/>
    <w:rsid w:val="003E3BF6"/>
    <w:rsid w:val="003E3C1F"/>
    <w:rsid w:val="003E3D43"/>
    <w:rsid w:val="003E4036"/>
    <w:rsid w:val="003E49C8"/>
    <w:rsid w:val="003E49D2"/>
    <w:rsid w:val="003E569E"/>
    <w:rsid w:val="003E5F24"/>
    <w:rsid w:val="003E61EF"/>
    <w:rsid w:val="003E6AA7"/>
    <w:rsid w:val="003E737C"/>
    <w:rsid w:val="003E7C58"/>
    <w:rsid w:val="003F0D49"/>
    <w:rsid w:val="003F1A9A"/>
    <w:rsid w:val="003F1D06"/>
    <w:rsid w:val="003F2343"/>
    <w:rsid w:val="003F26F4"/>
    <w:rsid w:val="003F301C"/>
    <w:rsid w:val="003F3031"/>
    <w:rsid w:val="003F323F"/>
    <w:rsid w:val="003F34B2"/>
    <w:rsid w:val="003F3D4C"/>
    <w:rsid w:val="003F4EA6"/>
    <w:rsid w:val="003F625D"/>
    <w:rsid w:val="00401266"/>
    <w:rsid w:val="004014CD"/>
    <w:rsid w:val="00401A88"/>
    <w:rsid w:val="00402A9C"/>
    <w:rsid w:val="00402CE7"/>
    <w:rsid w:val="00402FB6"/>
    <w:rsid w:val="00403424"/>
    <w:rsid w:val="00404584"/>
    <w:rsid w:val="004047C6"/>
    <w:rsid w:val="00404B93"/>
    <w:rsid w:val="00405227"/>
    <w:rsid w:val="00405320"/>
    <w:rsid w:val="0040664F"/>
    <w:rsid w:val="0040677B"/>
    <w:rsid w:val="00406AF1"/>
    <w:rsid w:val="004070A2"/>
    <w:rsid w:val="00407677"/>
    <w:rsid w:val="004076D5"/>
    <w:rsid w:val="00407AFD"/>
    <w:rsid w:val="00410BDA"/>
    <w:rsid w:val="0041131A"/>
    <w:rsid w:val="00411387"/>
    <w:rsid w:val="00411649"/>
    <w:rsid w:val="00411782"/>
    <w:rsid w:val="00412105"/>
    <w:rsid w:val="004121A0"/>
    <w:rsid w:val="0041373A"/>
    <w:rsid w:val="00413A83"/>
    <w:rsid w:val="0041460A"/>
    <w:rsid w:val="00414F35"/>
    <w:rsid w:val="00415706"/>
    <w:rsid w:val="00415E03"/>
    <w:rsid w:val="004162DA"/>
    <w:rsid w:val="00416468"/>
    <w:rsid w:val="00417298"/>
    <w:rsid w:val="00417BD6"/>
    <w:rsid w:val="00420570"/>
    <w:rsid w:val="00421346"/>
    <w:rsid w:val="00421631"/>
    <w:rsid w:val="00421932"/>
    <w:rsid w:val="00421ABF"/>
    <w:rsid w:val="00422697"/>
    <w:rsid w:val="004234D9"/>
    <w:rsid w:val="00423CDB"/>
    <w:rsid w:val="004240CD"/>
    <w:rsid w:val="004240ED"/>
    <w:rsid w:val="00424367"/>
    <w:rsid w:val="0042459E"/>
    <w:rsid w:val="00424786"/>
    <w:rsid w:val="004249BE"/>
    <w:rsid w:val="00424CB6"/>
    <w:rsid w:val="00425C56"/>
    <w:rsid w:val="004266E8"/>
    <w:rsid w:val="00426DFB"/>
    <w:rsid w:val="00431D82"/>
    <w:rsid w:val="00431EAD"/>
    <w:rsid w:val="004327CD"/>
    <w:rsid w:val="00433826"/>
    <w:rsid w:val="004339E3"/>
    <w:rsid w:val="0043525E"/>
    <w:rsid w:val="004352B1"/>
    <w:rsid w:val="004358C9"/>
    <w:rsid w:val="004358E7"/>
    <w:rsid w:val="00435BA6"/>
    <w:rsid w:val="00435D68"/>
    <w:rsid w:val="00436A32"/>
    <w:rsid w:val="00436CED"/>
    <w:rsid w:val="00436EB3"/>
    <w:rsid w:val="00436EDB"/>
    <w:rsid w:val="00437D58"/>
    <w:rsid w:val="00441614"/>
    <w:rsid w:val="0044197C"/>
    <w:rsid w:val="004428D1"/>
    <w:rsid w:val="00442E04"/>
    <w:rsid w:val="00443444"/>
    <w:rsid w:val="00443DD7"/>
    <w:rsid w:val="00444B37"/>
    <w:rsid w:val="00444D21"/>
    <w:rsid w:val="00445513"/>
    <w:rsid w:val="0044597E"/>
    <w:rsid w:val="0044608D"/>
    <w:rsid w:val="00446B41"/>
    <w:rsid w:val="00446EF5"/>
    <w:rsid w:val="00447015"/>
    <w:rsid w:val="00447A4D"/>
    <w:rsid w:val="00447DEA"/>
    <w:rsid w:val="0045006A"/>
    <w:rsid w:val="00450362"/>
    <w:rsid w:val="00450395"/>
    <w:rsid w:val="004505F1"/>
    <w:rsid w:val="00450F93"/>
    <w:rsid w:val="0045102C"/>
    <w:rsid w:val="00451239"/>
    <w:rsid w:val="004518AF"/>
    <w:rsid w:val="00451D76"/>
    <w:rsid w:val="00451EF9"/>
    <w:rsid w:val="00451FFA"/>
    <w:rsid w:val="004523B6"/>
    <w:rsid w:val="0045433D"/>
    <w:rsid w:val="00455A87"/>
    <w:rsid w:val="00455D63"/>
    <w:rsid w:val="00455E38"/>
    <w:rsid w:val="00455F99"/>
    <w:rsid w:val="00456053"/>
    <w:rsid w:val="0045661F"/>
    <w:rsid w:val="00456FAD"/>
    <w:rsid w:val="00460630"/>
    <w:rsid w:val="00461029"/>
    <w:rsid w:val="00461396"/>
    <w:rsid w:val="00461C2D"/>
    <w:rsid w:val="0046257A"/>
    <w:rsid w:val="00462DA5"/>
    <w:rsid w:val="004633E0"/>
    <w:rsid w:val="00464A04"/>
    <w:rsid w:val="00465726"/>
    <w:rsid w:val="00465792"/>
    <w:rsid w:val="00465EF1"/>
    <w:rsid w:val="00466170"/>
    <w:rsid w:val="00466D88"/>
    <w:rsid w:val="004675AB"/>
    <w:rsid w:val="00467B47"/>
    <w:rsid w:val="00467C75"/>
    <w:rsid w:val="00470400"/>
    <w:rsid w:val="0047257E"/>
    <w:rsid w:val="00472EB7"/>
    <w:rsid w:val="0047388D"/>
    <w:rsid w:val="00473BA6"/>
    <w:rsid w:val="00473DF1"/>
    <w:rsid w:val="00474671"/>
    <w:rsid w:val="0047586F"/>
    <w:rsid w:val="0047611E"/>
    <w:rsid w:val="004763F9"/>
    <w:rsid w:val="004765EF"/>
    <w:rsid w:val="00476D6A"/>
    <w:rsid w:val="004774E8"/>
    <w:rsid w:val="004801A9"/>
    <w:rsid w:val="004804C0"/>
    <w:rsid w:val="00480FD6"/>
    <w:rsid w:val="004810A6"/>
    <w:rsid w:val="0048189C"/>
    <w:rsid w:val="00483798"/>
    <w:rsid w:val="00484210"/>
    <w:rsid w:val="00485478"/>
    <w:rsid w:val="00485CB4"/>
    <w:rsid w:val="00487AB5"/>
    <w:rsid w:val="00490D01"/>
    <w:rsid w:val="00490D47"/>
    <w:rsid w:val="0049202A"/>
    <w:rsid w:val="00492623"/>
    <w:rsid w:val="00492859"/>
    <w:rsid w:val="00492F3F"/>
    <w:rsid w:val="004937D4"/>
    <w:rsid w:val="004938B3"/>
    <w:rsid w:val="00493BFF"/>
    <w:rsid w:val="00493CAD"/>
    <w:rsid w:val="00494356"/>
    <w:rsid w:val="004945A6"/>
    <w:rsid w:val="00495EDD"/>
    <w:rsid w:val="004962D6"/>
    <w:rsid w:val="00496924"/>
    <w:rsid w:val="00496C05"/>
    <w:rsid w:val="00496DAD"/>
    <w:rsid w:val="00497659"/>
    <w:rsid w:val="00497A3B"/>
    <w:rsid w:val="004A0ECB"/>
    <w:rsid w:val="004A1AF2"/>
    <w:rsid w:val="004A3369"/>
    <w:rsid w:val="004A3EAB"/>
    <w:rsid w:val="004A4331"/>
    <w:rsid w:val="004A457F"/>
    <w:rsid w:val="004A4D88"/>
    <w:rsid w:val="004A5231"/>
    <w:rsid w:val="004A56DF"/>
    <w:rsid w:val="004A641C"/>
    <w:rsid w:val="004A6782"/>
    <w:rsid w:val="004A7132"/>
    <w:rsid w:val="004A74B7"/>
    <w:rsid w:val="004A753E"/>
    <w:rsid w:val="004A7C3F"/>
    <w:rsid w:val="004B0CD0"/>
    <w:rsid w:val="004B1218"/>
    <w:rsid w:val="004B13E3"/>
    <w:rsid w:val="004B2521"/>
    <w:rsid w:val="004B3847"/>
    <w:rsid w:val="004B5212"/>
    <w:rsid w:val="004B53D5"/>
    <w:rsid w:val="004B5417"/>
    <w:rsid w:val="004B5E76"/>
    <w:rsid w:val="004B6180"/>
    <w:rsid w:val="004B6827"/>
    <w:rsid w:val="004C13FC"/>
    <w:rsid w:val="004C175F"/>
    <w:rsid w:val="004C21CA"/>
    <w:rsid w:val="004C3681"/>
    <w:rsid w:val="004C3B08"/>
    <w:rsid w:val="004C3B49"/>
    <w:rsid w:val="004C4067"/>
    <w:rsid w:val="004C55C6"/>
    <w:rsid w:val="004C576F"/>
    <w:rsid w:val="004C662B"/>
    <w:rsid w:val="004C6880"/>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D7F62"/>
    <w:rsid w:val="004E00C0"/>
    <w:rsid w:val="004E0B69"/>
    <w:rsid w:val="004E1A31"/>
    <w:rsid w:val="004E1B53"/>
    <w:rsid w:val="004E27EE"/>
    <w:rsid w:val="004E2C91"/>
    <w:rsid w:val="004E2E45"/>
    <w:rsid w:val="004E2FC3"/>
    <w:rsid w:val="004E34A2"/>
    <w:rsid w:val="004E446A"/>
    <w:rsid w:val="004E4BD5"/>
    <w:rsid w:val="004E4E16"/>
    <w:rsid w:val="004E4E92"/>
    <w:rsid w:val="004E5252"/>
    <w:rsid w:val="004E5B7B"/>
    <w:rsid w:val="004E7093"/>
    <w:rsid w:val="004E7884"/>
    <w:rsid w:val="004F00A0"/>
    <w:rsid w:val="004F0147"/>
    <w:rsid w:val="004F20EE"/>
    <w:rsid w:val="004F28BD"/>
    <w:rsid w:val="004F3335"/>
    <w:rsid w:val="004F3B0B"/>
    <w:rsid w:val="004F3D4E"/>
    <w:rsid w:val="004F3DC5"/>
    <w:rsid w:val="004F44B4"/>
    <w:rsid w:val="004F4775"/>
    <w:rsid w:val="004F4E15"/>
    <w:rsid w:val="004F5726"/>
    <w:rsid w:val="004F5A40"/>
    <w:rsid w:val="004F5FEC"/>
    <w:rsid w:val="004F607D"/>
    <w:rsid w:val="004F621A"/>
    <w:rsid w:val="004F63F1"/>
    <w:rsid w:val="004F6697"/>
    <w:rsid w:val="004F67A3"/>
    <w:rsid w:val="004F681C"/>
    <w:rsid w:val="004F6B67"/>
    <w:rsid w:val="004F6B6E"/>
    <w:rsid w:val="004F6C46"/>
    <w:rsid w:val="004F6DB6"/>
    <w:rsid w:val="004F7548"/>
    <w:rsid w:val="004F7B3E"/>
    <w:rsid w:val="0050079A"/>
    <w:rsid w:val="0050079B"/>
    <w:rsid w:val="00500DE0"/>
    <w:rsid w:val="00501117"/>
    <w:rsid w:val="005019E2"/>
    <w:rsid w:val="00501A1A"/>
    <w:rsid w:val="00501CA8"/>
    <w:rsid w:val="005021DE"/>
    <w:rsid w:val="00502333"/>
    <w:rsid w:val="005033E0"/>
    <w:rsid w:val="00503696"/>
    <w:rsid w:val="0050403B"/>
    <w:rsid w:val="005040E9"/>
    <w:rsid w:val="0050428E"/>
    <w:rsid w:val="00504323"/>
    <w:rsid w:val="005051AE"/>
    <w:rsid w:val="00505406"/>
    <w:rsid w:val="00505B87"/>
    <w:rsid w:val="00505E84"/>
    <w:rsid w:val="005060CE"/>
    <w:rsid w:val="00506957"/>
    <w:rsid w:val="005072FD"/>
    <w:rsid w:val="00507D5E"/>
    <w:rsid w:val="00507DC1"/>
    <w:rsid w:val="00507EF4"/>
    <w:rsid w:val="00510115"/>
    <w:rsid w:val="00510538"/>
    <w:rsid w:val="005107E0"/>
    <w:rsid w:val="00510914"/>
    <w:rsid w:val="005116AE"/>
    <w:rsid w:val="00511BC9"/>
    <w:rsid w:val="00511F17"/>
    <w:rsid w:val="005134AF"/>
    <w:rsid w:val="005134D7"/>
    <w:rsid w:val="00513681"/>
    <w:rsid w:val="00514742"/>
    <w:rsid w:val="00514C74"/>
    <w:rsid w:val="005156D5"/>
    <w:rsid w:val="00515A6F"/>
    <w:rsid w:val="005171CB"/>
    <w:rsid w:val="00520348"/>
    <w:rsid w:val="00520858"/>
    <w:rsid w:val="0052085B"/>
    <w:rsid w:val="00520AA0"/>
    <w:rsid w:val="00521B49"/>
    <w:rsid w:val="00521E62"/>
    <w:rsid w:val="00522CD1"/>
    <w:rsid w:val="00524BED"/>
    <w:rsid w:val="00525101"/>
    <w:rsid w:val="005252D4"/>
    <w:rsid w:val="005258AE"/>
    <w:rsid w:val="00525DC3"/>
    <w:rsid w:val="0052668F"/>
    <w:rsid w:val="00526D80"/>
    <w:rsid w:val="00527C05"/>
    <w:rsid w:val="00527F4E"/>
    <w:rsid w:val="00527F92"/>
    <w:rsid w:val="0053016D"/>
    <w:rsid w:val="00530629"/>
    <w:rsid w:val="00531017"/>
    <w:rsid w:val="0053158C"/>
    <w:rsid w:val="00532591"/>
    <w:rsid w:val="0053296A"/>
    <w:rsid w:val="00532A39"/>
    <w:rsid w:val="00532C56"/>
    <w:rsid w:val="00533945"/>
    <w:rsid w:val="00533A1E"/>
    <w:rsid w:val="00533E96"/>
    <w:rsid w:val="00533F05"/>
    <w:rsid w:val="00534183"/>
    <w:rsid w:val="00534586"/>
    <w:rsid w:val="00535DDD"/>
    <w:rsid w:val="00536215"/>
    <w:rsid w:val="00536A1E"/>
    <w:rsid w:val="00537541"/>
    <w:rsid w:val="0053754B"/>
    <w:rsid w:val="00537A00"/>
    <w:rsid w:val="00537A88"/>
    <w:rsid w:val="00537D0B"/>
    <w:rsid w:val="0054198D"/>
    <w:rsid w:val="00542355"/>
    <w:rsid w:val="005423FE"/>
    <w:rsid w:val="00542F2C"/>
    <w:rsid w:val="00543594"/>
    <w:rsid w:val="00543747"/>
    <w:rsid w:val="00544695"/>
    <w:rsid w:val="00544AF9"/>
    <w:rsid w:val="00545635"/>
    <w:rsid w:val="00545780"/>
    <w:rsid w:val="005457C7"/>
    <w:rsid w:val="00545E23"/>
    <w:rsid w:val="00546413"/>
    <w:rsid w:val="005466BB"/>
    <w:rsid w:val="0054685A"/>
    <w:rsid w:val="00546C30"/>
    <w:rsid w:val="00547922"/>
    <w:rsid w:val="00550070"/>
    <w:rsid w:val="00550866"/>
    <w:rsid w:val="00550A61"/>
    <w:rsid w:val="00551063"/>
    <w:rsid w:val="005524BB"/>
    <w:rsid w:val="00552EE2"/>
    <w:rsid w:val="005533B6"/>
    <w:rsid w:val="00553CCA"/>
    <w:rsid w:val="00553DC5"/>
    <w:rsid w:val="00554760"/>
    <w:rsid w:val="0055583D"/>
    <w:rsid w:val="00555892"/>
    <w:rsid w:val="00557611"/>
    <w:rsid w:val="00557DDC"/>
    <w:rsid w:val="0056018B"/>
    <w:rsid w:val="005608AA"/>
    <w:rsid w:val="00560C20"/>
    <w:rsid w:val="00560CEE"/>
    <w:rsid w:val="00561C42"/>
    <w:rsid w:val="00562155"/>
    <w:rsid w:val="005621B2"/>
    <w:rsid w:val="00562311"/>
    <w:rsid w:val="005625C9"/>
    <w:rsid w:val="00562A88"/>
    <w:rsid w:val="00562B19"/>
    <w:rsid w:val="00563063"/>
    <w:rsid w:val="00563AD8"/>
    <w:rsid w:val="00563B0B"/>
    <w:rsid w:val="00563CF7"/>
    <w:rsid w:val="0056442E"/>
    <w:rsid w:val="00564940"/>
    <w:rsid w:val="00565EA8"/>
    <w:rsid w:val="0056637A"/>
    <w:rsid w:val="00566403"/>
    <w:rsid w:val="005668B9"/>
    <w:rsid w:val="00567496"/>
    <w:rsid w:val="00570F41"/>
    <w:rsid w:val="0057122F"/>
    <w:rsid w:val="005714EC"/>
    <w:rsid w:val="00571F5C"/>
    <w:rsid w:val="00571FD3"/>
    <w:rsid w:val="005727EE"/>
    <w:rsid w:val="005728C6"/>
    <w:rsid w:val="00572ADC"/>
    <w:rsid w:val="00573CE4"/>
    <w:rsid w:val="00574709"/>
    <w:rsid w:val="00574A3A"/>
    <w:rsid w:val="00575D5D"/>
    <w:rsid w:val="005765AF"/>
    <w:rsid w:val="005768AF"/>
    <w:rsid w:val="005807B2"/>
    <w:rsid w:val="0058255E"/>
    <w:rsid w:val="00583F6E"/>
    <w:rsid w:val="00584276"/>
    <w:rsid w:val="00584629"/>
    <w:rsid w:val="005852B1"/>
    <w:rsid w:val="0058540F"/>
    <w:rsid w:val="00585E3E"/>
    <w:rsid w:val="005860A2"/>
    <w:rsid w:val="005861AC"/>
    <w:rsid w:val="005870B1"/>
    <w:rsid w:val="005877E5"/>
    <w:rsid w:val="00587D9E"/>
    <w:rsid w:val="00587E5F"/>
    <w:rsid w:val="005904FB"/>
    <w:rsid w:val="00590C2F"/>
    <w:rsid w:val="00591023"/>
    <w:rsid w:val="0059191C"/>
    <w:rsid w:val="00592C36"/>
    <w:rsid w:val="005935DB"/>
    <w:rsid w:val="0059436D"/>
    <w:rsid w:val="00594794"/>
    <w:rsid w:val="00594B8F"/>
    <w:rsid w:val="00594E2B"/>
    <w:rsid w:val="00595579"/>
    <w:rsid w:val="0059599E"/>
    <w:rsid w:val="0059632B"/>
    <w:rsid w:val="00596F1D"/>
    <w:rsid w:val="005A07A0"/>
    <w:rsid w:val="005A07EC"/>
    <w:rsid w:val="005A0F0F"/>
    <w:rsid w:val="005A139F"/>
    <w:rsid w:val="005A28E2"/>
    <w:rsid w:val="005A3F07"/>
    <w:rsid w:val="005A3FEF"/>
    <w:rsid w:val="005A4911"/>
    <w:rsid w:val="005A4DD3"/>
    <w:rsid w:val="005A54DF"/>
    <w:rsid w:val="005A58B2"/>
    <w:rsid w:val="005A612B"/>
    <w:rsid w:val="005A6971"/>
    <w:rsid w:val="005A718B"/>
    <w:rsid w:val="005A77DF"/>
    <w:rsid w:val="005A77F1"/>
    <w:rsid w:val="005A7EA8"/>
    <w:rsid w:val="005B000A"/>
    <w:rsid w:val="005B056C"/>
    <w:rsid w:val="005B10A7"/>
    <w:rsid w:val="005B132E"/>
    <w:rsid w:val="005B1924"/>
    <w:rsid w:val="005B34CA"/>
    <w:rsid w:val="005B3CA6"/>
    <w:rsid w:val="005B403C"/>
    <w:rsid w:val="005B41DC"/>
    <w:rsid w:val="005B44AB"/>
    <w:rsid w:val="005B4B3D"/>
    <w:rsid w:val="005B514E"/>
    <w:rsid w:val="005B5608"/>
    <w:rsid w:val="005B5A5A"/>
    <w:rsid w:val="005B63D6"/>
    <w:rsid w:val="005B66EB"/>
    <w:rsid w:val="005B6F6A"/>
    <w:rsid w:val="005B737D"/>
    <w:rsid w:val="005B7A7B"/>
    <w:rsid w:val="005B7BA6"/>
    <w:rsid w:val="005B7D2C"/>
    <w:rsid w:val="005B7DEA"/>
    <w:rsid w:val="005C09EC"/>
    <w:rsid w:val="005C15C4"/>
    <w:rsid w:val="005C17B1"/>
    <w:rsid w:val="005C1C91"/>
    <w:rsid w:val="005C274E"/>
    <w:rsid w:val="005C43DB"/>
    <w:rsid w:val="005C446F"/>
    <w:rsid w:val="005C58C1"/>
    <w:rsid w:val="005C5EA3"/>
    <w:rsid w:val="005C7162"/>
    <w:rsid w:val="005C720E"/>
    <w:rsid w:val="005C726E"/>
    <w:rsid w:val="005C77C5"/>
    <w:rsid w:val="005C7FDE"/>
    <w:rsid w:val="005D1506"/>
    <w:rsid w:val="005D287F"/>
    <w:rsid w:val="005D2D3C"/>
    <w:rsid w:val="005D34F8"/>
    <w:rsid w:val="005D35CD"/>
    <w:rsid w:val="005D39A7"/>
    <w:rsid w:val="005D3A6A"/>
    <w:rsid w:val="005D3D00"/>
    <w:rsid w:val="005D3D10"/>
    <w:rsid w:val="005D45C5"/>
    <w:rsid w:val="005D4B34"/>
    <w:rsid w:val="005D5183"/>
    <w:rsid w:val="005D606C"/>
    <w:rsid w:val="005D61AF"/>
    <w:rsid w:val="005D642F"/>
    <w:rsid w:val="005D6549"/>
    <w:rsid w:val="005D6789"/>
    <w:rsid w:val="005D78E1"/>
    <w:rsid w:val="005E0286"/>
    <w:rsid w:val="005E037C"/>
    <w:rsid w:val="005E167A"/>
    <w:rsid w:val="005E1B9D"/>
    <w:rsid w:val="005E23DF"/>
    <w:rsid w:val="005E250D"/>
    <w:rsid w:val="005E2B61"/>
    <w:rsid w:val="005E2B87"/>
    <w:rsid w:val="005E3461"/>
    <w:rsid w:val="005E3725"/>
    <w:rsid w:val="005E45AF"/>
    <w:rsid w:val="005E49CD"/>
    <w:rsid w:val="005E4C52"/>
    <w:rsid w:val="005E51E1"/>
    <w:rsid w:val="005E592A"/>
    <w:rsid w:val="005E5BE0"/>
    <w:rsid w:val="005E5DEA"/>
    <w:rsid w:val="005E60DC"/>
    <w:rsid w:val="005E647B"/>
    <w:rsid w:val="005E6990"/>
    <w:rsid w:val="005E74B1"/>
    <w:rsid w:val="005E79EE"/>
    <w:rsid w:val="005E7B20"/>
    <w:rsid w:val="005E7F70"/>
    <w:rsid w:val="005F124E"/>
    <w:rsid w:val="005F222D"/>
    <w:rsid w:val="005F22EB"/>
    <w:rsid w:val="005F322A"/>
    <w:rsid w:val="005F391D"/>
    <w:rsid w:val="005F3CED"/>
    <w:rsid w:val="005F40C4"/>
    <w:rsid w:val="005F4E99"/>
    <w:rsid w:val="005F6075"/>
    <w:rsid w:val="005F637A"/>
    <w:rsid w:val="005F742A"/>
    <w:rsid w:val="00600CD2"/>
    <w:rsid w:val="00600D1E"/>
    <w:rsid w:val="00601103"/>
    <w:rsid w:val="00602237"/>
    <w:rsid w:val="006028DA"/>
    <w:rsid w:val="00602B58"/>
    <w:rsid w:val="00603BBF"/>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38FC"/>
    <w:rsid w:val="00614345"/>
    <w:rsid w:val="006143BD"/>
    <w:rsid w:val="00614729"/>
    <w:rsid w:val="006148EB"/>
    <w:rsid w:val="00614C39"/>
    <w:rsid w:val="00614C50"/>
    <w:rsid w:val="00614EE9"/>
    <w:rsid w:val="00616073"/>
    <w:rsid w:val="006163CF"/>
    <w:rsid w:val="00616C62"/>
    <w:rsid w:val="00616C9B"/>
    <w:rsid w:val="006175E6"/>
    <w:rsid w:val="0062296C"/>
    <w:rsid w:val="00622ED8"/>
    <w:rsid w:val="00623505"/>
    <w:rsid w:val="0062421D"/>
    <w:rsid w:val="006248B5"/>
    <w:rsid w:val="00624CA0"/>
    <w:rsid w:val="00627124"/>
    <w:rsid w:val="00627147"/>
    <w:rsid w:val="00630A8F"/>
    <w:rsid w:val="0063189C"/>
    <w:rsid w:val="00631AE8"/>
    <w:rsid w:val="006333D9"/>
    <w:rsid w:val="006339B2"/>
    <w:rsid w:val="00634240"/>
    <w:rsid w:val="0063487B"/>
    <w:rsid w:val="006349C5"/>
    <w:rsid w:val="00634D14"/>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588"/>
    <w:rsid w:val="006468A5"/>
    <w:rsid w:val="00647754"/>
    <w:rsid w:val="00650888"/>
    <w:rsid w:val="00651067"/>
    <w:rsid w:val="006511AF"/>
    <w:rsid w:val="006516F5"/>
    <w:rsid w:val="00651B69"/>
    <w:rsid w:val="00651CA7"/>
    <w:rsid w:val="00652ECC"/>
    <w:rsid w:val="00652EFE"/>
    <w:rsid w:val="00652FE5"/>
    <w:rsid w:val="0065307C"/>
    <w:rsid w:val="006534EA"/>
    <w:rsid w:val="00653F5F"/>
    <w:rsid w:val="0065488D"/>
    <w:rsid w:val="006548FB"/>
    <w:rsid w:val="00654E32"/>
    <w:rsid w:val="00654E87"/>
    <w:rsid w:val="00655175"/>
    <w:rsid w:val="00655411"/>
    <w:rsid w:val="006564A5"/>
    <w:rsid w:val="006567C2"/>
    <w:rsid w:val="00656CB3"/>
    <w:rsid w:val="00660337"/>
    <w:rsid w:val="00660874"/>
    <w:rsid w:val="00660D2C"/>
    <w:rsid w:val="00661251"/>
    <w:rsid w:val="006615F4"/>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67B98"/>
    <w:rsid w:val="00670A27"/>
    <w:rsid w:val="00671438"/>
    <w:rsid w:val="006719E1"/>
    <w:rsid w:val="00671AA4"/>
    <w:rsid w:val="00673439"/>
    <w:rsid w:val="00673B32"/>
    <w:rsid w:val="00674FC9"/>
    <w:rsid w:val="0067535F"/>
    <w:rsid w:val="00675A2D"/>
    <w:rsid w:val="00675A9C"/>
    <w:rsid w:val="00675C84"/>
    <w:rsid w:val="00677382"/>
    <w:rsid w:val="0068041C"/>
    <w:rsid w:val="00680689"/>
    <w:rsid w:val="00680BBC"/>
    <w:rsid w:val="0068114D"/>
    <w:rsid w:val="006814B0"/>
    <w:rsid w:val="00681BCD"/>
    <w:rsid w:val="00681F82"/>
    <w:rsid w:val="006841EC"/>
    <w:rsid w:val="00684638"/>
    <w:rsid w:val="00684B84"/>
    <w:rsid w:val="00684C63"/>
    <w:rsid w:val="006855A6"/>
    <w:rsid w:val="00685B16"/>
    <w:rsid w:val="00686499"/>
    <w:rsid w:val="006872FF"/>
    <w:rsid w:val="00690497"/>
    <w:rsid w:val="006909A3"/>
    <w:rsid w:val="0069120E"/>
    <w:rsid w:val="0069178F"/>
    <w:rsid w:val="00691A22"/>
    <w:rsid w:val="00691B1A"/>
    <w:rsid w:val="00691ED8"/>
    <w:rsid w:val="00693378"/>
    <w:rsid w:val="00693AF3"/>
    <w:rsid w:val="0069557A"/>
    <w:rsid w:val="00695E2E"/>
    <w:rsid w:val="00695E3F"/>
    <w:rsid w:val="00695E4C"/>
    <w:rsid w:val="00696CFE"/>
    <w:rsid w:val="00697928"/>
    <w:rsid w:val="00697E14"/>
    <w:rsid w:val="006A008C"/>
    <w:rsid w:val="006A1585"/>
    <w:rsid w:val="006A2286"/>
    <w:rsid w:val="006A3021"/>
    <w:rsid w:val="006A332F"/>
    <w:rsid w:val="006A3879"/>
    <w:rsid w:val="006A3EAE"/>
    <w:rsid w:val="006A3F88"/>
    <w:rsid w:val="006A520A"/>
    <w:rsid w:val="006A73B4"/>
    <w:rsid w:val="006B0138"/>
    <w:rsid w:val="006B0990"/>
    <w:rsid w:val="006B0B4D"/>
    <w:rsid w:val="006B13DB"/>
    <w:rsid w:val="006B266C"/>
    <w:rsid w:val="006B2831"/>
    <w:rsid w:val="006B3133"/>
    <w:rsid w:val="006B50CA"/>
    <w:rsid w:val="006B53A2"/>
    <w:rsid w:val="006B6347"/>
    <w:rsid w:val="006B6C8C"/>
    <w:rsid w:val="006B6DDD"/>
    <w:rsid w:val="006B6E8F"/>
    <w:rsid w:val="006B726D"/>
    <w:rsid w:val="006B786A"/>
    <w:rsid w:val="006B7936"/>
    <w:rsid w:val="006C0194"/>
    <w:rsid w:val="006C06E9"/>
    <w:rsid w:val="006C07A2"/>
    <w:rsid w:val="006C096F"/>
    <w:rsid w:val="006C10C7"/>
    <w:rsid w:val="006C17F3"/>
    <w:rsid w:val="006C3593"/>
    <w:rsid w:val="006C3BC6"/>
    <w:rsid w:val="006C44D0"/>
    <w:rsid w:val="006C5595"/>
    <w:rsid w:val="006C5B18"/>
    <w:rsid w:val="006C5EA5"/>
    <w:rsid w:val="006C623B"/>
    <w:rsid w:val="006C64DD"/>
    <w:rsid w:val="006C6614"/>
    <w:rsid w:val="006C6740"/>
    <w:rsid w:val="006C6D21"/>
    <w:rsid w:val="006C7A7E"/>
    <w:rsid w:val="006D1C93"/>
    <w:rsid w:val="006D1E8C"/>
    <w:rsid w:val="006D2351"/>
    <w:rsid w:val="006D2BCE"/>
    <w:rsid w:val="006D3BB1"/>
    <w:rsid w:val="006D3ED6"/>
    <w:rsid w:val="006D4233"/>
    <w:rsid w:val="006D4A50"/>
    <w:rsid w:val="006D52BC"/>
    <w:rsid w:val="006D598D"/>
    <w:rsid w:val="006D5A26"/>
    <w:rsid w:val="006D7A9D"/>
    <w:rsid w:val="006E05CA"/>
    <w:rsid w:val="006E0AC4"/>
    <w:rsid w:val="006E0C54"/>
    <w:rsid w:val="006E1096"/>
    <w:rsid w:val="006E1D7C"/>
    <w:rsid w:val="006E26AD"/>
    <w:rsid w:val="006E38F5"/>
    <w:rsid w:val="006E441B"/>
    <w:rsid w:val="006E4580"/>
    <w:rsid w:val="006E4AF6"/>
    <w:rsid w:val="006E4BF9"/>
    <w:rsid w:val="006E50C5"/>
    <w:rsid w:val="006E5CD2"/>
    <w:rsid w:val="006E623A"/>
    <w:rsid w:val="006E6816"/>
    <w:rsid w:val="006E78EA"/>
    <w:rsid w:val="006E7CCE"/>
    <w:rsid w:val="006E7E70"/>
    <w:rsid w:val="006F063F"/>
    <w:rsid w:val="006F08DB"/>
    <w:rsid w:val="006F0E1E"/>
    <w:rsid w:val="006F11D0"/>
    <w:rsid w:val="006F28E4"/>
    <w:rsid w:val="006F3418"/>
    <w:rsid w:val="006F36D9"/>
    <w:rsid w:val="006F3EFC"/>
    <w:rsid w:val="006F47CB"/>
    <w:rsid w:val="006F51DB"/>
    <w:rsid w:val="006F5C61"/>
    <w:rsid w:val="006F613A"/>
    <w:rsid w:val="006F670A"/>
    <w:rsid w:val="006F676B"/>
    <w:rsid w:val="006F690B"/>
    <w:rsid w:val="006F71A0"/>
    <w:rsid w:val="006F77C2"/>
    <w:rsid w:val="006F7FD9"/>
    <w:rsid w:val="0070019E"/>
    <w:rsid w:val="007005F4"/>
    <w:rsid w:val="0070073A"/>
    <w:rsid w:val="00701E18"/>
    <w:rsid w:val="00702484"/>
    <w:rsid w:val="00702C64"/>
    <w:rsid w:val="0070346B"/>
    <w:rsid w:val="00703FFD"/>
    <w:rsid w:val="00704A18"/>
    <w:rsid w:val="00704DC8"/>
    <w:rsid w:val="00705451"/>
    <w:rsid w:val="00705B2A"/>
    <w:rsid w:val="00705B4B"/>
    <w:rsid w:val="00705C9F"/>
    <w:rsid w:val="00706D1C"/>
    <w:rsid w:val="00707FA3"/>
    <w:rsid w:val="00707FDB"/>
    <w:rsid w:val="00710028"/>
    <w:rsid w:val="0071030E"/>
    <w:rsid w:val="00710F31"/>
    <w:rsid w:val="007116DF"/>
    <w:rsid w:val="00711AD7"/>
    <w:rsid w:val="00711CFD"/>
    <w:rsid w:val="007121F7"/>
    <w:rsid w:val="00712352"/>
    <w:rsid w:val="007123D3"/>
    <w:rsid w:val="0071285C"/>
    <w:rsid w:val="00713464"/>
    <w:rsid w:val="00713591"/>
    <w:rsid w:val="0071373D"/>
    <w:rsid w:val="00713CD3"/>
    <w:rsid w:val="00714503"/>
    <w:rsid w:val="007162D0"/>
    <w:rsid w:val="0071743D"/>
    <w:rsid w:val="00717625"/>
    <w:rsid w:val="0072067F"/>
    <w:rsid w:val="00720F4C"/>
    <w:rsid w:val="00720F81"/>
    <w:rsid w:val="00721B04"/>
    <w:rsid w:val="007227DF"/>
    <w:rsid w:val="0072298B"/>
    <w:rsid w:val="0072310C"/>
    <w:rsid w:val="00723777"/>
    <w:rsid w:val="007260A7"/>
    <w:rsid w:val="00726191"/>
    <w:rsid w:val="00726574"/>
    <w:rsid w:val="007279BD"/>
    <w:rsid w:val="0073059E"/>
    <w:rsid w:val="00731430"/>
    <w:rsid w:val="0073332B"/>
    <w:rsid w:val="00734354"/>
    <w:rsid w:val="0073473A"/>
    <w:rsid w:val="00735605"/>
    <w:rsid w:val="00735D17"/>
    <w:rsid w:val="0073611D"/>
    <w:rsid w:val="00736382"/>
    <w:rsid w:val="007363B3"/>
    <w:rsid w:val="00736851"/>
    <w:rsid w:val="00736B29"/>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A76"/>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36D1"/>
    <w:rsid w:val="0075418B"/>
    <w:rsid w:val="0075448F"/>
    <w:rsid w:val="00755081"/>
    <w:rsid w:val="00755869"/>
    <w:rsid w:val="00755F14"/>
    <w:rsid w:val="007561C7"/>
    <w:rsid w:val="007565A4"/>
    <w:rsid w:val="00756907"/>
    <w:rsid w:val="00756C58"/>
    <w:rsid w:val="007573A6"/>
    <w:rsid w:val="00757CBE"/>
    <w:rsid w:val="007603D4"/>
    <w:rsid w:val="00760409"/>
    <w:rsid w:val="007605E8"/>
    <w:rsid w:val="00761D16"/>
    <w:rsid w:val="00761EE7"/>
    <w:rsid w:val="00762B9F"/>
    <w:rsid w:val="00762EB7"/>
    <w:rsid w:val="00762FBB"/>
    <w:rsid w:val="00763469"/>
    <w:rsid w:val="007638B8"/>
    <w:rsid w:val="00763EF6"/>
    <w:rsid w:val="00764FDB"/>
    <w:rsid w:val="0076578B"/>
    <w:rsid w:val="00765840"/>
    <w:rsid w:val="0076634B"/>
    <w:rsid w:val="007667F7"/>
    <w:rsid w:val="00766A97"/>
    <w:rsid w:val="00766B6C"/>
    <w:rsid w:val="00766CC5"/>
    <w:rsid w:val="00766E89"/>
    <w:rsid w:val="007672BC"/>
    <w:rsid w:val="00767358"/>
    <w:rsid w:val="007675D1"/>
    <w:rsid w:val="007701CF"/>
    <w:rsid w:val="007703FB"/>
    <w:rsid w:val="00770826"/>
    <w:rsid w:val="00771A4C"/>
    <w:rsid w:val="00771C2A"/>
    <w:rsid w:val="00773222"/>
    <w:rsid w:val="00773287"/>
    <w:rsid w:val="00774338"/>
    <w:rsid w:val="007745DC"/>
    <w:rsid w:val="007749F8"/>
    <w:rsid w:val="007749FA"/>
    <w:rsid w:val="00774E40"/>
    <w:rsid w:val="007750EC"/>
    <w:rsid w:val="00775A0A"/>
    <w:rsid w:val="007768FB"/>
    <w:rsid w:val="00776ADC"/>
    <w:rsid w:val="00777C82"/>
    <w:rsid w:val="00780573"/>
    <w:rsid w:val="00780DFD"/>
    <w:rsid w:val="00780FAF"/>
    <w:rsid w:val="00782082"/>
    <w:rsid w:val="007820A2"/>
    <w:rsid w:val="007822F9"/>
    <w:rsid w:val="007828A8"/>
    <w:rsid w:val="00783A81"/>
    <w:rsid w:val="00784B40"/>
    <w:rsid w:val="00784DC1"/>
    <w:rsid w:val="00790638"/>
    <w:rsid w:val="00791A14"/>
    <w:rsid w:val="00791AEC"/>
    <w:rsid w:val="00791F10"/>
    <w:rsid w:val="007923ED"/>
    <w:rsid w:val="00792FF9"/>
    <w:rsid w:val="00793110"/>
    <w:rsid w:val="007938E4"/>
    <w:rsid w:val="0079434F"/>
    <w:rsid w:val="00794433"/>
    <w:rsid w:val="00795707"/>
    <w:rsid w:val="007957C7"/>
    <w:rsid w:val="0079648F"/>
    <w:rsid w:val="0079657C"/>
    <w:rsid w:val="0079657E"/>
    <w:rsid w:val="00796D3D"/>
    <w:rsid w:val="00797E29"/>
    <w:rsid w:val="007A0778"/>
    <w:rsid w:val="007A081B"/>
    <w:rsid w:val="007A083C"/>
    <w:rsid w:val="007A09A6"/>
    <w:rsid w:val="007A1B99"/>
    <w:rsid w:val="007A26A5"/>
    <w:rsid w:val="007A315F"/>
    <w:rsid w:val="007A488F"/>
    <w:rsid w:val="007A50DA"/>
    <w:rsid w:val="007A5A6E"/>
    <w:rsid w:val="007A600F"/>
    <w:rsid w:val="007A6202"/>
    <w:rsid w:val="007A6318"/>
    <w:rsid w:val="007A6969"/>
    <w:rsid w:val="007A6DBD"/>
    <w:rsid w:val="007A7122"/>
    <w:rsid w:val="007A7178"/>
    <w:rsid w:val="007A72C4"/>
    <w:rsid w:val="007B28EB"/>
    <w:rsid w:val="007B298B"/>
    <w:rsid w:val="007B2B9C"/>
    <w:rsid w:val="007B3BCE"/>
    <w:rsid w:val="007B3D0A"/>
    <w:rsid w:val="007B432A"/>
    <w:rsid w:val="007B4582"/>
    <w:rsid w:val="007B4653"/>
    <w:rsid w:val="007B491F"/>
    <w:rsid w:val="007B5775"/>
    <w:rsid w:val="007B5FFB"/>
    <w:rsid w:val="007B6A3C"/>
    <w:rsid w:val="007B73CC"/>
    <w:rsid w:val="007B7412"/>
    <w:rsid w:val="007B7777"/>
    <w:rsid w:val="007B794C"/>
    <w:rsid w:val="007C02E3"/>
    <w:rsid w:val="007C1034"/>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54A"/>
    <w:rsid w:val="007D2869"/>
    <w:rsid w:val="007D2A3A"/>
    <w:rsid w:val="007D304A"/>
    <w:rsid w:val="007D3A38"/>
    <w:rsid w:val="007D3E1E"/>
    <w:rsid w:val="007D424A"/>
    <w:rsid w:val="007D4C8B"/>
    <w:rsid w:val="007D6624"/>
    <w:rsid w:val="007D7503"/>
    <w:rsid w:val="007D7CD2"/>
    <w:rsid w:val="007E12F7"/>
    <w:rsid w:val="007E2C8E"/>
    <w:rsid w:val="007E2D9A"/>
    <w:rsid w:val="007E334D"/>
    <w:rsid w:val="007E385F"/>
    <w:rsid w:val="007E43E6"/>
    <w:rsid w:val="007E44DC"/>
    <w:rsid w:val="007E494E"/>
    <w:rsid w:val="007E4B27"/>
    <w:rsid w:val="007E50D8"/>
    <w:rsid w:val="007E58E1"/>
    <w:rsid w:val="007E6698"/>
    <w:rsid w:val="007E6A77"/>
    <w:rsid w:val="007E756B"/>
    <w:rsid w:val="007E7997"/>
    <w:rsid w:val="007E7AA6"/>
    <w:rsid w:val="007F0150"/>
    <w:rsid w:val="007F03E8"/>
    <w:rsid w:val="007F2AA5"/>
    <w:rsid w:val="007F2AFF"/>
    <w:rsid w:val="007F3A0E"/>
    <w:rsid w:val="007F3CBE"/>
    <w:rsid w:val="007F3FFE"/>
    <w:rsid w:val="007F4F81"/>
    <w:rsid w:val="007F5118"/>
    <w:rsid w:val="007F5DDD"/>
    <w:rsid w:val="007F5EFD"/>
    <w:rsid w:val="007F5F51"/>
    <w:rsid w:val="007F6AB0"/>
    <w:rsid w:val="007F6CCC"/>
    <w:rsid w:val="007F6FEF"/>
    <w:rsid w:val="007F7315"/>
    <w:rsid w:val="007F7B2F"/>
    <w:rsid w:val="00800510"/>
    <w:rsid w:val="0080083D"/>
    <w:rsid w:val="00800C4D"/>
    <w:rsid w:val="008010F4"/>
    <w:rsid w:val="0080136F"/>
    <w:rsid w:val="00801CF9"/>
    <w:rsid w:val="008022D6"/>
    <w:rsid w:val="00802791"/>
    <w:rsid w:val="00802F32"/>
    <w:rsid w:val="00804F10"/>
    <w:rsid w:val="008056E0"/>
    <w:rsid w:val="00806E9F"/>
    <w:rsid w:val="008078CF"/>
    <w:rsid w:val="00807AD9"/>
    <w:rsid w:val="008101E2"/>
    <w:rsid w:val="00810715"/>
    <w:rsid w:val="008111CD"/>
    <w:rsid w:val="008124D3"/>
    <w:rsid w:val="00812945"/>
    <w:rsid w:val="00812B92"/>
    <w:rsid w:val="0081351E"/>
    <w:rsid w:val="00813B71"/>
    <w:rsid w:val="00813C34"/>
    <w:rsid w:val="0081568C"/>
    <w:rsid w:val="00815EB1"/>
    <w:rsid w:val="0081630C"/>
    <w:rsid w:val="0081664A"/>
    <w:rsid w:val="008215F3"/>
    <w:rsid w:val="00822A8A"/>
    <w:rsid w:val="00823444"/>
    <w:rsid w:val="0082373F"/>
    <w:rsid w:val="00825B5B"/>
    <w:rsid w:val="008267A3"/>
    <w:rsid w:val="00827696"/>
    <w:rsid w:val="008278B3"/>
    <w:rsid w:val="008302A1"/>
    <w:rsid w:val="00830C5E"/>
    <w:rsid w:val="00831E5E"/>
    <w:rsid w:val="00831E91"/>
    <w:rsid w:val="00831FFE"/>
    <w:rsid w:val="00833118"/>
    <w:rsid w:val="00833166"/>
    <w:rsid w:val="00833712"/>
    <w:rsid w:val="00834051"/>
    <w:rsid w:val="00834115"/>
    <w:rsid w:val="00834297"/>
    <w:rsid w:val="0083549C"/>
    <w:rsid w:val="00835A6E"/>
    <w:rsid w:val="00835E01"/>
    <w:rsid w:val="00835F8A"/>
    <w:rsid w:val="00836E76"/>
    <w:rsid w:val="00837644"/>
    <w:rsid w:val="008405F5"/>
    <w:rsid w:val="00840B25"/>
    <w:rsid w:val="008410AF"/>
    <w:rsid w:val="00842A61"/>
    <w:rsid w:val="00843218"/>
    <w:rsid w:val="0084336E"/>
    <w:rsid w:val="00843C35"/>
    <w:rsid w:val="008444F2"/>
    <w:rsid w:val="00844D02"/>
    <w:rsid w:val="0084516C"/>
    <w:rsid w:val="00845A05"/>
    <w:rsid w:val="00847511"/>
    <w:rsid w:val="0084796F"/>
    <w:rsid w:val="0085081C"/>
    <w:rsid w:val="0085147A"/>
    <w:rsid w:val="00851E54"/>
    <w:rsid w:val="008526D7"/>
    <w:rsid w:val="008534FC"/>
    <w:rsid w:val="00853D55"/>
    <w:rsid w:val="00853EE1"/>
    <w:rsid w:val="008549A7"/>
    <w:rsid w:val="0085571C"/>
    <w:rsid w:val="008559F9"/>
    <w:rsid w:val="00856761"/>
    <w:rsid w:val="00857BFA"/>
    <w:rsid w:val="00860D78"/>
    <w:rsid w:val="00861F38"/>
    <w:rsid w:val="0086256C"/>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07C"/>
    <w:rsid w:val="00876368"/>
    <w:rsid w:val="00876A95"/>
    <w:rsid w:val="00877140"/>
    <w:rsid w:val="00880CEB"/>
    <w:rsid w:val="00881260"/>
    <w:rsid w:val="00881AEE"/>
    <w:rsid w:val="00882007"/>
    <w:rsid w:val="00882826"/>
    <w:rsid w:val="00882B47"/>
    <w:rsid w:val="00883114"/>
    <w:rsid w:val="008832C4"/>
    <w:rsid w:val="008837F0"/>
    <w:rsid w:val="00883E85"/>
    <w:rsid w:val="0088405F"/>
    <w:rsid w:val="008854D7"/>
    <w:rsid w:val="00885CD7"/>
    <w:rsid w:val="00886795"/>
    <w:rsid w:val="0088751B"/>
    <w:rsid w:val="0089055D"/>
    <w:rsid w:val="008905AA"/>
    <w:rsid w:val="0089122E"/>
    <w:rsid w:val="00891A58"/>
    <w:rsid w:val="0089243A"/>
    <w:rsid w:val="008928D4"/>
    <w:rsid w:val="008949A1"/>
    <w:rsid w:val="00894F1F"/>
    <w:rsid w:val="008958D5"/>
    <w:rsid w:val="008974C3"/>
    <w:rsid w:val="008A0F24"/>
    <w:rsid w:val="008A14B1"/>
    <w:rsid w:val="008A1C73"/>
    <w:rsid w:val="008A2756"/>
    <w:rsid w:val="008A2889"/>
    <w:rsid w:val="008A2D2A"/>
    <w:rsid w:val="008A330E"/>
    <w:rsid w:val="008A3828"/>
    <w:rsid w:val="008A394F"/>
    <w:rsid w:val="008A5367"/>
    <w:rsid w:val="008A54E1"/>
    <w:rsid w:val="008A5ADF"/>
    <w:rsid w:val="008A5CE2"/>
    <w:rsid w:val="008A6453"/>
    <w:rsid w:val="008A676B"/>
    <w:rsid w:val="008A6BC7"/>
    <w:rsid w:val="008A6CBF"/>
    <w:rsid w:val="008A7139"/>
    <w:rsid w:val="008A74A1"/>
    <w:rsid w:val="008A792D"/>
    <w:rsid w:val="008A7DD6"/>
    <w:rsid w:val="008A7F1A"/>
    <w:rsid w:val="008A7FD6"/>
    <w:rsid w:val="008B037E"/>
    <w:rsid w:val="008B0F93"/>
    <w:rsid w:val="008B1D36"/>
    <w:rsid w:val="008B2231"/>
    <w:rsid w:val="008B236D"/>
    <w:rsid w:val="008B2685"/>
    <w:rsid w:val="008B3AB1"/>
    <w:rsid w:val="008B3C2A"/>
    <w:rsid w:val="008B4123"/>
    <w:rsid w:val="008B4724"/>
    <w:rsid w:val="008B47B9"/>
    <w:rsid w:val="008B4B55"/>
    <w:rsid w:val="008B4CFB"/>
    <w:rsid w:val="008B50F9"/>
    <w:rsid w:val="008B54C0"/>
    <w:rsid w:val="008B5587"/>
    <w:rsid w:val="008B6211"/>
    <w:rsid w:val="008B631D"/>
    <w:rsid w:val="008B65BE"/>
    <w:rsid w:val="008B7097"/>
    <w:rsid w:val="008B7134"/>
    <w:rsid w:val="008B737D"/>
    <w:rsid w:val="008B743B"/>
    <w:rsid w:val="008B7765"/>
    <w:rsid w:val="008B7853"/>
    <w:rsid w:val="008B79D6"/>
    <w:rsid w:val="008B7FF9"/>
    <w:rsid w:val="008C04BE"/>
    <w:rsid w:val="008C10B3"/>
    <w:rsid w:val="008C1D29"/>
    <w:rsid w:val="008C282E"/>
    <w:rsid w:val="008C2DCE"/>
    <w:rsid w:val="008C36FD"/>
    <w:rsid w:val="008C3E35"/>
    <w:rsid w:val="008C4053"/>
    <w:rsid w:val="008C4A74"/>
    <w:rsid w:val="008C4B21"/>
    <w:rsid w:val="008C6BAA"/>
    <w:rsid w:val="008C72F2"/>
    <w:rsid w:val="008D0F8A"/>
    <w:rsid w:val="008D1B16"/>
    <w:rsid w:val="008D1E3A"/>
    <w:rsid w:val="008D2365"/>
    <w:rsid w:val="008D2D08"/>
    <w:rsid w:val="008D38F3"/>
    <w:rsid w:val="008D3DE5"/>
    <w:rsid w:val="008D3F0E"/>
    <w:rsid w:val="008D457B"/>
    <w:rsid w:val="008D4957"/>
    <w:rsid w:val="008D4DDC"/>
    <w:rsid w:val="008D523F"/>
    <w:rsid w:val="008D578C"/>
    <w:rsid w:val="008D5978"/>
    <w:rsid w:val="008D6299"/>
    <w:rsid w:val="008D635C"/>
    <w:rsid w:val="008D7E4D"/>
    <w:rsid w:val="008E036D"/>
    <w:rsid w:val="008E1E88"/>
    <w:rsid w:val="008E258A"/>
    <w:rsid w:val="008E2967"/>
    <w:rsid w:val="008E2CDE"/>
    <w:rsid w:val="008E34A4"/>
    <w:rsid w:val="008E3808"/>
    <w:rsid w:val="008E3A2B"/>
    <w:rsid w:val="008E3D4A"/>
    <w:rsid w:val="008E42F2"/>
    <w:rsid w:val="008E4492"/>
    <w:rsid w:val="008E46AC"/>
    <w:rsid w:val="008E5952"/>
    <w:rsid w:val="008E5B58"/>
    <w:rsid w:val="008E5B5D"/>
    <w:rsid w:val="008E7B16"/>
    <w:rsid w:val="008F0344"/>
    <w:rsid w:val="008F1FC1"/>
    <w:rsid w:val="008F2485"/>
    <w:rsid w:val="008F26F3"/>
    <w:rsid w:val="008F2E4D"/>
    <w:rsid w:val="008F3FA6"/>
    <w:rsid w:val="008F4674"/>
    <w:rsid w:val="008F5858"/>
    <w:rsid w:val="008F5EBA"/>
    <w:rsid w:val="008F65D5"/>
    <w:rsid w:val="008F6E06"/>
    <w:rsid w:val="008F774F"/>
    <w:rsid w:val="008F7A43"/>
    <w:rsid w:val="008F7D17"/>
    <w:rsid w:val="00901A48"/>
    <w:rsid w:val="0090209F"/>
    <w:rsid w:val="0090277B"/>
    <w:rsid w:val="00903A51"/>
    <w:rsid w:val="00903CEF"/>
    <w:rsid w:val="00903FDC"/>
    <w:rsid w:val="00904DC3"/>
    <w:rsid w:val="00905931"/>
    <w:rsid w:val="0090609E"/>
    <w:rsid w:val="009063D5"/>
    <w:rsid w:val="009067A2"/>
    <w:rsid w:val="00906897"/>
    <w:rsid w:val="00907A66"/>
    <w:rsid w:val="00907B37"/>
    <w:rsid w:val="0091136A"/>
    <w:rsid w:val="00911E23"/>
    <w:rsid w:val="0091225F"/>
    <w:rsid w:val="009122BF"/>
    <w:rsid w:val="00912D15"/>
    <w:rsid w:val="009130AC"/>
    <w:rsid w:val="0091424D"/>
    <w:rsid w:val="00914A95"/>
    <w:rsid w:val="009150BE"/>
    <w:rsid w:val="009154B8"/>
    <w:rsid w:val="0091564A"/>
    <w:rsid w:val="00915A0E"/>
    <w:rsid w:val="00915F92"/>
    <w:rsid w:val="009161C8"/>
    <w:rsid w:val="0091719B"/>
    <w:rsid w:val="0091789A"/>
    <w:rsid w:val="00917EA2"/>
    <w:rsid w:val="00920281"/>
    <w:rsid w:val="009210A6"/>
    <w:rsid w:val="0092196C"/>
    <w:rsid w:val="00921E76"/>
    <w:rsid w:val="0092295B"/>
    <w:rsid w:val="00922C82"/>
    <w:rsid w:val="0092368A"/>
    <w:rsid w:val="00923A3D"/>
    <w:rsid w:val="009248AD"/>
    <w:rsid w:val="00924C8A"/>
    <w:rsid w:val="009250E1"/>
    <w:rsid w:val="00925137"/>
    <w:rsid w:val="00925549"/>
    <w:rsid w:val="00925959"/>
    <w:rsid w:val="00926224"/>
    <w:rsid w:val="0092653C"/>
    <w:rsid w:val="00926F92"/>
    <w:rsid w:val="00927A56"/>
    <w:rsid w:val="00927DB0"/>
    <w:rsid w:val="009304E4"/>
    <w:rsid w:val="00930B36"/>
    <w:rsid w:val="00930F1B"/>
    <w:rsid w:val="00931744"/>
    <w:rsid w:val="009317CC"/>
    <w:rsid w:val="0093194D"/>
    <w:rsid w:val="00931994"/>
    <w:rsid w:val="009324D7"/>
    <w:rsid w:val="00934429"/>
    <w:rsid w:val="00934C68"/>
    <w:rsid w:val="00934D1B"/>
    <w:rsid w:val="00934DE1"/>
    <w:rsid w:val="00935991"/>
    <w:rsid w:val="00935A67"/>
    <w:rsid w:val="0093650E"/>
    <w:rsid w:val="00936526"/>
    <w:rsid w:val="0093675F"/>
    <w:rsid w:val="0093736F"/>
    <w:rsid w:val="00937717"/>
    <w:rsid w:val="0093784D"/>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1A14"/>
    <w:rsid w:val="009521F7"/>
    <w:rsid w:val="00952CB5"/>
    <w:rsid w:val="00953658"/>
    <w:rsid w:val="00953756"/>
    <w:rsid w:val="00953FD1"/>
    <w:rsid w:val="00954912"/>
    <w:rsid w:val="00955C20"/>
    <w:rsid w:val="0095649F"/>
    <w:rsid w:val="00960265"/>
    <w:rsid w:val="009608C3"/>
    <w:rsid w:val="00960C8A"/>
    <w:rsid w:val="0096189A"/>
    <w:rsid w:val="009625FF"/>
    <w:rsid w:val="00962633"/>
    <w:rsid w:val="00963809"/>
    <w:rsid w:val="00963D36"/>
    <w:rsid w:val="00963E7B"/>
    <w:rsid w:val="0096463E"/>
    <w:rsid w:val="00964729"/>
    <w:rsid w:val="009648DD"/>
    <w:rsid w:val="00964AD0"/>
    <w:rsid w:val="00964EB1"/>
    <w:rsid w:val="009664FB"/>
    <w:rsid w:val="009669FE"/>
    <w:rsid w:val="009677FB"/>
    <w:rsid w:val="00967AD0"/>
    <w:rsid w:val="00970814"/>
    <w:rsid w:val="00973110"/>
    <w:rsid w:val="009737E6"/>
    <w:rsid w:val="0097404F"/>
    <w:rsid w:val="0097416E"/>
    <w:rsid w:val="00974450"/>
    <w:rsid w:val="009747D6"/>
    <w:rsid w:val="009752AB"/>
    <w:rsid w:val="009752C8"/>
    <w:rsid w:val="00975B6F"/>
    <w:rsid w:val="00975FCB"/>
    <w:rsid w:val="00975FE6"/>
    <w:rsid w:val="0097669B"/>
    <w:rsid w:val="00976C59"/>
    <w:rsid w:val="0097735E"/>
    <w:rsid w:val="00977435"/>
    <w:rsid w:val="00977AF1"/>
    <w:rsid w:val="009801CC"/>
    <w:rsid w:val="00980DDF"/>
    <w:rsid w:val="0098194F"/>
    <w:rsid w:val="00981BF1"/>
    <w:rsid w:val="0098214E"/>
    <w:rsid w:val="00982372"/>
    <w:rsid w:val="009823F9"/>
    <w:rsid w:val="00982410"/>
    <w:rsid w:val="00982685"/>
    <w:rsid w:val="009834A1"/>
    <w:rsid w:val="009838E0"/>
    <w:rsid w:val="00983931"/>
    <w:rsid w:val="00983B94"/>
    <w:rsid w:val="00984515"/>
    <w:rsid w:val="00984D93"/>
    <w:rsid w:val="009850D1"/>
    <w:rsid w:val="009854C1"/>
    <w:rsid w:val="00986129"/>
    <w:rsid w:val="00986A65"/>
    <w:rsid w:val="0099003D"/>
    <w:rsid w:val="009901C4"/>
    <w:rsid w:val="00990362"/>
    <w:rsid w:val="00990590"/>
    <w:rsid w:val="00990791"/>
    <w:rsid w:val="00991156"/>
    <w:rsid w:val="0099143E"/>
    <w:rsid w:val="00992EEC"/>
    <w:rsid w:val="00993354"/>
    <w:rsid w:val="00994044"/>
    <w:rsid w:val="00995B85"/>
    <w:rsid w:val="00996378"/>
    <w:rsid w:val="009966BB"/>
    <w:rsid w:val="0099684D"/>
    <w:rsid w:val="00997169"/>
    <w:rsid w:val="00997381"/>
    <w:rsid w:val="009976E8"/>
    <w:rsid w:val="00997AA4"/>
    <w:rsid w:val="009A071D"/>
    <w:rsid w:val="009A085D"/>
    <w:rsid w:val="009A1237"/>
    <w:rsid w:val="009A158E"/>
    <w:rsid w:val="009A1B1D"/>
    <w:rsid w:val="009A2096"/>
    <w:rsid w:val="009A2945"/>
    <w:rsid w:val="009A3072"/>
    <w:rsid w:val="009A3288"/>
    <w:rsid w:val="009A4345"/>
    <w:rsid w:val="009A48F8"/>
    <w:rsid w:val="009A6F1C"/>
    <w:rsid w:val="009A707D"/>
    <w:rsid w:val="009A73F0"/>
    <w:rsid w:val="009A7EE3"/>
    <w:rsid w:val="009B0B74"/>
    <w:rsid w:val="009B2DF7"/>
    <w:rsid w:val="009B2FC9"/>
    <w:rsid w:val="009B348F"/>
    <w:rsid w:val="009B38A9"/>
    <w:rsid w:val="009B49A1"/>
    <w:rsid w:val="009B4A03"/>
    <w:rsid w:val="009B4A45"/>
    <w:rsid w:val="009B4C69"/>
    <w:rsid w:val="009B4CA4"/>
    <w:rsid w:val="009B53B3"/>
    <w:rsid w:val="009B6112"/>
    <w:rsid w:val="009B6B5C"/>
    <w:rsid w:val="009B6E8E"/>
    <w:rsid w:val="009B6F6C"/>
    <w:rsid w:val="009B73B5"/>
    <w:rsid w:val="009B7D52"/>
    <w:rsid w:val="009B7E13"/>
    <w:rsid w:val="009C044C"/>
    <w:rsid w:val="009C146E"/>
    <w:rsid w:val="009C178E"/>
    <w:rsid w:val="009C1BA3"/>
    <w:rsid w:val="009C2850"/>
    <w:rsid w:val="009C2AA3"/>
    <w:rsid w:val="009C2C4E"/>
    <w:rsid w:val="009C2D71"/>
    <w:rsid w:val="009C418A"/>
    <w:rsid w:val="009C461F"/>
    <w:rsid w:val="009C48D1"/>
    <w:rsid w:val="009C56D7"/>
    <w:rsid w:val="009C6456"/>
    <w:rsid w:val="009C66B6"/>
    <w:rsid w:val="009C67B5"/>
    <w:rsid w:val="009C6E03"/>
    <w:rsid w:val="009C73EC"/>
    <w:rsid w:val="009C764C"/>
    <w:rsid w:val="009C786D"/>
    <w:rsid w:val="009D003E"/>
    <w:rsid w:val="009D09AD"/>
    <w:rsid w:val="009D10EB"/>
    <w:rsid w:val="009D13FE"/>
    <w:rsid w:val="009D1662"/>
    <w:rsid w:val="009D1748"/>
    <w:rsid w:val="009D1DBD"/>
    <w:rsid w:val="009D1FA7"/>
    <w:rsid w:val="009D1FFD"/>
    <w:rsid w:val="009D2BBA"/>
    <w:rsid w:val="009D2C3D"/>
    <w:rsid w:val="009D37A2"/>
    <w:rsid w:val="009D5143"/>
    <w:rsid w:val="009D54C6"/>
    <w:rsid w:val="009D6721"/>
    <w:rsid w:val="009D68C9"/>
    <w:rsid w:val="009D7298"/>
    <w:rsid w:val="009D75BF"/>
    <w:rsid w:val="009D792A"/>
    <w:rsid w:val="009D7CA6"/>
    <w:rsid w:val="009D7D2F"/>
    <w:rsid w:val="009E1586"/>
    <w:rsid w:val="009E19D8"/>
    <w:rsid w:val="009E1AAD"/>
    <w:rsid w:val="009E2295"/>
    <w:rsid w:val="009E2988"/>
    <w:rsid w:val="009E2992"/>
    <w:rsid w:val="009E2ED1"/>
    <w:rsid w:val="009E2FD9"/>
    <w:rsid w:val="009E30FE"/>
    <w:rsid w:val="009E3655"/>
    <w:rsid w:val="009E3BC9"/>
    <w:rsid w:val="009E3F5A"/>
    <w:rsid w:val="009E52C6"/>
    <w:rsid w:val="009E6485"/>
    <w:rsid w:val="009E64A7"/>
    <w:rsid w:val="009E6563"/>
    <w:rsid w:val="009E68F3"/>
    <w:rsid w:val="009E7364"/>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8DF"/>
    <w:rsid w:val="009F5A83"/>
    <w:rsid w:val="009F65BA"/>
    <w:rsid w:val="009F65C1"/>
    <w:rsid w:val="009F6880"/>
    <w:rsid w:val="009F6A3C"/>
    <w:rsid w:val="009F6B59"/>
    <w:rsid w:val="009F7701"/>
    <w:rsid w:val="009F7ECD"/>
    <w:rsid w:val="00A00947"/>
    <w:rsid w:val="00A00BB8"/>
    <w:rsid w:val="00A01680"/>
    <w:rsid w:val="00A01B28"/>
    <w:rsid w:val="00A01F83"/>
    <w:rsid w:val="00A0273E"/>
    <w:rsid w:val="00A02E1D"/>
    <w:rsid w:val="00A02F88"/>
    <w:rsid w:val="00A03645"/>
    <w:rsid w:val="00A04310"/>
    <w:rsid w:val="00A0449E"/>
    <w:rsid w:val="00A05041"/>
    <w:rsid w:val="00A052BF"/>
    <w:rsid w:val="00A058BB"/>
    <w:rsid w:val="00A0765C"/>
    <w:rsid w:val="00A10898"/>
    <w:rsid w:val="00A10AE6"/>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79A"/>
    <w:rsid w:val="00A2488E"/>
    <w:rsid w:val="00A26B0E"/>
    <w:rsid w:val="00A27064"/>
    <w:rsid w:val="00A27DDB"/>
    <w:rsid w:val="00A30563"/>
    <w:rsid w:val="00A319CA"/>
    <w:rsid w:val="00A333A0"/>
    <w:rsid w:val="00A3373F"/>
    <w:rsid w:val="00A350A6"/>
    <w:rsid w:val="00A35F4F"/>
    <w:rsid w:val="00A375C2"/>
    <w:rsid w:val="00A37748"/>
    <w:rsid w:val="00A37B63"/>
    <w:rsid w:val="00A4005D"/>
    <w:rsid w:val="00A40157"/>
    <w:rsid w:val="00A402C0"/>
    <w:rsid w:val="00A4047A"/>
    <w:rsid w:val="00A42094"/>
    <w:rsid w:val="00A4230B"/>
    <w:rsid w:val="00A42868"/>
    <w:rsid w:val="00A42C0B"/>
    <w:rsid w:val="00A42D8A"/>
    <w:rsid w:val="00A42E44"/>
    <w:rsid w:val="00A434DB"/>
    <w:rsid w:val="00A43D16"/>
    <w:rsid w:val="00A43F17"/>
    <w:rsid w:val="00A4479F"/>
    <w:rsid w:val="00A4512E"/>
    <w:rsid w:val="00A451BD"/>
    <w:rsid w:val="00A4530D"/>
    <w:rsid w:val="00A45DBA"/>
    <w:rsid w:val="00A46304"/>
    <w:rsid w:val="00A46405"/>
    <w:rsid w:val="00A47715"/>
    <w:rsid w:val="00A47E87"/>
    <w:rsid w:val="00A50645"/>
    <w:rsid w:val="00A50B21"/>
    <w:rsid w:val="00A50D28"/>
    <w:rsid w:val="00A512C9"/>
    <w:rsid w:val="00A51E29"/>
    <w:rsid w:val="00A52667"/>
    <w:rsid w:val="00A52A8A"/>
    <w:rsid w:val="00A52C5D"/>
    <w:rsid w:val="00A540FF"/>
    <w:rsid w:val="00A5412A"/>
    <w:rsid w:val="00A542C4"/>
    <w:rsid w:val="00A547AD"/>
    <w:rsid w:val="00A55203"/>
    <w:rsid w:val="00A554D4"/>
    <w:rsid w:val="00A55AF4"/>
    <w:rsid w:val="00A55BFB"/>
    <w:rsid w:val="00A57751"/>
    <w:rsid w:val="00A577E3"/>
    <w:rsid w:val="00A61A2A"/>
    <w:rsid w:val="00A61AFD"/>
    <w:rsid w:val="00A6201A"/>
    <w:rsid w:val="00A625DB"/>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67A40"/>
    <w:rsid w:val="00A71A39"/>
    <w:rsid w:val="00A71FBA"/>
    <w:rsid w:val="00A71FE2"/>
    <w:rsid w:val="00A727CB"/>
    <w:rsid w:val="00A7282D"/>
    <w:rsid w:val="00A72EE2"/>
    <w:rsid w:val="00A74459"/>
    <w:rsid w:val="00A74F7D"/>
    <w:rsid w:val="00A75E45"/>
    <w:rsid w:val="00A76053"/>
    <w:rsid w:val="00A7607E"/>
    <w:rsid w:val="00A76177"/>
    <w:rsid w:val="00A765CE"/>
    <w:rsid w:val="00A7689E"/>
    <w:rsid w:val="00A77067"/>
    <w:rsid w:val="00A77401"/>
    <w:rsid w:val="00A77569"/>
    <w:rsid w:val="00A77B3F"/>
    <w:rsid w:val="00A804B6"/>
    <w:rsid w:val="00A807AE"/>
    <w:rsid w:val="00A80864"/>
    <w:rsid w:val="00A81849"/>
    <w:rsid w:val="00A81971"/>
    <w:rsid w:val="00A81CEA"/>
    <w:rsid w:val="00A8210B"/>
    <w:rsid w:val="00A82E99"/>
    <w:rsid w:val="00A83A33"/>
    <w:rsid w:val="00A83B31"/>
    <w:rsid w:val="00A844B1"/>
    <w:rsid w:val="00A84C93"/>
    <w:rsid w:val="00A85943"/>
    <w:rsid w:val="00A85F19"/>
    <w:rsid w:val="00A8686A"/>
    <w:rsid w:val="00A86D6D"/>
    <w:rsid w:val="00A87FB7"/>
    <w:rsid w:val="00A91A12"/>
    <w:rsid w:val="00A91B45"/>
    <w:rsid w:val="00A931E9"/>
    <w:rsid w:val="00A93305"/>
    <w:rsid w:val="00A93CBF"/>
    <w:rsid w:val="00A93E26"/>
    <w:rsid w:val="00A941BC"/>
    <w:rsid w:val="00A941C5"/>
    <w:rsid w:val="00A948BD"/>
    <w:rsid w:val="00A95335"/>
    <w:rsid w:val="00A9598C"/>
    <w:rsid w:val="00A9619B"/>
    <w:rsid w:val="00A9644F"/>
    <w:rsid w:val="00A9649E"/>
    <w:rsid w:val="00A96AFF"/>
    <w:rsid w:val="00A97EE8"/>
    <w:rsid w:val="00AA08F9"/>
    <w:rsid w:val="00AA1FAE"/>
    <w:rsid w:val="00AA27DA"/>
    <w:rsid w:val="00AA345B"/>
    <w:rsid w:val="00AA3B30"/>
    <w:rsid w:val="00AA4530"/>
    <w:rsid w:val="00AA4A4B"/>
    <w:rsid w:val="00AA586C"/>
    <w:rsid w:val="00AA5E01"/>
    <w:rsid w:val="00AA602F"/>
    <w:rsid w:val="00AA68D8"/>
    <w:rsid w:val="00AA6F8B"/>
    <w:rsid w:val="00AA7174"/>
    <w:rsid w:val="00AA7363"/>
    <w:rsid w:val="00AA77B5"/>
    <w:rsid w:val="00AA785C"/>
    <w:rsid w:val="00AA7C0A"/>
    <w:rsid w:val="00AB037C"/>
    <w:rsid w:val="00AB04D1"/>
    <w:rsid w:val="00AB0937"/>
    <w:rsid w:val="00AB1C36"/>
    <w:rsid w:val="00AB25CF"/>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9AA"/>
    <w:rsid w:val="00AD0B42"/>
    <w:rsid w:val="00AD0BDE"/>
    <w:rsid w:val="00AD0C75"/>
    <w:rsid w:val="00AD121B"/>
    <w:rsid w:val="00AD13B1"/>
    <w:rsid w:val="00AD144A"/>
    <w:rsid w:val="00AD1B3B"/>
    <w:rsid w:val="00AD24B4"/>
    <w:rsid w:val="00AD29CD"/>
    <w:rsid w:val="00AD2BE6"/>
    <w:rsid w:val="00AD345F"/>
    <w:rsid w:val="00AD4464"/>
    <w:rsid w:val="00AD47D6"/>
    <w:rsid w:val="00AD4BC4"/>
    <w:rsid w:val="00AD6AEF"/>
    <w:rsid w:val="00AD73AA"/>
    <w:rsid w:val="00AD774C"/>
    <w:rsid w:val="00AD7876"/>
    <w:rsid w:val="00AE0C80"/>
    <w:rsid w:val="00AE1B8E"/>
    <w:rsid w:val="00AE2CE9"/>
    <w:rsid w:val="00AE3362"/>
    <w:rsid w:val="00AE3C30"/>
    <w:rsid w:val="00AE485C"/>
    <w:rsid w:val="00AE498C"/>
    <w:rsid w:val="00AF055C"/>
    <w:rsid w:val="00AF0B1E"/>
    <w:rsid w:val="00AF1456"/>
    <w:rsid w:val="00AF17D4"/>
    <w:rsid w:val="00AF18FC"/>
    <w:rsid w:val="00AF1A47"/>
    <w:rsid w:val="00AF1C02"/>
    <w:rsid w:val="00AF1F55"/>
    <w:rsid w:val="00AF2FB1"/>
    <w:rsid w:val="00AF3D6C"/>
    <w:rsid w:val="00AF3E1C"/>
    <w:rsid w:val="00AF4548"/>
    <w:rsid w:val="00AF5A92"/>
    <w:rsid w:val="00AF6337"/>
    <w:rsid w:val="00AF63C1"/>
    <w:rsid w:val="00AF659D"/>
    <w:rsid w:val="00AF7405"/>
    <w:rsid w:val="00AF741B"/>
    <w:rsid w:val="00B00307"/>
    <w:rsid w:val="00B004FE"/>
    <w:rsid w:val="00B01318"/>
    <w:rsid w:val="00B0173F"/>
    <w:rsid w:val="00B02013"/>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4A4C"/>
    <w:rsid w:val="00B15B4F"/>
    <w:rsid w:val="00B16376"/>
    <w:rsid w:val="00B16A77"/>
    <w:rsid w:val="00B17472"/>
    <w:rsid w:val="00B1756C"/>
    <w:rsid w:val="00B17CE7"/>
    <w:rsid w:val="00B203D5"/>
    <w:rsid w:val="00B20C2F"/>
    <w:rsid w:val="00B21579"/>
    <w:rsid w:val="00B21615"/>
    <w:rsid w:val="00B238DC"/>
    <w:rsid w:val="00B23CA3"/>
    <w:rsid w:val="00B23ED7"/>
    <w:rsid w:val="00B24058"/>
    <w:rsid w:val="00B24348"/>
    <w:rsid w:val="00B24F30"/>
    <w:rsid w:val="00B26C80"/>
    <w:rsid w:val="00B279EC"/>
    <w:rsid w:val="00B302F6"/>
    <w:rsid w:val="00B308BA"/>
    <w:rsid w:val="00B3120B"/>
    <w:rsid w:val="00B317A8"/>
    <w:rsid w:val="00B31F53"/>
    <w:rsid w:val="00B327B5"/>
    <w:rsid w:val="00B32B1D"/>
    <w:rsid w:val="00B32DDA"/>
    <w:rsid w:val="00B338F4"/>
    <w:rsid w:val="00B33924"/>
    <w:rsid w:val="00B33B15"/>
    <w:rsid w:val="00B33C81"/>
    <w:rsid w:val="00B33D98"/>
    <w:rsid w:val="00B341A0"/>
    <w:rsid w:val="00B346BE"/>
    <w:rsid w:val="00B3488D"/>
    <w:rsid w:val="00B34AAC"/>
    <w:rsid w:val="00B34AF6"/>
    <w:rsid w:val="00B34FA3"/>
    <w:rsid w:val="00B350EB"/>
    <w:rsid w:val="00B350F1"/>
    <w:rsid w:val="00B35E0B"/>
    <w:rsid w:val="00B36B8C"/>
    <w:rsid w:val="00B36EAB"/>
    <w:rsid w:val="00B408A8"/>
    <w:rsid w:val="00B40903"/>
    <w:rsid w:val="00B40AA9"/>
    <w:rsid w:val="00B41305"/>
    <w:rsid w:val="00B4131B"/>
    <w:rsid w:val="00B41913"/>
    <w:rsid w:val="00B41AE3"/>
    <w:rsid w:val="00B41ECE"/>
    <w:rsid w:val="00B421E7"/>
    <w:rsid w:val="00B42D26"/>
    <w:rsid w:val="00B42F37"/>
    <w:rsid w:val="00B43266"/>
    <w:rsid w:val="00B437EC"/>
    <w:rsid w:val="00B43BCE"/>
    <w:rsid w:val="00B443FC"/>
    <w:rsid w:val="00B44C83"/>
    <w:rsid w:val="00B44D71"/>
    <w:rsid w:val="00B454BF"/>
    <w:rsid w:val="00B4554D"/>
    <w:rsid w:val="00B45A91"/>
    <w:rsid w:val="00B461B5"/>
    <w:rsid w:val="00B46C5E"/>
    <w:rsid w:val="00B46F04"/>
    <w:rsid w:val="00B47B46"/>
    <w:rsid w:val="00B502F3"/>
    <w:rsid w:val="00B508B0"/>
    <w:rsid w:val="00B50E1A"/>
    <w:rsid w:val="00B51602"/>
    <w:rsid w:val="00B519F0"/>
    <w:rsid w:val="00B51A61"/>
    <w:rsid w:val="00B527DB"/>
    <w:rsid w:val="00B532D2"/>
    <w:rsid w:val="00B5436F"/>
    <w:rsid w:val="00B55185"/>
    <w:rsid w:val="00B55491"/>
    <w:rsid w:val="00B559C3"/>
    <w:rsid w:val="00B559D1"/>
    <w:rsid w:val="00B55F61"/>
    <w:rsid w:val="00B565E4"/>
    <w:rsid w:val="00B567EC"/>
    <w:rsid w:val="00B56D64"/>
    <w:rsid w:val="00B57550"/>
    <w:rsid w:val="00B575EE"/>
    <w:rsid w:val="00B60DD4"/>
    <w:rsid w:val="00B61D6E"/>
    <w:rsid w:val="00B6288F"/>
    <w:rsid w:val="00B62C2E"/>
    <w:rsid w:val="00B63184"/>
    <w:rsid w:val="00B634F2"/>
    <w:rsid w:val="00B639F6"/>
    <w:rsid w:val="00B641C9"/>
    <w:rsid w:val="00B64F93"/>
    <w:rsid w:val="00B65077"/>
    <w:rsid w:val="00B65FFB"/>
    <w:rsid w:val="00B664DF"/>
    <w:rsid w:val="00B670A4"/>
    <w:rsid w:val="00B70943"/>
    <w:rsid w:val="00B70A6A"/>
    <w:rsid w:val="00B70FED"/>
    <w:rsid w:val="00B7137E"/>
    <w:rsid w:val="00B71895"/>
    <w:rsid w:val="00B723F0"/>
    <w:rsid w:val="00B72EAF"/>
    <w:rsid w:val="00B74285"/>
    <w:rsid w:val="00B746E3"/>
    <w:rsid w:val="00B7488F"/>
    <w:rsid w:val="00B748BF"/>
    <w:rsid w:val="00B74991"/>
    <w:rsid w:val="00B74AD8"/>
    <w:rsid w:val="00B74E06"/>
    <w:rsid w:val="00B750CF"/>
    <w:rsid w:val="00B75315"/>
    <w:rsid w:val="00B7534E"/>
    <w:rsid w:val="00B75410"/>
    <w:rsid w:val="00B763FF"/>
    <w:rsid w:val="00B77EC0"/>
    <w:rsid w:val="00B8170A"/>
    <w:rsid w:val="00B81D08"/>
    <w:rsid w:val="00B822EA"/>
    <w:rsid w:val="00B8247F"/>
    <w:rsid w:val="00B82639"/>
    <w:rsid w:val="00B82653"/>
    <w:rsid w:val="00B831FE"/>
    <w:rsid w:val="00B836A1"/>
    <w:rsid w:val="00B836F0"/>
    <w:rsid w:val="00B837F3"/>
    <w:rsid w:val="00B83CED"/>
    <w:rsid w:val="00B8426F"/>
    <w:rsid w:val="00B852E1"/>
    <w:rsid w:val="00B8599D"/>
    <w:rsid w:val="00B8612F"/>
    <w:rsid w:val="00B86970"/>
    <w:rsid w:val="00B86AB7"/>
    <w:rsid w:val="00B870D3"/>
    <w:rsid w:val="00B8717D"/>
    <w:rsid w:val="00B87538"/>
    <w:rsid w:val="00B90DAB"/>
    <w:rsid w:val="00B9185A"/>
    <w:rsid w:val="00B922E1"/>
    <w:rsid w:val="00B926BD"/>
    <w:rsid w:val="00B936B8"/>
    <w:rsid w:val="00B939AD"/>
    <w:rsid w:val="00B93B6A"/>
    <w:rsid w:val="00B94024"/>
    <w:rsid w:val="00B948C8"/>
    <w:rsid w:val="00B94F5F"/>
    <w:rsid w:val="00B95060"/>
    <w:rsid w:val="00B955E4"/>
    <w:rsid w:val="00B9649A"/>
    <w:rsid w:val="00B965AA"/>
    <w:rsid w:val="00B9794A"/>
    <w:rsid w:val="00B97CB5"/>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209B"/>
    <w:rsid w:val="00BB4551"/>
    <w:rsid w:val="00BB457D"/>
    <w:rsid w:val="00BB4E15"/>
    <w:rsid w:val="00BB735C"/>
    <w:rsid w:val="00BB78A0"/>
    <w:rsid w:val="00BB7E32"/>
    <w:rsid w:val="00BC193E"/>
    <w:rsid w:val="00BC19EE"/>
    <w:rsid w:val="00BC1B7D"/>
    <w:rsid w:val="00BC2C18"/>
    <w:rsid w:val="00BC2FD0"/>
    <w:rsid w:val="00BC433F"/>
    <w:rsid w:val="00BC53B1"/>
    <w:rsid w:val="00BC602B"/>
    <w:rsid w:val="00BC7138"/>
    <w:rsid w:val="00BD0048"/>
    <w:rsid w:val="00BD082C"/>
    <w:rsid w:val="00BD0A95"/>
    <w:rsid w:val="00BD0EA6"/>
    <w:rsid w:val="00BD1A1C"/>
    <w:rsid w:val="00BD1BE2"/>
    <w:rsid w:val="00BD26CE"/>
    <w:rsid w:val="00BD4D38"/>
    <w:rsid w:val="00BD50BA"/>
    <w:rsid w:val="00BD622C"/>
    <w:rsid w:val="00BD679B"/>
    <w:rsid w:val="00BD7247"/>
    <w:rsid w:val="00BE06B6"/>
    <w:rsid w:val="00BE0B9A"/>
    <w:rsid w:val="00BE1366"/>
    <w:rsid w:val="00BE1525"/>
    <w:rsid w:val="00BE2429"/>
    <w:rsid w:val="00BE256C"/>
    <w:rsid w:val="00BE25C9"/>
    <w:rsid w:val="00BE39D0"/>
    <w:rsid w:val="00BE51CC"/>
    <w:rsid w:val="00BE68A7"/>
    <w:rsid w:val="00BE6EBD"/>
    <w:rsid w:val="00BE7DF3"/>
    <w:rsid w:val="00BE7FFE"/>
    <w:rsid w:val="00BF0B15"/>
    <w:rsid w:val="00BF0C57"/>
    <w:rsid w:val="00BF1126"/>
    <w:rsid w:val="00BF1211"/>
    <w:rsid w:val="00BF1902"/>
    <w:rsid w:val="00BF19B0"/>
    <w:rsid w:val="00BF1A38"/>
    <w:rsid w:val="00BF1AF7"/>
    <w:rsid w:val="00BF1B4C"/>
    <w:rsid w:val="00BF25D5"/>
    <w:rsid w:val="00BF2E3C"/>
    <w:rsid w:val="00BF3316"/>
    <w:rsid w:val="00BF3406"/>
    <w:rsid w:val="00BF3602"/>
    <w:rsid w:val="00BF3D2C"/>
    <w:rsid w:val="00BF4528"/>
    <w:rsid w:val="00BF538A"/>
    <w:rsid w:val="00BF596C"/>
    <w:rsid w:val="00BF5C73"/>
    <w:rsid w:val="00BF5F5D"/>
    <w:rsid w:val="00BF61D4"/>
    <w:rsid w:val="00BF7703"/>
    <w:rsid w:val="00BF7D35"/>
    <w:rsid w:val="00BF7F00"/>
    <w:rsid w:val="00C0031D"/>
    <w:rsid w:val="00C00D8C"/>
    <w:rsid w:val="00C02651"/>
    <w:rsid w:val="00C036FF"/>
    <w:rsid w:val="00C040CE"/>
    <w:rsid w:val="00C044A8"/>
    <w:rsid w:val="00C0534E"/>
    <w:rsid w:val="00C05A1D"/>
    <w:rsid w:val="00C05D3C"/>
    <w:rsid w:val="00C05FBA"/>
    <w:rsid w:val="00C06568"/>
    <w:rsid w:val="00C065FA"/>
    <w:rsid w:val="00C0669C"/>
    <w:rsid w:val="00C06BD7"/>
    <w:rsid w:val="00C06C45"/>
    <w:rsid w:val="00C07622"/>
    <w:rsid w:val="00C076E3"/>
    <w:rsid w:val="00C10285"/>
    <w:rsid w:val="00C10968"/>
    <w:rsid w:val="00C11217"/>
    <w:rsid w:val="00C1182F"/>
    <w:rsid w:val="00C1199F"/>
    <w:rsid w:val="00C12AF5"/>
    <w:rsid w:val="00C12C38"/>
    <w:rsid w:val="00C12D18"/>
    <w:rsid w:val="00C1430E"/>
    <w:rsid w:val="00C14593"/>
    <w:rsid w:val="00C14ACA"/>
    <w:rsid w:val="00C14C4F"/>
    <w:rsid w:val="00C152B2"/>
    <w:rsid w:val="00C17164"/>
    <w:rsid w:val="00C203E7"/>
    <w:rsid w:val="00C21A32"/>
    <w:rsid w:val="00C22285"/>
    <w:rsid w:val="00C22960"/>
    <w:rsid w:val="00C22E74"/>
    <w:rsid w:val="00C2370D"/>
    <w:rsid w:val="00C237AE"/>
    <w:rsid w:val="00C24894"/>
    <w:rsid w:val="00C24B1B"/>
    <w:rsid w:val="00C24FDF"/>
    <w:rsid w:val="00C25108"/>
    <w:rsid w:val="00C25D24"/>
    <w:rsid w:val="00C2610A"/>
    <w:rsid w:val="00C2731C"/>
    <w:rsid w:val="00C27F6E"/>
    <w:rsid w:val="00C30BEE"/>
    <w:rsid w:val="00C313C4"/>
    <w:rsid w:val="00C31E8C"/>
    <w:rsid w:val="00C325C7"/>
    <w:rsid w:val="00C328C0"/>
    <w:rsid w:val="00C32ACF"/>
    <w:rsid w:val="00C33342"/>
    <w:rsid w:val="00C346AD"/>
    <w:rsid w:val="00C348FC"/>
    <w:rsid w:val="00C3501E"/>
    <w:rsid w:val="00C352B8"/>
    <w:rsid w:val="00C357B5"/>
    <w:rsid w:val="00C35EDF"/>
    <w:rsid w:val="00C362A6"/>
    <w:rsid w:val="00C366FB"/>
    <w:rsid w:val="00C36932"/>
    <w:rsid w:val="00C36A72"/>
    <w:rsid w:val="00C37505"/>
    <w:rsid w:val="00C4012B"/>
    <w:rsid w:val="00C410CF"/>
    <w:rsid w:val="00C418B1"/>
    <w:rsid w:val="00C42205"/>
    <w:rsid w:val="00C42659"/>
    <w:rsid w:val="00C433BD"/>
    <w:rsid w:val="00C43898"/>
    <w:rsid w:val="00C442B4"/>
    <w:rsid w:val="00C44773"/>
    <w:rsid w:val="00C45095"/>
    <w:rsid w:val="00C453D8"/>
    <w:rsid w:val="00C454A9"/>
    <w:rsid w:val="00C45C54"/>
    <w:rsid w:val="00C466BA"/>
    <w:rsid w:val="00C4674B"/>
    <w:rsid w:val="00C4692E"/>
    <w:rsid w:val="00C46B1B"/>
    <w:rsid w:val="00C46BFA"/>
    <w:rsid w:val="00C47260"/>
    <w:rsid w:val="00C47763"/>
    <w:rsid w:val="00C47B24"/>
    <w:rsid w:val="00C47EE5"/>
    <w:rsid w:val="00C47EFC"/>
    <w:rsid w:val="00C504C1"/>
    <w:rsid w:val="00C50629"/>
    <w:rsid w:val="00C50646"/>
    <w:rsid w:val="00C50AF8"/>
    <w:rsid w:val="00C50DFB"/>
    <w:rsid w:val="00C522F7"/>
    <w:rsid w:val="00C52AC4"/>
    <w:rsid w:val="00C5338F"/>
    <w:rsid w:val="00C53493"/>
    <w:rsid w:val="00C53861"/>
    <w:rsid w:val="00C538C3"/>
    <w:rsid w:val="00C55576"/>
    <w:rsid w:val="00C55AB6"/>
    <w:rsid w:val="00C55FF7"/>
    <w:rsid w:val="00C56008"/>
    <w:rsid w:val="00C563B4"/>
    <w:rsid w:val="00C56968"/>
    <w:rsid w:val="00C57986"/>
    <w:rsid w:val="00C605E8"/>
    <w:rsid w:val="00C6124C"/>
    <w:rsid w:val="00C613AD"/>
    <w:rsid w:val="00C626C4"/>
    <w:rsid w:val="00C62C35"/>
    <w:rsid w:val="00C63286"/>
    <w:rsid w:val="00C63861"/>
    <w:rsid w:val="00C639E0"/>
    <w:rsid w:val="00C63AC0"/>
    <w:rsid w:val="00C63EC3"/>
    <w:rsid w:val="00C643A1"/>
    <w:rsid w:val="00C66309"/>
    <w:rsid w:val="00C6772D"/>
    <w:rsid w:val="00C677EA"/>
    <w:rsid w:val="00C704B1"/>
    <w:rsid w:val="00C71A0F"/>
    <w:rsid w:val="00C723D7"/>
    <w:rsid w:val="00C72AAC"/>
    <w:rsid w:val="00C72EB7"/>
    <w:rsid w:val="00C745C6"/>
    <w:rsid w:val="00C75977"/>
    <w:rsid w:val="00C75A69"/>
    <w:rsid w:val="00C75D0E"/>
    <w:rsid w:val="00C7618D"/>
    <w:rsid w:val="00C7668F"/>
    <w:rsid w:val="00C80AE3"/>
    <w:rsid w:val="00C810C0"/>
    <w:rsid w:val="00C81A9B"/>
    <w:rsid w:val="00C822AA"/>
    <w:rsid w:val="00C825A3"/>
    <w:rsid w:val="00C82F1C"/>
    <w:rsid w:val="00C82FC6"/>
    <w:rsid w:val="00C83A1D"/>
    <w:rsid w:val="00C83BBA"/>
    <w:rsid w:val="00C84862"/>
    <w:rsid w:val="00C85D6A"/>
    <w:rsid w:val="00C86362"/>
    <w:rsid w:val="00C866DD"/>
    <w:rsid w:val="00C86A0B"/>
    <w:rsid w:val="00C86F58"/>
    <w:rsid w:val="00C90E8D"/>
    <w:rsid w:val="00C91118"/>
    <w:rsid w:val="00C91B89"/>
    <w:rsid w:val="00C9240F"/>
    <w:rsid w:val="00C93802"/>
    <w:rsid w:val="00C94F07"/>
    <w:rsid w:val="00C951E6"/>
    <w:rsid w:val="00C95832"/>
    <w:rsid w:val="00C95BAD"/>
    <w:rsid w:val="00C962DD"/>
    <w:rsid w:val="00C964EB"/>
    <w:rsid w:val="00C967B8"/>
    <w:rsid w:val="00C972DC"/>
    <w:rsid w:val="00C97C1F"/>
    <w:rsid w:val="00CA0130"/>
    <w:rsid w:val="00CA08F0"/>
    <w:rsid w:val="00CA0A0D"/>
    <w:rsid w:val="00CA0BA4"/>
    <w:rsid w:val="00CA109E"/>
    <w:rsid w:val="00CA150F"/>
    <w:rsid w:val="00CA28ED"/>
    <w:rsid w:val="00CA33A1"/>
    <w:rsid w:val="00CA33F1"/>
    <w:rsid w:val="00CA437C"/>
    <w:rsid w:val="00CA437F"/>
    <w:rsid w:val="00CA4593"/>
    <w:rsid w:val="00CA5887"/>
    <w:rsid w:val="00CA5F0E"/>
    <w:rsid w:val="00CA6175"/>
    <w:rsid w:val="00CA6AF2"/>
    <w:rsid w:val="00CA6D40"/>
    <w:rsid w:val="00CA6E7E"/>
    <w:rsid w:val="00CA7868"/>
    <w:rsid w:val="00CA7D54"/>
    <w:rsid w:val="00CB0C4B"/>
    <w:rsid w:val="00CB109C"/>
    <w:rsid w:val="00CB174E"/>
    <w:rsid w:val="00CB1931"/>
    <w:rsid w:val="00CB195A"/>
    <w:rsid w:val="00CB1A36"/>
    <w:rsid w:val="00CB1D91"/>
    <w:rsid w:val="00CB230A"/>
    <w:rsid w:val="00CB242F"/>
    <w:rsid w:val="00CB2561"/>
    <w:rsid w:val="00CB3E7C"/>
    <w:rsid w:val="00CB436E"/>
    <w:rsid w:val="00CB4463"/>
    <w:rsid w:val="00CB5231"/>
    <w:rsid w:val="00CB5875"/>
    <w:rsid w:val="00CB6200"/>
    <w:rsid w:val="00CB6421"/>
    <w:rsid w:val="00CB6589"/>
    <w:rsid w:val="00CB6D8A"/>
    <w:rsid w:val="00CB778D"/>
    <w:rsid w:val="00CC0753"/>
    <w:rsid w:val="00CC1775"/>
    <w:rsid w:val="00CC2C36"/>
    <w:rsid w:val="00CC334F"/>
    <w:rsid w:val="00CC348D"/>
    <w:rsid w:val="00CC360A"/>
    <w:rsid w:val="00CC3B64"/>
    <w:rsid w:val="00CC3B6D"/>
    <w:rsid w:val="00CC3DBC"/>
    <w:rsid w:val="00CC53EF"/>
    <w:rsid w:val="00CC5EDE"/>
    <w:rsid w:val="00CC6670"/>
    <w:rsid w:val="00CC770E"/>
    <w:rsid w:val="00CC78A3"/>
    <w:rsid w:val="00CC7E55"/>
    <w:rsid w:val="00CD020C"/>
    <w:rsid w:val="00CD1104"/>
    <w:rsid w:val="00CD132C"/>
    <w:rsid w:val="00CD1745"/>
    <w:rsid w:val="00CD1AD8"/>
    <w:rsid w:val="00CD1E2A"/>
    <w:rsid w:val="00CD1E68"/>
    <w:rsid w:val="00CD2435"/>
    <w:rsid w:val="00CD2A44"/>
    <w:rsid w:val="00CD35D6"/>
    <w:rsid w:val="00CD392F"/>
    <w:rsid w:val="00CD3B9F"/>
    <w:rsid w:val="00CD408C"/>
    <w:rsid w:val="00CD473E"/>
    <w:rsid w:val="00CD6344"/>
    <w:rsid w:val="00CD65F5"/>
    <w:rsid w:val="00CD65F6"/>
    <w:rsid w:val="00CD6A83"/>
    <w:rsid w:val="00CD7289"/>
    <w:rsid w:val="00CD74A9"/>
    <w:rsid w:val="00CD77FC"/>
    <w:rsid w:val="00CD7AEF"/>
    <w:rsid w:val="00CD7B89"/>
    <w:rsid w:val="00CE0578"/>
    <w:rsid w:val="00CE0CDA"/>
    <w:rsid w:val="00CE0D46"/>
    <w:rsid w:val="00CE0FED"/>
    <w:rsid w:val="00CE1E0F"/>
    <w:rsid w:val="00CE1F96"/>
    <w:rsid w:val="00CE29F2"/>
    <w:rsid w:val="00CE2EC9"/>
    <w:rsid w:val="00CE2FAC"/>
    <w:rsid w:val="00CE302A"/>
    <w:rsid w:val="00CE31E1"/>
    <w:rsid w:val="00CE3305"/>
    <w:rsid w:val="00CE3F53"/>
    <w:rsid w:val="00CE421D"/>
    <w:rsid w:val="00CE43AE"/>
    <w:rsid w:val="00CE4DF4"/>
    <w:rsid w:val="00CE5700"/>
    <w:rsid w:val="00CE6812"/>
    <w:rsid w:val="00CE6933"/>
    <w:rsid w:val="00CE6B8E"/>
    <w:rsid w:val="00CE72B2"/>
    <w:rsid w:val="00CE7F2B"/>
    <w:rsid w:val="00CF0233"/>
    <w:rsid w:val="00CF1107"/>
    <w:rsid w:val="00CF1C1D"/>
    <w:rsid w:val="00CF222B"/>
    <w:rsid w:val="00CF2FAE"/>
    <w:rsid w:val="00CF3445"/>
    <w:rsid w:val="00CF347C"/>
    <w:rsid w:val="00CF3944"/>
    <w:rsid w:val="00CF471F"/>
    <w:rsid w:val="00CF4E83"/>
    <w:rsid w:val="00CF55FA"/>
    <w:rsid w:val="00CF5CC6"/>
    <w:rsid w:val="00CF5D6C"/>
    <w:rsid w:val="00CF5E17"/>
    <w:rsid w:val="00CF6217"/>
    <w:rsid w:val="00CF6838"/>
    <w:rsid w:val="00CF689A"/>
    <w:rsid w:val="00CF77A5"/>
    <w:rsid w:val="00CF7CB2"/>
    <w:rsid w:val="00D000A2"/>
    <w:rsid w:val="00D0071E"/>
    <w:rsid w:val="00D00B16"/>
    <w:rsid w:val="00D016BB"/>
    <w:rsid w:val="00D0243A"/>
    <w:rsid w:val="00D030FB"/>
    <w:rsid w:val="00D04CB7"/>
    <w:rsid w:val="00D0504A"/>
    <w:rsid w:val="00D05F1A"/>
    <w:rsid w:val="00D05FA1"/>
    <w:rsid w:val="00D06921"/>
    <w:rsid w:val="00D07461"/>
    <w:rsid w:val="00D075C4"/>
    <w:rsid w:val="00D07E23"/>
    <w:rsid w:val="00D1091E"/>
    <w:rsid w:val="00D10BD6"/>
    <w:rsid w:val="00D10DD9"/>
    <w:rsid w:val="00D11684"/>
    <w:rsid w:val="00D11708"/>
    <w:rsid w:val="00D11E52"/>
    <w:rsid w:val="00D123C5"/>
    <w:rsid w:val="00D12724"/>
    <w:rsid w:val="00D12DD1"/>
    <w:rsid w:val="00D1300F"/>
    <w:rsid w:val="00D14999"/>
    <w:rsid w:val="00D153F3"/>
    <w:rsid w:val="00D1569D"/>
    <w:rsid w:val="00D15F3E"/>
    <w:rsid w:val="00D1670E"/>
    <w:rsid w:val="00D16A25"/>
    <w:rsid w:val="00D17210"/>
    <w:rsid w:val="00D1726C"/>
    <w:rsid w:val="00D205D7"/>
    <w:rsid w:val="00D21BB5"/>
    <w:rsid w:val="00D224FF"/>
    <w:rsid w:val="00D22589"/>
    <w:rsid w:val="00D22EA8"/>
    <w:rsid w:val="00D23174"/>
    <w:rsid w:val="00D239C3"/>
    <w:rsid w:val="00D2454A"/>
    <w:rsid w:val="00D247F5"/>
    <w:rsid w:val="00D24813"/>
    <w:rsid w:val="00D24E72"/>
    <w:rsid w:val="00D25F97"/>
    <w:rsid w:val="00D27B07"/>
    <w:rsid w:val="00D31272"/>
    <w:rsid w:val="00D31977"/>
    <w:rsid w:val="00D31C73"/>
    <w:rsid w:val="00D33062"/>
    <w:rsid w:val="00D341B4"/>
    <w:rsid w:val="00D34379"/>
    <w:rsid w:val="00D3455B"/>
    <w:rsid w:val="00D34E43"/>
    <w:rsid w:val="00D35406"/>
    <w:rsid w:val="00D35718"/>
    <w:rsid w:val="00D36482"/>
    <w:rsid w:val="00D36B41"/>
    <w:rsid w:val="00D36BF3"/>
    <w:rsid w:val="00D3789F"/>
    <w:rsid w:val="00D37CBE"/>
    <w:rsid w:val="00D4060B"/>
    <w:rsid w:val="00D407CF"/>
    <w:rsid w:val="00D40D34"/>
    <w:rsid w:val="00D40EAB"/>
    <w:rsid w:val="00D41689"/>
    <w:rsid w:val="00D437DF"/>
    <w:rsid w:val="00D449F2"/>
    <w:rsid w:val="00D451D6"/>
    <w:rsid w:val="00D457EF"/>
    <w:rsid w:val="00D45F94"/>
    <w:rsid w:val="00D465E8"/>
    <w:rsid w:val="00D473B5"/>
    <w:rsid w:val="00D51EA7"/>
    <w:rsid w:val="00D525AB"/>
    <w:rsid w:val="00D52904"/>
    <w:rsid w:val="00D52BD2"/>
    <w:rsid w:val="00D5368B"/>
    <w:rsid w:val="00D53EFD"/>
    <w:rsid w:val="00D541B5"/>
    <w:rsid w:val="00D54719"/>
    <w:rsid w:val="00D550B6"/>
    <w:rsid w:val="00D554E7"/>
    <w:rsid w:val="00D557E1"/>
    <w:rsid w:val="00D5581F"/>
    <w:rsid w:val="00D55F6E"/>
    <w:rsid w:val="00D56922"/>
    <w:rsid w:val="00D56E20"/>
    <w:rsid w:val="00D57058"/>
    <w:rsid w:val="00D575FA"/>
    <w:rsid w:val="00D57EF1"/>
    <w:rsid w:val="00D607A4"/>
    <w:rsid w:val="00D60BE1"/>
    <w:rsid w:val="00D61006"/>
    <w:rsid w:val="00D61246"/>
    <w:rsid w:val="00D612D4"/>
    <w:rsid w:val="00D620FE"/>
    <w:rsid w:val="00D634BF"/>
    <w:rsid w:val="00D64BEC"/>
    <w:rsid w:val="00D66EE3"/>
    <w:rsid w:val="00D671C8"/>
    <w:rsid w:val="00D6727E"/>
    <w:rsid w:val="00D672A3"/>
    <w:rsid w:val="00D71EC1"/>
    <w:rsid w:val="00D73316"/>
    <w:rsid w:val="00D73682"/>
    <w:rsid w:val="00D73803"/>
    <w:rsid w:val="00D73DA4"/>
    <w:rsid w:val="00D74328"/>
    <w:rsid w:val="00D752C0"/>
    <w:rsid w:val="00D76068"/>
    <w:rsid w:val="00D7620B"/>
    <w:rsid w:val="00D76269"/>
    <w:rsid w:val="00D76588"/>
    <w:rsid w:val="00D76AC7"/>
    <w:rsid w:val="00D76D59"/>
    <w:rsid w:val="00D7723E"/>
    <w:rsid w:val="00D77AF7"/>
    <w:rsid w:val="00D77E53"/>
    <w:rsid w:val="00D816A3"/>
    <w:rsid w:val="00D82A6B"/>
    <w:rsid w:val="00D83968"/>
    <w:rsid w:val="00D83D34"/>
    <w:rsid w:val="00D84926"/>
    <w:rsid w:val="00D84D59"/>
    <w:rsid w:val="00D8610F"/>
    <w:rsid w:val="00D8764B"/>
    <w:rsid w:val="00D90078"/>
    <w:rsid w:val="00D91273"/>
    <w:rsid w:val="00D92EC1"/>
    <w:rsid w:val="00D9311C"/>
    <w:rsid w:val="00D93406"/>
    <w:rsid w:val="00D9355A"/>
    <w:rsid w:val="00D93737"/>
    <w:rsid w:val="00D944C0"/>
    <w:rsid w:val="00D94502"/>
    <w:rsid w:val="00D945BA"/>
    <w:rsid w:val="00D94D40"/>
    <w:rsid w:val="00D965E8"/>
    <w:rsid w:val="00D96A07"/>
    <w:rsid w:val="00D973B7"/>
    <w:rsid w:val="00D978DE"/>
    <w:rsid w:val="00D97948"/>
    <w:rsid w:val="00D97A32"/>
    <w:rsid w:val="00D97DA1"/>
    <w:rsid w:val="00DA0758"/>
    <w:rsid w:val="00DA07A3"/>
    <w:rsid w:val="00DA0A4D"/>
    <w:rsid w:val="00DA0C12"/>
    <w:rsid w:val="00DA1884"/>
    <w:rsid w:val="00DA1A17"/>
    <w:rsid w:val="00DA20AD"/>
    <w:rsid w:val="00DA2D1B"/>
    <w:rsid w:val="00DA322B"/>
    <w:rsid w:val="00DA47D5"/>
    <w:rsid w:val="00DA48FD"/>
    <w:rsid w:val="00DA4B2F"/>
    <w:rsid w:val="00DA4FBD"/>
    <w:rsid w:val="00DA5767"/>
    <w:rsid w:val="00DA5CC5"/>
    <w:rsid w:val="00DA64CD"/>
    <w:rsid w:val="00DA669C"/>
    <w:rsid w:val="00DA7084"/>
    <w:rsid w:val="00DA721B"/>
    <w:rsid w:val="00DA779B"/>
    <w:rsid w:val="00DA78D8"/>
    <w:rsid w:val="00DA7CCD"/>
    <w:rsid w:val="00DB0253"/>
    <w:rsid w:val="00DB058E"/>
    <w:rsid w:val="00DB1A14"/>
    <w:rsid w:val="00DB1A46"/>
    <w:rsid w:val="00DB22B8"/>
    <w:rsid w:val="00DB3070"/>
    <w:rsid w:val="00DB30C9"/>
    <w:rsid w:val="00DB3570"/>
    <w:rsid w:val="00DB4053"/>
    <w:rsid w:val="00DB440F"/>
    <w:rsid w:val="00DB4B5C"/>
    <w:rsid w:val="00DB4CBA"/>
    <w:rsid w:val="00DB5701"/>
    <w:rsid w:val="00DB65B2"/>
    <w:rsid w:val="00DB6D0A"/>
    <w:rsid w:val="00DB74B6"/>
    <w:rsid w:val="00DB75DA"/>
    <w:rsid w:val="00DB7CBC"/>
    <w:rsid w:val="00DC185D"/>
    <w:rsid w:val="00DC25DF"/>
    <w:rsid w:val="00DC3EDA"/>
    <w:rsid w:val="00DC3FD2"/>
    <w:rsid w:val="00DC4214"/>
    <w:rsid w:val="00DC4334"/>
    <w:rsid w:val="00DC4877"/>
    <w:rsid w:val="00DC4BA8"/>
    <w:rsid w:val="00DC53DD"/>
    <w:rsid w:val="00DC580A"/>
    <w:rsid w:val="00DC63F3"/>
    <w:rsid w:val="00DC68BB"/>
    <w:rsid w:val="00DC6F68"/>
    <w:rsid w:val="00DC72EE"/>
    <w:rsid w:val="00DC7655"/>
    <w:rsid w:val="00DC7A37"/>
    <w:rsid w:val="00DC7ADF"/>
    <w:rsid w:val="00DD14C1"/>
    <w:rsid w:val="00DD21EE"/>
    <w:rsid w:val="00DD2F58"/>
    <w:rsid w:val="00DD3D51"/>
    <w:rsid w:val="00DD4B26"/>
    <w:rsid w:val="00DD4B3F"/>
    <w:rsid w:val="00DD5020"/>
    <w:rsid w:val="00DD561C"/>
    <w:rsid w:val="00DD5C85"/>
    <w:rsid w:val="00DD67CB"/>
    <w:rsid w:val="00DD6A4C"/>
    <w:rsid w:val="00DD6D01"/>
    <w:rsid w:val="00DD7455"/>
    <w:rsid w:val="00DD7728"/>
    <w:rsid w:val="00DD7EF1"/>
    <w:rsid w:val="00DE09CE"/>
    <w:rsid w:val="00DE0CEF"/>
    <w:rsid w:val="00DE1CDE"/>
    <w:rsid w:val="00DE25E1"/>
    <w:rsid w:val="00DE3328"/>
    <w:rsid w:val="00DE33F9"/>
    <w:rsid w:val="00DE3411"/>
    <w:rsid w:val="00DE45A8"/>
    <w:rsid w:val="00DE470A"/>
    <w:rsid w:val="00DE4B21"/>
    <w:rsid w:val="00DE5DD9"/>
    <w:rsid w:val="00DE6304"/>
    <w:rsid w:val="00DE6800"/>
    <w:rsid w:val="00DE686C"/>
    <w:rsid w:val="00DE68D3"/>
    <w:rsid w:val="00DE6B1A"/>
    <w:rsid w:val="00DE7190"/>
    <w:rsid w:val="00DF01DB"/>
    <w:rsid w:val="00DF1837"/>
    <w:rsid w:val="00DF1969"/>
    <w:rsid w:val="00DF1F72"/>
    <w:rsid w:val="00DF28A9"/>
    <w:rsid w:val="00DF2AB9"/>
    <w:rsid w:val="00DF328A"/>
    <w:rsid w:val="00DF331C"/>
    <w:rsid w:val="00DF3644"/>
    <w:rsid w:val="00DF5657"/>
    <w:rsid w:val="00DF5C20"/>
    <w:rsid w:val="00DF6699"/>
    <w:rsid w:val="00DF69C5"/>
    <w:rsid w:val="00DF72CE"/>
    <w:rsid w:val="00DF737C"/>
    <w:rsid w:val="00DF7F58"/>
    <w:rsid w:val="00E00F6E"/>
    <w:rsid w:val="00E01516"/>
    <w:rsid w:val="00E01A2F"/>
    <w:rsid w:val="00E0287E"/>
    <w:rsid w:val="00E02D90"/>
    <w:rsid w:val="00E03B31"/>
    <w:rsid w:val="00E03E08"/>
    <w:rsid w:val="00E051CA"/>
    <w:rsid w:val="00E0647C"/>
    <w:rsid w:val="00E06FEA"/>
    <w:rsid w:val="00E073C2"/>
    <w:rsid w:val="00E11241"/>
    <w:rsid w:val="00E13489"/>
    <w:rsid w:val="00E13692"/>
    <w:rsid w:val="00E14D89"/>
    <w:rsid w:val="00E14DB1"/>
    <w:rsid w:val="00E152FF"/>
    <w:rsid w:val="00E15500"/>
    <w:rsid w:val="00E1662C"/>
    <w:rsid w:val="00E17185"/>
    <w:rsid w:val="00E17413"/>
    <w:rsid w:val="00E1765F"/>
    <w:rsid w:val="00E178F0"/>
    <w:rsid w:val="00E17A95"/>
    <w:rsid w:val="00E20197"/>
    <w:rsid w:val="00E206EA"/>
    <w:rsid w:val="00E21165"/>
    <w:rsid w:val="00E21F2A"/>
    <w:rsid w:val="00E232FA"/>
    <w:rsid w:val="00E23360"/>
    <w:rsid w:val="00E23B23"/>
    <w:rsid w:val="00E23B70"/>
    <w:rsid w:val="00E23E32"/>
    <w:rsid w:val="00E2456B"/>
    <w:rsid w:val="00E24988"/>
    <w:rsid w:val="00E24CD1"/>
    <w:rsid w:val="00E24EE1"/>
    <w:rsid w:val="00E255AD"/>
    <w:rsid w:val="00E255CB"/>
    <w:rsid w:val="00E26C64"/>
    <w:rsid w:val="00E27360"/>
    <w:rsid w:val="00E27AB4"/>
    <w:rsid w:val="00E27FCF"/>
    <w:rsid w:val="00E27FD8"/>
    <w:rsid w:val="00E30199"/>
    <w:rsid w:val="00E32942"/>
    <w:rsid w:val="00E332E4"/>
    <w:rsid w:val="00E33352"/>
    <w:rsid w:val="00E337FC"/>
    <w:rsid w:val="00E33B53"/>
    <w:rsid w:val="00E33C03"/>
    <w:rsid w:val="00E35A3F"/>
    <w:rsid w:val="00E362C8"/>
    <w:rsid w:val="00E368F5"/>
    <w:rsid w:val="00E36F07"/>
    <w:rsid w:val="00E37712"/>
    <w:rsid w:val="00E37CFD"/>
    <w:rsid w:val="00E37E1B"/>
    <w:rsid w:val="00E37FC4"/>
    <w:rsid w:val="00E4010D"/>
    <w:rsid w:val="00E402C7"/>
    <w:rsid w:val="00E40CA9"/>
    <w:rsid w:val="00E41103"/>
    <w:rsid w:val="00E411C1"/>
    <w:rsid w:val="00E41730"/>
    <w:rsid w:val="00E42936"/>
    <w:rsid w:val="00E43159"/>
    <w:rsid w:val="00E438D0"/>
    <w:rsid w:val="00E44750"/>
    <w:rsid w:val="00E460B9"/>
    <w:rsid w:val="00E46693"/>
    <w:rsid w:val="00E4730C"/>
    <w:rsid w:val="00E475E3"/>
    <w:rsid w:val="00E476F3"/>
    <w:rsid w:val="00E47752"/>
    <w:rsid w:val="00E506C0"/>
    <w:rsid w:val="00E50DCB"/>
    <w:rsid w:val="00E5237F"/>
    <w:rsid w:val="00E52A78"/>
    <w:rsid w:val="00E52C77"/>
    <w:rsid w:val="00E5418E"/>
    <w:rsid w:val="00E546A3"/>
    <w:rsid w:val="00E56616"/>
    <w:rsid w:val="00E57225"/>
    <w:rsid w:val="00E578EA"/>
    <w:rsid w:val="00E579AD"/>
    <w:rsid w:val="00E579D9"/>
    <w:rsid w:val="00E57ABF"/>
    <w:rsid w:val="00E60686"/>
    <w:rsid w:val="00E60A40"/>
    <w:rsid w:val="00E60B6C"/>
    <w:rsid w:val="00E60BD8"/>
    <w:rsid w:val="00E610D6"/>
    <w:rsid w:val="00E61E04"/>
    <w:rsid w:val="00E62545"/>
    <w:rsid w:val="00E634C2"/>
    <w:rsid w:val="00E63739"/>
    <w:rsid w:val="00E66945"/>
    <w:rsid w:val="00E66B54"/>
    <w:rsid w:val="00E676DB"/>
    <w:rsid w:val="00E67D53"/>
    <w:rsid w:val="00E70756"/>
    <w:rsid w:val="00E714B5"/>
    <w:rsid w:val="00E721AA"/>
    <w:rsid w:val="00E7251F"/>
    <w:rsid w:val="00E73E2C"/>
    <w:rsid w:val="00E7419E"/>
    <w:rsid w:val="00E7461E"/>
    <w:rsid w:val="00E75779"/>
    <w:rsid w:val="00E75B48"/>
    <w:rsid w:val="00E7627D"/>
    <w:rsid w:val="00E762C6"/>
    <w:rsid w:val="00E766C9"/>
    <w:rsid w:val="00E768E8"/>
    <w:rsid w:val="00E77754"/>
    <w:rsid w:val="00E8055C"/>
    <w:rsid w:val="00E80DA1"/>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2C60"/>
    <w:rsid w:val="00E968DD"/>
    <w:rsid w:val="00E9720B"/>
    <w:rsid w:val="00E97F1F"/>
    <w:rsid w:val="00EA0045"/>
    <w:rsid w:val="00EA10E9"/>
    <w:rsid w:val="00EA18E4"/>
    <w:rsid w:val="00EA1D4E"/>
    <w:rsid w:val="00EA2483"/>
    <w:rsid w:val="00EA27BD"/>
    <w:rsid w:val="00EA2B54"/>
    <w:rsid w:val="00EA3918"/>
    <w:rsid w:val="00EA456A"/>
    <w:rsid w:val="00EA5A5B"/>
    <w:rsid w:val="00EA6727"/>
    <w:rsid w:val="00EA6B25"/>
    <w:rsid w:val="00EA6CF7"/>
    <w:rsid w:val="00EA7647"/>
    <w:rsid w:val="00EA7E01"/>
    <w:rsid w:val="00EB159D"/>
    <w:rsid w:val="00EB2239"/>
    <w:rsid w:val="00EB2333"/>
    <w:rsid w:val="00EB2F8D"/>
    <w:rsid w:val="00EB37B7"/>
    <w:rsid w:val="00EB5D44"/>
    <w:rsid w:val="00EB613E"/>
    <w:rsid w:val="00EB66B7"/>
    <w:rsid w:val="00EB6B5B"/>
    <w:rsid w:val="00EB6E71"/>
    <w:rsid w:val="00EB7922"/>
    <w:rsid w:val="00EB7EB7"/>
    <w:rsid w:val="00EC0AEF"/>
    <w:rsid w:val="00EC12F2"/>
    <w:rsid w:val="00EC1FA5"/>
    <w:rsid w:val="00EC3917"/>
    <w:rsid w:val="00EC4C4C"/>
    <w:rsid w:val="00EC4E3D"/>
    <w:rsid w:val="00EC749B"/>
    <w:rsid w:val="00EC77BE"/>
    <w:rsid w:val="00EC7903"/>
    <w:rsid w:val="00EC7E43"/>
    <w:rsid w:val="00ED0059"/>
    <w:rsid w:val="00ED03B0"/>
    <w:rsid w:val="00ED0A7D"/>
    <w:rsid w:val="00ED172A"/>
    <w:rsid w:val="00ED18D6"/>
    <w:rsid w:val="00ED198F"/>
    <w:rsid w:val="00ED1F58"/>
    <w:rsid w:val="00ED2760"/>
    <w:rsid w:val="00ED2AED"/>
    <w:rsid w:val="00ED3323"/>
    <w:rsid w:val="00ED58D9"/>
    <w:rsid w:val="00ED6332"/>
    <w:rsid w:val="00ED6AC5"/>
    <w:rsid w:val="00ED7E1C"/>
    <w:rsid w:val="00ED7E4E"/>
    <w:rsid w:val="00EE0006"/>
    <w:rsid w:val="00EE0D80"/>
    <w:rsid w:val="00EE0DCF"/>
    <w:rsid w:val="00EE1437"/>
    <w:rsid w:val="00EE143C"/>
    <w:rsid w:val="00EE1F93"/>
    <w:rsid w:val="00EE32CC"/>
    <w:rsid w:val="00EE38BF"/>
    <w:rsid w:val="00EE3E8E"/>
    <w:rsid w:val="00EE4C84"/>
    <w:rsid w:val="00EE5252"/>
    <w:rsid w:val="00EE5625"/>
    <w:rsid w:val="00EE5785"/>
    <w:rsid w:val="00EE5D30"/>
    <w:rsid w:val="00EE60BB"/>
    <w:rsid w:val="00EF0A2D"/>
    <w:rsid w:val="00EF1BE7"/>
    <w:rsid w:val="00EF2487"/>
    <w:rsid w:val="00EF2F13"/>
    <w:rsid w:val="00EF3104"/>
    <w:rsid w:val="00EF3C04"/>
    <w:rsid w:val="00EF427D"/>
    <w:rsid w:val="00EF4D5A"/>
    <w:rsid w:val="00EF5F6B"/>
    <w:rsid w:val="00EF6596"/>
    <w:rsid w:val="00EF69F4"/>
    <w:rsid w:val="00EF6CAD"/>
    <w:rsid w:val="00EF7179"/>
    <w:rsid w:val="00EF770C"/>
    <w:rsid w:val="00F00521"/>
    <w:rsid w:val="00F007BC"/>
    <w:rsid w:val="00F00C58"/>
    <w:rsid w:val="00F0181A"/>
    <w:rsid w:val="00F01958"/>
    <w:rsid w:val="00F0217F"/>
    <w:rsid w:val="00F03288"/>
    <w:rsid w:val="00F03D4A"/>
    <w:rsid w:val="00F04717"/>
    <w:rsid w:val="00F04E84"/>
    <w:rsid w:val="00F0501D"/>
    <w:rsid w:val="00F058F5"/>
    <w:rsid w:val="00F05C5D"/>
    <w:rsid w:val="00F05C96"/>
    <w:rsid w:val="00F06067"/>
    <w:rsid w:val="00F0607D"/>
    <w:rsid w:val="00F062DA"/>
    <w:rsid w:val="00F06618"/>
    <w:rsid w:val="00F068FF"/>
    <w:rsid w:val="00F07DD9"/>
    <w:rsid w:val="00F10637"/>
    <w:rsid w:val="00F122A0"/>
    <w:rsid w:val="00F13CBC"/>
    <w:rsid w:val="00F145BC"/>
    <w:rsid w:val="00F15EAB"/>
    <w:rsid w:val="00F15EFB"/>
    <w:rsid w:val="00F165C6"/>
    <w:rsid w:val="00F1758F"/>
    <w:rsid w:val="00F2005C"/>
    <w:rsid w:val="00F202F9"/>
    <w:rsid w:val="00F20553"/>
    <w:rsid w:val="00F2061A"/>
    <w:rsid w:val="00F21F1E"/>
    <w:rsid w:val="00F233B5"/>
    <w:rsid w:val="00F24B1C"/>
    <w:rsid w:val="00F25338"/>
    <w:rsid w:val="00F25652"/>
    <w:rsid w:val="00F25831"/>
    <w:rsid w:val="00F25A94"/>
    <w:rsid w:val="00F262DA"/>
    <w:rsid w:val="00F26417"/>
    <w:rsid w:val="00F27645"/>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5623"/>
    <w:rsid w:val="00F36175"/>
    <w:rsid w:val="00F36530"/>
    <w:rsid w:val="00F372A5"/>
    <w:rsid w:val="00F372FF"/>
    <w:rsid w:val="00F3775F"/>
    <w:rsid w:val="00F37924"/>
    <w:rsid w:val="00F4108E"/>
    <w:rsid w:val="00F42138"/>
    <w:rsid w:val="00F42465"/>
    <w:rsid w:val="00F4262F"/>
    <w:rsid w:val="00F42CD1"/>
    <w:rsid w:val="00F4386F"/>
    <w:rsid w:val="00F43F96"/>
    <w:rsid w:val="00F44A7F"/>
    <w:rsid w:val="00F450A0"/>
    <w:rsid w:val="00F45A7B"/>
    <w:rsid w:val="00F45C80"/>
    <w:rsid w:val="00F461E0"/>
    <w:rsid w:val="00F46471"/>
    <w:rsid w:val="00F477A5"/>
    <w:rsid w:val="00F47991"/>
    <w:rsid w:val="00F47CE5"/>
    <w:rsid w:val="00F507D3"/>
    <w:rsid w:val="00F51CEE"/>
    <w:rsid w:val="00F52AC1"/>
    <w:rsid w:val="00F537FC"/>
    <w:rsid w:val="00F538C6"/>
    <w:rsid w:val="00F53F7F"/>
    <w:rsid w:val="00F54623"/>
    <w:rsid w:val="00F55BBB"/>
    <w:rsid w:val="00F5635E"/>
    <w:rsid w:val="00F5694E"/>
    <w:rsid w:val="00F600B2"/>
    <w:rsid w:val="00F60D81"/>
    <w:rsid w:val="00F60DE5"/>
    <w:rsid w:val="00F611F2"/>
    <w:rsid w:val="00F61BCF"/>
    <w:rsid w:val="00F620A3"/>
    <w:rsid w:val="00F6212A"/>
    <w:rsid w:val="00F62764"/>
    <w:rsid w:val="00F62BE9"/>
    <w:rsid w:val="00F62E5E"/>
    <w:rsid w:val="00F62F20"/>
    <w:rsid w:val="00F63337"/>
    <w:rsid w:val="00F64223"/>
    <w:rsid w:val="00F64848"/>
    <w:rsid w:val="00F65C7A"/>
    <w:rsid w:val="00F662E4"/>
    <w:rsid w:val="00F668E1"/>
    <w:rsid w:val="00F66EC9"/>
    <w:rsid w:val="00F66FBE"/>
    <w:rsid w:val="00F70FBC"/>
    <w:rsid w:val="00F71707"/>
    <w:rsid w:val="00F720E7"/>
    <w:rsid w:val="00F72517"/>
    <w:rsid w:val="00F7337E"/>
    <w:rsid w:val="00F73936"/>
    <w:rsid w:val="00F73B57"/>
    <w:rsid w:val="00F74EA0"/>
    <w:rsid w:val="00F7554B"/>
    <w:rsid w:val="00F75E2D"/>
    <w:rsid w:val="00F76CCA"/>
    <w:rsid w:val="00F76F3D"/>
    <w:rsid w:val="00F7713B"/>
    <w:rsid w:val="00F80220"/>
    <w:rsid w:val="00F80284"/>
    <w:rsid w:val="00F80526"/>
    <w:rsid w:val="00F80C15"/>
    <w:rsid w:val="00F81505"/>
    <w:rsid w:val="00F826BE"/>
    <w:rsid w:val="00F82703"/>
    <w:rsid w:val="00F8310C"/>
    <w:rsid w:val="00F834EB"/>
    <w:rsid w:val="00F8469B"/>
    <w:rsid w:val="00F84D3E"/>
    <w:rsid w:val="00F86CE9"/>
    <w:rsid w:val="00F87062"/>
    <w:rsid w:val="00F87154"/>
    <w:rsid w:val="00F8779D"/>
    <w:rsid w:val="00F878E3"/>
    <w:rsid w:val="00F87A1F"/>
    <w:rsid w:val="00F9163C"/>
    <w:rsid w:val="00F91E33"/>
    <w:rsid w:val="00F91FC7"/>
    <w:rsid w:val="00F92426"/>
    <w:rsid w:val="00F92589"/>
    <w:rsid w:val="00F9426F"/>
    <w:rsid w:val="00F9467D"/>
    <w:rsid w:val="00F94B51"/>
    <w:rsid w:val="00F94F57"/>
    <w:rsid w:val="00F95677"/>
    <w:rsid w:val="00F956C8"/>
    <w:rsid w:val="00F95D43"/>
    <w:rsid w:val="00F974EC"/>
    <w:rsid w:val="00F97E58"/>
    <w:rsid w:val="00FA0560"/>
    <w:rsid w:val="00FA09FA"/>
    <w:rsid w:val="00FA1166"/>
    <w:rsid w:val="00FA15E3"/>
    <w:rsid w:val="00FA24D1"/>
    <w:rsid w:val="00FA2A73"/>
    <w:rsid w:val="00FA368B"/>
    <w:rsid w:val="00FA3D47"/>
    <w:rsid w:val="00FA4D7C"/>
    <w:rsid w:val="00FA5872"/>
    <w:rsid w:val="00FA58AA"/>
    <w:rsid w:val="00FA6A76"/>
    <w:rsid w:val="00FA6F63"/>
    <w:rsid w:val="00FA78E0"/>
    <w:rsid w:val="00FA7BAD"/>
    <w:rsid w:val="00FA7E06"/>
    <w:rsid w:val="00FB064D"/>
    <w:rsid w:val="00FB0C8D"/>
    <w:rsid w:val="00FB1461"/>
    <w:rsid w:val="00FB3570"/>
    <w:rsid w:val="00FB3A31"/>
    <w:rsid w:val="00FB3E10"/>
    <w:rsid w:val="00FB436A"/>
    <w:rsid w:val="00FB477C"/>
    <w:rsid w:val="00FB486A"/>
    <w:rsid w:val="00FB4D50"/>
    <w:rsid w:val="00FB5996"/>
    <w:rsid w:val="00FB5E6C"/>
    <w:rsid w:val="00FB5F7F"/>
    <w:rsid w:val="00FB6370"/>
    <w:rsid w:val="00FB67C4"/>
    <w:rsid w:val="00FB71DD"/>
    <w:rsid w:val="00FB7594"/>
    <w:rsid w:val="00FB7944"/>
    <w:rsid w:val="00FB7D62"/>
    <w:rsid w:val="00FC0B24"/>
    <w:rsid w:val="00FC169E"/>
    <w:rsid w:val="00FC2D08"/>
    <w:rsid w:val="00FC3844"/>
    <w:rsid w:val="00FC3E8F"/>
    <w:rsid w:val="00FC435B"/>
    <w:rsid w:val="00FC47AB"/>
    <w:rsid w:val="00FC4808"/>
    <w:rsid w:val="00FC4F92"/>
    <w:rsid w:val="00FC6761"/>
    <w:rsid w:val="00FC7133"/>
    <w:rsid w:val="00FD0742"/>
    <w:rsid w:val="00FD0955"/>
    <w:rsid w:val="00FD0CC6"/>
    <w:rsid w:val="00FD1200"/>
    <w:rsid w:val="00FD1372"/>
    <w:rsid w:val="00FD1C0A"/>
    <w:rsid w:val="00FD1C84"/>
    <w:rsid w:val="00FD2430"/>
    <w:rsid w:val="00FD251A"/>
    <w:rsid w:val="00FD2A31"/>
    <w:rsid w:val="00FD2A32"/>
    <w:rsid w:val="00FD2BE7"/>
    <w:rsid w:val="00FD33B4"/>
    <w:rsid w:val="00FD33F0"/>
    <w:rsid w:val="00FD3C2A"/>
    <w:rsid w:val="00FD3F3F"/>
    <w:rsid w:val="00FD47C6"/>
    <w:rsid w:val="00FD4A71"/>
    <w:rsid w:val="00FD4C91"/>
    <w:rsid w:val="00FD4FB7"/>
    <w:rsid w:val="00FD5A44"/>
    <w:rsid w:val="00FD5FDF"/>
    <w:rsid w:val="00FD6A36"/>
    <w:rsid w:val="00FD7098"/>
    <w:rsid w:val="00FD780C"/>
    <w:rsid w:val="00FD7AF7"/>
    <w:rsid w:val="00FD7CEC"/>
    <w:rsid w:val="00FE0175"/>
    <w:rsid w:val="00FE0463"/>
    <w:rsid w:val="00FE08AC"/>
    <w:rsid w:val="00FE0BB0"/>
    <w:rsid w:val="00FE12FF"/>
    <w:rsid w:val="00FE1874"/>
    <w:rsid w:val="00FE19F2"/>
    <w:rsid w:val="00FE23DB"/>
    <w:rsid w:val="00FE365E"/>
    <w:rsid w:val="00FE4664"/>
    <w:rsid w:val="00FE76B5"/>
    <w:rsid w:val="00FE7F2B"/>
    <w:rsid w:val="00FF13B8"/>
    <w:rsid w:val="00FF206E"/>
    <w:rsid w:val="00FF2B9D"/>
    <w:rsid w:val="00FF2F76"/>
    <w:rsid w:val="00FF488C"/>
    <w:rsid w:val="00FF49D5"/>
    <w:rsid w:val="00FF4C04"/>
    <w:rsid w:val="00FF4CA1"/>
    <w:rsid w:val="00FF4D99"/>
    <w:rsid w:val="00FF5026"/>
    <w:rsid w:val="00FF52F8"/>
    <w:rsid w:val="00FF5615"/>
    <w:rsid w:val="00FF6AB7"/>
    <w:rsid w:val="00FF71A6"/>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70023">
      <w:bodyDiv w:val="1"/>
      <w:marLeft w:val="0"/>
      <w:marRight w:val="0"/>
      <w:marTop w:val="0"/>
      <w:marBottom w:val="0"/>
      <w:divBdr>
        <w:top w:val="none" w:sz="0" w:space="0" w:color="auto"/>
        <w:left w:val="none" w:sz="0" w:space="0" w:color="auto"/>
        <w:bottom w:val="none" w:sz="0" w:space="0" w:color="auto"/>
        <w:right w:val="none" w:sz="0" w:space="0" w:color="auto"/>
      </w:divBdr>
    </w:div>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20788">
      <w:bodyDiv w:val="1"/>
      <w:marLeft w:val="0"/>
      <w:marRight w:val="0"/>
      <w:marTop w:val="0"/>
      <w:marBottom w:val="0"/>
      <w:divBdr>
        <w:top w:val="none" w:sz="0" w:space="0" w:color="auto"/>
        <w:left w:val="none" w:sz="0" w:space="0" w:color="auto"/>
        <w:bottom w:val="none" w:sz="0" w:space="0" w:color="auto"/>
        <w:right w:val="none" w:sz="0" w:space="0" w:color="auto"/>
      </w:divBdr>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679E-1A62-415C-8AF9-336B443D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32</Pages>
  <Words>8167</Words>
  <Characters>46558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Miller, Sara</cp:lastModifiedBy>
  <cp:revision>18</cp:revision>
  <cp:lastPrinted>2013-07-26T13:10:00Z</cp:lastPrinted>
  <dcterms:created xsi:type="dcterms:W3CDTF">2013-07-18T17:44:00Z</dcterms:created>
  <dcterms:modified xsi:type="dcterms:W3CDTF">2013-07-26T13:10:00Z</dcterms:modified>
</cp:coreProperties>
</file>