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8A" w:rsidRDefault="00303F8A" w:rsidP="00303F8A">
      <w:pPr>
        <w:spacing w:line="240" w:lineRule="auto"/>
        <w:rPr>
          <w:b/>
        </w:rPr>
      </w:pPr>
      <w:r>
        <w:rPr>
          <w:b/>
        </w:rPr>
        <w:t>BEFORE THE</w:t>
      </w:r>
    </w:p>
    <w:p w:rsidR="00303F8A" w:rsidRDefault="00303F8A" w:rsidP="00303F8A">
      <w:pPr>
        <w:spacing w:line="240" w:lineRule="auto"/>
        <w:rPr>
          <w:b/>
        </w:rPr>
      </w:pPr>
      <w:r>
        <w:rPr>
          <w:b/>
        </w:rPr>
        <w:t>PENNSYLVANIA PUBLIC UTILITY COMMISSION</w:t>
      </w:r>
    </w:p>
    <w:p w:rsidR="00303F8A" w:rsidRDefault="00303F8A" w:rsidP="00303F8A">
      <w:pPr>
        <w:spacing w:line="240" w:lineRule="auto"/>
        <w:rPr>
          <w:b/>
        </w:rPr>
      </w:pPr>
    </w:p>
    <w:p w:rsidR="00FF348F" w:rsidRDefault="00FF348F" w:rsidP="00303F8A">
      <w:pPr>
        <w:spacing w:line="240" w:lineRule="auto"/>
        <w:rPr>
          <w:b/>
        </w:rPr>
      </w:pPr>
    </w:p>
    <w:p w:rsidR="00303F8A" w:rsidRDefault="00303F8A" w:rsidP="00303F8A">
      <w:pPr>
        <w:spacing w:line="240" w:lineRule="auto"/>
        <w:jc w:val="left"/>
      </w:pPr>
      <w:r>
        <w:t>LouiGens Piller</w:t>
      </w:r>
      <w:r>
        <w:tab/>
      </w:r>
      <w:r>
        <w:tab/>
      </w:r>
      <w:r>
        <w:tab/>
      </w:r>
      <w:r>
        <w:tab/>
        <w:t>:</w:t>
      </w:r>
    </w:p>
    <w:p w:rsidR="00303F8A" w:rsidRDefault="00303F8A" w:rsidP="00303F8A">
      <w:pPr>
        <w:spacing w:line="240" w:lineRule="auto"/>
        <w:jc w:val="left"/>
      </w:pPr>
      <w:r>
        <w:tab/>
      </w:r>
      <w:r>
        <w:tab/>
      </w:r>
      <w:r>
        <w:tab/>
      </w:r>
      <w:r>
        <w:tab/>
      </w:r>
      <w:r>
        <w:tab/>
      </w:r>
      <w:r>
        <w:tab/>
        <w:t>:</w:t>
      </w:r>
    </w:p>
    <w:p w:rsidR="00303F8A" w:rsidRDefault="00303F8A" w:rsidP="00303F8A">
      <w:pPr>
        <w:spacing w:line="240" w:lineRule="auto"/>
        <w:jc w:val="left"/>
      </w:pPr>
      <w:r>
        <w:tab/>
        <w:t>v.</w:t>
      </w:r>
      <w:r>
        <w:tab/>
      </w:r>
      <w:r>
        <w:tab/>
      </w:r>
      <w:r>
        <w:tab/>
      </w:r>
      <w:r>
        <w:tab/>
      </w:r>
      <w:r>
        <w:tab/>
        <w:t>:</w:t>
      </w:r>
      <w:r>
        <w:tab/>
      </w:r>
      <w:r>
        <w:tab/>
      </w:r>
      <w:r>
        <w:tab/>
        <w:t>C-2013-2365623</w:t>
      </w:r>
    </w:p>
    <w:p w:rsidR="00303F8A" w:rsidRDefault="00303F8A" w:rsidP="00303F8A">
      <w:pPr>
        <w:spacing w:line="240" w:lineRule="auto"/>
        <w:jc w:val="left"/>
      </w:pPr>
      <w:r>
        <w:tab/>
      </w:r>
      <w:r>
        <w:tab/>
      </w:r>
      <w:r>
        <w:tab/>
      </w:r>
      <w:r>
        <w:tab/>
      </w:r>
      <w:r>
        <w:tab/>
      </w:r>
      <w:r>
        <w:tab/>
        <w:t>:</w:t>
      </w:r>
    </w:p>
    <w:p w:rsidR="00303F8A" w:rsidRDefault="00303F8A" w:rsidP="00303F8A">
      <w:pPr>
        <w:spacing w:line="240" w:lineRule="auto"/>
        <w:jc w:val="left"/>
      </w:pPr>
      <w:r>
        <w:t>Philadelphia Gas Works</w:t>
      </w:r>
      <w:r>
        <w:tab/>
      </w:r>
      <w:r>
        <w:tab/>
      </w:r>
      <w:r>
        <w:tab/>
        <w:t>:</w:t>
      </w:r>
    </w:p>
    <w:p w:rsidR="00303F8A" w:rsidRDefault="00303F8A" w:rsidP="00303F8A">
      <w:pPr>
        <w:spacing w:line="240" w:lineRule="auto"/>
        <w:jc w:val="left"/>
      </w:pPr>
    </w:p>
    <w:p w:rsidR="00303F8A" w:rsidRDefault="00303F8A" w:rsidP="00303F8A">
      <w:pPr>
        <w:spacing w:line="240" w:lineRule="auto"/>
        <w:jc w:val="left"/>
      </w:pPr>
    </w:p>
    <w:p w:rsidR="00FF348F" w:rsidRDefault="00FF348F" w:rsidP="00303F8A">
      <w:pPr>
        <w:spacing w:line="240" w:lineRule="auto"/>
        <w:jc w:val="left"/>
      </w:pPr>
    </w:p>
    <w:p w:rsidR="00303F8A" w:rsidRPr="005F1921" w:rsidRDefault="00303F8A" w:rsidP="00303F8A">
      <w:pPr>
        <w:spacing w:line="240" w:lineRule="auto"/>
        <w:rPr>
          <w:b/>
          <w:u w:val="single"/>
        </w:rPr>
      </w:pPr>
      <w:r w:rsidRPr="005F1921">
        <w:rPr>
          <w:b/>
          <w:u w:val="single"/>
        </w:rPr>
        <w:t xml:space="preserve">INITIAL DECISION DISMISSING COMPLAINT FOR </w:t>
      </w:r>
    </w:p>
    <w:p w:rsidR="00303F8A" w:rsidRPr="005F1921" w:rsidRDefault="00303F8A" w:rsidP="00303F8A">
      <w:pPr>
        <w:spacing w:line="240" w:lineRule="auto"/>
        <w:rPr>
          <w:b/>
          <w:u w:val="single"/>
        </w:rPr>
      </w:pPr>
      <w:r w:rsidRPr="005F1921">
        <w:rPr>
          <w:b/>
          <w:u w:val="single"/>
        </w:rPr>
        <w:t>FAILURE TO FILE A MORE SPECIFIC PLEADING</w:t>
      </w:r>
    </w:p>
    <w:p w:rsidR="00303F8A" w:rsidRPr="005F1921" w:rsidRDefault="00303F8A" w:rsidP="00303F8A">
      <w:pPr>
        <w:spacing w:line="240" w:lineRule="auto"/>
        <w:rPr>
          <w:b/>
          <w:u w:val="single"/>
        </w:rPr>
      </w:pPr>
    </w:p>
    <w:p w:rsidR="00303F8A" w:rsidRDefault="00303F8A" w:rsidP="00303F8A">
      <w:pPr>
        <w:spacing w:line="240" w:lineRule="auto"/>
        <w:rPr>
          <w:b/>
        </w:rPr>
      </w:pPr>
    </w:p>
    <w:p w:rsidR="00303F8A" w:rsidRDefault="00303F8A" w:rsidP="00303F8A">
      <w:pPr>
        <w:spacing w:line="240" w:lineRule="auto"/>
      </w:pPr>
      <w:r>
        <w:t>Before</w:t>
      </w:r>
    </w:p>
    <w:p w:rsidR="00303F8A" w:rsidRDefault="00303F8A" w:rsidP="00303F8A">
      <w:pPr>
        <w:spacing w:line="240" w:lineRule="auto"/>
      </w:pPr>
      <w:r>
        <w:t>Susan D. Colwell</w:t>
      </w:r>
    </w:p>
    <w:p w:rsidR="00303F8A" w:rsidRDefault="00303F8A" w:rsidP="00303F8A">
      <w:pPr>
        <w:spacing w:line="240" w:lineRule="auto"/>
      </w:pPr>
      <w:r>
        <w:t>Administrative Law Judge</w:t>
      </w:r>
    </w:p>
    <w:p w:rsidR="00303F8A" w:rsidRPr="00303F8A" w:rsidRDefault="00303F8A" w:rsidP="00303F8A">
      <w:pPr>
        <w:spacing w:line="240" w:lineRule="auto"/>
      </w:pPr>
    </w:p>
    <w:p w:rsidR="00303F8A" w:rsidRDefault="00303F8A" w:rsidP="00303F8A">
      <w:pPr>
        <w:spacing w:line="240" w:lineRule="auto"/>
        <w:rPr>
          <w:b/>
        </w:rPr>
      </w:pPr>
    </w:p>
    <w:p w:rsidR="00303F8A" w:rsidRDefault="00303F8A" w:rsidP="00303F8A">
      <w:pPr>
        <w:spacing w:line="240" w:lineRule="auto"/>
        <w:rPr>
          <w:u w:val="single"/>
        </w:rPr>
      </w:pPr>
      <w:r>
        <w:rPr>
          <w:u w:val="single"/>
        </w:rPr>
        <w:t>HISTORY OF THE PROCEEDING</w:t>
      </w:r>
    </w:p>
    <w:p w:rsidR="00303F8A" w:rsidRDefault="00303F8A" w:rsidP="00303F8A">
      <w:pPr>
        <w:spacing w:line="240" w:lineRule="auto"/>
        <w:rPr>
          <w:u w:val="single"/>
        </w:rPr>
      </w:pPr>
    </w:p>
    <w:p w:rsidR="00303F8A" w:rsidRDefault="00303F8A" w:rsidP="00303F8A">
      <w:pPr>
        <w:spacing w:line="240" w:lineRule="auto"/>
        <w:rPr>
          <w:u w:val="single"/>
        </w:rPr>
      </w:pPr>
    </w:p>
    <w:p w:rsidR="00303F8A" w:rsidRDefault="00303F8A" w:rsidP="00303F8A">
      <w:pPr>
        <w:jc w:val="left"/>
      </w:pPr>
      <w:r>
        <w:tab/>
      </w:r>
      <w:r>
        <w:tab/>
        <w:t xml:space="preserve">On May 6, 2013, LouiGens Piller (Complainant) filed a formal Complaint against Philadelphia Gas Works (Respondent or PGW or utility) on a complaint form available from the Commission.  For Paragraph 4, Reason for Complaint, Complainant checked the box next to the statement: "Incorrect charges are on my bill.  Provide dates that are important and an explanation about any amounts or charges that you believe are not correct.  Attach a copy of the bill(s) in question if you have it/them."  However, Complainant did not provide any additional information regarding the nature of the allegations against the utility, and there is nothing other than a checked box.  </w:t>
      </w:r>
    </w:p>
    <w:p w:rsidR="00303F8A" w:rsidRDefault="00303F8A" w:rsidP="00303F8A">
      <w:pPr>
        <w:jc w:val="left"/>
      </w:pPr>
    </w:p>
    <w:p w:rsidR="00303F8A" w:rsidRDefault="00303F8A" w:rsidP="00303F8A">
      <w:pPr>
        <w:jc w:val="left"/>
      </w:pPr>
      <w:r>
        <w:tab/>
      </w:r>
      <w:r>
        <w:tab/>
        <w:t>The Complaint was served by the Commission's Secretary on May 28, 2013.  On June 17, 2013, PGW filed Preliminary Objections (POs), citing 52 Pa. Code § 5.101(a)(3), insufficient specificity of a pleading, seeking Commission direction to amend the Complaint or in the alternative, to dismiss it.</w:t>
      </w:r>
    </w:p>
    <w:p w:rsidR="00303F8A" w:rsidRDefault="00303F8A" w:rsidP="00303F8A">
      <w:pPr>
        <w:jc w:val="left"/>
      </w:pPr>
    </w:p>
    <w:p w:rsidR="00F87281" w:rsidRDefault="00303F8A" w:rsidP="00303F8A">
      <w:pPr>
        <w:jc w:val="left"/>
      </w:pPr>
      <w:r>
        <w:lastRenderedPageBreak/>
        <w:tab/>
      </w:r>
      <w:r>
        <w:tab/>
      </w:r>
      <w:r w:rsidR="00F87281">
        <w:t>N</w:t>
      </w:r>
      <w:r>
        <w:t xml:space="preserve">o responsive pleading </w:t>
      </w:r>
      <w:r w:rsidR="00F87281">
        <w:t>w</w:t>
      </w:r>
      <w:r>
        <w:t xml:space="preserve">as filed.  </w:t>
      </w:r>
      <w:r w:rsidR="00F87281">
        <w:t>On July 8, 2013, I issued an Order Granting the Preliminary Objections and Directing the Filing of a More Specific Pleading</w:t>
      </w:r>
      <w:r>
        <w:t>.</w:t>
      </w:r>
      <w:r w:rsidR="00F87281">
        <w:t xml:space="preserve">  The Order directed the filing of an amended complaint within ten days of the date of the Order.  </w:t>
      </w:r>
    </w:p>
    <w:p w:rsidR="00F87281" w:rsidRDefault="00F87281" w:rsidP="00303F8A">
      <w:pPr>
        <w:jc w:val="left"/>
      </w:pPr>
    </w:p>
    <w:p w:rsidR="00F87281" w:rsidRDefault="00F87281" w:rsidP="00303F8A">
      <w:pPr>
        <w:jc w:val="left"/>
      </w:pPr>
      <w:r>
        <w:tab/>
      </w:r>
      <w:r>
        <w:tab/>
        <w:t>No amended complaint has been filed, and the ten days has run.  This matter is ripe for disposition.</w:t>
      </w:r>
    </w:p>
    <w:p w:rsidR="00F87281" w:rsidRDefault="00F87281" w:rsidP="00303F8A">
      <w:pPr>
        <w:jc w:val="left"/>
      </w:pPr>
    </w:p>
    <w:p w:rsidR="00303F8A" w:rsidRDefault="00F87281" w:rsidP="00F87281">
      <w:pPr>
        <w:rPr>
          <w:u w:val="single"/>
        </w:rPr>
      </w:pPr>
      <w:r>
        <w:rPr>
          <w:u w:val="single"/>
        </w:rPr>
        <w:t>FINDINGS OF FACT</w:t>
      </w:r>
    </w:p>
    <w:p w:rsidR="00F87281" w:rsidRDefault="00F87281" w:rsidP="00F87281">
      <w:pPr>
        <w:rPr>
          <w:u w:val="single"/>
        </w:rPr>
      </w:pPr>
    </w:p>
    <w:p w:rsidR="00F87281" w:rsidRDefault="00F87281" w:rsidP="00F87281">
      <w:pPr>
        <w:jc w:val="left"/>
      </w:pPr>
      <w:r>
        <w:tab/>
      </w:r>
      <w:r>
        <w:tab/>
        <w:t>1.</w:t>
      </w:r>
      <w:r>
        <w:tab/>
      </w:r>
      <w:r w:rsidR="001673F7">
        <w:t>Complainant is LouiGens Piller, 7216 Pittville Avenue, Philadelphia PA 19126.</w:t>
      </w:r>
    </w:p>
    <w:p w:rsidR="001673F7" w:rsidRDefault="001673F7" w:rsidP="00F87281">
      <w:pPr>
        <w:jc w:val="left"/>
      </w:pPr>
    </w:p>
    <w:p w:rsidR="001673F7" w:rsidRDefault="001673F7" w:rsidP="00F87281">
      <w:pPr>
        <w:jc w:val="left"/>
      </w:pPr>
      <w:r>
        <w:tab/>
      </w:r>
      <w:r>
        <w:tab/>
        <w:t>2.</w:t>
      </w:r>
      <w:r>
        <w:tab/>
        <w:t>Complainant filed a formal Complaint on May 6, 2013</w:t>
      </w:r>
      <w:r w:rsidR="002A1DAA">
        <w:t xml:space="preserve"> against Philadelphia Gas Works</w:t>
      </w:r>
      <w:r>
        <w:t>.</w:t>
      </w:r>
    </w:p>
    <w:p w:rsidR="001673F7" w:rsidRDefault="001673F7" w:rsidP="00F87281">
      <w:pPr>
        <w:jc w:val="left"/>
      </w:pPr>
    </w:p>
    <w:p w:rsidR="001673F7" w:rsidRDefault="001673F7" w:rsidP="00F87281">
      <w:pPr>
        <w:jc w:val="left"/>
      </w:pPr>
      <w:r>
        <w:tab/>
      </w:r>
      <w:r>
        <w:tab/>
        <w:t>3.</w:t>
      </w:r>
      <w:r>
        <w:tab/>
      </w:r>
      <w:r w:rsidR="002A1DAA">
        <w:t>The Complain</w:t>
      </w:r>
      <w:r w:rsidR="005F1921">
        <w:t>ant</w:t>
      </w:r>
      <w:r w:rsidR="002A1DAA">
        <w:t xml:space="preserve"> checked a box next to the statement:  Incorrect charges are on my bill.  Provide dates that are important and an explanation about any amounts or charges that you believe are not correct.  Attach a copy of the bill(s) in question if you have it/them.</w:t>
      </w:r>
      <w:r w:rsidR="005C092D">
        <w:t xml:space="preserve">  Cplt. ¶4.</w:t>
      </w:r>
    </w:p>
    <w:p w:rsidR="002A1DAA" w:rsidRDefault="002A1DAA" w:rsidP="00F87281">
      <w:pPr>
        <w:jc w:val="left"/>
      </w:pPr>
    </w:p>
    <w:p w:rsidR="002A1DAA" w:rsidRDefault="002A1DAA" w:rsidP="00F87281">
      <w:pPr>
        <w:jc w:val="left"/>
      </w:pPr>
      <w:r>
        <w:tab/>
      </w:r>
      <w:r>
        <w:tab/>
        <w:t>4.</w:t>
      </w:r>
      <w:r>
        <w:tab/>
      </w:r>
      <w:r w:rsidR="00B3352C">
        <w:t>No further information was provided by Complainant.</w:t>
      </w:r>
    </w:p>
    <w:p w:rsidR="00B3352C" w:rsidRDefault="00B3352C" w:rsidP="00F87281">
      <w:pPr>
        <w:jc w:val="left"/>
      </w:pPr>
    </w:p>
    <w:p w:rsidR="00B3352C" w:rsidRDefault="00B3352C" w:rsidP="00F87281">
      <w:pPr>
        <w:jc w:val="left"/>
      </w:pPr>
      <w:r>
        <w:tab/>
      </w:r>
      <w:r>
        <w:tab/>
        <w:t>5.</w:t>
      </w:r>
      <w:r>
        <w:tab/>
        <w:t>No relief was requested in the Complaint.</w:t>
      </w:r>
      <w:r w:rsidR="005C092D">
        <w:t xml:space="preserve"> Cplt. ¶5.</w:t>
      </w:r>
    </w:p>
    <w:p w:rsidR="00B3352C" w:rsidRDefault="00B3352C" w:rsidP="00F87281">
      <w:pPr>
        <w:jc w:val="left"/>
      </w:pPr>
    </w:p>
    <w:p w:rsidR="00B3352C" w:rsidRDefault="00B3352C" w:rsidP="00F87281">
      <w:pPr>
        <w:jc w:val="left"/>
      </w:pPr>
      <w:r>
        <w:tab/>
      </w:r>
      <w:r>
        <w:tab/>
        <w:t>6.</w:t>
      </w:r>
      <w:r>
        <w:tab/>
        <w:t xml:space="preserve">This is not an appeal from a Bureau of Consumer Services informal decision.  </w:t>
      </w:r>
      <w:r w:rsidR="005C092D">
        <w:t>Cplt. ¶7.</w:t>
      </w:r>
    </w:p>
    <w:p w:rsidR="00B3352C" w:rsidRDefault="00B3352C" w:rsidP="00F87281">
      <w:pPr>
        <w:jc w:val="left"/>
      </w:pPr>
    </w:p>
    <w:p w:rsidR="00B3352C" w:rsidRDefault="00B3352C" w:rsidP="00F87281">
      <w:pPr>
        <w:jc w:val="left"/>
      </w:pPr>
      <w:r>
        <w:tab/>
      </w:r>
      <w:r>
        <w:tab/>
        <w:t>7.</w:t>
      </w:r>
      <w:r>
        <w:tab/>
      </w:r>
      <w:r w:rsidR="005C092D">
        <w:t>Respondent is Philadelphia Gas Works, a jurisdictional public utility providing residential gas service in the Commonwealth of Pennsylvania.</w:t>
      </w:r>
    </w:p>
    <w:p w:rsidR="005C092D" w:rsidRDefault="005C092D" w:rsidP="00F87281">
      <w:pPr>
        <w:jc w:val="left"/>
      </w:pPr>
    </w:p>
    <w:p w:rsidR="005C092D" w:rsidRDefault="005C092D" w:rsidP="00F87281">
      <w:pPr>
        <w:jc w:val="left"/>
      </w:pPr>
      <w:r>
        <w:tab/>
      </w:r>
      <w:r>
        <w:tab/>
        <w:t>8.</w:t>
      </w:r>
      <w:r>
        <w:tab/>
        <w:t>Respondent filed Preliminary Objections on June 17, 2013, alleging insufficient specificity of the Complaint.</w:t>
      </w:r>
    </w:p>
    <w:p w:rsidR="005C092D" w:rsidRDefault="005C092D" w:rsidP="00F87281">
      <w:pPr>
        <w:jc w:val="left"/>
      </w:pPr>
    </w:p>
    <w:p w:rsidR="005C092D" w:rsidRDefault="005C092D" w:rsidP="00F87281">
      <w:pPr>
        <w:jc w:val="left"/>
      </w:pPr>
      <w:r>
        <w:tab/>
      </w:r>
      <w:r>
        <w:tab/>
        <w:t>9.</w:t>
      </w:r>
      <w:r>
        <w:tab/>
        <w:t>Complainant did not file a response to the Preliminary Objections.</w:t>
      </w:r>
    </w:p>
    <w:p w:rsidR="005C092D" w:rsidRDefault="005C092D" w:rsidP="00F87281">
      <w:pPr>
        <w:jc w:val="left"/>
      </w:pPr>
    </w:p>
    <w:p w:rsidR="005C092D" w:rsidRDefault="005C092D" w:rsidP="00F87281">
      <w:pPr>
        <w:jc w:val="left"/>
      </w:pPr>
      <w:r>
        <w:tab/>
      </w:r>
      <w:r>
        <w:tab/>
        <w:t>10.</w:t>
      </w:r>
      <w:r>
        <w:tab/>
        <w:t>On July 8, 2013, I issued an Order directing Complainant to file an amended complaint within ten days.</w:t>
      </w:r>
    </w:p>
    <w:p w:rsidR="005C092D" w:rsidRDefault="005C092D" w:rsidP="00F87281">
      <w:pPr>
        <w:jc w:val="left"/>
      </w:pPr>
    </w:p>
    <w:p w:rsidR="005C092D" w:rsidRDefault="005C092D" w:rsidP="005C092D">
      <w:pPr>
        <w:jc w:val="left"/>
      </w:pPr>
      <w:r>
        <w:tab/>
      </w:r>
      <w:r>
        <w:tab/>
        <w:t>11.</w:t>
      </w:r>
      <w:r>
        <w:tab/>
        <w:t>The time for filing an amended complaint has expired.</w:t>
      </w:r>
    </w:p>
    <w:p w:rsidR="005C092D" w:rsidRDefault="005C092D" w:rsidP="005C092D">
      <w:pPr>
        <w:jc w:val="left"/>
      </w:pPr>
    </w:p>
    <w:p w:rsidR="005C092D" w:rsidRDefault="005C092D" w:rsidP="005C092D">
      <w:pPr>
        <w:jc w:val="left"/>
      </w:pPr>
      <w:r>
        <w:tab/>
      </w:r>
      <w:r>
        <w:tab/>
        <w:t>12.</w:t>
      </w:r>
      <w:r>
        <w:tab/>
        <w:t>Complainant has not filed an amended complaint.</w:t>
      </w:r>
    </w:p>
    <w:p w:rsidR="005C092D" w:rsidRDefault="005C092D" w:rsidP="005C092D">
      <w:pPr>
        <w:jc w:val="left"/>
      </w:pPr>
    </w:p>
    <w:p w:rsidR="005C092D" w:rsidRDefault="005C092D" w:rsidP="005C092D">
      <w:pPr>
        <w:jc w:val="left"/>
      </w:pPr>
      <w:r>
        <w:tab/>
      </w:r>
      <w:r>
        <w:tab/>
        <w:t>13.</w:t>
      </w:r>
      <w:r>
        <w:tab/>
        <w:t>Complainant was informed in the July 8, 2013 Order that failure to file an amended complaint would result in the dismissal of the Complaint.</w:t>
      </w:r>
    </w:p>
    <w:p w:rsidR="005C092D" w:rsidRDefault="005C092D" w:rsidP="005C092D">
      <w:pPr>
        <w:jc w:val="left"/>
      </w:pPr>
    </w:p>
    <w:p w:rsidR="00303F8A" w:rsidRDefault="00303F8A" w:rsidP="00303F8A">
      <w:pPr>
        <w:rPr>
          <w:u w:val="single"/>
        </w:rPr>
      </w:pPr>
      <w:r>
        <w:rPr>
          <w:u w:val="single"/>
        </w:rPr>
        <w:t>DISCUSSION</w:t>
      </w:r>
    </w:p>
    <w:p w:rsidR="00303F8A" w:rsidRDefault="00303F8A" w:rsidP="00303F8A">
      <w:pPr>
        <w:rPr>
          <w:u w:val="single"/>
        </w:rPr>
      </w:pPr>
    </w:p>
    <w:p w:rsidR="00303F8A" w:rsidRDefault="00303F8A" w:rsidP="00303F8A">
      <w:pPr>
        <w:jc w:val="left"/>
      </w:pPr>
      <w:r>
        <w:tab/>
      </w:r>
      <w:r>
        <w:tab/>
        <w:t xml:space="preserve">The Commission’s regulations provide that the content of a formal complaint must include “A clear and concise statement of the act or omission being complained of including the result of any informal complaint or informal investigation,” and “A clear and concise statement of the relief sought.”  52 Pa. Code § 5.22(1)(5) and (6).  The subject Complaint contains no </w:t>
      </w:r>
      <w:r w:rsidR="005C092D">
        <w:t xml:space="preserve">factual </w:t>
      </w:r>
      <w:r>
        <w:t xml:space="preserve">allegations of wrongdoing. </w:t>
      </w:r>
    </w:p>
    <w:p w:rsidR="00303F8A" w:rsidRDefault="00303F8A" w:rsidP="00303F8A"/>
    <w:p w:rsidR="00303F8A" w:rsidRPr="00FA08B0" w:rsidRDefault="00303F8A" w:rsidP="00303F8A">
      <w:pPr>
        <w:jc w:val="left"/>
      </w:pPr>
      <w:r>
        <w:tab/>
      </w:r>
      <w:r>
        <w:tab/>
      </w:r>
      <w:r w:rsidRPr="00FA08B0">
        <w:t xml:space="preserve">The Commission’s rule is based on Pennsylvania’s Rule of Civil Procedure 1019, which requires a plaintiff to plead all the facts that he must prove in order to achieve recovery on the alleged cause of action. The </w:t>
      </w:r>
      <w:r w:rsidRPr="00FA08B0">
        <w:rPr>
          <w:rStyle w:val="term1"/>
          <w:b w:val="0"/>
        </w:rPr>
        <w:t>pleading</w:t>
      </w:r>
      <w:r w:rsidRPr="00FA08B0">
        <w:t xml:space="preserve"> must be sufficiently specific so that the defending party will know how to prepare his defense</w:t>
      </w:r>
      <w:r w:rsidRPr="00AF1D33">
        <w:t xml:space="preserve">. </w:t>
      </w:r>
      <w:hyperlink r:id="rId8" w:history="1">
        <w:r w:rsidRPr="00AF1D33">
          <w:rPr>
            <w:rStyle w:val="Hyperlink"/>
            <w:i/>
            <w:iCs/>
            <w:color w:val="auto"/>
            <w:u w:val="none"/>
          </w:rPr>
          <w:t>Department of Transportation v. Shipley Humble Oil Co.</w:t>
        </w:r>
        <w:r w:rsidRPr="00AF1D33">
          <w:rPr>
            <w:rStyle w:val="Hyperlink"/>
            <w:color w:val="auto"/>
            <w:u w:val="none"/>
          </w:rPr>
          <w:t>, 29 Pa. Commw. 171, 370 A.2d 438 (Pa. Cmwlth. 1977)</w:t>
        </w:r>
      </w:hyperlink>
      <w:r w:rsidRPr="00FA08B0">
        <w:t xml:space="preserve">. Pennsylvania is a fact </w:t>
      </w:r>
      <w:r w:rsidRPr="00FA08B0">
        <w:rPr>
          <w:rStyle w:val="term1"/>
          <w:b w:val="0"/>
        </w:rPr>
        <w:t>pleading,</w:t>
      </w:r>
      <w:r w:rsidRPr="00FA08B0">
        <w:t xml:space="preserve"> rather than notice, state. Thus, the </w:t>
      </w:r>
      <w:r w:rsidRPr="00FA08B0">
        <w:rPr>
          <w:rStyle w:val="term1"/>
          <w:b w:val="0"/>
        </w:rPr>
        <w:t>pleadings</w:t>
      </w:r>
      <w:r w:rsidRPr="00FA08B0">
        <w:rPr>
          <w:b/>
        </w:rPr>
        <w:t xml:space="preserve"> </w:t>
      </w:r>
      <w:r w:rsidRPr="00FA08B0">
        <w:t>should conform to the elements necessary to state a cause of action.</w:t>
      </w:r>
      <w:r>
        <w:t xml:space="preserve">  </w:t>
      </w:r>
      <w:r w:rsidRPr="00B67690">
        <w:rPr>
          <w:i/>
        </w:rPr>
        <w:t>Pappert v. Tapp Pharmaceuticals, et al</w:t>
      </w:r>
      <w:r w:rsidRPr="00FA08B0">
        <w:t>., 868 A.2d 624; 2005 Pa. Commw. LEXIS 39</w:t>
      </w:r>
      <w:r>
        <w:t>.</w:t>
      </w:r>
    </w:p>
    <w:p w:rsidR="00303F8A" w:rsidRPr="00FA08B0" w:rsidRDefault="00303F8A" w:rsidP="00303F8A">
      <w:pPr>
        <w:jc w:val="left"/>
      </w:pPr>
    </w:p>
    <w:p w:rsidR="00303F8A" w:rsidRDefault="005C092D" w:rsidP="00303F8A">
      <w:pPr>
        <w:jc w:val="left"/>
      </w:pPr>
      <w:r>
        <w:tab/>
      </w:r>
      <w:r>
        <w:tab/>
        <w:t xml:space="preserve">The present Complaint does not contain </w:t>
      </w:r>
      <w:r w:rsidR="00DA040F">
        <w:t xml:space="preserve">a single allegation that is specific enough for the utility to respond to or even to investigate.  </w:t>
      </w:r>
      <w:r w:rsidR="00D7098E">
        <w:t xml:space="preserve">"Incorrect charges are on my bill," </w:t>
      </w:r>
      <w:r w:rsidR="000D4B1A">
        <w:t xml:space="preserve">listed on the formal complaint form, along with the directive to supply more detail, </w:t>
      </w:r>
      <w:r w:rsidR="00D7098E">
        <w:t xml:space="preserve">is meant to be the starting point for the Complainant to provide specific details, such as, what are the incorrect charges, and on which bill or bills </w:t>
      </w:r>
      <w:r w:rsidR="005F1921">
        <w:t>d</w:t>
      </w:r>
      <w:r w:rsidR="00D7098E">
        <w:t>o they appear?  That information would give the utility a place to check its records.  Without the information, the utility is unable to formulate a valid response</w:t>
      </w:r>
      <w:r w:rsidR="000D4B1A">
        <w:t xml:space="preserve"> without guessing and assuming facts not provided.</w:t>
      </w:r>
      <w:r w:rsidR="00D7098E">
        <w:t xml:space="preserve">  </w:t>
      </w:r>
      <w:r w:rsidR="00303F8A">
        <w:t xml:space="preserve">A respondent is not required to guess whether the Complainant means to allege something, and it is also possible that a respondent will guess the wrong basis of the complaint.  </w:t>
      </w:r>
    </w:p>
    <w:p w:rsidR="000D4B1A" w:rsidRDefault="000D4B1A" w:rsidP="00303F8A">
      <w:pPr>
        <w:jc w:val="left"/>
      </w:pPr>
    </w:p>
    <w:p w:rsidR="00303F8A" w:rsidRDefault="00303F8A" w:rsidP="00303F8A">
      <w:pPr>
        <w:contextualSpacing/>
        <w:jc w:val="left"/>
      </w:pPr>
      <w:r>
        <w:tab/>
      </w:r>
      <w:r>
        <w:tab/>
      </w:r>
      <w:r w:rsidR="00D7098E">
        <w:t xml:space="preserve">The pleadings stage of any civil suit, including administrative proceedings, </w:t>
      </w:r>
      <w:r w:rsidR="005F1921">
        <w:t>has</w:t>
      </w:r>
      <w:r w:rsidR="000D4B1A">
        <w:t xml:space="preserve"> developed over the years in a</w:t>
      </w:r>
      <w:r w:rsidR="00D7098E">
        <w:t xml:space="preserve"> manner which facilitates the proceeding itself while protecting the due process rights of all parties.</w:t>
      </w:r>
      <w:r>
        <w:t xml:space="preserve">  A billing or service dispute</w:t>
      </w:r>
      <w:r w:rsidR="00D7098E">
        <w:t xml:space="preserve"> before the Commission </w:t>
      </w:r>
      <w:r>
        <w:t xml:space="preserve">is </w:t>
      </w:r>
      <w:r w:rsidR="000D4B1A">
        <w:t>initiated by</w:t>
      </w:r>
      <w:r>
        <w:t xml:space="preserve"> the filing of a complaint, which must set forth the clear and concise statement of the act or omission being complained of as well as the relief sought.  52 Pa. Code</w:t>
      </w:r>
      <w:r w:rsidR="00D7098E">
        <w:t xml:space="preserve"> </w:t>
      </w:r>
      <w:r>
        <w:t>§ 5.22.</w:t>
      </w:r>
      <w:r>
        <w:rPr>
          <w:rStyle w:val="FootnoteReference"/>
        </w:rPr>
        <w:footnoteReference w:id="1"/>
      </w:r>
      <w:r>
        <w:t xml:space="preserve">  The respondent public utility has twenty days to file a responsive pleading, which may include an answer, new matter, and/or preliminary objections.  52 Pa. Code §§ 5.61, 5.101.  These pleadings all have specific purposes.  </w:t>
      </w:r>
    </w:p>
    <w:p w:rsidR="00303F8A" w:rsidRDefault="00303F8A" w:rsidP="00303F8A">
      <w:pPr>
        <w:contextualSpacing/>
      </w:pPr>
      <w:r>
        <w:tab/>
      </w:r>
    </w:p>
    <w:p w:rsidR="00303F8A" w:rsidRDefault="00303F8A" w:rsidP="00303F8A">
      <w:pPr>
        <w:contextualSpacing/>
        <w:jc w:val="left"/>
      </w:pPr>
      <w:r>
        <w:tab/>
      </w:r>
      <w:r>
        <w:tab/>
        <w:t>An answer must advise the complainant and the Commission of the nature of the defense and is required to specifically admit or deny each factual allegation in the complaint.  52 Pa. Code § 5.61(b).  Failure to file an answer may result in the factual allegations of the complaint being deemed to be admitted.  52 Pa. Code § 5.61(c)</w:t>
      </w:r>
      <w:r>
        <w:rPr>
          <w:rStyle w:val="FootnoteReference"/>
        </w:rPr>
        <w:footnoteReference w:id="2"/>
      </w:r>
      <w:r>
        <w:t xml:space="preserve">.  </w:t>
      </w:r>
      <w:r w:rsidR="00D7098E">
        <w:t>However, a</w:t>
      </w:r>
      <w:r>
        <w:t xml:space="preserve">n answer is not </w:t>
      </w:r>
      <w:r w:rsidR="00701BB6">
        <w:rPr>
          <w:rStyle w:val="EndnoteReference"/>
        </w:rPr>
        <w:endnoteReference w:id="1"/>
      </w:r>
      <w:r>
        <w:t xml:space="preserve">required if the respondent utility files a preliminary objection seeking a more specific pleading, because there are insufficient allegations to formulate a response.  52 Pa. Code § 5.101(e)(1).  </w:t>
      </w:r>
    </w:p>
    <w:p w:rsidR="00303F8A" w:rsidRDefault="00303F8A" w:rsidP="00303F8A">
      <w:pPr>
        <w:contextualSpacing/>
        <w:jc w:val="left"/>
      </w:pPr>
    </w:p>
    <w:p w:rsidR="00303F8A" w:rsidRDefault="00303F8A" w:rsidP="00303F8A">
      <w:pPr>
        <w:contextualSpacing/>
        <w:jc w:val="left"/>
      </w:pPr>
      <w:r>
        <w:tab/>
      </w:r>
      <w:r>
        <w:tab/>
        <w:t>The Respondent’s answer</w:t>
      </w:r>
      <w:r w:rsidR="00D7098E">
        <w:t>, when filed,</w:t>
      </w:r>
      <w:r>
        <w:t xml:space="preserve"> may be accompanied by new matter, which pleads one or more affirmative defenses and sets forth the facts necessary to support the affirmative defenses.  52 Pa. Code § 5.62(b).</w:t>
      </w:r>
      <w:r>
        <w:rPr>
          <w:rStyle w:val="FootnoteReference"/>
        </w:rPr>
        <w:footnoteReference w:id="3"/>
      </w:r>
      <w:r>
        <w:t xml:space="preserve">  This pleading is important because affirmative defenses which are not pleaded are waived, and because facts appearing in new matter which are not contradicted in a responsive pleading filed by the complainant can be used to support a motion for judgment on the pleadings or summary judgment aft</w:t>
      </w:r>
      <w:r w:rsidR="00E752F8">
        <w:t xml:space="preserve">er the pleadings are closed.  </w:t>
      </w:r>
    </w:p>
    <w:p w:rsidR="00E752F8" w:rsidRDefault="00E752F8" w:rsidP="00303F8A">
      <w:pPr>
        <w:contextualSpacing/>
        <w:jc w:val="left"/>
      </w:pPr>
    </w:p>
    <w:p w:rsidR="00303F8A" w:rsidRPr="00FF348F" w:rsidRDefault="00303F8A" w:rsidP="00303F8A">
      <w:pPr>
        <w:jc w:val="left"/>
      </w:pPr>
      <w:r>
        <w:tab/>
      </w:r>
      <w:r>
        <w:tab/>
      </w:r>
      <w:r w:rsidRPr="00144E0F">
        <w:rPr>
          <w:i/>
        </w:rPr>
        <w:t>The reason for this approach is to identify a pleading which is not sufficient to form the basis of a party’s case and to give that party an opportunity to remedy the insufficiency before the final decision is rendered.</w:t>
      </w:r>
      <w:r w:rsidR="00FF348F">
        <w:rPr>
          <w:i/>
        </w:rPr>
        <w:t xml:space="preserve">  </w:t>
      </w:r>
      <w:r w:rsidR="00FF348F">
        <w:t xml:space="preserve">If that party, here the Complainant, fails to take advantage of the opportunity afforded to remedy a deficient pleading, or if he is unable to do so because he has no legally recognizable claim, then identification of the deficit at the pleadings stage saves both parties as well as the tribunal the expense and time required to be expended in active litigation.  </w:t>
      </w:r>
    </w:p>
    <w:p w:rsidR="00303F8A" w:rsidRDefault="00303F8A" w:rsidP="00303F8A">
      <w:pPr>
        <w:jc w:val="left"/>
      </w:pPr>
    </w:p>
    <w:p w:rsidR="00FF348F" w:rsidRDefault="00303F8A" w:rsidP="00FF348F">
      <w:pPr>
        <w:jc w:val="left"/>
      </w:pPr>
      <w:r>
        <w:tab/>
      </w:r>
      <w:r>
        <w:tab/>
      </w:r>
      <w:r w:rsidR="00FF348F">
        <w:t>The Complaint contains insufficient detail to satisfy the legal requirement that it contain a clear and concise statement of the act or omission being complained of including the result of any informal complaint or informal investigation.  The Complainant was warned in the Order that he must file an amended complaint which tells the Commission what he believes that PGW has done wrong.  He was told that, a</w:t>
      </w:r>
      <w:r w:rsidR="00FF348F" w:rsidRPr="00FF348F">
        <w:t>s the Complainant ha</w:t>
      </w:r>
      <w:bookmarkStart w:id="0" w:name="_GoBack"/>
      <w:bookmarkEnd w:id="0"/>
      <w:r w:rsidR="00FF348F" w:rsidRPr="00FF348F">
        <w:t xml:space="preserve">s checked that he believes that there are incorrect charges on his bill, he must identify </w:t>
      </w:r>
      <w:r w:rsidR="00FF348F" w:rsidRPr="00FF348F">
        <w:rPr>
          <w:i/>
        </w:rPr>
        <w:t xml:space="preserve">which </w:t>
      </w:r>
      <w:r w:rsidR="00FF348F" w:rsidRPr="00FF348F">
        <w:t>bills have incorrect charges, and exactly what those incorrect charges are, and why</w:t>
      </w:r>
      <w:r w:rsidR="00FF348F" w:rsidRPr="00C1197C">
        <w:rPr>
          <w:b/>
        </w:rPr>
        <w:t xml:space="preserve">.  </w:t>
      </w:r>
      <w:r w:rsidR="00FF348F">
        <w:t xml:space="preserve">He was warned that failure to file an amended complaint would result in the dismissal of the complaint itself.  </w:t>
      </w:r>
    </w:p>
    <w:p w:rsidR="00FF348F" w:rsidRDefault="00FF348F" w:rsidP="00FF348F">
      <w:pPr>
        <w:jc w:val="left"/>
      </w:pPr>
    </w:p>
    <w:p w:rsidR="00303F8A" w:rsidRDefault="00FF348F" w:rsidP="00303F8A">
      <w:pPr>
        <w:jc w:val="left"/>
      </w:pPr>
      <w:r>
        <w:tab/>
      </w:r>
      <w:r>
        <w:tab/>
        <w:t xml:space="preserve">Complainant failed to file an amended complaint.  </w:t>
      </w:r>
      <w:r w:rsidR="00303F8A">
        <w:t xml:space="preserve">As a result, Respondent is still unable to form a meaningful response and the Commission is unable to determine the nature of the Complaint. </w:t>
      </w:r>
      <w:r w:rsidR="000D4B1A">
        <w:t xml:space="preserve"> A Complaint can be dismissed for failure to comply with an order of the Commission.  66 Pa. C.S. § 701. </w:t>
      </w:r>
      <w:r w:rsidR="00303F8A">
        <w:t xml:space="preserve"> T</w:t>
      </w:r>
      <w:r w:rsidR="000D4B1A">
        <w:t>he</w:t>
      </w:r>
      <w:r w:rsidR="00303F8A">
        <w:t xml:space="preserve"> Complaint is dismissed.</w:t>
      </w:r>
    </w:p>
    <w:p w:rsidR="005C092D" w:rsidRDefault="005C092D" w:rsidP="005C092D">
      <w:pPr>
        <w:jc w:val="left"/>
      </w:pPr>
    </w:p>
    <w:p w:rsidR="00303F8A" w:rsidRPr="0040351E" w:rsidRDefault="00303F8A" w:rsidP="00303F8A">
      <w:pPr>
        <w:rPr>
          <w:u w:val="single"/>
        </w:rPr>
      </w:pPr>
      <w:r w:rsidRPr="0040351E">
        <w:rPr>
          <w:u w:val="single"/>
        </w:rPr>
        <w:t>CONCLUSIONS OF LAW</w:t>
      </w:r>
    </w:p>
    <w:p w:rsidR="00303F8A" w:rsidRDefault="00303F8A" w:rsidP="00303F8A">
      <w:r>
        <w:tab/>
      </w:r>
      <w:r>
        <w:tab/>
      </w:r>
    </w:p>
    <w:p w:rsidR="00303F8A" w:rsidRDefault="00303F8A" w:rsidP="00303F8A">
      <w:pPr>
        <w:jc w:val="left"/>
      </w:pPr>
      <w:r>
        <w:tab/>
      </w:r>
      <w:r>
        <w:tab/>
        <w:t>1.</w:t>
      </w:r>
      <w:r>
        <w:tab/>
        <w:t>The Commission has jurisdiction over this matter.</w:t>
      </w:r>
    </w:p>
    <w:p w:rsidR="00303F8A" w:rsidRDefault="00303F8A" w:rsidP="00303F8A">
      <w:pPr>
        <w:contextualSpacing/>
        <w:jc w:val="left"/>
      </w:pPr>
      <w:r>
        <w:tab/>
      </w:r>
      <w:r>
        <w:tab/>
        <w:t>2.</w:t>
      </w:r>
      <w:r>
        <w:tab/>
        <w:t xml:space="preserve">A billing or service dispute is started with the filing of a complaint, which must set forth the clear and concise statement of the act or omission being complained of as well as the relief sought.  52 Pa. Code § 5.22.  </w:t>
      </w:r>
    </w:p>
    <w:p w:rsidR="00303F8A" w:rsidRDefault="00303F8A" w:rsidP="00303F8A">
      <w:pPr>
        <w:contextualSpacing/>
        <w:jc w:val="left"/>
      </w:pPr>
    </w:p>
    <w:p w:rsidR="00303F8A" w:rsidRDefault="00303F8A" w:rsidP="00303F8A">
      <w:pPr>
        <w:contextualSpacing/>
        <w:jc w:val="left"/>
      </w:pPr>
      <w:r>
        <w:tab/>
      </w:r>
      <w:r>
        <w:tab/>
        <w:t>3.</w:t>
      </w:r>
      <w:r>
        <w:tab/>
        <w:t xml:space="preserve">The respondent public utility has twenty days to file a responsive pleading, which may include an answer, new matter, and/or preliminary objections.  52 Pa. Code §§ 5.61, 5.101.  </w:t>
      </w:r>
    </w:p>
    <w:p w:rsidR="00303F8A" w:rsidRDefault="00303F8A" w:rsidP="00303F8A">
      <w:pPr>
        <w:contextualSpacing/>
        <w:jc w:val="left"/>
      </w:pPr>
    </w:p>
    <w:p w:rsidR="00303F8A" w:rsidRDefault="00303F8A" w:rsidP="00303F8A">
      <w:pPr>
        <w:contextualSpacing/>
        <w:jc w:val="left"/>
      </w:pPr>
      <w:r>
        <w:tab/>
      </w:r>
      <w:r>
        <w:tab/>
        <w:t>4.</w:t>
      </w:r>
      <w:r>
        <w:tab/>
        <w:t xml:space="preserve">An answer must advise the complainant and the Commission of the nature of the defense and is required to specifically admit or deny each factual allegation in the complaint.  52 Pa. Code § 5.61(b).  </w:t>
      </w:r>
    </w:p>
    <w:p w:rsidR="00303F8A" w:rsidRDefault="00303F8A" w:rsidP="00303F8A">
      <w:pPr>
        <w:contextualSpacing/>
        <w:jc w:val="left"/>
      </w:pPr>
    </w:p>
    <w:p w:rsidR="00303F8A" w:rsidRDefault="00303F8A" w:rsidP="00303F8A">
      <w:pPr>
        <w:contextualSpacing/>
        <w:jc w:val="left"/>
      </w:pPr>
      <w:r>
        <w:tab/>
      </w:r>
      <w:r>
        <w:tab/>
        <w:t>5.</w:t>
      </w:r>
      <w:r>
        <w:tab/>
        <w:t xml:space="preserve">Failure to file an answer may result in the factual allegations of the complaint being deemed to be admitted.  52 Pa. Code § 5.61(c).  </w:t>
      </w:r>
    </w:p>
    <w:p w:rsidR="00303F8A" w:rsidRDefault="00303F8A" w:rsidP="00303F8A">
      <w:pPr>
        <w:contextualSpacing/>
        <w:jc w:val="left"/>
      </w:pPr>
    </w:p>
    <w:p w:rsidR="00303F8A" w:rsidRDefault="00303F8A" w:rsidP="00303F8A">
      <w:pPr>
        <w:contextualSpacing/>
        <w:jc w:val="left"/>
      </w:pPr>
      <w:r>
        <w:tab/>
      </w:r>
      <w:r>
        <w:tab/>
        <w:t>6.</w:t>
      </w:r>
      <w:r>
        <w:tab/>
        <w:t xml:space="preserve">An answer is not required if the respondent utility files a preliminary objection seeking a more specific pleading, presumably because there are insufficient allegations to formulate a response.  52 Pa. Code § 5.101(e)(1).  </w:t>
      </w:r>
    </w:p>
    <w:p w:rsidR="00303F8A" w:rsidRDefault="00303F8A" w:rsidP="00303F8A">
      <w:pPr>
        <w:contextualSpacing/>
        <w:jc w:val="left"/>
      </w:pPr>
    </w:p>
    <w:p w:rsidR="00303F8A" w:rsidRDefault="00303F8A" w:rsidP="00303F8A">
      <w:pPr>
        <w:contextualSpacing/>
        <w:jc w:val="left"/>
      </w:pPr>
      <w:r>
        <w:tab/>
      </w:r>
      <w:r>
        <w:tab/>
        <w:t>7.</w:t>
      </w:r>
      <w:r>
        <w:tab/>
        <w:t xml:space="preserve">The Respondent’s answer may be accompanied by new matter, which pleads one or more affirmative defenses and sets forth the facts necessary to support the affirmative defenses.  52 Pa. Code § 5.62(b).  </w:t>
      </w:r>
    </w:p>
    <w:p w:rsidR="00303F8A" w:rsidRDefault="00303F8A" w:rsidP="00303F8A">
      <w:pPr>
        <w:contextualSpacing/>
        <w:jc w:val="left"/>
      </w:pPr>
    </w:p>
    <w:p w:rsidR="00303F8A" w:rsidRDefault="00303F8A" w:rsidP="00303F8A">
      <w:pPr>
        <w:contextualSpacing/>
        <w:jc w:val="left"/>
      </w:pPr>
      <w:r>
        <w:tab/>
      </w:r>
      <w:r>
        <w:tab/>
        <w:t>8.</w:t>
      </w:r>
      <w:r>
        <w:tab/>
        <w:t xml:space="preserve">New Matter is important because affirmative defenses which are not pleaded are waived, and because facts appearing in new matter which are not contradicted in a responsive pleading filed by the complainant can be used to support a motion for judgment on the pleadings or summary judgment after the pleadings are closed.  </w:t>
      </w:r>
      <w:r>
        <w:tab/>
      </w:r>
      <w:r>
        <w:tab/>
      </w:r>
    </w:p>
    <w:p w:rsidR="00303F8A" w:rsidRDefault="00303F8A" w:rsidP="00303F8A">
      <w:pPr>
        <w:contextualSpacing/>
        <w:jc w:val="left"/>
      </w:pPr>
    </w:p>
    <w:p w:rsidR="00303F8A" w:rsidRDefault="00303F8A" w:rsidP="00303F8A">
      <w:pPr>
        <w:contextualSpacing/>
        <w:jc w:val="left"/>
      </w:pPr>
      <w:r>
        <w:tab/>
      </w:r>
      <w:r>
        <w:tab/>
        <w:t>9.</w:t>
      </w:r>
      <w:r>
        <w:tab/>
        <w:t>Preliminary objections are permitted under Commission</w:t>
      </w:r>
      <w:r w:rsidRPr="003E75C6">
        <w:t xml:space="preserve"> regulations.  52 Pa. Code § 5.101.  </w:t>
      </w:r>
    </w:p>
    <w:p w:rsidR="00303F8A" w:rsidRDefault="00303F8A" w:rsidP="00303F8A">
      <w:pPr>
        <w:contextualSpacing/>
        <w:jc w:val="left"/>
      </w:pPr>
    </w:p>
    <w:p w:rsidR="00303F8A" w:rsidRDefault="00303F8A" w:rsidP="00303F8A">
      <w:pPr>
        <w:contextualSpacing/>
        <w:jc w:val="left"/>
      </w:pPr>
      <w:r>
        <w:tab/>
      </w:r>
      <w:r>
        <w:tab/>
        <w:t>10.</w:t>
      </w:r>
      <w:r>
        <w:tab/>
      </w:r>
      <w:r w:rsidRPr="003E75C6">
        <w:t xml:space="preserve">Preliminary objection practice before the Commission is similar to Pennsylvania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C-00935435 </w:t>
      </w:r>
    </w:p>
    <w:p w:rsidR="00303F8A" w:rsidRPr="003E75C6" w:rsidRDefault="00303F8A" w:rsidP="00303F8A">
      <w:pPr>
        <w:contextualSpacing/>
        <w:jc w:val="left"/>
      </w:pPr>
      <w:r w:rsidRPr="003E75C6">
        <w:t xml:space="preserve">(July 18, 1994).  </w:t>
      </w:r>
    </w:p>
    <w:p w:rsidR="00303F8A" w:rsidRPr="003E75C6" w:rsidRDefault="00303F8A" w:rsidP="00303F8A">
      <w:pPr>
        <w:jc w:val="left"/>
      </w:pPr>
    </w:p>
    <w:p w:rsidR="00303F8A" w:rsidRDefault="00303F8A" w:rsidP="00303F8A">
      <w:pPr>
        <w:jc w:val="left"/>
      </w:pPr>
      <w:r>
        <w:tab/>
      </w:r>
      <w:r>
        <w:tab/>
        <w:t>11.</w:t>
      </w:r>
      <w:r>
        <w:tab/>
        <w:t>A Complaint can be dismissed for failure to comply with an order of the Commission.  66 Pa. C.S. § 701.</w:t>
      </w:r>
    </w:p>
    <w:p w:rsidR="00303F8A" w:rsidRDefault="00303F8A" w:rsidP="00303F8A">
      <w:pPr>
        <w:jc w:val="left"/>
      </w:pPr>
    </w:p>
    <w:p w:rsidR="00303F8A" w:rsidRDefault="00303F8A" w:rsidP="00303F8A">
      <w:pPr>
        <w:jc w:val="left"/>
      </w:pPr>
      <w:r>
        <w:tab/>
      </w:r>
      <w:r>
        <w:tab/>
      </w:r>
      <w:r w:rsidR="00FF348F">
        <w:t>12.</w:t>
      </w:r>
      <w:r w:rsidR="00FF348F">
        <w:tab/>
        <w:t>Complainant</w:t>
      </w:r>
      <w:r>
        <w:t xml:space="preserve"> ha</w:t>
      </w:r>
      <w:r w:rsidR="00FF348F">
        <w:t>s</w:t>
      </w:r>
      <w:r>
        <w:t xml:space="preserve"> failed to comply with the </w:t>
      </w:r>
      <w:r w:rsidR="00FF348F">
        <w:t xml:space="preserve">July 8, 2013 Order directing </w:t>
      </w:r>
      <w:r>
        <w:t>h</w:t>
      </w:r>
      <w:r w:rsidR="00FF348F">
        <w:t>i</w:t>
      </w:r>
      <w:r>
        <w:t>m to file an amended complaint.</w:t>
      </w:r>
    </w:p>
    <w:p w:rsidR="000D4B1A" w:rsidRDefault="000D4B1A" w:rsidP="00303F8A">
      <w:pPr>
        <w:jc w:val="left"/>
      </w:pPr>
    </w:p>
    <w:p w:rsidR="00E752F8" w:rsidRDefault="00E752F8" w:rsidP="00303F8A">
      <w:pPr>
        <w:jc w:val="left"/>
      </w:pPr>
    </w:p>
    <w:p w:rsidR="00303F8A" w:rsidRDefault="00303F8A" w:rsidP="00303F8A">
      <w:pPr>
        <w:rPr>
          <w:b/>
          <w:u w:val="single"/>
        </w:rPr>
      </w:pPr>
      <w:r>
        <w:rPr>
          <w:b/>
          <w:u w:val="single"/>
        </w:rPr>
        <w:t>ORDER</w:t>
      </w:r>
    </w:p>
    <w:p w:rsidR="00303F8A" w:rsidRDefault="00303F8A" w:rsidP="00303F8A">
      <w:pPr>
        <w:jc w:val="left"/>
        <w:rPr>
          <w:b/>
          <w:u w:val="single"/>
        </w:rPr>
      </w:pPr>
    </w:p>
    <w:p w:rsidR="00E752F8" w:rsidRDefault="00E752F8" w:rsidP="00303F8A">
      <w:pPr>
        <w:jc w:val="left"/>
        <w:rPr>
          <w:b/>
          <w:u w:val="single"/>
        </w:rPr>
      </w:pPr>
    </w:p>
    <w:p w:rsidR="00303F8A" w:rsidRDefault="00303F8A" w:rsidP="00303F8A">
      <w:pPr>
        <w:jc w:val="left"/>
      </w:pPr>
      <w:r>
        <w:tab/>
      </w:r>
      <w:r>
        <w:tab/>
        <w:t>THEREFORE,</w:t>
      </w:r>
    </w:p>
    <w:p w:rsidR="00303F8A" w:rsidRDefault="00303F8A" w:rsidP="00303F8A">
      <w:pPr>
        <w:jc w:val="left"/>
      </w:pPr>
    </w:p>
    <w:p w:rsidR="00303F8A" w:rsidRDefault="00303F8A" w:rsidP="00303F8A">
      <w:pPr>
        <w:jc w:val="left"/>
      </w:pPr>
      <w:r>
        <w:tab/>
      </w:r>
      <w:r>
        <w:tab/>
        <w:t>IT IS ORDERED:</w:t>
      </w:r>
    </w:p>
    <w:p w:rsidR="00303F8A" w:rsidRDefault="00303F8A" w:rsidP="00303F8A">
      <w:pPr>
        <w:jc w:val="left"/>
      </w:pPr>
    </w:p>
    <w:p w:rsidR="00303F8A" w:rsidRDefault="00303F8A" w:rsidP="00303F8A">
      <w:pPr>
        <w:jc w:val="left"/>
      </w:pPr>
      <w:r>
        <w:tab/>
      </w:r>
      <w:r>
        <w:tab/>
        <w:t>1.</w:t>
      </w:r>
      <w:r>
        <w:tab/>
        <w:t xml:space="preserve">That the Complaint filed in the case captioned </w:t>
      </w:r>
      <w:r w:rsidR="00FF348F" w:rsidRPr="00E752F8">
        <w:t>LouiGens Pill</w:t>
      </w:r>
      <w:r w:rsidR="005F1921" w:rsidRPr="00E752F8">
        <w:t>e</w:t>
      </w:r>
      <w:r w:rsidR="00FF348F" w:rsidRPr="00E752F8">
        <w:t>r v. Philadelphia Gas Works</w:t>
      </w:r>
      <w:r w:rsidRPr="00E752F8">
        <w:t>, filed at PUC Docket No. C-201</w:t>
      </w:r>
      <w:r w:rsidR="00FF348F" w:rsidRPr="00E752F8">
        <w:t>3</w:t>
      </w:r>
      <w:r w:rsidRPr="00E752F8">
        <w:t>-2</w:t>
      </w:r>
      <w:r w:rsidR="00FF348F" w:rsidRPr="00E752F8">
        <w:t>365623</w:t>
      </w:r>
      <w:r w:rsidRPr="00E752F8">
        <w:t>, is</w:t>
      </w:r>
      <w:r>
        <w:t xml:space="preserve"> dismissed.</w:t>
      </w:r>
    </w:p>
    <w:p w:rsidR="00303F8A" w:rsidRDefault="00303F8A" w:rsidP="00303F8A">
      <w:pPr>
        <w:jc w:val="left"/>
      </w:pPr>
    </w:p>
    <w:p w:rsidR="00303F8A" w:rsidRDefault="00303F8A" w:rsidP="00303F8A">
      <w:pPr>
        <w:jc w:val="left"/>
      </w:pPr>
      <w:r>
        <w:tab/>
      </w:r>
      <w:r>
        <w:tab/>
        <w:t>2.</w:t>
      </w:r>
      <w:r>
        <w:tab/>
        <w:t>That the Secretary mark this docket closed.</w:t>
      </w:r>
    </w:p>
    <w:p w:rsidR="00303F8A" w:rsidRDefault="0069038F" w:rsidP="00303F8A">
      <w:pPr>
        <w:jc w:val="left"/>
      </w:pPr>
      <w:r w:rsidRPr="0069038F">
        <w:t>2365623</w:t>
      </w:r>
    </w:p>
    <w:p w:rsidR="00E27D01" w:rsidRDefault="00E27D01" w:rsidP="00303F8A">
      <w:pPr>
        <w:jc w:val="left"/>
      </w:pPr>
    </w:p>
    <w:p w:rsidR="00303F8A" w:rsidRPr="00E752F8" w:rsidRDefault="00303F8A" w:rsidP="00E752F8">
      <w:pPr>
        <w:tabs>
          <w:tab w:val="left" w:pos="360"/>
          <w:tab w:val="left" w:pos="1980"/>
          <w:tab w:val="left" w:pos="5040"/>
          <w:tab w:val="left" w:pos="5760"/>
        </w:tabs>
        <w:spacing w:line="240" w:lineRule="auto"/>
        <w:contextualSpacing/>
        <w:jc w:val="left"/>
        <w:rPr>
          <w:u w:val="single"/>
        </w:rPr>
      </w:pPr>
      <w:r>
        <w:t xml:space="preserve">Dated:  </w:t>
      </w:r>
      <w:r w:rsidR="00FF348F">
        <w:rPr>
          <w:u w:val="single"/>
        </w:rPr>
        <w:t>July 29, 2013</w:t>
      </w:r>
      <w:r w:rsidR="00E752F8">
        <w:tab/>
      </w:r>
      <w:r w:rsidR="00E752F8">
        <w:rPr>
          <w:u w:val="single"/>
        </w:rPr>
        <w:tab/>
        <w:t>/s/</w:t>
      </w:r>
      <w:r w:rsidR="00E752F8">
        <w:rPr>
          <w:u w:val="single"/>
        </w:rPr>
        <w:tab/>
      </w:r>
      <w:r w:rsidR="00E752F8">
        <w:rPr>
          <w:u w:val="single"/>
        </w:rPr>
        <w:tab/>
      </w:r>
      <w:r w:rsidR="00E752F8">
        <w:rPr>
          <w:u w:val="single"/>
        </w:rPr>
        <w:tab/>
      </w:r>
      <w:r w:rsidR="00E752F8">
        <w:rPr>
          <w:u w:val="single"/>
        </w:rPr>
        <w:tab/>
      </w:r>
      <w:r w:rsidR="00E752F8">
        <w:rPr>
          <w:u w:val="single"/>
        </w:rPr>
        <w:tab/>
      </w:r>
    </w:p>
    <w:p w:rsidR="00303F8A" w:rsidRDefault="00303F8A" w:rsidP="00303F8A">
      <w:pPr>
        <w:spacing w:line="240" w:lineRule="auto"/>
        <w:contextualSpacing/>
        <w:jc w:val="left"/>
      </w:pPr>
      <w:r>
        <w:tab/>
      </w:r>
      <w:r>
        <w:tab/>
      </w:r>
      <w:r>
        <w:tab/>
      </w:r>
      <w:r>
        <w:tab/>
      </w:r>
      <w:r>
        <w:tab/>
      </w:r>
      <w:r>
        <w:tab/>
      </w:r>
      <w:r>
        <w:tab/>
        <w:t>Susan D. Colwell</w:t>
      </w:r>
    </w:p>
    <w:p w:rsidR="00303F8A" w:rsidRDefault="00303F8A" w:rsidP="0099730E">
      <w:pPr>
        <w:spacing w:line="240" w:lineRule="auto"/>
        <w:contextualSpacing/>
        <w:jc w:val="left"/>
      </w:pPr>
      <w:r>
        <w:tab/>
      </w:r>
      <w:r>
        <w:tab/>
      </w:r>
      <w:r>
        <w:tab/>
      </w:r>
      <w:r>
        <w:tab/>
      </w:r>
      <w:r>
        <w:tab/>
      </w:r>
      <w:r>
        <w:tab/>
      </w:r>
      <w:r>
        <w:tab/>
        <w:t>Administrative Law Judge</w:t>
      </w:r>
    </w:p>
    <w:sectPr w:rsidR="00303F8A" w:rsidSect="00FF348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63" w:rsidRDefault="005D5E63" w:rsidP="00303F8A">
      <w:pPr>
        <w:spacing w:line="240" w:lineRule="auto"/>
      </w:pPr>
    </w:p>
  </w:endnote>
  <w:endnote w:type="continuationSeparator" w:id="0">
    <w:p w:rsidR="005D5E63" w:rsidRDefault="005D5E63" w:rsidP="00303F8A">
      <w:pPr>
        <w:spacing w:line="240" w:lineRule="auto"/>
      </w:pPr>
      <w:r>
        <w:continuationSeparator/>
      </w:r>
    </w:p>
  </w:endnote>
  <w:endnote w:id="1">
    <w:p w:rsidR="00701BB6" w:rsidRDefault="00701BB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786518"/>
      <w:docPartObj>
        <w:docPartGallery w:val="Page Numbers (Bottom of Page)"/>
        <w:docPartUnique/>
      </w:docPartObj>
    </w:sdtPr>
    <w:sdtEndPr>
      <w:rPr>
        <w:noProof/>
        <w:sz w:val="20"/>
        <w:szCs w:val="20"/>
      </w:rPr>
    </w:sdtEndPr>
    <w:sdtContent>
      <w:p w:rsidR="00FF348F" w:rsidRPr="00E752F8" w:rsidRDefault="00FF348F">
        <w:pPr>
          <w:pStyle w:val="Footer"/>
          <w:rPr>
            <w:sz w:val="20"/>
            <w:szCs w:val="20"/>
          </w:rPr>
        </w:pPr>
        <w:r w:rsidRPr="00E752F8">
          <w:rPr>
            <w:sz w:val="20"/>
            <w:szCs w:val="20"/>
          </w:rPr>
          <w:fldChar w:fldCharType="begin"/>
        </w:r>
        <w:r w:rsidRPr="00E752F8">
          <w:rPr>
            <w:sz w:val="20"/>
            <w:szCs w:val="20"/>
          </w:rPr>
          <w:instrText xml:space="preserve"> PAGE   \* MERGEFORMAT </w:instrText>
        </w:r>
        <w:r w:rsidRPr="00E752F8">
          <w:rPr>
            <w:sz w:val="20"/>
            <w:szCs w:val="20"/>
          </w:rPr>
          <w:fldChar w:fldCharType="separate"/>
        </w:r>
        <w:r w:rsidR="0069038F">
          <w:rPr>
            <w:noProof/>
            <w:sz w:val="20"/>
            <w:szCs w:val="20"/>
          </w:rPr>
          <w:t>6</w:t>
        </w:r>
        <w:r w:rsidRPr="00E752F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63" w:rsidRDefault="005D5E63" w:rsidP="00701BB6">
      <w:pPr>
        <w:spacing w:line="240" w:lineRule="auto"/>
        <w:jc w:val="left"/>
      </w:pPr>
      <w:r>
        <w:separator/>
      </w:r>
    </w:p>
  </w:footnote>
  <w:footnote w:type="continuationSeparator" w:id="0">
    <w:p w:rsidR="005D5E63" w:rsidRDefault="005D5E63" w:rsidP="00303F8A">
      <w:pPr>
        <w:spacing w:line="240" w:lineRule="auto"/>
      </w:pPr>
      <w:r>
        <w:continuationSeparator/>
      </w:r>
    </w:p>
  </w:footnote>
  <w:footnote w:id="1">
    <w:p w:rsidR="00303F8A" w:rsidRDefault="00303F8A" w:rsidP="00303F8A">
      <w:pPr>
        <w:pStyle w:val="FootnoteText"/>
      </w:pPr>
      <w:r>
        <w:rPr>
          <w:rStyle w:val="FootnoteReference"/>
          <w:rFonts w:eastAsia="Calibri"/>
        </w:rPr>
        <w:footnoteRef/>
      </w:r>
      <w:r>
        <w:t xml:space="preserve"> Based on Rule of Civil Procedure 1019.</w:t>
      </w:r>
    </w:p>
  </w:footnote>
  <w:footnote w:id="2">
    <w:p w:rsidR="00303F8A" w:rsidRDefault="00303F8A" w:rsidP="00303F8A">
      <w:pPr>
        <w:pStyle w:val="FootnoteText"/>
      </w:pPr>
      <w:r>
        <w:rPr>
          <w:rStyle w:val="FootnoteReference"/>
          <w:rFonts w:eastAsia="Calibri"/>
        </w:rPr>
        <w:footnoteRef/>
      </w:r>
      <w:r>
        <w:t xml:space="preserve"> Based on Rule of Civil Procedure 1029.</w:t>
      </w:r>
    </w:p>
  </w:footnote>
  <w:footnote w:id="3">
    <w:p w:rsidR="00303F8A" w:rsidRDefault="00303F8A" w:rsidP="00303F8A">
      <w:pPr>
        <w:pStyle w:val="FootnoteText"/>
      </w:pPr>
      <w:r>
        <w:rPr>
          <w:rStyle w:val="FootnoteReference"/>
          <w:rFonts w:eastAsia="Calibri"/>
        </w:rPr>
        <w:footnoteRef/>
      </w:r>
      <w:r>
        <w:t xml:space="preserve"> Based on Rule of Civil Procedure 1030.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8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4B1A"/>
    <w:rsid w:val="000D5763"/>
    <w:rsid w:val="000E2F36"/>
    <w:rsid w:val="000E44C4"/>
    <w:rsid w:val="000E49E6"/>
    <w:rsid w:val="000E4A42"/>
    <w:rsid w:val="000E4FDA"/>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4618"/>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73F7"/>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8EA"/>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1DAA"/>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3F8A"/>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42F9"/>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092D"/>
    <w:rsid w:val="005C373B"/>
    <w:rsid w:val="005C3DD2"/>
    <w:rsid w:val="005C4AAA"/>
    <w:rsid w:val="005C610A"/>
    <w:rsid w:val="005D1442"/>
    <w:rsid w:val="005D1922"/>
    <w:rsid w:val="005D2788"/>
    <w:rsid w:val="005D4281"/>
    <w:rsid w:val="005D5E63"/>
    <w:rsid w:val="005D6E32"/>
    <w:rsid w:val="005E06D4"/>
    <w:rsid w:val="005E1521"/>
    <w:rsid w:val="005E3768"/>
    <w:rsid w:val="005E448D"/>
    <w:rsid w:val="005F064D"/>
    <w:rsid w:val="005F1921"/>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454B"/>
    <w:rsid w:val="006764EA"/>
    <w:rsid w:val="00677DDE"/>
    <w:rsid w:val="00680B65"/>
    <w:rsid w:val="00681287"/>
    <w:rsid w:val="006815A6"/>
    <w:rsid w:val="00681FD9"/>
    <w:rsid w:val="0068285E"/>
    <w:rsid w:val="00684EF6"/>
    <w:rsid w:val="006856E2"/>
    <w:rsid w:val="0069038F"/>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1BB6"/>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30E"/>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2FA0"/>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56A"/>
    <w:rsid w:val="00AC0D42"/>
    <w:rsid w:val="00AC2314"/>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52C"/>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18F"/>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21FE"/>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8E"/>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40F"/>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D01"/>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2F8"/>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AE0"/>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28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348F"/>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3F8A"/>
    <w:rPr>
      <w:color w:val="0000FF"/>
      <w:u w:val="single"/>
    </w:rPr>
  </w:style>
  <w:style w:type="character" w:customStyle="1" w:styleId="term1">
    <w:name w:val="term1"/>
    <w:basedOn w:val="DefaultParagraphFont"/>
    <w:rsid w:val="00303F8A"/>
    <w:rPr>
      <w:b/>
      <w:bCs/>
    </w:rPr>
  </w:style>
  <w:style w:type="paragraph" w:styleId="FootnoteText">
    <w:name w:val="footnote text"/>
    <w:basedOn w:val="Normal"/>
    <w:link w:val="FootnoteTextChar"/>
    <w:uiPriority w:val="99"/>
    <w:semiHidden/>
    <w:unhideWhenUsed/>
    <w:rsid w:val="00303F8A"/>
    <w:pPr>
      <w:spacing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303F8A"/>
    <w:rPr>
      <w:rFonts w:eastAsia="Times New Roman"/>
      <w:sz w:val="20"/>
      <w:szCs w:val="20"/>
    </w:rPr>
  </w:style>
  <w:style w:type="character" w:styleId="FootnoteReference">
    <w:name w:val="footnote reference"/>
    <w:basedOn w:val="DefaultParagraphFont"/>
    <w:uiPriority w:val="99"/>
    <w:semiHidden/>
    <w:unhideWhenUsed/>
    <w:rsid w:val="00303F8A"/>
    <w:rPr>
      <w:vertAlign w:val="superscript"/>
    </w:rPr>
  </w:style>
  <w:style w:type="paragraph" w:styleId="Header">
    <w:name w:val="header"/>
    <w:basedOn w:val="Normal"/>
    <w:link w:val="HeaderChar"/>
    <w:uiPriority w:val="99"/>
    <w:unhideWhenUsed/>
    <w:rsid w:val="00FF348F"/>
    <w:pPr>
      <w:tabs>
        <w:tab w:val="center" w:pos="4680"/>
        <w:tab w:val="right" w:pos="9360"/>
      </w:tabs>
      <w:spacing w:line="240" w:lineRule="auto"/>
    </w:pPr>
  </w:style>
  <w:style w:type="character" w:customStyle="1" w:styleId="HeaderChar">
    <w:name w:val="Header Char"/>
    <w:basedOn w:val="DefaultParagraphFont"/>
    <w:link w:val="Header"/>
    <w:uiPriority w:val="99"/>
    <w:rsid w:val="00FF348F"/>
    <w:rPr>
      <w:rFonts w:eastAsia="Calibri"/>
    </w:rPr>
  </w:style>
  <w:style w:type="paragraph" w:styleId="Footer">
    <w:name w:val="footer"/>
    <w:basedOn w:val="Normal"/>
    <w:link w:val="FooterChar"/>
    <w:uiPriority w:val="99"/>
    <w:unhideWhenUsed/>
    <w:rsid w:val="00FF348F"/>
    <w:pPr>
      <w:tabs>
        <w:tab w:val="center" w:pos="4680"/>
        <w:tab w:val="right" w:pos="9360"/>
      </w:tabs>
      <w:spacing w:line="240" w:lineRule="auto"/>
    </w:pPr>
  </w:style>
  <w:style w:type="character" w:customStyle="1" w:styleId="FooterChar">
    <w:name w:val="Footer Char"/>
    <w:basedOn w:val="DefaultParagraphFont"/>
    <w:link w:val="Footer"/>
    <w:uiPriority w:val="99"/>
    <w:rsid w:val="00FF348F"/>
    <w:rPr>
      <w:rFonts w:eastAsia="Calibri"/>
    </w:rPr>
  </w:style>
  <w:style w:type="paragraph" w:styleId="BalloonText">
    <w:name w:val="Balloon Text"/>
    <w:basedOn w:val="Normal"/>
    <w:link w:val="BalloonTextChar"/>
    <w:uiPriority w:val="99"/>
    <w:semiHidden/>
    <w:unhideWhenUsed/>
    <w:rsid w:val="005F19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921"/>
    <w:rPr>
      <w:rFonts w:ascii="Tahoma" w:eastAsia="Calibri" w:hAnsi="Tahoma" w:cs="Tahoma"/>
      <w:sz w:val="16"/>
      <w:szCs w:val="16"/>
    </w:rPr>
  </w:style>
  <w:style w:type="paragraph" w:styleId="EndnoteText">
    <w:name w:val="endnote text"/>
    <w:basedOn w:val="Normal"/>
    <w:link w:val="EndnoteTextChar"/>
    <w:uiPriority w:val="99"/>
    <w:semiHidden/>
    <w:unhideWhenUsed/>
    <w:rsid w:val="00701BB6"/>
    <w:pPr>
      <w:spacing w:line="240" w:lineRule="auto"/>
    </w:pPr>
    <w:rPr>
      <w:sz w:val="20"/>
      <w:szCs w:val="20"/>
    </w:rPr>
  </w:style>
  <w:style w:type="character" w:customStyle="1" w:styleId="EndnoteTextChar">
    <w:name w:val="Endnote Text Char"/>
    <w:basedOn w:val="DefaultParagraphFont"/>
    <w:link w:val="EndnoteText"/>
    <w:uiPriority w:val="99"/>
    <w:semiHidden/>
    <w:rsid w:val="00701BB6"/>
    <w:rPr>
      <w:rFonts w:eastAsia="Calibri"/>
      <w:sz w:val="20"/>
      <w:szCs w:val="20"/>
    </w:rPr>
  </w:style>
  <w:style w:type="character" w:styleId="EndnoteReference">
    <w:name w:val="endnote reference"/>
    <w:basedOn w:val="DefaultParagraphFont"/>
    <w:uiPriority w:val="99"/>
    <w:semiHidden/>
    <w:unhideWhenUsed/>
    <w:rsid w:val="00701B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3F8A"/>
    <w:rPr>
      <w:color w:val="0000FF"/>
      <w:u w:val="single"/>
    </w:rPr>
  </w:style>
  <w:style w:type="character" w:customStyle="1" w:styleId="term1">
    <w:name w:val="term1"/>
    <w:basedOn w:val="DefaultParagraphFont"/>
    <w:rsid w:val="00303F8A"/>
    <w:rPr>
      <w:b/>
      <w:bCs/>
    </w:rPr>
  </w:style>
  <w:style w:type="paragraph" w:styleId="FootnoteText">
    <w:name w:val="footnote text"/>
    <w:basedOn w:val="Normal"/>
    <w:link w:val="FootnoteTextChar"/>
    <w:uiPriority w:val="99"/>
    <w:semiHidden/>
    <w:unhideWhenUsed/>
    <w:rsid w:val="00303F8A"/>
    <w:pPr>
      <w:spacing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303F8A"/>
    <w:rPr>
      <w:rFonts w:eastAsia="Times New Roman"/>
      <w:sz w:val="20"/>
      <w:szCs w:val="20"/>
    </w:rPr>
  </w:style>
  <w:style w:type="character" w:styleId="FootnoteReference">
    <w:name w:val="footnote reference"/>
    <w:basedOn w:val="DefaultParagraphFont"/>
    <w:uiPriority w:val="99"/>
    <w:semiHidden/>
    <w:unhideWhenUsed/>
    <w:rsid w:val="00303F8A"/>
    <w:rPr>
      <w:vertAlign w:val="superscript"/>
    </w:rPr>
  </w:style>
  <w:style w:type="paragraph" w:styleId="Header">
    <w:name w:val="header"/>
    <w:basedOn w:val="Normal"/>
    <w:link w:val="HeaderChar"/>
    <w:uiPriority w:val="99"/>
    <w:unhideWhenUsed/>
    <w:rsid w:val="00FF348F"/>
    <w:pPr>
      <w:tabs>
        <w:tab w:val="center" w:pos="4680"/>
        <w:tab w:val="right" w:pos="9360"/>
      </w:tabs>
      <w:spacing w:line="240" w:lineRule="auto"/>
    </w:pPr>
  </w:style>
  <w:style w:type="character" w:customStyle="1" w:styleId="HeaderChar">
    <w:name w:val="Header Char"/>
    <w:basedOn w:val="DefaultParagraphFont"/>
    <w:link w:val="Header"/>
    <w:uiPriority w:val="99"/>
    <w:rsid w:val="00FF348F"/>
    <w:rPr>
      <w:rFonts w:eastAsia="Calibri"/>
    </w:rPr>
  </w:style>
  <w:style w:type="paragraph" w:styleId="Footer">
    <w:name w:val="footer"/>
    <w:basedOn w:val="Normal"/>
    <w:link w:val="FooterChar"/>
    <w:uiPriority w:val="99"/>
    <w:unhideWhenUsed/>
    <w:rsid w:val="00FF348F"/>
    <w:pPr>
      <w:tabs>
        <w:tab w:val="center" w:pos="4680"/>
        <w:tab w:val="right" w:pos="9360"/>
      </w:tabs>
      <w:spacing w:line="240" w:lineRule="auto"/>
    </w:pPr>
  </w:style>
  <w:style w:type="character" w:customStyle="1" w:styleId="FooterChar">
    <w:name w:val="Footer Char"/>
    <w:basedOn w:val="DefaultParagraphFont"/>
    <w:link w:val="Footer"/>
    <w:uiPriority w:val="99"/>
    <w:rsid w:val="00FF348F"/>
    <w:rPr>
      <w:rFonts w:eastAsia="Calibri"/>
    </w:rPr>
  </w:style>
  <w:style w:type="paragraph" w:styleId="BalloonText">
    <w:name w:val="Balloon Text"/>
    <w:basedOn w:val="Normal"/>
    <w:link w:val="BalloonTextChar"/>
    <w:uiPriority w:val="99"/>
    <w:semiHidden/>
    <w:unhideWhenUsed/>
    <w:rsid w:val="005F19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921"/>
    <w:rPr>
      <w:rFonts w:ascii="Tahoma" w:eastAsia="Calibri" w:hAnsi="Tahoma" w:cs="Tahoma"/>
      <w:sz w:val="16"/>
      <w:szCs w:val="16"/>
    </w:rPr>
  </w:style>
  <w:style w:type="paragraph" w:styleId="EndnoteText">
    <w:name w:val="endnote text"/>
    <w:basedOn w:val="Normal"/>
    <w:link w:val="EndnoteTextChar"/>
    <w:uiPriority w:val="99"/>
    <w:semiHidden/>
    <w:unhideWhenUsed/>
    <w:rsid w:val="00701BB6"/>
    <w:pPr>
      <w:spacing w:line="240" w:lineRule="auto"/>
    </w:pPr>
    <w:rPr>
      <w:sz w:val="20"/>
      <w:szCs w:val="20"/>
    </w:rPr>
  </w:style>
  <w:style w:type="character" w:customStyle="1" w:styleId="EndnoteTextChar">
    <w:name w:val="Endnote Text Char"/>
    <w:basedOn w:val="DefaultParagraphFont"/>
    <w:link w:val="EndnoteText"/>
    <w:uiPriority w:val="99"/>
    <w:semiHidden/>
    <w:rsid w:val="00701BB6"/>
    <w:rPr>
      <w:rFonts w:eastAsia="Calibri"/>
      <w:sz w:val="20"/>
      <w:szCs w:val="20"/>
    </w:rPr>
  </w:style>
  <w:style w:type="character" w:styleId="EndnoteReference">
    <w:name w:val="endnote reference"/>
    <w:basedOn w:val="DefaultParagraphFont"/>
    <w:uiPriority w:val="99"/>
    <w:semiHidden/>
    <w:unhideWhenUsed/>
    <w:rsid w:val="00701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9d2e643a3a4f9dd730f910a09c9a872e&amp;_xfercite=%3ccite%20cc%3d%22USA%22%3e%3c%21%5bCDATA%5b868%20A.2d%20624%5d%5d%3e%3c%2fcite%3e&amp;_butType=3&amp;_butStat=2&amp;_butNum=91&amp;_butInline=1&amp;_butinfo=%3ccite%20cc%3d%22USA%22%3e%3c%21%5bCDATA%5b29%20Pa.%20Commw.%20171%5d%5d%3e%3c%2fcite%3e&amp;_fmtstr=FULL&amp;docnum=6&amp;_startdoc=1&amp;wchp=dGLzVlz-zSkAB&amp;_md5=dac5b3933cdbce651952148e1b38bef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AF309-3636-4BCA-BF27-6FF7694B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10</cp:revision>
  <cp:lastPrinted>2013-07-30T18:41:00Z</cp:lastPrinted>
  <dcterms:created xsi:type="dcterms:W3CDTF">2013-07-30T19:31:00Z</dcterms:created>
  <dcterms:modified xsi:type="dcterms:W3CDTF">2013-07-31T13:30:00Z</dcterms:modified>
</cp:coreProperties>
</file>