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03" w:rsidRDefault="00B93D03" w:rsidP="00B93D03">
      <w:pPr>
        <w:spacing w:line="240" w:lineRule="auto"/>
        <w:jc w:val="center"/>
        <w:rPr>
          <w:b/>
          <w:sz w:val="24"/>
          <w:szCs w:val="24"/>
        </w:rPr>
      </w:pPr>
      <w:r>
        <w:rPr>
          <w:b/>
          <w:sz w:val="24"/>
          <w:szCs w:val="24"/>
        </w:rPr>
        <w:t xml:space="preserve">BEFORE THE </w:t>
      </w:r>
    </w:p>
    <w:p w:rsidR="00B93D03" w:rsidRDefault="00B93D03" w:rsidP="00B93D03">
      <w:pPr>
        <w:spacing w:line="240" w:lineRule="auto"/>
        <w:jc w:val="center"/>
        <w:rPr>
          <w:sz w:val="24"/>
          <w:szCs w:val="24"/>
        </w:rPr>
      </w:pPr>
      <w:r>
        <w:rPr>
          <w:b/>
          <w:sz w:val="24"/>
          <w:szCs w:val="24"/>
        </w:rPr>
        <w:t>PENNSYLVANIA PUBLIC UTILITY COMMISSION</w:t>
      </w:r>
    </w:p>
    <w:p w:rsidR="00B93D03" w:rsidRDefault="00B93D03" w:rsidP="00B93D03">
      <w:pPr>
        <w:spacing w:line="240" w:lineRule="auto"/>
        <w:jc w:val="center"/>
        <w:rPr>
          <w:sz w:val="24"/>
          <w:szCs w:val="24"/>
        </w:rPr>
      </w:pPr>
    </w:p>
    <w:p w:rsidR="00B93D03" w:rsidRDefault="00B93D03" w:rsidP="00B93D03">
      <w:pPr>
        <w:spacing w:line="240" w:lineRule="auto"/>
        <w:rPr>
          <w:sz w:val="24"/>
          <w:szCs w:val="24"/>
        </w:rPr>
      </w:pPr>
    </w:p>
    <w:p w:rsidR="00B93D03" w:rsidRDefault="00B93D03" w:rsidP="00B93D03">
      <w:pPr>
        <w:spacing w:line="240" w:lineRule="auto"/>
        <w:rPr>
          <w:sz w:val="24"/>
          <w:szCs w:val="24"/>
        </w:rPr>
      </w:pPr>
    </w:p>
    <w:p w:rsidR="00B93D03" w:rsidRDefault="00B93D03" w:rsidP="00B93D03">
      <w:pPr>
        <w:spacing w:line="240" w:lineRule="auto"/>
        <w:rPr>
          <w:b/>
          <w:sz w:val="24"/>
          <w:szCs w:val="24"/>
        </w:rPr>
      </w:pPr>
      <w:r>
        <w:rPr>
          <w:sz w:val="24"/>
          <w:szCs w:val="24"/>
        </w:rPr>
        <w:t xml:space="preserve">Nicholas J. and Carole A. </w:t>
      </w:r>
      <w:proofErr w:type="spellStart"/>
      <w:r>
        <w:rPr>
          <w:sz w:val="24"/>
          <w:szCs w:val="24"/>
        </w:rPr>
        <w:t>Nehez</w:t>
      </w:r>
      <w:proofErr w:type="spellEnd"/>
      <w:r>
        <w:rPr>
          <w:sz w:val="24"/>
          <w:szCs w:val="24"/>
        </w:rPr>
        <w:tab/>
      </w:r>
      <w:r>
        <w:rPr>
          <w:sz w:val="24"/>
          <w:szCs w:val="24"/>
        </w:rPr>
        <w:tab/>
      </w:r>
      <w:r>
        <w:rPr>
          <w:sz w:val="24"/>
          <w:szCs w:val="24"/>
        </w:rPr>
        <w:tab/>
        <w:t>:</w:t>
      </w:r>
    </w:p>
    <w:p w:rsidR="00B93D03" w:rsidRDefault="00B93D03" w:rsidP="00B93D03">
      <w:pPr>
        <w:spacing w:line="24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w:t>
      </w:r>
    </w:p>
    <w:p w:rsidR="00B93D03" w:rsidRDefault="00B93D03" w:rsidP="00B93D03">
      <w:pPr>
        <w:spacing w:line="240" w:lineRule="auto"/>
        <w:ind w:firstLine="720"/>
        <w:rPr>
          <w:sz w:val="24"/>
          <w:szCs w:val="24"/>
        </w:rPr>
      </w:pPr>
      <w:r>
        <w:rPr>
          <w:sz w:val="24"/>
          <w:szCs w:val="24"/>
        </w:rPr>
        <w:t>v.</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w:t>
      </w:r>
      <w:r>
        <w:rPr>
          <w:b/>
          <w:sz w:val="24"/>
          <w:szCs w:val="24"/>
        </w:rPr>
        <w:tab/>
      </w:r>
      <w:r>
        <w:rPr>
          <w:b/>
          <w:sz w:val="24"/>
          <w:szCs w:val="24"/>
        </w:rPr>
        <w:tab/>
      </w:r>
      <w:r>
        <w:rPr>
          <w:sz w:val="24"/>
          <w:szCs w:val="24"/>
        </w:rPr>
        <w:t>C-2013-2367085</w:t>
      </w:r>
    </w:p>
    <w:p w:rsidR="00B93D03" w:rsidRDefault="00B93D03" w:rsidP="00B93D03">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93D03" w:rsidRDefault="00B93D03" w:rsidP="00B93D03">
      <w:pPr>
        <w:spacing w:line="240" w:lineRule="auto"/>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t>:</w:t>
      </w:r>
    </w:p>
    <w:p w:rsidR="00B93D03" w:rsidRDefault="00B93D03" w:rsidP="00B93D03">
      <w:pPr>
        <w:spacing w:line="240" w:lineRule="auto"/>
        <w:rPr>
          <w:sz w:val="24"/>
          <w:szCs w:val="24"/>
        </w:rPr>
      </w:pPr>
    </w:p>
    <w:p w:rsidR="00B93D03" w:rsidRDefault="00B93D03" w:rsidP="00B93D03">
      <w:pPr>
        <w:spacing w:line="240" w:lineRule="auto"/>
        <w:rPr>
          <w:sz w:val="24"/>
          <w:szCs w:val="24"/>
        </w:rPr>
      </w:pPr>
    </w:p>
    <w:p w:rsidR="00B93D03" w:rsidRDefault="00B93D03" w:rsidP="00B93D03">
      <w:pPr>
        <w:spacing w:line="240" w:lineRule="auto"/>
        <w:rPr>
          <w:sz w:val="24"/>
          <w:szCs w:val="24"/>
        </w:rPr>
      </w:pPr>
    </w:p>
    <w:p w:rsidR="00B93D03" w:rsidRDefault="00B93D03" w:rsidP="00B93D03">
      <w:pPr>
        <w:spacing w:line="240" w:lineRule="auto"/>
        <w:jc w:val="center"/>
        <w:rPr>
          <w:b/>
          <w:sz w:val="24"/>
          <w:szCs w:val="24"/>
          <w:u w:val="single"/>
        </w:rPr>
      </w:pPr>
      <w:r>
        <w:rPr>
          <w:b/>
          <w:sz w:val="24"/>
          <w:szCs w:val="24"/>
          <w:u w:val="single"/>
        </w:rPr>
        <w:t>INITIAL DECISION</w:t>
      </w:r>
    </w:p>
    <w:p w:rsidR="00B93D03" w:rsidRDefault="00B93D03" w:rsidP="00B93D03">
      <w:pPr>
        <w:spacing w:line="240" w:lineRule="auto"/>
        <w:jc w:val="center"/>
        <w:rPr>
          <w:b/>
          <w:sz w:val="24"/>
          <w:szCs w:val="24"/>
          <w:u w:val="single"/>
        </w:rPr>
      </w:pPr>
    </w:p>
    <w:p w:rsidR="00B93D03" w:rsidRDefault="00B93D03" w:rsidP="00B93D03">
      <w:pPr>
        <w:spacing w:line="240" w:lineRule="auto"/>
        <w:jc w:val="center"/>
        <w:rPr>
          <w:b/>
          <w:sz w:val="24"/>
          <w:szCs w:val="24"/>
          <w:u w:val="single"/>
        </w:rPr>
      </w:pPr>
    </w:p>
    <w:p w:rsidR="00B93D03" w:rsidRDefault="00B93D03" w:rsidP="00B93D03">
      <w:pPr>
        <w:spacing w:line="240" w:lineRule="auto"/>
        <w:jc w:val="center"/>
        <w:rPr>
          <w:sz w:val="24"/>
          <w:szCs w:val="24"/>
        </w:rPr>
      </w:pPr>
      <w:r>
        <w:rPr>
          <w:sz w:val="24"/>
          <w:szCs w:val="24"/>
        </w:rPr>
        <w:t>Before</w:t>
      </w:r>
    </w:p>
    <w:p w:rsidR="00B93D03" w:rsidRDefault="00B93D03" w:rsidP="00B93D03">
      <w:pPr>
        <w:spacing w:line="240" w:lineRule="auto"/>
        <w:jc w:val="center"/>
        <w:rPr>
          <w:sz w:val="24"/>
          <w:szCs w:val="24"/>
        </w:rPr>
      </w:pPr>
      <w:r>
        <w:rPr>
          <w:sz w:val="24"/>
          <w:szCs w:val="24"/>
        </w:rPr>
        <w:t>Kandace F. Melillo</w:t>
      </w:r>
    </w:p>
    <w:p w:rsidR="00B93D03" w:rsidRDefault="00B93D03" w:rsidP="00B93D03">
      <w:pPr>
        <w:spacing w:line="240" w:lineRule="auto"/>
        <w:jc w:val="center"/>
        <w:rPr>
          <w:sz w:val="24"/>
          <w:szCs w:val="24"/>
        </w:rPr>
      </w:pPr>
      <w:r>
        <w:rPr>
          <w:sz w:val="24"/>
          <w:szCs w:val="24"/>
        </w:rPr>
        <w:t>Administrative Law Judge</w:t>
      </w:r>
    </w:p>
    <w:p w:rsidR="00B93D03" w:rsidRDefault="00B93D03" w:rsidP="00B93D03">
      <w:pPr>
        <w:spacing w:line="240" w:lineRule="auto"/>
        <w:jc w:val="center"/>
        <w:rPr>
          <w:sz w:val="24"/>
          <w:szCs w:val="24"/>
        </w:rPr>
      </w:pPr>
    </w:p>
    <w:p w:rsidR="00B93D03" w:rsidRDefault="00B93D03" w:rsidP="00B93D03">
      <w:pPr>
        <w:spacing w:line="240" w:lineRule="auto"/>
        <w:jc w:val="center"/>
        <w:rPr>
          <w:sz w:val="24"/>
          <w:szCs w:val="24"/>
        </w:rPr>
      </w:pPr>
    </w:p>
    <w:p w:rsidR="00B93D03" w:rsidRDefault="00B93D03" w:rsidP="00B93D03">
      <w:pPr>
        <w:spacing w:line="240" w:lineRule="auto"/>
        <w:jc w:val="center"/>
        <w:rPr>
          <w:sz w:val="24"/>
          <w:szCs w:val="24"/>
          <w:u w:val="single"/>
        </w:rPr>
      </w:pPr>
      <w:r>
        <w:rPr>
          <w:sz w:val="24"/>
          <w:szCs w:val="24"/>
          <w:u w:val="single"/>
        </w:rPr>
        <w:t>HISTORY OF THE PROCEEDINGS</w:t>
      </w:r>
    </w:p>
    <w:p w:rsidR="00B93D03" w:rsidRDefault="00B93D03" w:rsidP="00B93D03">
      <w:pPr>
        <w:spacing w:line="240" w:lineRule="auto"/>
        <w:rPr>
          <w:sz w:val="24"/>
          <w:szCs w:val="24"/>
        </w:rPr>
      </w:pPr>
    </w:p>
    <w:p w:rsidR="00B93D03" w:rsidRDefault="00B93D03" w:rsidP="00B93D03">
      <w:pPr>
        <w:spacing w:line="240" w:lineRule="auto"/>
        <w:rPr>
          <w:sz w:val="24"/>
          <w:szCs w:val="24"/>
        </w:rPr>
      </w:pPr>
    </w:p>
    <w:p w:rsidR="00B93D03" w:rsidRDefault="00B93D03" w:rsidP="00B93D03">
      <w:pPr>
        <w:rPr>
          <w:sz w:val="24"/>
          <w:szCs w:val="24"/>
        </w:rPr>
      </w:pPr>
      <w:r>
        <w:rPr>
          <w:sz w:val="24"/>
          <w:szCs w:val="24"/>
        </w:rPr>
        <w:tab/>
      </w:r>
      <w:r>
        <w:rPr>
          <w:sz w:val="24"/>
          <w:szCs w:val="24"/>
        </w:rPr>
        <w:tab/>
        <w:t xml:space="preserve">On May 23, 2013, Nicholas J. </w:t>
      </w:r>
      <w:proofErr w:type="spellStart"/>
      <w:r>
        <w:rPr>
          <w:sz w:val="24"/>
          <w:szCs w:val="24"/>
        </w:rPr>
        <w:t>Nehez</w:t>
      </w:r>
      <w:proofErr w:type="spellEnd"/>
      <w:r>
        <w:rPr>
          <w:sz w:val="24"/>
          <w:szCs w:val="24"/>
        </w:rPr>
        <w:t xml:space="preserve"> and Carole A. </w:t>
      </w:r>
      <w:proofErr w:type="spellStart"/>
      <w:r>
        <w:rPr>
          <w:sz w:val="24"/>
          <w:szCs w:val="24"/>
        </w:rPr>
        <w:t>Nehez</w:t>
      </w:r>
      <w:proofErr w:type="spellEnd"/>
      <w:r>
        <w:rPr>
          <w:sz w:val="24"/>
          <w:szCs w:val="24"/>
        </w:rPr>
        <w:t xml:space="preserve"> (collectively, Complainants) filed a Formal Complaint with the Pennsylvania Public Utility Commission (Commission), at Docket No. </w:t>
      </w:r>
      <w:proofErr w:type="gramStart"/>
      <w:r>
        <w:rPr>
          <w:sz w:val="24"/>
          <w:szCs w:val="24"/>
        </w:rPr>
        <w:t>C-2013-2367085, against Philadelphia Gas Works (PGW, the Company, or Respondent).</w:t>
      </w:r>
      <w:proofErr w:type="gramEnd"/>
      <w:r>
        <w:rPr>
          <w:sz w:val="24"/>
          <w:szCs w:val="24"/>
        </w:rPr>
        <w:t xml:space="preserve">  In their Complaint, Complainants alleged that PGW’s procedures had led to a lien being placed on their deeded property located at 608 S. Mt. Pleasant Road, Philadelphia, PA 19119 (Subject Property).  Complainants further alleged that the lien was the result of unpaid PGW gas bills by former tenants </w:t>
      </w:r>
      <w:proofErr w:type="spellStart"/>
      <w:r>
        <w:rPr>
          <w:sz w:val="24"/>
          <w:szCs w:val="24"/>
        </w:rPr>
        <w:t>Nketia</w:t>
      </w:r>
      <w:proofErr w:type="spellEnd"/>
      <w:r>
        <w:rPr>
          <w:sz w:val="24"/>
          <w:szCs w:val="24"/>
        </w:rPr>
        <w:t xml:space="preserve"> K. </w:t>
      </w:r>
      <w:proofErr w:type="spellStart"/>
      <w:r>
        <w:rPr>
          <w:sz w:val="24"/>
          <w:szCs w:val="24"/>
        </w:rPr>
        <w:t>Lavela</w:t>
      </w:r>
      <w:proofErr w:type="spellEnd"/>
      <w:r>
        <w:rPr>
          <w:sz w:val="24"/>
          <w:szCs w:val="24"/>
        </w:rPr>
        <w:t xml:space="preserve"> and Doris E. Crenshaw in the amount of $18,333, with penalties and interest, and that these tenants, who were PGW customers of record, were supposed to pay the utility bills under the terms of the lease.</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 xml:space="preserve">In addition, Ms. </w:t>
      </w:r>
      <w:proofErr w:type="spellStart"/>
      <w:r>
        <w:rPr>
          <w:sz w:val="24"/>
          <w:szCs w:val="24"/>
        </w:rPr>
        <w:t>Nehez</w:t>
      </w:r>
      <w:proofErr w:type="spellEnd"/>
      <w:r>
        <w:rPr>
          <w:sz w:val="24"/>
          <w:szCs w:val="24"/>
        </w:rPr>
        <w:t xml:space="preserve"> averred that she had signed up for the Landlord Cooperation Program (LCP) in May, 2012, and first learned that liens had been placed on the property in June, 2012 as lien notices had been sent to an incorrect address.  She first heard of the then over $16,000 balance at the Subject Property in early May, 2012 from a PGW employee, when PGW attempted to shut off the gas service.  Efforts to obtain payment for utility </w:t>
      </w:r>
      <w:r>
        <w:rPr>
          <w:sz w:val="24"/>
          <w:szCs w:val="24"/>
        </w:rPr>
        <w:lastRenderedPageBreak/>
        <w:t>bills from the tenants failed and the tenants were evicted on November 29, 2012, after having been tenants of record at the Subject Property since April 1, 2009, and incurring a large PGW balance.</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As relief, Complainants requested an investigation of why PGW had allowed the tenants’ bills to get so high before attempting shut-off of service, and why more of an effort to locate and notify the property owner(s) was not made earlier.</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 xml:space="preserve">On or about June 26, 2013, PGW filed an Answer to the Complaint.  In its Answer, PGW admitted that lien notices were issued to Complainants at a former address in 2010, 2011, and 2012, but otherwise denied most of the Complaint averments due to insufficient information.  The Company did acknowledge that Ms. </w:t>
      </w:r>
      <w:proofErr w:type="spellStart"/>
      <w:r>
        <w:rPr>
          <w:sz w:val="24"/>
          <w:szCs w:val="24"/>
        </w:rPr>
        <w:t>Nehez</w:t>
      </w:r>
      <w:proofErr w:type="spellEnd"/>
      <w:r>
        <w:rPr>
          <w:sz w:val="24"/>
          <w:szCs w:val="24"/>
        </w:rPr>
        <w:t xml:space="preserve"> had registered the Subject Property in LCP on June 18, 2012, and that the total amount of the liens is $18,618.11.  The total amount of active liens is $17,340.11.  PGW requested that the Complaint be dismissed.</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Also on or about June 26, 2013, PGW filed Preliminary Objections and a Motion to Strike Impertinent Matter, with a ten (10) day Notice to Plead, seeking dismissal of the Complaint based upon lack of Commission jurisdiction, and the striking of the (presumed) or impliedly requested relief of lien removal as “impertinent matter.”  52 Pa. Code §§5.101(a</w:t>
      </w:r>
      <w:proofErr w:type="gramStart"/>
      <w:r>
        <w:rPr>
          <w:sz w:val="24"/>
          <w:szCs w:val="24"/>
        </w:rPr>
        <w:t>)(</w:t>
      </w:r>
      <w:proofErr w:type="gramEnd"/>
      <w:r>
        <w:rPr>
          <w:sz w:val="24"/>
          <w:szCs w:val="24"/>
        </w:rPr>
        <w:t>1) and (a)(2).</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Complainant Carole </w:t>
      </w:r>
      <w:proofErr w:type="spellStart"/>
      <w:r>
        <w:rPr>
          <w:sz w:val="24"/>
          <w:szCs w:val="24"/>
        </w:rPr>
        <w:t>Nehez</w:t>
      </w:r>
      <w:proofErr w:type="spellEnd"/>
      <w:r>
        <w:rPr>
          <w:sz w:val="24"/>
          <w:szCs w:val="24"/>
        </w:rPr>
        <w:t xml:space="preserve"> filed a timely Answer to PGW’s Preliminary Objections and Motion to Strike on July 10, 2013, based upon service of the Preliminary Objections and Motion to Strike by first class mail.  52 Pa. Code §§1.12, 1.56(b) and 5.101(f</w:t>
      </w:r>
      <w:proofErr w:type="gramStart"/>
      <w:r>
        <w:rPr>
          <w:sz w:val="24"/>
          <w:szCs w:val="24"/>
        </w:rPr>
        <w:t>)(</w:t>
      </w:r>
      <w:proofErr w:type="gramEnd"/>
      <w:r>
        <w:rPr>
          <w:sz w:val="24"/>
          <w:szCs w:val="24"/>
        </w:rPr>
        <w:t xml:space="preserve">1).  In her Answer, Ms. </w:t>
      </w:r>
      <w:proofErr w:type="spellStart"/>
      <w:r>
        <w:rPr>
          <w:sz w:val="24"/>
          <w:szCs w:val="24"/>
        </w:rPr>
        <w:t>Nehez</w:t>
      </w:r>
      <w:proofErr w:type="spellEnd"/>
      <w:r>
        <w:rPr>
          <w:sz w:val="24"/>
          <w:szCs w:val="24"/>
        </w:rPr>
        <w:t xml:space="preserve"> alleged that she was the sole owner of the Subject Property, but had included her ex-husband in the Complaint as his name was still on the deed.  She reiterated her objection to PGW’s procedures regarding notice to landlords and also its practice of permitting large arrearages to accumulate before implementation of these procedures.  Ms. </w:t>
      </w:r>
      <w:proofErr w:type="spellStart"/>
      <w:r>
        <w:rPr>
          <w:sz w:val="24"/>
          <w:szCs w:val="24"/>
        </w:rPr>
        <w:t>Nehez</w:t>
      </w:r>
      <w:proofErr w:type="spellEnd"/>
      <w:r>
        <w:rPr>
          <w:sz w:val="24"/>
          <w:szCs w:val="24"/>
        </w:rPr>
        <w:t xml:space="preserve"> further clarified that she was seeking removal of the lien.</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lastRenderedPageBreak/>
        <w:t xml:space="preserve"> PGW’s Preliminary Objections and Motion to Strike were assigned to me by Motion Judge Assignment Notice dated July 18, 2013.  The record closed for decision writing on July 26, 2013, and these matters are now ready for a ruling.  Since I am dismissing the Complaint due to lack of jurisdiction, this ruling will be in the form of an Initial Decision, subject to exceptions.</w:t>
      </w:r>
    </w:p>
    <w:p w:rsidR="00B93D03" w:rsidRDefault="00B93D03" w:rsidP="00B93D03">
      <w:pPr>
        <w:ind w:firstLine="1440"/>
        <w:rPr>
          <w:sz w:val="24"/>
          <w:szCs w:val="24"/>
        </w:rPr>
      </w:pPr>
    </w:p>
    <w:p w:rsidR="00B93D03" w:rsidRDefault="00B93D03" w:rsidP="00B93D03">
      <w:pPr>
        <w:jc w:val="center"/>
        <w:rPr>
          <w:sz w:val="24"/>
          <w:szCs w:val="24"/>
        </w:rPr>
      </w:pPr>
      <w:r>
        <w:rPr>
          <w:sz w:val="24"/>
          <w:szCs w:val="24"/>
          <w:u w:val="single"/>
        </w:rPr>
        <w:t>FINDINGS OF FACT</w:t>
      </w:r>
    </w:p>
    <w:p w:rsidR="00B93D03" w:rsidRDefault="00B93D03" w:rsidP="00B93D03">
      <w:pPr>
        <w:jc w:val="center"/>
        <w:rPr>
          <w:sz w:val="24"/>
          <w:szCs w:val="24"/>
          <w:u w:val="single"/>
        </w:rPr>
      </w:pPr>
    </w:p>
    <w:p w:rsidR="00B93D03" w:rsidRDefault="00B93D03" w:rsidP="00B93D03">
      <w:pPr>
        <w:rPr>
          <w:sz w:val="24"/>
          <w:szCs w:val="24"/>
        </w:rPr>
      </w:pPr>
      <w:r>
        <w:rPr>
          <w:sz w:val="24"/>
          <w:szCs w:val="24"/>
        </w:rPr>
        <w:tab/>
      </w:r>
      <w:r>
        <w:rPr>
          <w:sz w:val="24"/>
          <w:szCs w:val="24"/>
        </w:rPr>
        <w:tab/>
        <w:t>1.</w:t>
      </w:r>
      <w:r>
        <w:rPr>
          <w:sz w:val="24"/>
          <w:szCs w:val="24"/>
        </w:rPr>
        <w:tab/>
        <w:t xml:space="preserve">Complainants are Nicholas J. and Carole A. </w:t>
      </w:r>
      <w:proofErr w:type="spellStart"/>
      <w:r>
        <w:rPr>
          <w:sz w:val="24"/>
          <w:szCs w:val="24"/>
        </w:rPr>
        <w:t>Nehez</w:t>
      </w:r>
      <w:proofErr w:type="spellEnd"/>
      <w:r>
        <w:rPr>
          <w:sz w:val="24"/>
          <w:szCs w:val="24"/>
        </w:rPr>
        <w:t xml:space="preserve">, whose mailing address is 608 S. Mt. Pleasant Road, Philadelphia, PA, 19119.  </w:t>
      </w:r>
      <w:proofErr w:type="gramStart"/>
      <w:r>
        <w:rPr>
          <w:sz w:val="24"/>
          <w:szCs w:val="24"/>
        </w:rPr>
        <w:t>Complaint, ¶1.</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2.</w:t>
      </w:r>
      <w:r>
        <w:rPr>
          <w:sz w:val="24"/>
          <w:szCs w:val="24"/>
        </w:rPr>
        <w:tab/>
        <w:t xml:space="preserve">Respondent is Philadelphia Gas Works (PGW).  </w:t>
      </w:r>
      <w:proofErr w:type="gramStart"/>
      <w:r>
        <w:rPr>
          <w:sz w:val="24"/>
          <w:szCs w:val="24"/>
        </w:rPr>
        <w:t>Complaint, ¶2.</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3.</w:t>
      </w:r>
      <w:r>
        <w:rPr>
          <w:sz w:val="24"/>
          <w:szCs w:val="24"/>
        </w:rPr>
        <w:tab/>
        <w:t xml:space="preserve">Complainant Carole A. </w:t>
      </w:r>
      <w:proofErr w:type="spellStart"/>
      <w:r>
        <w:rPr>
          <w:sz w:val="24"/>
          <w:szCs w:val="24"/>
        </w:rPr>
        <w:t>Nehez</w:t>
      </w:r>
      <w:proofErr w:type="spellEnd"/>
      <w:r>
        <w:rPr>
          <w:sz w:val="24"/>
          <w:szCs w:val="24"/>
        </w:rPr>
        <w:t xml:space="preserve"> is the owner of the Subject Property at 608 S. Mt. Pleasant Road, Philadelphia, PA, 19119, which is provided natural gas service by the Respondent.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4.</w:t>
      </w:r>
      <w:r>
        <w:rPr>
          <w:sz w:val="24"/>
          <w:szCs w:val="24"/>
        </w:rPr>
        <w:tab/>
        <w:t xml:space="preserve">Nicholas J. </w:t>
      </w:r>
      <w:proofErr w:type="spellStart"/>
      <w:r>
        <w:rPr>
          <w:sz w:val="24"/>
          <w:szCs w:val="24"/>
        </w:rPr>
        <w:t>Nehez</w:t>
      </w:r>
      <w:proofErr w:type="spellEnd"/>
      <w:r>
        <w:rPr>
          <w:sz w:val="24"/>
          <w:szCs w:val="24"/>
        </w:rPr>
        <w:t xml:space="preserve">, Ms. </w:t>
      </w:r>
      <w:proofErr w:type="spellStart"/>
      <w:r>
        <w:rPr>
          <w:sz w:val="24"/>
          <w:szCs w:val="24"/>
        </w:rPr>
        <w:t>Nehez’s</w:t>
      </w:r>
      <w:proofErr w:type="spellEnd"/>
      <w:r>
        <w:rPr>
          <w:sz w:val="24"/>
          <w:szCs w:val="24"/>
        </w:rPr>
        <w:t xml:space="preserve"> ex-husband, was included as a Complainant as his name remains on the deed.  Answer to Preliminary Objections, ¶4.</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5.</w:t>
      </w:r>
      <w:r>
        <w:rPr>
          <w:sz w:val="24"/>
          <w:szCs w:val="24"/>
        </w:rPr>
        <w:tab/>
      </w:r>
      <w:proofErr w:type="spellStart"/>
      <w:r>
        <w:rPr>
          <w:sz w:val="24"/>
          <w:szCs w:val="24"/>
        </w:rPr>
        <w:t>Nketia</w:t>
      </w:r>
      <w:proofErr w:type="spellEnd"/>
      <w:r>
        <w:rPr>
          <w:sz w:val="24"/>
          <w:szCs w:val="24"/>
        </w:rPr>
        <w:t xml:space="preserve"> K. </w:t>
      </w:r>
      <w:proofErr w:type="spellStart"/>
      <w:r>
        <w:rPr>
          <w:sz w:val="24"/>
          <w:szCs w:val="24"/>
        </w:rPr>
        <w:t>Lavela</w:t>
      </w:r>
      <w:proofErr w:type="spellEnd"/>
      <w:r>
        <w:rPr>
          <w:sz w:val="24"/>
          <w:szCs w:val="24"/>
        </w:rPr>
        <w:t xml:space="preserve"> and Doris E. Crenshaw rented the Subject Property from Ms. </w:t>
      </w:r>
      <w:proofErr w:type="spellStart"/>
      <w:r>
        <w:rPr>
          <w:sz w:val="24"/>
          <w:szCs w:val="24"/>
        </w:rPr>
        <w:t>Nehez</w:t>
      </w:r>
      <w:proofErr w:type="spellEnd"/>
      <w:r>
        <w:rPr>
          <w:sz w:val="24"/>
          <w:szCs w:val="24"/>
        </w:rPr>
        <w:t xml:space="preserve"> from April 1, 2009, to November 29, 2012, when they were evicted.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6.</w:t>
      </w:r>
      <w:r>
        <w:rPr>
          <w:sz w:val="24"/>
          <w:szCs w:val="24"/>
        </w:rPr>
        <w:tab/>
        <w:t xml:space="preserve">Tenants were the PGW customers of record during their occupancy of the Subject Property.  Due to their non-payment of PGW bills, liens were placed on the Subject Property totaling over $18,000.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7.</w:t>
      </w:r>
      <w:r>
        <w:rPr>
          <w:sz w:val="24"/>
          <w:szCs w:val="24"/>
        </w:rPr>
        <w:tab/>
        <w:t xml:space="preserve">Ms. </w:t>
      </w:r>
      <w:proofErr w:type="spellStart"/>
      <w:r>
        <w:rPr>
          <w:sz w:val="24"/>
          <w:szCs w:val="24"/>
        </w:rPr>
        <w:t>Nehez</w:t>
      </w:r>
      <w:proofErr w:type="spellEnd"/>
      <w:r>
        <w:rPr>
          <w:sz w:val="24"/>
          <w:szCs w:val="24"/>
        </w:rPr>
        <w:t xml:space="preserve"> first became aware of the tenants’ arrearage in May, 2012, due to an attempted PGW shut-off at the Subject Property.  The unpaid balance at that time was $16,488.09.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8.</w:t>
      </w:r>
      <w:r>
        <w:rPr>
          <w:sz w:val="24"/>
          <w:szCs w:val="24"/>
        </w:rPr>
        <w:tab/>
        <w:t xml:space="preserve">Ms. </w:t>
      </w:r>
      <w:proofErr w:type="spellStart"/>
      <w:r>
        <w:rPr>
          <w:sz w:val="24"/>
          <w:szCs w:val="24"/>
        </w:rPr>
        <w:t>Nehez</w:t>
      </w:r>
      <w:proofErr w:type="spellEnd"/>
      <w:r>
        <w:rPr>
          <w:sz w:val="24"/>
          <w:szCs w:val="24"/>
        </w:rPr>
        <w:t xml:space="preserve"> did not receive notice of the imposition of liens until June, 2012, as the lien notices had been mailed to a former address.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9.</w:t>
      </w:r>
      <w:r>
        <w:rPr>
          <w:sz w:val="24"/>
          <w:szCs w:val="24"/>
        </w:rPr>
        <w:tab/>
        <w:t xml:space="preserve">Ms. </w:t>
      </w:r>
      <w:proofErr w:type="spellStart"/>
      <w:r>
        <w:rPr>
          <w:sz w:val="24"/>
          <w:szCs w:val="24"/>
        </w:rPr>
        <w:t>Nehez</w:t>
      </w:r>
      <w:proofErr w:type="spellEnd"/>
      <w:r>
        <w:rPr>
          <w:sz w:val="24"/>
          <w:szCs w:val="24"/>
        </w:rPr>
        <w:t xml:space="preserve"> did not sign up for PGW’s LCP until May 2012, at the earliest, when the tenants’ unpaid arrearage was $16,488.09.  </w:t>
      </w:r>
      <w:proofErr w:type="gramStart"/>
      <w:r>
        <w:rPr>
          <w:sz w:val="24"/>
          <w:szCs w:val="24"/>
        </w:rPr>
        <w:t>Complaint, ¶4.</w:t>
      </w:r>
      <w:proofErr w:type="gramEnd"/>
      <w:r>
        <w:rPr>
          <w:sz w:val="24"/>
          <w:szCs w:val="24"/>
        </w:rPr>
        <w:t xml:space="preserve"> </w:t>
      </w:r>
      <w:proofErr w:type="gramStart"/>
      <w:r>
        <w:rPr>
          <w:sz w:val="24"/>
          <w:szCs w:val="24"/>
        </w:rPr>
        <w:t>A, attachment.</w:t>
      </w:r>
      <w:proofErr w:type="gramEnd"/>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10.</w:t>
      </w:r>
      <w:r>
        <w:rPr>
          <w:sz w:val="24"/>
          <w:szCs w:val="24"/>
        </w:rPr>
        <w:tab/>
        <w:t xml:space="preserve">On May 23, 2013, Complainants filed a Formal Complaint at Docket No. </w:t>
      </w:r>
      <w:proofErr w:type="gramStart"/>
      <w:r>
        <w:rPr>
          <w:sz w:val="24"/>
          <w:szCs w:val="24"/>
        </w:rPr>
        <w:t>C-2013-2367085 against PGW, alleging dissatisfaction with the PGW notice procedures regarding tenants’ arrearages and imposition of liens.</w:t>
      </w:r>
      <w:proofErr w:type="gramEnd"/>
      <w:r>
        <w:rPr>
          <w:sz w:val="24"/>
          <w:szCs w:val="24"/>
        </w:rPr>
        <w:t xml:space="preserve">  As relief, Complainants requested an investigation and removal of the liens.  Complaint, ¶5; Answer to Preliminary Objections, ¶7.</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11.</w:t>
      </w:r>
      <w:r>
        <w:rPr>
          <w:sz w:val="24"/>
          <w:szCs w:val="24"/>
        </w:rPr>
        <w:tab/>
        <w:t>Complaints about notice procedures involving tenants’ arrearages and imposition of liens are related to PGW’s LCP.</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12.</w:t>
      </w:r>
      <w:r>
        <w:rPr>
          <w:sz w:val="24"/>
          <w:szCs w:val="24"/>
        </w:rPr>
        <w:tab/>
        <w:t xml:space="preserve">The LCP is a private contract between Ms. </w:t>
      </w:r>
      <w:proofErr w:type="spellStart"/>
      <w:r>
        <w:rPr>
          <w:sz w:val="24"/>
          <w:szCs w:val="24"/>
        </w:rPr>
        <w:t>Nehez</w:t>
      </w:r>
      <w:proofErr w:type="spellEnd"/>
      <w:r>
        <w:rPr>
          <w:sz w:val="24"/>
          <w:szCs w:val="24"/>
        </w:rPr>
        <w:t xml:space="preserve"> and PGW.</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13.</w:t>
      </w:r>
      <w:r>
        <w:rPr>
          <w:sz w:val="24"/>
          <w:szCs w:val="24"/>
        </w:rPr>
        <w:tab/>
        <w:t>Under the LCP, a property owner who provides complete cooperation to PGW and fulfills other requirements of the LCP is not subjected to the placement of liens on registered residential property for unpaid gas service which benefited that property during the time of the property owner’s compliance with the LCP.</w:t>
      </w:r>
    </w:p>
    <w:p w:rsidR="00B93D03" w:rsidRDefault="00B93D03" w:rsidP="00B93D03">
      <w:pPr>
        <w:rPr>
          <w:sz w:val="24"/>
          <w:szCs w:val="24"/>
        </w:rPr>
      </w:pPr>
    </w:p>
    <w:p w:rsidR="00B93D03" w:rsidRDefault="00B93D03" w:rsidP="00B93D03">
      <w:pPr>
        <w:rPr>
          <w:sz w:val="24"/>
          <w:szCs w:val="24"/>
        </w:rPr>
      </w:pPr>
      <w:r>
        <w:rPr>
          <w:sz w:val="24"/>
          <w:szCs w:val="24"/>
        </w:rPr>
        <w:tab/>
      </w:r>
      <w:r>
        <w:rPr>
          <w:sz w:val="24"/>
          <w:szCs w:val="24"/>
        </w:rPr>
        <w:tab/>
        <w:t>14.</w:t>
      </w:r>
      <w:r>
        <w:rPr>
          <w:sz w:val="24"/>
          <w:szCs w:val="24"/>
        </w:rPr>
        <w:tab/>
        <w:t>The LCP is a supplemental service provided by PGW to a landlord and only incidental to PGW’s primary gas service provided to the tenant.</w:t>
      </w:r>
    </w:p>
    <w:p w:rsidR="00B93D03" w:rsidRDefault="00B93D03" w:rsidP="00B93D03">
      <w:pPr>
        <w:jc w:val="center"/>
        <w:rPr>
          <w:sz w:val="24"/>
          <w:szCs w:val="24"/>
        </w:rPr>
      </w:pPr>
    </w:p>
    <w:p w:rsidR="00B93D03" w:rsidRDefault="00B93D03" w:rsidP="00B93D03">
      <w:pPr>
        <w:jc w:val="center"/>
        <w:rPr>
          <w:sz w:val="24"/>
          <w:szCs w:val="24"/>
        </w:rPr>
      </w:pPr>
      <w:r>
        <w:rPr>
          <w:sz w:val="24"/>
          <w:szCs w:val="24"/>
          <w:u w:val="single"/>
        </w:rPr>
        <w:t>DISCUSSION</w:t>
      </w:r>
    </w:p>
    <w:p w:rsidR="00B93D03" w:rsidRDefault="00B93D03" w:rsidP="00B93D03">
      <w:pPr>
        <w:rPr>
          <w:sz w:val="24"/>
          <w:szCs w:val="24"/>
          <w:u w:val="single"/>
        </w:rPr>
      </w:pPr>
    </w:p>
    <w:p w:rsidR="00B93D03" w:rsidRDefault="00B93D03" w:rsidP="00B93D03">
      <w:pPr>
        <w:rPr>
          <w:sz w:val="24"/>
          <w:szCs w:val="24"/>
        </w:rPr>
      </w:pPr>
      <w:r>
        <w:rPr>
          <w:sz w:val="24"/>
          <w:szCs w:val="24"/>
        </w:rPr>
        <w:tab/>
      </w:r>
      <w:r>
        <w:rPr>
          <w:sz w:val="24"/>
          <w:szCs w:val="24"/>
        </w:rPr>
        <w:tab/>
        <w:t xml:space="preserve">The Commission’s Rules of Administrative Practice and Procedure permit the filing of preliminary objections.  </w:t>
      </w:r>
      <w:proofErr w:type="gramStart"/>
      <w:r>
        <w:rPr>
          <w:sz w:val="24"/>
          <w:szCs w:val="24"/>
        </w:rPr>
        <w:t>52 Pa. Code § 5.101.</w:t>
      </w:r>
      <w:proofErr w:type="gramEnd"/>
      <w:r>
        <w:rPr>
          <w:sz w:val="24"/>
          <w:szCs w:val="24"/>
        </w:rPr>
        <w:t xml:space="preserve">  Commission procedure regarding the disposition of preliminary objections is similar to that utilized in Pennsylvania civil practice.  </w:t>
      </w:r>
      <w:proofErr w:type="gramStart"/>
      <w:r>
        <w:rPr>
          <w:sz w:val="24"/>
          <w:szCs w:val="24"/>
          <w:u w:val="single"/>
        </w:rPr>
        <w:lastRenderedPageBreak/>
        <w:t>Equitable Small Transportation Interveners v. Equitable Gas Company</w:t>
      </w:r>
      <w:r>
        <w:rPr>
          <w:sz w:val="24"/>
          <w:szCs w:val="24"/>
        </w:rPr>
        <w:t>, 1994 Pa. PUC LEXIS 69.</w:t>
      </w:r>
      <w:proofErr w:type="gramEnd"/>
    </w:p>
    <w:p w:rsidR="00B93D03" w:rsidRDefault="00B93D03" w:rsidP="00B93D03">
      <w:pPr>
        <w:ind w:firstLine="1440"/>
        <w:rPr>
          <w:sz w:val="24"/>
          <w:szCs w:val="24"/>
        </w:rPr>
      </w:pPr>
    </w:p>
    <w:p w:rsidR="00B93D03" w:rsidRDefault="00B93D03" w:rsidP="00B93D03">
      <w:pPr>
        <w:tabs>
          <w:tab w:val="left" w:pos="0"/>
        </w:tabs>
        <w:rPr>
          <w:sz w:val="24"/>
          <w:szCs w:val="24"/>
        </w:rPr>
      </w:pPr>
      <w:r>
        <w:rPr>
          <w:sz w:val="24"/>
          <w:szCs w:val="24"/>
        </w:rPr>
        <w:tab/>
      </w:r>
      <w:r>
        <w:rPr>
          <w:sz w:val="24"/>
          <w:szCs w:val="24"/>
        </w:rPr>
        <w:tab/>
        <w:t xml:space="preserve">A preliminary objection seeking dismissal of a complaint, in whole or in part, will be granted only where relief is clearly warranted and free from doubt.  </w:t>
      </w:r>
      <w:proofErr w:type="gramStart"/>
      <w:r>
        <w:rPr>
          <w:sz w:val="24"/>
          <w:szCs w:val="24"/>
          <w:u w:val="single"/>
        </w:rPr>
        <w:t xml:space="preserve">Interstate </w:t>
      </w:r>
      <w:proofErr w:type="spellStart"/>
      <w:r>
        <w:rPr>
          <w:sz w:val="24"/>
          <w:szCs w:val="24"/>
          <w:u w:val="single"/>
        </w:rPr>
        <w:t>Traveller</w:t>
      </w:r>
      <w:proofErr w:type="spellEnd"/>
      <w:r>
        <w:rPr>
          <w:sz w:val="24"/>
          <w:szCs w:val="24"/>
          <w:u w:val="single"/>
        </w:rPr>
        <w:t xml:space="preserve"> Services, Inc. v. Pa. Dept. of Environmental Resources</w:t>
      </w:r>
      <w:r>
        <w:rPr>
          <w:sz w:val="24"/>
          <w:szCs w:val="24"/>
        </w:rPr>
        <w:t>, 486 Pa. 536, 406 A.2d 1020 (1979).</w:t>
      </w:r>
      <w:proofErr w:type="gramEnd"/>
      <w:r>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proofErr w:type="gramStart"/>
      <w:r>
        <w:rPr>
          <w:sz w:val="24"/>
          <w:szCs w:val="24"/>
          <w:u w:val="single"/>
        </w:rPr>
        <w:t>County of Allegheny v. Commonwealth of Pa.</w:t>
      </w:r>
      <w:r>
        <w:rPr>
          <w:sz w:val="24"/>
          <w:szCs w:val="24"/>
        </w:rPr>
        <w:t>, 507 Pa. 360, 490 A.2d 402 (1985).</w:t>
      </w:r>
      <w:proofErr w:type="gramEnd"/>
      <w:r>
        <w:rPr>
          <w:sz w:val="24"/>
          <w:szCs w:val="24"/>
        </w:rPr>
        <w:t xml:space="preserve">  Therefore, in ruling on a preliminary objection, the Commission must assume, for decisional purposes only, that the factual allegations of the Complaint are true.  </w:t>
      </w:r>
      <w:r>
        <w:rPr>
          <w:sz w:val="24"/>
          <w:szCs w:val="24"/>
          <w:u w:val="single"/>
        </w:rPr>
        <w:t>Id</w:t>
      </w:r>
      <w:r>
        <w:rPr>
          <w:sz w:val="24"/>
          <w:szCs w:val="24"/>
        </w:rPr>
        <w:t xml:space="preserve">.  The motion will be granted only if the moving party prevails as a matter of law.  </w:t>
      </w:r>
      <w:proofErr w:type="spellStart"/>
      <w:r>
        <w:rPr>
          <w:sz w:val="24"/>
          <w:szCs w:val="24"/>
          <w:u w:val="single"/>
        </w:rPr>
        <w:t>Rok</w:t>
      </w:r>
      <w:proofErr w:type="spellEnd"/>
      <w:r>
        <w:rPr>
          <w:sz w:val="24"/>
          <w:szCs w:val="24"/>
          <w:u w:val="single"/>
        </w:rPr>
        <w:t xml:space="preserve"> v. Flaherty</w:t>
      </w:r>
      <w:r>
        <w:rPr>
          <w:sz w:val="24"/>
          <w:szCs w:val="24"/>
        </w:rPr>
        <w:t xml:space="preserve">, 106 Pa. </w:t>
      </w:r>
      <w:proofErr w:type="spellStart"/>
      <w:r>
        <w:rPr>
          <w:sz w:val="24"/>
          <w:szCs w:val="24"/>
        </w:rPr>
        <w:t>Commw</w:t>
      </w:r>
      <w:proofErr w:type="spellEnd"/>
      <w:r>
        <w:rPr>
          <w:sz w:val="24"/>
          <w:szCs w:val="24"/>
        </w:rPr>
        <w:t xml:space="preserve">. </w:t>
      </w:r>
      <w:proofErr w:type="gramStart"/>
      <w:r>
        <w:rPr>
          <w:sz w:val="24"/>
          <w:szCs w:val="24"/>
        </w:rPr>
        <w:t>570, 527 A.2d 211 (1987).</w:t>
      </w:r>
      <w:proofErr w:type="gramEnd"/>
      <w:r>
        <w:rPr>
          <w:sz w:val="24"/>
          <w:szCs w:val="24"/>
        </w:rPr>
        <w:t xml:space="preserve">  Any doubt must be resolved in favor of the non-moving party.  </w:t>
      </w:r>
      <w:proofErr w:type="gramStart"/>
      <w:r>
        <w:rPr>
          <w:sz w:val="24"/>
          <w:szCs w:val="24"/>
          <w:u w:val="single"/>
        </w:rPr>
        <w:t xml:space="preserve">Dept. of Auditor General, </w:t>
      </w:r>
      <w:r>
        <w:rPr>
          <w:i/>
          <w:sz w:val="24"/>
          <w:szCs w:val="24"/>
          <w:u w:val="single"/>
        </w:rPr>
        <w:t>et al.</w:t>
      </w:r>
      <w:r>
        <w:rPr>
          <w:sz w:val="24"/>
          <w:szCs w:val="24"/>
          <w:u w:val="single"/>
        </w:rPr>
        <w:t xml:space="preserve"> v. State Employees’ Retirement System, </w:t>
      </w:r>
      <w:r>
        <w:rPr>
          <w:i/>
          <w:sz w:val="24"/>
          <w:szCs w:val="24"/>
          <w:u w:val="single"/>
        </w:rPr>
        <w:t>et al</w:t>
      </w:r>
      <w:r>
        <w:rPr>
          <w:sz w:val="24"/>
          <w:szCs w:val="24"/>
          <w:u w:val="single"/>
        </w:rPr>
        <w:t>.</w:t>
      </w:r>
      <w:r>
        <w:rPr>
          <w:sz w:val="24"/>
          <w:szCs w:val="24"/>
        </w:rPr>
        <w:t xml:space="preserve">, 836 A.2d 1053 (Pa. </w:t>
      </w:r>
      <w:proofErr w:type="spellStart"/>
      <w:r>
        <w:rPr>
          <w:sz w:val="24"/>
          <w:szCs w:val="24"/>
        </w:rPr>
        <w:t>Cmwlth</w:t>
      </w:r>
      <w:proofErr w:type="spellEnd"/>
      <w:r>
        <w:rPr>
          <w:sz w:val="24"/>
          <w:szCs w:val="24"/>
        </w:rPr>
        <w:t>. 2003).</w:t>
      </w:r>
      <w:proofErr w:type="gramEnd"/>
    </w:p>
    <w:p w:rsidR="00B93D03" w:rsidRDefault="00B93D03" w:rsidP="00B93D03">
      <w:pPr>
        <w:tabs>
          <w:tab w:val="left" w:pos="0"/>
        </w:tabs>
        <w:rPr>
          <w:sz w:val="24"/>
          <w:szCs w:val="24"/>
        </w:rPr>
      </w:pPr>
    </w:p>
    <w:p w:rsidR="00B93D03" w:rsidRDefault="00B93D03" w:rsidP="00B93D03">
      <w:pPr>
        <w:tabs>
          <w:tab w:val="left" w:pos="0"/>
        </w:tabs>
        <w:rPr>
          <w:sz w:val="24"/>
          <w:szCs w:val="24"/>
        </w:rPr>
      </w:pPr>
      <w:r>
        <w:rPr>
          <w:sz w:val="24"/>
          <w:szCs w:val="24"/>
        </w:rPr>
        <w:tab/>
      </w:r>
      <w:r>
        <w:rPr>
          <w:sz w:val="24"/>
          <w:szCs w:val="24"/>
        </w:rPr>
        <w:tab/>
        <w:t>The grounds for preliminary objections, which are set forth in 52 Pa. Code §5.101(a), are as follows:</w:t>
      </w:r>
    </w:p>
    <w:p w:rsidR="00B93D03" w:rsidRDefault="00B93D03" w:rsidP="00B93D03">
      <w:pPr>
        <w:ind w:firstLine="1440"/>
        <w:rPr>
          <w:sz w:val="24"/>
          <w:szCs w:val="24"/>
        </w:rPr>
      </w:pPr>
    </w:p>
    <w:p w:rsidR="00B93D03" w:rsidRDefault="00B93D03" w:rsidP="00B93D03">
      <w:pPr>
        <w:widowControl w:val="0"/>
        <w:numPr>
          <w:ilvl w:val="0"/>
          <w:numId w:val="12"/>
        </w:numPr>
        <w:autoSpaceDE w:val="0"/>
        <w:autoSpaceDN w:val="0"/>
        <w:adjustRightInd w:val="0"/>
        <w:spacing w:line="240" w:lineRule="auto"/>
        <w:ind w:left="1440" w:right="1440" w:firstLine="0"/>
        <w:rPr>
          <w:sz w:val="24"/>
          <w:szCs w:val="24"/>
        </w:rPr>
      </w:pPr>
      <w:r>
        <w:rPr>
          <w:sz w:val="24"/>
          <w:szCs w:val="24"/>
        </w:rPr>
        <w:t>Lack of Commission jurisdiction or improper service of the pleading initiating the proceeding.</w:t>
      </w:r>
    </w:p>
    <w:p w:rsidR="00B93D03" w:rsidRDefault="00B93D03" w:rsidP="00B93D03">
      <w:pPr>
        <w:spacing w:line="240" w:lineRule="auto"/>
        <w:ind w:left="1440" w:right="1440"/>
        <w:rPr>
          <w:sz w:val="24"/>
          <w:szCs w:val="24"/>
        </w:rPr>
      </w:pPr>
    </w:p>
    <w:p w:rsidR="00B93D03" w:rsidRDefault="00B93D03" w:rsidP="00B93D03">
      <w:pPr>
        <w:widowControl w:val="0"/>
        <w:numPr>
          <w:ilvl w:val="0"/>
          <w:numId w:val="12"/>
        </w:numPr>
        <w:autoSpaceDE w:val="0"/>
        <w:autoSpaceDN w:val="0"/>
        <w:adjustRightInd w:val="0"/>
        <w:spacing w:line="240" w:lineRule="auto"/>
        <w:ind w:left="1440" w:right="1440" w:firstLine="0"/>
        <w:rPr>
          <w:sz w:val="24"/>
          <w:szCs w:val="24"/>
        </w:rPr>
      </w:pPr>
      <w:r>
        <w:rPr>
          <w:sz w:val="24"/>
          <w:szCs w:val="24"/>
        </w:rPr>
        <w:t>Failure of a pleading to conform to this chapter or the inclusion of scandalous or impertinent matter.</w:t>
      </w:r>
    </w:p>
    <w:p w:rsidR="00B93D03" w:rsidRDefault="00B93D03" w:rsidP="00B93D03">
      <w:pPr>
        <w:spacing w:line="240" w:lineRule="auto"/>
        <w:ind w:left="1440" w:right="1440"/>
        <w:rPr>
          <w:sz w:val="24"/>
          <w:szCs w:val="24"/>
        </w:rPr>
      </w:pPr>
    </w:p>
    <w:p w:rsidR="00B93D03" w:rsidRDefault="00B93D03" w:rsidP="00B93D03">
      <w:pPr>
        <w:widowControl w:val="0"/>
        <w:numPr>
          <w:ilvl w:val="0"/>
          <w:numId w:val="12"/>
        </w:numPr>
        <w:autoSpaceDE w:val="0"/>
        <w:autoSpaceDN w:val="0"/>
        <w:adjustRightInd w:val="0"/>
        <w:spacing w:line="240" w:lineRule="auto"/>
        <w:ind w:left="1440" w:right="1440" w:firstLine="0"/>
        <w:rPr>
          <w:sz w:val="24"/>
          <w:szCs w:val="24"/>
        </w:rPr>
      </w:pPr>
      <w:r>
        <w:rPr>
          <w:sz w:val="24"/>
          <w:szCs w:val="24"/>
        </w:rPr>
        <w:t>Insufficient specificity of a pleading.</w:t>
      </w:r>
    </w:p>
    <w:p w:rsidR="00B93D03" w:rsidRDefault="00B93D03" w:rsidP="00B93D03">
      <w:pPr>
        <w:spacing w:line="240" w:lineRule="auto"/>
        <w:ind w:left="1440" w:right="1440"/>
        <w:rPr>
          <w:sz w:val="24"/>
          <w:szCs w:val="24"/>
        </w:rPr>
      </w:pPr>
    </w:p>
    <w:p w:rsidR="00B93D03" w:rsidRDefault="00B93D03" w:rsidP="00B93D03">
      <w:pPr>
        <w:widowControl w:val="0"/>
        <w:numPr>
          <w:ilvl w:val="0"/>
          <w:numId w:val="12"/>
        </w:numPr>
        <w:autoSpaceDE w:val="0"/>
        <w:autoSpaceDN w:val="0"/>
        <w:adjustRightInd w:val="0"/>
        <w:spacing w:line="240" w:lineRule="auto"/>
        <w:ind w:left="1440" w:right="1440" w:firstLine="0"/>
        <w:rPr>
          <w:sz w:val="24"/>
          <w:szCs w:val="24"/>
        </w:rPr>
      </w:pPr>
      <w:r>
        <w:rPr>
          <w:sz w:val="24"/>
          <w:szCs w:val="24"/>
        </w:rPr>
        <w:t>Legal insufficiency of a pleading.</w:t>
      </w:r>
    </w:p>
    <w:p w:rsidR="00B93D03" w:rsidRDefault="00B93D03" w:rsidP="00B93D03">
      <w:pPr>
        <w:spacing w:line="240" w:lineRule="auto"/>
        <w:ind w:left="1440" w:right="1440"/>
        <w:rPr>
          <w:sz w:val="24"/>
          <w:szCs w:val="24"/>
        </w:rPr>
      </w:pPr>
    </w:p>
    <w:p w:rsidR="00B93D03" w:rsidRDefault="00B93D03" w:rsidP="00B93D03">
      <w:pPr>
        <w:widowControl w:val="0"/>
        <w:numPr>
          <w:ilvl w:val="0"/>
          <w:numId w:val="12"/>
        </w:numPr>
        <w:tabs>
          <w:tab w:val="left" w:pos="0"/>
          <w:tab w:val="left" w:pos="90"/>
        </w:tabs>
        <w:autoSpaceDE w:val="0"/>
        <w:autoSpaceDN w:val="0"/>
        <w:adjustRightInd w:val="0"/>
        <w:spacing w:line="240" w:lineRule="auto"/>
        <w:ind w:left="1440" w:right="1440" w:firstLine="0"/>
        <w:rPr>
          <w:sz w:val="24"/>
          <w:szCs w:val="24"/>
        </w:rPr>
      </w:pPr>
      <w:r>
        <w:rPr>
          <w:sz w:val="24"/>
          <w:szCs w:val="24"/>
        </w:rPr>
        <w:t xml:space="preserve">Lack of capacity to sue, </w:t>
      </w:r>
      <w:proofErr w:type="spellStart"/>
      <w:r>
        <w:rPr>
          <w:sz w:val="24"/>
          <w:szCs w:val="24"/>
        </w:rPr>
        <w:t>nonjoinder</w:t>
      </w:r>
      <w:proofErr w:type="spellEnd"/>
      <w:r>
        <w:rPr>
          <w:sz w:val="24"/>
          <w:szCs w:val="24"/>
        </w:rPr>
        <w:t xml:space="preserve"> of a necessary party or misjoinder of a cause of action.</w:t>
      </w:r>
    </w:p>
    <w:p w:rsidR="00B93D03" w:rsidRDefault="00B93D03" w:rsidP="00B93D03">
      <w:pPr>
        <w:spacing w:line="240" w:lineRule="auto"/>
        <w:ind w:left="1440" w:right="1440"/>
        <w:rPr>
          <w:sz w:val="24"/>
          <w:szCs w:val="24"/>
        </w:rPr>
      </w:pPr>
    </w:p>
    <w:p w:rsidR="00B93D03" w:rsidRDefault="00B93D03" w:rsidP="00B93D03">
      <w:pPr>
        <w:widowControl w:val="0"/>
        <w:numPr>
          <w:ilvl w:val="0"/>
          <w:numId w:val="12"/>
        </w:numPr>
        <w:autoSpaceDE w:val="0"/>
        <w:autoSpaceDN w:val="0"/>
        <w:adjustRightInd w:val="0"/>
        <w:spacing w:line="240" w:lineRule="auto"/>
        <w:ind w:left="1440" w:right="1440" w:firstLine="0"/>
        <w:rPr>
          <w:sz w:val="24"/>
          <w:szCs w:val="24"/>
        </w:rPr>
      </w:pPr>
      <w:r>
        <w:rPr>
          <w:sz w:val="24"/>
          <w:szCs w:val="24"/>
        </w:rPr>
        <w:t>Pendency of a prior proceeding or agreement for alternative dispute resolution.</w:t>
      </w:r>
    </w:p>
    <w:p w:rsidR="00B93D03" w:rsidRDefault="00B93D03" w:rsidP="00B93D03">
      <w:pPr>
        <w:widowControl w:val="0"/>
        <w:autoSpaceDE w:val="0"/>
        <w:autoSpaceDN w:val="0"/>
        <w:adjustRightInd w:val="0"/>
        <w:ind w:right="1440"/>
        <w:rPr>
          <w:sz w:val="24"/>
          <w:szCs w:val="24"/>
        </w:rPr>
      </w:pPr>
    </w:p>
    <w:p w:rsidR="00B93D03" w:rsidRDefault="00B93D03" w:rsidP="00B93D03">
      <w:pPr>
        <w:ind w:firstLine="1440"/>
        <w:rPr>
          <w:sz w:val="24"/>
          <w:szCs w:val="24"/>
        </w:rPr>
      </w:pPr>
      <w:r>
        <w:rPr>
          <w:sz w:val="24"/>
          <w:szCs w:val="24"/>
        </w:rPr>
        <w:lastRenderedPageBreak/>
        <w:t xml:space="preserve">PGW filed its Preliminary Objections on the basis of lack of jurisdiction and inclusion of impertinent matter.  In support of its requested relief, PGW asserted that the Commission has no jurisdiction over the filing of municipal liens, and that the Commission has repeatedly recognized its lack of subject matter jurisdiction in numerous cases involving municipal lien disputes.  </w:t>
      </w:r>
      <w:proofErr w:type="gramStart"/>
      <w:r>
        <w:rPr>
          <w:sz w:val="24"/>
          <w:szCs w:val="24"/>
          <w:u w:val="single"/>
        </w:rPr>
        <w:t>See</w:t>
      </w:r>
      <w:r>
        <w:rPr>
          <w:sz w:val="24"/>
          <w:szCs w:val="24"/>
        </w:rPr>
        <w:t xml:space="preserve">, </w:t>
      </w:r>
      <w:r>
        <w:rPr>
          <w:sz w:val="24"/>
          <w:szCs w:val="24"/>
          <w:u w:val="single"/>
        </w:rPr>
        <w:t>e.g.</w:t>
      </w:r>
      <w:r>
        <w:rPr>
          <w:sz w:val="24"/>
          <w:szCs w:val="24"/>
        </w:rPr>
        <w:t xml:space="preserve">, </w:t>
      </w:r>
      <w:r>
        <w:rPr>
          <w:sz w:val="24"/>
          <w:szCs w:val="24"/>
          <w:u w:val="single"/>
        </w:rPr>
        <w:t>Newman v. PGW</w:t>
      </w:r>
      <w:r>
        <w:rPr>
          <w:sz w:val="24"/>
          <w:szCs w:val="24"/>
        </w:rPr>
        <w:t xml:space="preserve"> (</w:t>
      </w:r>
      <w:r>
        <w:rPr>
          <w:sz w:val="24"/>
          <w:szCs w:val="24"/>
          <w:u w:val="single"/>
        </w:rPr>
        <w:t>Newman</w:t>
      </w:r>
      <w:r>
        <w:rPr>
          <w:sz w:val="24"/>
          <w:szCs w:val="24"/>
        </w:rPr>
        <w:t>), Docket No.</w:t>
      </w:r>
      <w:proofErr w:type="gramEnd"/>
      <w:r>
        <w:rPr>
          <w:sz w:val="24"/>
          <w:szCs w:val="24"/>
        </w:rPr>
        <w:t xml:space="preserve"> C-2011-2273565, Final Opinion and Order entered March 29, 2012; </w:t>
      </w:r>
      <w:r>
        <w:rPr>
          <w:sz w:val="24"/>
          <w:szCs w:val="24"/>
          <w:u w:val="single"/>
        </w:rPr>
        <w:t>Jackson v. PGW</w:t>
      </w:r>
      <w:r>
        <w:rPr>
          <w:sz w:val="24"/>
          <w:szCs w:val="24"/>
        </w:rPr>
        <w:t xml:space="preserve"> (</w:t>
      </w:r>
      <w:r>
        <w:rPr>
          <w:sz w:val="24"/>
          <w:szCs w:val="24"/>
          <w:u w:val="single"/>
        </w:rPr>
        <w:t>Jackson</w:t>
      </w:r>
      <w:r>
        <w:rPr>
          <w:sz w:val="24"/>
          <w:szCs w:val="24"/>
        </w:rPr>
        <w:t xml:space="preserve">), Docket No. C-2009-2119940, Final Opinion and Order entered July 1, 2011; and </w:t>
      </w:r>
      <w:proofErr w:type="spellStart"/>
      <w:r>
        <w:rPr>
          <w:sz w:val="24"/>
          <w:szCs w:val="24"/>
          <w:u w:val="single"/>
        </w:rPr>
        <w:t>Yamin</w:t>
      </w:r>
      <w:proofErr w:type="spellEnd"/>
      <w:r>
        <w:rPr>
          <w:sz w:val="24"/>
          <w:szCs w:val="24"/>
          <w:u w:val="single"/>
        </w:rPr>
        <w:t xml:space="preserve"> v. PGW</w:t>
      </w:r>
      <w:r>
        <w:rPr>
          <w:sz w:val="24"/>
          <w:szCs w:val="24"/>
        </w:rPr>
        <w:t xml:space="preserve"> (</w:t>
      </w:r>
      <w:proofErr w:type="spellStart"/>
      <w:r>
        <w:rPr>
          <w:sz w:val="24"/>
          <w:szCs w:val="24"/>
          <w:u w:val="single"/>
        </w:rPr>
        <w:t>Yamin</w:t>
      </w:r>
      <w:proofErr w:type="spellEnd"/>
      <w:r>
        <w:rPr>
          <w:sz w:val="24"/>
          <w:szCs w:val="24"/>
        </w:rPr>
        <w:t xml:space="preserve">), Docket No. C-2011-2221883, Final Order entered June 29, 2011; </w:t>
      </w:r>
      <w:r>
        <w:rPr>
          <w:sz w:val="24"/>
          <w:szCs w:val="24"/>
          <w:u w:val="single"/>
        </w:rPr>
        <w:t>see also</w:t>
      </w:r>
      <w:r>
        <w:rPr>
          <w:sz w:val="24"/>
          <w:szCs w:val="24"/>
        </w:rPr>
        <w:t>, 53 P.S. §7101 et seq. (Municipal Lien Act); 66 Pa. C.S. §§1414, 2212(n).  As the Commission is without jurisdiction to decide matters involving the imposition of municipal liens, the Complainant’s request for removal of these liens is “impertinent matter,” according to PGW, and should be stricken.</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PGW further alleged that the City of Philadelphia, as owner of PGW, filed a municipal lien upon the Subject Property for unpaid gas service, under authority of the Municipal Lien Act.  It contended that the nature of a lien is such that it encumbers the real estate, regardless of who caused the event.  It argued that this municipal claim for unpaid gas service may be collected even when the gas service was not rendered to the owner of the property.  </w:t>
      </w:r>
      <w:proofErr w:type="gramStart"/>
      <w:r>
        <w:rPr>
          <w:sz w:val="24"/>
          <w:szCs w:val="24"/>
          <w:u w:val="single"/>
        </w:rPr>
        <w:t xml:space="preserve">Newberry Township v. Ray </w:t>
      </w:r>
      <w:proofErr w:type="spellStart"/>
      <w:r>
        <w:rPr>
          <w:sz w:val="24"/>
          <w:szCs w:val="24"/>
          <w:u w:val="single"/>
        </w:rPr>
        <w:t>Stambaugh</w:t>
      </w:r>
      <w:proofErr w:type="spellEnd"/>
      <w:r>
        <w:rPr>
          <w:sz w:val="24"/>
          <w:szCs w:val="24"/>
        </w:rPr>
        <w:t xml:space="preserve">, 848 A.2d 173 (Pa. </w:t>
      </w:r>
      <w:proofErr w:type="spellStart"/>
      <w:r>
        <w:rPr>
          <w:sz w:val="24"/>
          <w:szCs w:val="24"/>
        </w:rPr>
        <w:t>Cmwlth</w:t>
      </w:r>
      <w:proofErr w:type="spellEnd"/>
      <w:r>
        <w:rPr>
          <w:sz w:val="24"/>
          <w:szCs w:val="24"/>
        </w:rPr>
        <w:t>. 2000).</w:t>
      </w:r>
      <w:proofErr w:type="gramEnd"/>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Finally, PGW argued that participation in LCP represents a private contractual agreement which does not arise from the public rights embodied in the Public Utility Code, and therefore is beyond the Commission’s jurisdiction, citing to </w:t>
      </w:r>
      <w:r>
        <w:rPr>
          <w:sz w:val="24"/>
          <w:szCs w:val="24"/>
          <w:u w:val="single"/>
        </w:rPr>
        <w:t>Eric Carter v. PGW</w:t>
      </w:r>
      <w:r>
        <w:rPr>
          <w:sz w:val="24"/>
          <w:szCs w:val="24"/>
        </w:rPr>
        <w:t>, Docket No. C-2012-2299188, Commission Order acknowledging finality of ALJ decision entered August 16, 2012.</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In her Answer to the Preliminary Objections, Ms. </w:t>
      </w:r>
      <w:proofErr w:type="spellStart"/>
      <w:r>
        <w:rPr>
          <w:sz w:val="24"/>
          <w:szCs w:val="24"/>
        </w:rPr>
        <w:t>Nehez</w:t>
      </w:r>
      <w:proofErr w:type="spellEnd"/>
      <w:r>
        <w:rPr>
          <w:sz w:val="24"/>
          <w:szCs w:val="24"/>
        </w:rPr>
        <w:t xml:space="preserve"> asserted that she was not questioning the right to impose the lien but PGW’s procedures for doing so, and its lack of timely notice to landlords of tenants’ arrearages.</w:t>
      </w:r>
    </w:p>
    <w:p w:rsidR="00B93D03" w:rsidRDefault="00B93D03" w:rsidP="00B93D03">
      <w:pPr>
        <w:ind w:firstLine="1440"/>
        <w:rPr>
          <w:sz w:val="24"/>
          <w:szCs w:val="24"/>
        </w:rPr>
      </w:pPr>
    </w:p>
    <w:p w:rsidR="00B93D03" w:rsidRDefault="00B93D03" w:rsidP="00B93D03">
      <w:pPr>
        <w:tabs>
          <w:tab w:val="left" w:pos="0"/>
        </w:tabs>
        <w:rPr>
          <w:sz w:val="24"/>
          <w:szCs w:val="24"/>
        </w:rPr>
      </w:pPr>
      <w:r>
        <w:rPr>
          <w:sz w:val="24"/>
          <w:szCs w:val="24"/>
        </w:rPr>
        <w:tab/>
      </w:r>
      <w:r>
        <w:rPr>
          <w:sz w:val="24"/>
          <w:szCs w:val="24"/>
        </w:rPr>
        <w:tab/>
        <w:t xml:space="preserve">Upon consideration of PGW’s Preliminary Objections and Motion to Strike, and Complainants’ Answer, I agree that the Preliminary Objection on the basis of lack of jurisdiction </w:t>
      </w:r>
      <w:r>
        <w:rPr>
          <w:sz w:val="24"/>
          <w:szCs w:val="24"/>
        </w:rPr>
        <w:lastRenderedPageBreak/>
        <w:t xml:space="preserve">should be granted.  Since I conclude that Ms. </w:t>
      </w:r>
      <w:proofErr w:type="spellStart"/>
      <w:r>
        <w:rPr>
          <w:sz w:val="24"/>
          <w:szCs w:val="24"/>
        </w:rPr>
        <w:t>Nehez’s</w:t>
      </w:r>
      <w:proofErr w:type="spellEnd"/>
      <w:r>
        <w:rPr>
          <w:sz w:val="24"/>
          <w:szCs w:val="24"/>
        </w:rPr>
        <w:t xml:space="preserve"> Complaint is beyond the jurisdiction of the Commission, it is inappropriate and unnecessary to consider whether impertinent matter should be stricken.  </w:t>
      </w:r>
      <w:r>
        <w:rPr>
          <w:sz w:val="24"/>
          <w:szCs w:val="24"/>
          <w:u w:val="single"/>
        </w:rPr>
        <w:t>Hughes v. Pa. State Police</w:t>
      </w:r>
      <w:r>
        <w:rPr>
          <w:sz w:val="24"/>
          <w:szCs w:val="24"/>
        </w:rPr>
        <w:t xml:space="preserve">, 152 Pa. </w:t>
      </w:r>
      <w:proofErr w:type="spellStart"/>
      <w:r>
        <w:rPr>
          <w:sz w:val="24"/>
          <w:szCs w:val="24"/>
        </w:rPr>
        <w:t>Commw</w:t>
      </w:r>
      <w:proofErr w:type="spellEnd"/>
      <w:r>
        <w:rPr>
          <w:sz w:val="24"/>
          <w:szCs w:val="24"/>
        </w:rPr>
        <w:t xml:space="preserve">. </w:t>
      </w:r>
      <w:proofErr w:type="gramStart"/>
      <w:r>
        <w:rPr>
          <w:sz w:val="24"/>
          <w:szCs w:val="24"/>
        </w:rPr>
        <w:t xml:space="preserve">409, 619 A.2d 390 (1992), </w:t>
      </w:r>
      <w:proofErr w:type="spellStart"/>
      <w:r>
        <w:rPr>
          <w:i/>
          <w:sz w:val="24"/>
          <w:szCs w:val="24"/>
        </w:rPr>
        <w:t>alloc</w:t>
      </w:r>
      <w:proofErr w:type="spellEnd"/>
      <w:r>
        <w:rPr>
          <w:i/>
          <w:sz w:val="24"/>
          <w:szCs w:val="24"/>
        </w:rPr>
        <w:t>.</w:t>
      </w:r>
      <w:proofErr w:type="gramEnd"/>
      <w:r>
        <w:rPr>
          <w:i/>
          <w:sz w:val="24"/>
          <w:szCs w:val="24"/>
        </w:rPr>
        <w:t xml:space="preserve"> </w:t>
      </w:r>
      <w:proofErr w:type="gramStart"/>
      <w:r>
        <w:rPr>
          <w:i/>
          <w:sz w:val="24"/>
          <w:szCs w:val="24"/>
        </w:rPr>
        <w:t>den., </w:t>
      </w:r>
      <w:r>
        <w:rPr>
          <w:sz w:val="24"/>
          <w:szCs w:val="24"/>
        </w:rPr>
        <w:t xml:space="preserve">637 A.2d 293 (1993); </w:t>
      </w:r>
      <w:r>
        <w:rPr>
          <w:sz w:val="24"/>
          <w:szCs w:val="24"/>
          <w:u w:val="single"/>
        </w:rPr>
        <w:t>Newman</w:t>
      </w:r>
      <w:r>
        <w:rPr>
          <w:sz w:val="24"/>
          <w:szCs w:val="24"/>
        </w:rPr>
        <w:t xml:space="preserve">, </w:t>
      </w:r>
      <w:r>
        <w:rPr>
          <w:i/>
          <w:sz w:val="24"/>
          <w:szCs w:val="24"/>
        </w:rPr>
        <w:t>supra</w:t>
      </w:r>
      <w:r>
        <w:rPr>
          <w:sz w:val="24"/>
          <w:szCs w:val="24"/>
        </w:rPr>
        <w:t>.</w:t>
      </w:r>
      <w:proofErr w:type="gramEnd"/>
    </w:p>
    <w:p w:rsidR="00B93D03" w:rsidRDefault="00B93D03" w:rsidP="00B93D03">
      <w:pPr>
        <w:tabs>
          <w:tab w:val="left" w:pos="0"/>
        </w:tabs>
        <w:rPr>
          <w:sz w:val="24"/>
          <w:szCs w:val="24"/>
        </w:rPr>
      </w:pPr>
    </w:p>
    <w:p w:rsidR="00B93D03" w:rsidRDefault="00B93D03" w:rsidP="00B93D03">
      <w:pPr>
        <w:tabs>
          <w:tab w:val="left" w:pos="0"/>
        </w:tabs>
        <w:rPr>
          <w:sz w:val="24"/>
          <w:szCs w:val="24"/>
        </w:rPr>
      </w:pPr>
      <w:r>
        <w:rPr>
          <w:sz w:val="24"/>
          <w:szCs w:val="24"/>
        </w:rPr>
        <w:tab/>
      </w:r>
      <w:r>
        <w:rPr>
          <w:sz w:val="24"/>
          <w:szCs w:val="24"/>
        </w:rPr>
        <w:tab/>
        <w:t xml:space="preserve">In every case coming before it, the Commission must decide initially whether it has jurisdiction over the parties and the subject matter of this dispute.  As a creature of legislation, the Commission possesses only the authority the state legislature has specifically granted to it in the Public Utility Code.  </w:t>
      </w:r>
      <w:proofErr w:type="gramStart"/>
      <w:r>
        <w:rPr>
          <w:sz w:val="24"/>
          <w:szCs w:val="24"/>
        </w:rPr>
        <w:t xml:space="preserve">66 Pa. C.S. §§101, </w:t>
      </w:r>
      <w:r>
        <w:rPr>
          <w:i/>
          <w:sz w:val="24"/>
          <w:szCs w:val="24"/>
        </w:rPr>
        <w:t>et seq</w:t>
      </w:r>
      <w:r>
        <w:rPr>
          <w:sz w:val="24"/>
          <w:szCs w:val="24"/>
        </w:rPr>
        <w:t>.</w:t>
      </w:r>
      <w:proofErr w:type="gramEnd"/>
      <w:r>
        <w:rPr>
          <w:sz w:val="24"/>
          <w:szCs w:val="24"/>
        </w:rPr>
        <w:t xml:space="preserve">  Its jurisdiction must arise from the express language of the pertinent enabling legislation or by strong and necessary implication therefrom.  </w:t>
      </w:r>
      <w:proofErr w:type="gramStart"/>
      <w:r>
        <w:rPr>
          <w:sz w:val="24"/>
          <w:szCs w:val="24"/>
          <w:u w:val="single"/>
        </w:rPr>
        <w:t>Feingold v. Bell of Pa.</w:t>
      </w:r>
      <w:r>
        <w:rPr>
          <w:sz w:val="24"/>
          <w:szCs w:val="24"/>
        </w:rPr>
        <w:t xml:space="preserve">, 477 Pa. 1, 383 A.2d 791 (1977); </w:t>
      </w:r>
      <w:r>
        <w:rPr>
          <w:sz w:val="24"/>
          <w:szCs w:val="24"/>
          <w:u w:val="single"/>
        </w:rPr>
        <w:t>Allegheny County Port Authority v. Pa. P.U.C.</w:t>
      </w:r>
      <w:r>
        <w:rPr>
          <w:sz w:val="24"/>
          <w:szCs w:val="24"/>
        </w:rPr>
        <w:t>, 427 Pa. 562, 237 A.2d 602 (1967).</w:t>
      </w:r>
      <w:proofErr w:type="gramEnd"/>
      <w:r>
        <w:rPr>
          <w:sz w:val="24"/>
          <w:szCs w:val="24"/>
        </w:rPr>
        <w:t xml:space="preserve">  The Commission must act within and cannot exceed its jurisdiction.  </w:t>
      </w:r>
      <w:proofErr w:type="gramStart"/>
      <w:r>
        <w:rPr>
          <w:sz w:val="24"/>
          <w:szCs w:val="24"/>
          <w:u w:val="single"/>
        </w:rPr>
        <w:t>City of Pittsburgh v. Pa. P.U.C.</w:t>
      </w:r>
      <w:r>
        <w:rPr>
          <w:sz w:val="24"/>
          <w:szCs w:val="24"/>
        </w:rPr>
        <w:t>, 157 Pa. Super.</w:t>
      </w:r>
      <w:proofErr w:type="gramEnd"/>
      <w:r>
        <w:rPr>
          <w:sz w:val="24"/>
          <w:szCs w:val="24"/>
        </w:rPr>
        <w:t xml:space="preserve"> </w:t>
      </w:r>
      <w:proofErr w:type="gramStart"/>
      <w:r>
        <w:rPr>
          <w:sz w:val="24"/>
          <w:szCs w:val="24"/>
        </w:rPr>
        <w:t>Ct. 595, 43 A.2d 348 (1945).</w:t>
      </w:r>
      <w:proofErr w:type="gramEnd"/>
      <w:r>
        <w:rPr>
          <w:sz w:val="24"/>
          <w:szCs w:val="24"/>
        </w:rPr>
        <w:t xml:space="preserve">  Jurisdiction may not be conferred by the parties where none exists.  </w:t>
      </w:r>
      <w:proofErr w:type="gramStart"/>
      <w:r>
        <w:rPr>
          <w:sz w:val="24"/>
          <w:szCs w:val="24"/>
          <w:u w:val="single"/>
        </w:rPr>
        <w:t xml:space="preserve">Roberts v. </w:t>
      </w:r>
      <w:proofErr w:type="spellStart"/>
      <w:r>
        <w:rPr>
          <w:sz w:val="24"/>
          <w:szCs w:val="24"/>
          <w:u w:val="single"/>
        </w:rPr>
        <w:t>Matorano</w:t>
      </w:r>
      <w:proofErr w:type="spellEnd"/>
      <w:r>
        <w:rPr>
          <w:sz w:val="24"/>
          <w:szCs w:val="24"/>
        </w:rPr>
        <w:t>, 427 Pa. 581, 235 A.2d 602 (1967).</w:t>
      </w:r>
      <w:proofErr w:type="gramEnd"/>
      <w:r>
        <w:rPr>
          <w:sz w:val="24"/>
          <w:szCs w:val="24"/>
        </w:rPr>
        <w:t xml:space="preserve">  Indeed, subject matter jurisdiction is a prerequisite to the exercise of the power to decide a controversy.  </w:t>
      </w:r>
      <w:r>
        <w:rPr>
          <w:sz w:val="24"/>
          <w:szCs w:val="24"/>
          <w:u w:val="single"/>
        </w:rPr>
        <w:t>Hughes v. Pa. State Police</w:t>
      </w:r>
      <w:r>
        <w:rPr>
          <w:sz w:val="24"/>
          <w:szCs w:val="24"/>
        </w:rPr>
        <w:t xml:space="preserve">, 152 Pa. </w:t>
      </w:r>
      <w:proofErr w:type="spellStart"/>
      <w:r>
        <w:rPr>
          <w:sz w:val="24"/>
          <w:szCs w:val="24"/>
        </w:rPr>
        <w:t>Commw</w:t>
      </w:r>
      <w:proofErr w:type="spellEnd"/>
      <w:r>
        <w:rPr>
          <w:sz w:val="24"/>
          <w:szCs w:val="24"/>
        </w:rPr>
        <w:t xml:space="preserve">. </w:t>
      </w:r>
      <w:proofErr w:type="gramStart"/>
      <w:r>
        <w:rPr>
          <w:sz w:val="24"/>
          <w:szCs w:val="24"/>
        </w:rPr>
        <w:t xml:space="preserve">409, 619 A.2d 390 (1992), </w:t>
      </w:r>
      <w:proofErr w:type="spellStart"/>
      <w:r>
        <w:rPr>
          <w:i/>
          <w:sz w:val="24"/>
          <w:szCs w:val="24"/>
        </w:rPr>
        <w:t>alloc</w:t>
      </w:r>
      <w:proofErr w:type="spellEnd"/>
      <w:r>
        <w:rPr>
          <w:i/>
          <w:sz w:val="24"/>
          <w:szCs w:val="24"/>
        </w:rPr>
        <w:t>.</w:t>
      </w:r>
      <w:proofErr w:type="gramEnd"/>
      <w:r>
        <w:rPr>
          <w:i/>
          <w:sz w:val="24"/>
          <w:szCs w:val="24"/>
        </w:rPr>
        <w:t xml:space="preserve"> </w:t>
      </w:r>
      <w:proofErr w:type="gramStart"/>
      <w:r>
        <w:rPr>
          <w:i/>
          <w:sz w:val="24"/>
          <w:szCs w:val="24"/>
        </w:rPr>
        <w:t xml:space="preserve">den., </w:t>
      </w:r>
      <w:r>
        <w:rPr>
          <w:sz w:val="24"/>
          <w:szCs w:val="24"/>
        </w:rPr>
        <w:t>637 A.2d 293 (1993).</w:t>
      </w:r>
      <w:proofErr w:type="gramEnd"/>
    </w:p>
    <w:p w:rsidR="00B93D03" w:rsidRDefault="00B93D03" w:rsidP="00B93D03">
      <w:pPr>
        <w:tabs>
          <w:tab w:val="left" w:pos="0"/>
        </w:tabs>
        <w:rPr>
          <w:sz w:val="24"/>
          <w:szCs w:val="24"/>
        </w:rPr>
      </w:pPr>
    </w:p>
    <w:p w:rsidR="00B93D03" w:rsidRDefault="00B93D03" w:rsidP="00B93D03">
      <w:pPr>
        <w:rPr>
          <w:sz w:val="24"/>
          <w:szCs w:val="24"/>
        </w:rPr>
      </w:pPr>
      <w:r>
        <w:rPr>
          <w:sz w:val="24"/>
          <w:szCs w:val="24"/>
        </w:rPr>
        <w:tab/>
      </w:r>
      <w:r>
        <w:rPr>
          <w:sz w:val="24"/>
          <w:szCs w:val="24"/>
        </w:rPr>
        <w:tab/>
        <w:t xml:space="preserve">Ms. </w:t>
      </w:r>
      <w:proofErr w:type="spellStart"/>
      <w:r>
        <w:rPr>
          <w:sz w:val="24"/>
          <w:szCs w:val="24"/>
        </w:rPr>
        <w:t>Nehez’s</w:t>
      </w:r>
      <w:proofErr w:type="spellEnd"/>
      <w:r>
        <w:rPr>
          <w:sz w:val="24"/>
          <w:szCs w:val="24"/>
        </w:rPr>
        <w:t xml:space="preserve"> Complaint alleges dissatisfaction with PGW notice procedures regarding tenants’ arrearages and the imposition of liens.  Issues regarding improper notification of the filing of liens and untimely notice of tenants’ arrearages are matters that involve the terms and administration of PGW’s LCP.  </w:t>
      </w:r>
      <w:r>
        <w:rPr>
          <w:sz w:val="24"/>
          <w:szCs w:val="24"/>
          <w:u w:val="single"/>
        </w:rPr>
        <w:t>See</w:t>
      </w:r>
      <w:r>
        <w:rPr>
          <w:sz w:val="24"/>
          <w:szCs w:val="24"/>
        </w:rPr>
        <w:t xml:space="preserve">, </w:t>
      </w:r>
      <w:proofErr w:type="spellStart"/>
      <w:r>
        <w:rPr>
          <w:sz w:val="24"/>
          <w:szCs w:val="24"/>
          <w:u w:val="single"/>
        </w:rPr>
        <w:t>Ovrutsky</w:t>
      </w:r>
      <w:proofErr w:type="spellEnd"/>
      <w:r>
        <w:rPr>
          <w:sz w:val="24"/>
          <w:szCs w:val="24"/>
          <w:u w:val="single"/>
        </w:rPr>
        <w:t xml:space="preserve"> v. PGW</w:t>
      </w:r>
      <w:r>
        <w:rPr>
          <w:sz w:val="24"/>
          <w:szCs w:val="24"/>
        </w:rPr>
        <w:t xml:space="preserve">, Docket No. C-2012-2321385, Commission Order acknowledging finality of ALJ decision entered December 19, 2012.  As decided by the Commission in </w:t>
      </w:r>
      <w:r>
        <w:rPr>
          <w:sz w:val="24"/>
          <w:szCs w:val="24"/>
          <w:u w:val="single"/>
        </w:rPr>
        <w:t>Fisher v. PGW</w:t>
      </w:r>
      <w:r>
        <w:rPr>
          <w:sz w:val="24"/>
          <w:szCs w:val="24"/>
        </w:rPr>
        <w:t xml:space="preserve">, Docket No. F-2010-2215047, Commission Order acknowledging finality of ALJ decision entered July 31, </w:t>
      </w:r>
      <w:proofErr w:type="gramStart"/>
      <w:r>
        <w:rPr>
          <w:sz w:val="24"/>
          <w:szCs w:val="24"/>
        </w:rPr>
        <w:t>2012,</w:t>
      </w:r>
      <w:proofErr w:type="gramEnd"/>
      <w:r>
        <w:rPr>
          <w:sz w:val="24"/>
          <w:szCs w:val="24"/>
        </w:rPr>
        <w:t xml:space="preserve"> the LCP is a private contract between PGW and a landlord.  It is a supplemental service and only incidental to PGW’s primary gas service provided to the tenant.  As such, LCP obligations do not involve a law, regulation or order that the Commission has jurisdiction to administer.  </w:t>
      </w:r>
      <w:r>
        <w:rPr>
          <w:sz w:val="24"/>
          <w:szCs w:val="24"/>
          <w:u w:val="single"/>
        </w:rPr>
        <w:t>See</w:t>
      </w:r>
      <w:r>
        <w:rPr>
          <w:sz w:val="24"/>
          <w:szCs w:val="24"/>
        </w:rPr>
        <w:t xml:space="preserve">, 66 Pa. C.S. §701.  They constitute private disputes which fall beyond the scope of the Commission’s jurisdiction.  </w:t>
      </w:r>
      <w:proofErr w:type="gramStart"/>
      <w:r>
        <w:rPr>
          <w:sz w:val="24"/>
          <w:szCs w:val="24"/>
          <w:u w:val="single"/>
        </w:rPr>
        <w:t>Adams v. Pa. P.U.C.</w:t>
      </w:r>
      <w:r>
        <w:rPr>
          <w:sz w:val="24"/>
          <w:szCs w:val="24"/>
        </w:rPr>
        <w:t>, 819 A.2d 631 (2003).</w:t>
      </w:r>
      <w:proofErr w:type="gramEnd"/>
    </w:p>
    <w:p w:rsidR="00B93D03" w:rsidRDefault="00B93D03" w:rsidP="00B93D03">
      <w:pPr>
        <w:rPr>
          <w:sz w:val="24"/>
          <w:szCs w:val="24"/>
        </w:rPr>
      </w:pPr>
    </w:p>
    <w:p w:rsidR="00B93D03" w:rsidRDefault="00B93D03" w:rsidP="00B93D03">
      <w:pPr>
        <w:rPr>
          <w:sz w:val="24"/>
          <w:szCs w:val="24"/>
        </w:rPr>
      </w:pPr>
      <w:r>
        <w:rPr>
          <w:sz w:val="24"/>
          <w:szCs w:val="24"/>
        </w:rPr>
        <w:lastRenderedPageBreak/>
        <w:tab/>
      </w:r>
      <w:r>
        <w:rPr>
          <w:sz w:val="24"/>
          <w:szCs w:val="24"/>
        </w:rPr>
        <w:tab/>
        <w:t xml:space="preserve">The Complaint also requested the removal of liens.  The Commission has repeatedly recognized its lack of subject jurisdiction in numerous cases involving municipal lien disputes, including, very recently, </w:t>
      </w:r>
      <w:r>
        <w:rPr>
          <w:sz w:val="24"/>
          <w:szCs w:val="24"/>
          <w:u w:val="single"/>
        </w:rPr>
        <w:t>Newman</w:t>
      </w:r>
      <w:r>
        <w:rPr>
          <w:sz w:val="24"/>
          <w:szCs w:val="24"/>
        </w:rPr>
        <w:t xml:space="preserve">, </w:t>
      </w:r>
      <w:r>
        <w:rPr>
          <w:sz w:val="24"/>
          <w:szCs w:val="24"/>
          <w:u w:val="single"/>
        </w:rPr>
        <w:t>Jackson</w:t>
      </w:r>
      <w:r>
        <w:rPr>
          <w:sz w:val="24"/>
          <w:szCs w:val="24"/>
        </w:rPr>
        <w:t xml:space="preserve">, and </w:t>
      </w:r>
      <w:proofErr w:type="spellStart"/>
      <w:r>
        <w:rPr>
          <w:sz w:val="24"/>
          <w:szCs w:val="24"/>
          <w:u w:val="single"/>
        </w:rPr>
        <w:t>Yamin</w:t>
      </w:r>
      <w:proofErr w:type="spellEnd"/>
      <w:r>
        <w:rPr>
          <w:sz w:val="24"/>
          <w:szCs w:val="24"/>
        </w:rPr>
        <w:t xml:space="preserve">, </w:t>
      </w:r>
      <w:r>
        <w:rPr>
          <w:i/>
          <w:sz w:val="24"/>
          <w:szCs w:val="24"/>
        </w:rPr>
        <w:t>supra</w:t>
      </w:r>
      <w:r>
        <w:rPr>
          <w:sz w:val="24"/>
          <w:szCs w:val="24"/>
        </w:rPr>
        <w:t>.</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Pr>
          <w:sz w:val="24"/>
          <w:szCs w:val="24"/>
          <w:u w:val="single"/>
        </w:rPr>
        <w:t>See</w:t>
      </w:r>
      <w:r>
        <w:rPr>
          <w:sz w:val="24"/>
          <w:szCs w:val="24"/>
        </w:rPr>
        <w:t xml:space="preserve">, </w:t>
      </w:r>
      <w:r>
        <w:rPr>
          <w:sz w:val="24"/>
          <w:szCs w:val="24"/>
          <w:u w:val="single"/>
        </w:rPr>
        <w:t xml:space="preserve">Richard </w:t>
      </w:r>
      <w:proofErr w:type="spellStart"/>
      <w:r>
        <w:rPr>
          <w:sz w:val="24"/>
          <w:szCs w:val="24"/>
          <w:u w:val="single"/>
        </w:rPr>
        <w:t>Carlock</w:t>
      </w:r>
      <w:proofErr w:type="spellEnd"/>
      <w:r>
        <w:rPr>
          <w:sz w:val="24"/>
          <w:szCs w:val="24"/>
          <w:u w:val="single"/>
        </w:rPr>
        <w:t xml:space="preserve"> v. The United Telephone Company of Pa.</w:t>
      </w:r>
      <w:r>
        <w:rPr>
          <w:sz w:val="24"/>
          <w:szCs w:val="24"/>
        </w:rPr>
        <w:t xml:space="preserve">, Docket No. F-00163617, Order entered July 14, 1993.  However, as noted by the Commission in </w:t>
      </w:r>
      <w:r>
        <w:rPr>
          <w:sz w:val="24"/>
          <w:szCs w:val="24"/>
          <w:u w:val="single"/>
        </w:rPr>
        <w:t>Newman</w:t>
      </w:r>
      <w:r>
        <w:rPr>
          <w:sz w:val="24"/>
          <w:szCs w:val="24"/>
        </w:rPr>
        <w:t xml:space="preserve">, </w:t>
      </w:r>
      <w:r>
        <w:rPr>
          <w:i/>
          <w:sz w:val="24"/>
          <w:szCs w:val="24"/>
        </w:rPr>
        <w:t>supra</w:t>
      </w:r>
      <w:r>
        <w:rPr>
          <w:sz w:val="24"/>
          <w:szCs w:val="24"/>
        </w:rPr>
        <w:t>, there are some cases wherein a hearing would not enable complainants to explain their case in a manner sufficient to alter the inevitable conclusion that the Commission lacks jurisdiction.  This is one of those cases.</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 xml:space="preserve">Where there are no disputed questions of fact and the issue to be decided is purely one of law or policy, a case may be disposed of without resort to an evidentiary hearing.  </w:t>
      </w:r>
      <w:proofErr w:type="gramStart"/>
      <w:r>
        <w:rPr>
          <w:sz w:val="24"/>
          <w:szCs w:val="24"/>
          <w:u w:val="single"/>
        </w:rPr>
        <w:t>Dee</w:t>
      </w:r>
      <w:r>
        <w:rPr>
          <w:sz w:val="24"/>
          <w:szCs w:val="24"/>
          <w:u w:val="single"/>
        </w:rPr>
        <w:noBreakHyphen/>
        <w:t>Dee Cab, Inc. v. Pa. P.U.C.</w:t>
      </w:r>
      <w:r>
        <w:rPr>
          <w:sz w:val="24"/>
          <w:szCs w:val="24"/>
        </w:rPr>
        <w:t xml:space="preserve">, 817 A.2d 593 (Pa. </w:t>
      </w:r>
      <w:proofErr w:type="spellStart"/>
      <w:r>
        <w:rPr>
          <w:sz w:val="24"/>
          <w:szCs w:val="24"/>
        </w:rPr>
        <w:t>Cmwlth</w:t>
      </w:r>
      <w:proofErr w:type="spellEnd"/>
      <w:r>
        <w:rPr>
          <w:sz w:val="24"/>
          <w:szCs w:val="24"/>
        </w:rPr>
        <w:t xml:space="preserve">. 2003); </w:t>
      </w:r>
      <w:r>
        <w:rPr>
          <w:sz w:val="24"/>
          <w:szCs w:val="24"/>
          <w:u w:val="single"/>
        </w:rPr>
        <w:t>Diamond Energy, Inc. v. Pa. P.U.C.</w:t>
      </w:r>
      <w:r>
        <w:rPr>
          <w:sz w:val="24"/>
          <w:szCs w:val="24"/>
        </w:rPr>
        <w:t xml:space="preserve">, 653 A.2d 1360 (Pa. </w:t>
      </w:r>
      <w:proofErr w:type="spellStart"/>
      <w:r>
        <w:rPr>
          <w:sz w:val="24"/>
          <w:szCs w:val="24"/>
        </w:rPr>
        <w:t>Cmwlth</w:t>
      </w:r>
      <w:proofErr w:type="spellEnd"/>
      <w:r>
        <w:rPr>
          <w:sz w:val="24"/>
          <w:szCs w:val="24"/>
        </w:rPr>
        <w:t xml:space="preserve">. 1995); </w:t>
      </w:r>
      <w:r>
        <w:rPr>
          <w:sz w:val="24"/>
          <w:szCs w:val="24"/>
          <w:u w:val="single"/>
        </w:rPr>
        <w:t>Lehigh Valley Power Committee v. Pa. P.U.C.</w:t>
      </w:r>
      <w:r>
        <w:rPr>
          <w:sz w:val="24"/>
          <w:szCs w:val="24"/>
        </w:rPr>
        <w:t xml:space="preserve">, 128 Pa. </w:t>
      </w:r>
      <w:proofErr w:type="spellStart"/>
      <w:r>
        <w:rPr>
          <w:sz w:val="24"/>
          <w:szCs w:val="24"/>
        </w:rPr>
        <w:t>Commw</w:t>
      </w:r>
      <w:proofErr w:type="spellEnd"/>
      <w:r>
        <w:rPr>
          <w:sz w:val="24"/>
          <w:szCs w:val="24"/>
        </w:rPr>
        <w:t>.</w:t>
      </w:r>
      <w:proofErr w:type="gramEnd"/>
      <w:r>
        <w:rPr>
          <w:sz w:val="24"/>
          <w:szCs w:val="24"/>
        </w:rPr>
        <w:t xml:space="preserve"> </w:t>
      </w:r>
      <w:proofErr w:type="gramStart"/>
      <w:r>
        <w:rPr>
          <w:sz w:val="24"/>
          <w:szCs w:val="24"/>
        </w:rPr>
        <w:t>276, 563 A.2d 557 (1989).</w:t>
      </w:r>
      <w:proofErr w:type="gramEnd"/>
      <w:r>
        <w:rPr>
          <w:sz w:val="24"/>
          <w:szCs w:val="24"/>
        </w:rPr>
        <w:t xml:space="preserve">  Also, Section 703(b) of the Public Utility Code, 66 Pa. C.S. §703(b), provides that the Commission may dismiss any complaint without a hearing if, in its opinion, a hearing is not necessary in the public interest.  </w:t>
      </w:r>
      <w:r>
        <w:rPr>
          <w:sz w:val="24"/>
          <w:szCs w:val="24"/>
          <w:u w:val="single"/>
        </w:rPr>
        <w:t>See also</w:t>
      </w:r>
      <w:r>
        <w:rPr>
          <w:sz w:val="24"/>
          <w:szCs w:val="24"/>
        </w:rPr>
        <w:t>, 52 Pa. Code §5.21(d).  Since the Commission is without jurisdiction to consider a private contractual dispute and grant the relief requested, a hearing is not necessary in the public interest.</w:t>
      </w:r>
    </w:p>
    <w:p w:rsidR="00B93D03" w:rsidRDefault="00B93D03" w:rsidP="00B93D03">
      <w:pPr>
        <w:ind w:firstLine="1440"/>
        <w:rPr>
          <w:sz w:val="24"/>
          <w:szCs w:val="24"/>
        </w:rPr>
      </w:pPr>
    </w:p>
    <w:p w:rsidR="00B93D03" w:rsidRDefault="00B93D03" w:rsidP="00B93D03">
      <w:pPr>
        <w:widowControl w:val="0"/>
        <w:autoSpaceDE w:val="0"/>
        <w:autoSpaceDN w:val="0"/>
        <w:adjustRightInd w:val="0"/>
        <w:jc w:val="center"/>
        <w:rPr>
          <w:sz w:val="24"/>
          <w:szCs w:val="24"/>
          <w:u w:val="single"/>
        </w:rPr>
      </w:pPr>
      <w:r>
        <w:rPr>
          <w:sz w:val="24"/>
          <w:szCs w:val="24"/>
          <w:u w:val="single"/>
        </w:rPr>
        <w:t>CONCLUSIONS OF LAW</w:t>
      </w:r>
    </w:p>
    <w:p w:rsidR="00B93D03" w:rsidRDefault="00B93D03" w:rsidP="00B93D03">
      <w:pPr>
        <w:ind w:firstLine="1440"/>
        <w:rPr>
          <w:sz w:val="24"/>
          <w:szCs w:val="24"/>
          <w:u w:val="single"/>
        </w:rPr>
      </w:pPr>
    </w:p>
    <w:p w:rsidR="00B93D03" w:rsidRDefault="00B93D03" w:rsidP="00B93D03">
      <w:pPr>
        <w:ind w:firstLine="1440"/>
        <w:rPr>
          <w:sz w:val="24"/>
          <w:szCs w:val="24"/>
        </w:rPr>
      </w:pPr>
      <w:r>
        <w:rPr>
          <w:sz w:val="24"/>
          <w:szCs w:val="24"/>
        </w:rPr>
        <w:t>1.</w:t>
      </w:r>
      <w:r>
        <w:rPr>
          <w:sz w:val="24"/>
          <w:szCs w:val="24"/>
        </w:rPr>
        <w:tab/>
        <w:t xml:space="preserve">Commission regulations provide for the filing of preliminary objections based upon lack of jurisdiction.  </w:t>
      </w:r>
      <w:proofErr w:type="gramStart"/>
      <w:r>
        <w:rPr>
          <w:sz w:val="24"/>
          <w:szCs w:val="24"/>
        </w:rPr>
        <w:t>52 Pa. Code § 5.101(a).</w:t>
      </w:r>
      <w:proofErr w:type="gramEnd"/>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2.</w:t>
      </w:r>
      <w:r>
        <w:rPr>
          <w:sz w:val="24"/>
          <w:szCs w:val="24"/>
        </w:rPr>
        <w:tab/>
        <w:t xml:space="preserve">The Commission must act within and cannot exceed its jurisdiction.  </w:t>
      </w:r>
      <w:proofErr w:type="gramStart"/>
      <w:r>
        <w:rPr>
          <w:sz w:val="24"/>
          <w:szCs w:val="24"/>
          <w:u w:val="single"/>
        </w:rPr>
        <w:t>City of Pittsburgh v. Pa. P.U.C.</w:t>
      </w:r>
      <w:r>
        <w:rPr>
          <w:sz w:val="24"/>
          <w:szCs w:val="24"/>
        </w:rPr>
        <w:t>, 157 Pa. Super.</w:t>
      </w:r>
      <w:proofErr w:type="gramEnd"/>
      <w:r>
        <w:rPr>
          <w:sz w:val="24"/>
          <w:szCs w:val="24"/>
        </w:rPr>
        <w:t xml:space="preserve"> </w:t>
      </w:r>
      <w:proofErr w:type="gramStart"/>
      <w:r>
        <w:rPr>
          <w:sz w:val="24"/>
          <w:szCs w:val="24"/>
        </w:rPr>
        <w:t>Ct. 595, 43 A.2d 348 (1945).</w:t>
      </w:r>
      <w:proofErr w:type="gramEnd"/>
    </w:p>
    <w:p w:rsidR="00B93D03" w:rsidRDefault="00B93D03" w:rsidP="00B93D03">
      <w:pPr>
        <w:ind w:firstLine="1440"/>
        <w:rPr>
          <w:sz w:val="24"/>
          <w:szCs w:val="24"/>
        </w:rPr>
      </w:pPr>
    </w:p>
    <w:p w:rsidR="00B93D03" w:rsidRDefault="00B93D03" w:rsidP="00B93D03">
      <w:pPr>
        <w:tabs>
          <w:tab w:val="left" w:pos="0"/>
        </w:tabs>
        <w:rPr>
          <w:sz w:val="24"/>
          <w:szCs w:val="24"/>
        </w:rPr>
      </w:pPr>
      <w:r>
        <w:rPr>
          <w:sz w:val="24"/>
          <w:szCs w:val="24"/>
        </w:rPr>
        <w:lastRenderedPageBreak/>
        <w:tab/>
      </w:r>
      <w:r>
        <w:rPr>
          <w:sz w:val="24"/>
          <w:szCs w:val="24"/>
        </w:rPr>
        <w:tab/>
        <w:t>3.</w:t>
      </w:r>
      <w:r>
        <w:rPr>
          <w:sz w:val="24"/>
          <w:szCs w:val="24"/>
        </w:rPr>
        <w:tab/>
        <w:t xml:space="preserve">Jurisdiction may not be conferred by the parties where none exists.  </w:t>
      </w:r>
      <w:proofErr w:type="gramStart"/>
      <w:r>
        <w:rPr>
          <w:sz w:val="24"/>
          <w:szCs w:val="24"/>
          <w:u w:val="single"/>
        </w:rPr>
        <w:t xml:space="preserve">Roberts v. </w:t>
      </w:r>
      <w:proofErr w:type="spellStart"/>
      <w:r>
        <w:rPr>
          <w:sz w:val="24"/>
          <w:szCs w:val="24"/>
          <w:u w:val="single"/>
        </w:rPr>
        <w:t>Matorano</w:t>
      </w:r>
      <w:proofErr w:type="spellEnd"/>
      <w:r>
        <w:rPr>
          <w:sz w:val="24"/>
          <w:szCs w:val="24"/>
        </w:rPr>
        <w:t>, 427 Pa. 581, 235 A.2d 602 (1967).</w:t>
      </w:r>
      <w:proofErr w:type="gramEnd"/>
    </w:p>
    <w:p w:rsidR="00B93D03" w:rsidRDefault="00B93D03" w:rsidP="00B93D03">
      <w:pPr>
        <w:tabs>
          <w:tab w:val="left" w:pos="0"/>
        </w:tabs>
        <w:rPr>
          <w:sz w:val="24"/>
          <w:szCs w:val="24"/>
        </w:rPr>
      </w:pPr>
    </w:p>
    <w:p w:rsidR="00B93D03" w:rsidRDefault="00B93D03" w:rsidP="00B93D03">
      <w:pPr>
        <w:tabs>
          <w:tab w:val="left" w:pos="0"/>
        </w:tabs>
        <w:rPr>
          <w:sz w:val="24"/>
          <w:szCs w:val="24"/>
        </w:rPr>
      </w:pPr>
      <w:r>
        <w:rPr>
          <w:sz w:val="24"/>
          <w:szCs w:val="24"/>
        </w:rPr>
        <w:tab/>
      </w:r>
      <w:r>
        <w:rPr>
          <w:sz w:val="24"/>
          <w:szCs w:val="24"/>
        </w:rPr>
        <w:tab/>
        <w:t>4.</w:t>
      </w:r>
      <w:r>
        <w:rPr>
          <w:sz w:val="24"/>
          <w:szCs w:val="24"/>
        </w:rPr>
        <w:tab/>
        <w:t xml:space="preserve">Subject matter jurisdiction is a prerequisite to the exercise of the power to decide a controversy.  </w:t>
      </w:r>
      <w:r>
        <w:rPr>
          <w:sz w:val="24"/>
          <w:szCs w:val="24"/>
          <w:u w:val="single"/>
        </w:rPr>
        <w:t>Hughes v. Pa. State Police</w:t>
      </w:r>
      <w:r>
        <w:rPr>
          <w:sz w:val="24"/>
          <w:szCs w:val="24"/>
        </w:rPr>
        <w:t xml:space="preserve">, 152 Pa. </w:t>
      </w:r>
      <w:proofErr w:type="spellStart"/>
      <w:r>
        <w:rPr>
          <w:sz w:val="24"/>
          <w:szCs w:val="24"/>
        </w:rPr>
        <w:t>Commw</w:t>
      </w:r>
      <w:proofErr w:type="spellEnd"/>
      <w:r>
        <w:rPr>
          <w:sz w:val="24"/>
          <w:szCs w:val="24"/>
        </w:rPr>
        <w:t xml:space="preserve">. </w:t>
      </w:r>
      <w:proofErr w:type="gramStart"/>
      <w:r>
        <w:rPr>
          <w:sz w:val="24"/>
          <w:szCs w:val="24"/>
        </w:rPr>
        <w:t xml:space="preserve">409, 619 A.2d 390 (1992), </w:t>
      </w:r>
      <w:proofErr w:type="spellStart"/>
      <w:r>
        <w:rPr>
          <w:i/>
          <w:sz w:val="24"/>
          <w:szCs w:val="24"/>
        </w:rPr>
        <w:t>alloc</w:t>
      </w:r>
      <w:proofErr w:type="spellEnd"/>
      <w:r>
        <w:rPr>
          <w:i/>
          <w:sz w:val="24"/>
          <w:szCs w:val="24"/>
        </w:rPr>
        <w:t>.</w:t>
      </w:r>
      <w:proofErr w:type="gramEnd"/>
      <w:r>
        <w:rPr>
          <w:i/>
          <w:sz w:val="24"/>
          <w:szCs w:val="24"/>
        </w:rPr>
        <w:t xml:space="preserve"> </w:t>
      </w:r>
      <w:proofErr w:type="gramStart"/>
      <w:r>
        <w:rPr>
          <w:i/>
          <w:sz w:val="24"/>
          <w:szCs w:val="24"/>
        </w:rPr>
        <w:t xml:space="preserve">den., </w:t>
      </w:r>
      <w:r>
        <w:rPr>
          <w:sz w:val="24"/>
          <w:szCs w:val="24"/>
        </w:rPr>
        <w:t>637 A.2d 293 (1993).</w:t>
      </w:r>
      <w:proofErr w:type="gramEnd"/>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5.</w:t>
      </w:r>
      <w:r>
        <w:rPr>
          <w:sz w:val="24"/>
          <w:szCs w:val="24"/>
        </w:rPr>
        <w:tab/>
        <w:t xml:space="preserve">The Commission has repeatedly recognized its lack of subject jurisdiction in numerous cases involving municipal lien disputes, including, very recently, </w:t>
      </w:r>
      <w:r>
        <w:rPr>
          <w:sz w:val="24"/>
          <w:szCs w:val="24"/>
          <w:u w:val="single"/>
        </w:rPr>
        <w:t>Newman v. PGW</w:t>
      </w:r>
      <w:r>
        <w:rPr>
          <w:sz w:val="24"/>
          <w:szCs w:val="24"/>
        </w:rPr>
        <w:t xml:space="preserve">, Docket No. C-2011-2273565, Final Opinion and Order entered March 29, 2012; </w:t>
      </w:r>
      <w:r>
        <w:rPr>
          <w:sz w:val="24"/>
          <w:szCs w:val="24"/>
          <w:u w:val="single"/>
        </w:rPr>
        <w:t>Jackson v. PGW</w:t>
      </w:r>
      <w:r>
        <w:rPr>
          <w:sz w:val="24"/>
          <w:szCs w:val="24"/>
        </w:rPr>
        <w:t xml:space="preserve">, Docket No. C-2009-2119940, Final Opinion and Order entered July 1, 2011; and </w:t>
      </w:r>
      <w:proofErr w:type="spellStart"/>
      <w:r>
        <w:rPr>
          <w:sz w:val="24"/>
          <w:szCs w:val="24"/>
          <w:u w:val="single"/>
        </w:rPr>
        <w:t>Yamin</w:t>
      </w:r>
      <w:proofErr w:type="spellEnd"/>
      <w:r>
        <w:rPr>
          <w:sz w:val="24"/>
          <w:szCs w:val="24"/>
          <w:u w:val="single"/>
        </w:rPr>
        <w:t xml:space="preserve"> v. PGW</w:t>
      </w:r>
      <w:r>
        <w:rPr>
          <w:sz w:val="24"/>
          <w:szCs w:val="24"/>
        </w:rPr>
        <w:t>, Docket No. C-2011-2221883, Final Order entered June 29, 2011.</w:t>
      </w:r>
    </w:p>
    <w:p w:rsidR="00B93D03" w:rsidRDefault="00B93D03" w:rsidP="00B93D03">
      <w:pPr>
        <w:ind w:firstLine="1440"/>
        <w:rPr>
          <w:sz w:val="24"/>
          <w:szCs w:val="24"/>
        </w:rPr>
      </w:pPr>
    </w:p>
    <w:p w:rsidR="00B93D03" w:rsidRDefault="00B93D03" w:rsidP="00B93D03">
      <w:pPr>
        <w:tabs>
          <w:tab w:val="left" w:pos="0"/>
        </w:tabs>
        <w:rPr>
          <w:sz w:val="24"/>
          <w:szCs w:val="24"/>
        </w:rPr>
      </w:pPr>
      <w:r>
        <w:rPr>
          <w:sz w:val="24"/>
          <w:szCs w:val="24"/>
        </w:rPr>
        <w:tab/>
      </w:r>
      <w:r>
        <w:rPr>
          <w:sz w:val="24"/>
          <w:szCs w:val="24"/>
        </w:rPr>
        <w:tab/>
        <w:t>6.</w:t>
      </w:r>
      <w:r>
        <w:rPr>
          <w:sz w:val="24"/>
          <w:szCs w:val="24"/>
        </w:rPr>
        <w:tab/>
        <w:t xml:space="preserve">Issues involving PGW’s LCP obligations are private contractual matters that do not involve a law, regulation or order that the Commission has jurisdiction to administer.  </w:t>
      </w:r>
      <w:r>
        <w:rPr>
          <w:sz w:val="24"/>
          <w:szCs w:val="24"/>
          <w:u w:val="single"/>
        </w:rPr>
        <w:t>See</w:t>
      </w:r>
      <w:r>
        <w:rPr>
          <w:sz w:val="24"/>
          <w:szCs w:val="24"/>
        </w:rPr>
        <w:t xml:space="preserve">, 66 Pa. C.S. §701; </w:t>
      </w:r>
      <w:r>
        <w:rPr>
          <w:sz w:val="24"/>
          <w:szCs w:val="24"/>
          <w:u w:val="single"/>
        </w:rPr>
        <w:t>Fisher v. PGW</w:t>
      </w:r>
      <w:r>
        <w:rPr>
          <w:sz w:val="24"/>
          <w:szCs w:val="24"/>
        </w:rPr>
        <w:t>, Docket No. F-2010-2215047, Final Order entered July 31, 2012.</w:t>
      </w:r>
    </w:p>
    <w:p w:rsidR="00B93D03" w:rsidRDefault="00B93D03" w:rsidP="00B93D03">
      <w:pPr>
        <w:tabs>
          <w:tab w:val="left" w:pos="0"/>
        </w:tabs>
        <w:rPr>
          <w:sz w:val="24"/>
          <w:szCs w:val="24"/>
        </w:rPr>
      </w:pPr>
    </w:p>
    <w:p w:rsidR="00B93D03" w:rsidRDefault="00B93D03" w:rsidP="00B93D03">
      <w:pPr>
        <w:tabs>
          <w:tab w:val="left" w:pos="0"/>
        </w:tabs>
        <w:rPr>
          <w:sz w:val="24"/>
          <w:szCs w:val="24"/>
        </w:rPr>
      </w:pPr>
      <w:r>
        <w:rPr>
          <w:sz w:val="24"/>
          <w:szCs w:val="24"/>
        </w:rPr>
        <w:tab/>
      </w:r>
      <w:r>
        <w:rPr>
          <w:sz w:val="24"/>
          <w:szCs w:val="24"/>
        </w:rPr>
        <w:tab/>
        <w:t>7.</w:t>
      </w:r>
      <w:r>
        <w:rPr>
          <w:sz w:val="24"/>
          <w:szCs w:val="24"/>
        </w:rPr>
        <w:tab/>
        <w:t xml:space="preserve">The Commission does not have jurisdiction over private contractual disputes.  </w:t>
      </w:r>
      <w:proofErr w:type="gramStart"/>
      <w:r>
        <w:rPr>
          <w:sz w:val="24"/>
          <w:szCs w:val="24"/>
          <w:u w:val="single"/>
        </w:rPr>
        <w:t>Adams v. Pa. P.U.C.</w:t>
      </w:r>
      <w:r>
        <w:rPr>
          <w:sz w:val="24"/>
          <w:szCs w:val="24"/>
        </w:rPr>
        <w:t>, 819 A.2d 631 (2003).</w:t>
      </w:r>
      <w:proofErr w:type="gramEnd"/>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8.</w:t>
      </w:r>
      <w:r>
        <w:rPr>
          <w:sz w:val="24"/>
          <w:szCs w:val="24"/>
        </w:rPr>
        <w:tab/>
        <w:t xml:space="preserve">The Commission may dismiss a complaint without a hearing if a hearing is not necessary or in the public interest.  </w:t>
      </w:r>
      <w:proofErr w:type="gramStart"/>
      <w:r>
        <w:rPr>
          <w:sz w:val="24"/>
          <w:szCs w:val="24"/>
        </w:rPr>
        <w:t>66 Pa. C.S. § 703(b); 52 Pa. Code § 5.21(d).</w:t>
      </w:r>
      <w:proofErr w:type="gramEnd"/>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9.</w:t>
      </w:r>
      <w:r>
        <w:rPr>
          <w:sz w:val="24"/>
          <w:szCs w:val="24"/>
        </w:rPr>
        <w:tab/>
        <w:t xml:space="preserve">When a preliminary objection is granted and a case dismissed on the grounds of lack of jurisdiction over the subject matter, it is not appropriate due to lack of subject matter jurisdiction to rule on whether impertinent matter should also be stricken from that complaint.  </w:t>
      </w:r>
      <w:r>
        <w:rPr>
          <w:sz w:val="24"/>
          <w:szCs w:val="24"/>
          <w:u w:val="single"/>
        </w:rPr>
        <w:t>Hughes v. Pa. State Police</w:t>
      </w:r>
      <w:r>
        <w:rPr>
          <w:sz w:val="24"/>
          <w:szCs w:val="24"/>
        </w:rPr>
        <w:t xml:space="preserve">, 152 Pa. </w:t>
      </w:r>
      <w:proofErr w:type="spellStart"/>
      <w:r>
        <w:rPr>
          <w:sz w:val="24"/>
          <w:szCs w:val="24"/>
        </w:rPr>
        <w:t>Commw</w:t>
      </w:r>
      <w:proofErr w:type="spellEnd"/>
      <w:r>
        <w:rPr>
          <w:sz w:val="24"/>
          <w:szCs w:val="24"/>
        </w:rPr>
        <w:t xml:space="preserve">. </w:t>
      </w:r>
      <w:proofErr w:type="gramStart"/>
      <w:r>
        <w:rPr>
          <w:sz w:val="24"/>
          <w:szCs w:val="24"/>
        </w:rPr>
        <w:t xml:space="preserve">409, 619 A.2d 390 (1992), </w:t>
      </w:r>
      <w:proofErr w:type="spellStart"/>
      <w:r>
        <w:rPr>
          <w:i/>
          <w:sz w:val="24"/>
          <w:szCs w:val="24"/>
        </w:rPr>
        <w:t>alloc</w:t>
      </w:r>
      <w:proofErr w:type="spellEnd"/>
      <w:r>
        <w:rPr>
          <w:i/>
          <w:sz w:val="24"/>
          <w:szCs w:val="24"/>
        </w:rPr>
        <w:t>.</w:t>
      </w:r>
      <w:proofErr w:type="gramEnd"/>
      <w:r>
        <w:rPr>
          <w:i/>
          <w:sz w:val="24"/>
          <w:szCs w:val="24"/>
        </w:rPr>
        <w:t xml:space="preserve"> </w:t>
      </w:r>
      <w:proofErr w:type="gramStart"/>
      <w:r>
        <w:rPr>
          <w:i/>
          <w:sz w:val="24"/>
          <w:szCs w:val="24"/>
        </w:rPr>
        <w:t>den., </w:t>
      </w:r>
      <w:r>
        <w:rPr>
          <w:sz w:val="24"/>
          <w:szCs w:val="24"/>
        </w:rPr>
        <w:t>637 A.2d 293 (1993).</w:t>
      </w:r>
      <w:proofErr w:type="gramEnd"/>
    </w:p>
    <w:p w:rsidR="00B93D03" w:rsidRDefault="00B93D03" w:rsidP="00B93D03">
      <w:pPr>
        <w:rPr>
          <w:sz w:val="24"/>
          <w:szCs w:val="24"/>
        </w:rPr>
      </w:pPr>
    </w:p>
    <w:p w:rsidR="00B93D03" w:rsidRDefault="00B93D03" w:rsidP="00B93D03">
      <w:pPr>
        <w:jc w:val="center"/>
        <w:rPr>
          <w:sz w:val="24"/>
          <w:szCs w:val="24"/>
          <w:u w:val="single"/>
        </w:rPr>
      </w:pPr>
      <w:r>
        <w:rPr>
          <w:sz w:val="24"/>
          <w:szCs w:val="24"/>
          <w:u w:val="single"/>
        </w:rPr>
        <w:br w:type="page"/>
      </w:r>
    </w:p>
    <w:p w:rsidR="00B93D03" w:rsidRDefault="00B93D03" w:rsidP="00B93D03">
      <w:pPr>
        <w:jc w:val="center"/>
        <w:rPr>
          <w:sz w:val="24"/>
          <w:szCs w:val="24"/>
        </w:rPr>
      </w:pPr>
      <w:r>
        <w:rPr>
          <w:sz w:val="24"/>
          <w:szCs w:val="24"/>
          <w:u w:val="single"/>
        </w:rPr>
        <w:lastRenderedPageBreak/>
        <w:t>ORDER</w:t>
      </w:r>
    </w:p>
    <w:p w:rsidR="00B93D03" w:rsidRDefault="00B93D03" w:rsidP="00B93D03">
      <w:pPr>
        <w:jc w:val="center"/>
        <w:rPr>
          <w:sz w:val="24"/>
          <w:szCs w:val="24"/>
          <w:u w:val="single"/>
        </w:rPr>
      </w:pPr>
    </w:p>
    <w:p w:rsidR="00B93D03" w:rsidRDefault="00B93D03" w:rsidP="00B93D03">
      <w:pPr>
        <w:jc w:val="center"/>
        <w:rPr>
          <w:sz w:val="24"/>
          <w:szCs w:val="24"/>
          <w:u w:val="single"/>
        </w:rPr>
      </w:pPr>
    </w:p>
    <w:p w:rsidR="00B93D03" w:rsidRDefault="00B93D03" w:rsidP="00B93D03">
      <w:pPr>
        <w:ind w:firstLine="1440"/>
        <w:rPr>
          <w:sz w:val="24"/>
          <w:szCs w:val="24"/>
        </w:rPr>
      </w:pPr>
      <w:r>
        <w:rPr>
          <w:sz w:val="24"/>
          <w:szCs w:val="24"/>
        </w:rPr>
        <w:t>THEREFORE,</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IT IS ORDERED:</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1.</w:t>
      </w:r>
      <w:r>
        <w:rPr>
          <w:sz w:val="24"/>
          <w:szCs w:val="24"/>
        </w:rPr>
        <w:tab/>
        <w:t xml:space="preserve">That the Preliminary Objection of Philadelphia Gas Works, seeking to dismiss the Formal Complaint filed by Nicholas J. </w:t>
      </w:r>
      <w:proofErr w:type="spellStart"/>
      <w:r>
        <w:rPr>
          <w:sz w:val="24"/>
          <w:szCs w:val="24"/>
        </w:rPr>
        <w:t>Nehez</w:t>
      </w:r>
      <w:proofErr w:type="spellEnd"/>
      <w:r>
        <w:rPr>
          <w:sz w:val="24"/>
          <w:szCs w:val="24"/>
        </w:rPr>
        <w:t xml:space="preserve"> and Carole A. </w:t>
      </w:r>
      <w:proofErr w:type="spellStart"/>
      <w:r>
        <w:rPr>
          <w:sz w:val="24"/>
          <w:szCs w:val="24"/>
        </w:rPr>
        <w:t>Nehez</w:t>
      </w:r>
      <w:proofErr w:type="spellEnd"/>
      <w:r>
        <w:rPr>
          <w:sz w:val="24"/>
          <w:szCs w:val="24"/>
        </w:rPr>
        <w:t xml:space="preserve"> at Docket No. C-2013-2367085, on the grounds of lack of jurisdiction is granted.</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2.</w:t>
      </w:r>
      <w:r>
        <w:rPr>
          <w:sz w:val="24"/>
          <w:szCs w:val="24"/>
        </w:rPr>
        <w:tab/>
        <w:t xml:space="preserve">That the Preliminary Objection of Philadelphia Gas Works, seeking to strike impertinent matter from the Formal Complaint filed by Nicholas J. </w:t>
      </w:r>
      <w:proofErr w:type="spellStart"/>
      <w:r>
        <w:rPr>
          <w:sz w:val="24"/>
          <w:szCs w:val="24"/>
        </w:rPr>
        <w:t>Nehez</w:t>
      </w:r>
      <w:proofErr w:type="spellEnd"/>
      <w:r>
        <w:rPr>
          <w:sz w:val="24"/>
          <w:szCs w:val="24"/>
        </w:rPr>
        <w:t xml:space="preserve"> and Carole A. </w:t>
      </w:r>
      <w:proofErr w:type="spellStart"/>
      <w:r>
        <w:rPr>
          <w:sz w:val="24"/>
          <w:szCs w:val="24"/>
        </w:rPr>
        <w:t>Nehez</w:t>
      </w:r>
      <w:proofErr w:type="spellEnd"/>
      <w:r>
        <w:rPr>
          <w:sz w:val="24"/>
          <w:szCs w:val="24"/>
        </w:rPr>
        <w:t xml:space="preserve"> at Docket No. C-2013-2367085, is dismissed as the Commission is without subject matter jurisdiction.</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3.</w:t>
      </w:r>
      <w:r>
        <w:rPr>
          <w:sz w:val="24"/>
          <w:szCs w:val="24"/>
        </w:rPr>
        <w:tab/>
        <w:t xml:space="preserve">That the Formal Complaint filed by Nicholas J. </w:t>
      </w:r>
      <w:proofErr w:type="spellStart"/>
      <w:r>
        <w:rPr>
          <w:sz w:val="24"/>
          <w:szCs w:val="24"/>
        </w:rPr>
        <w:t>Nehez</w:t>
      </w:r>
      <w:proofErr w:type="spellEnd"/>
      <w:r>
        <w:rPr>
          <w:sz w:val="24"/>
          <w:szCs w:val="24"/>
        </w:rPr>
        <w:t xml:space="preserve"> and Carole A. </w:t>
      </w:r>
      <w:proofErr w:type="spellStart"/>
      <w:r>
        <w:rPr>
          <w:sz w:val="24"/>
          <w:szCs w:val="24"/>
        </w:rPr>
        <w:t>Nehez</w:t>
      </w:r>
      <w:proofErr w:type="spellEnd"/>
      <w:r>
        <w:rPr>
          <w:sz w:val="24"/>
          <w:szCs w:val="24"/>
        </w:rPr>
        <w:t xml:space="preserve"> at Docket No. C-2013-2367085 against Philadelphia Gas Works is dismissed.</w:t>
      </w:r>
    </w:p>
    <w:p w:rsidR="00B93D03" w:rsidRDefault="00B93D03" w:rsidP="00B93D03">
      <w:pPr>
        <w:ind w:firstLine="1440"/>
        <w:rPr>
          <w:sz w:val="24"/>
          <w:szCs w:val="24"/>
        </w:rPr>
      </w:pPr>
    </w:p>
    <w:p w:rsidR="00B93D03" w:rsidRDefault="00B93D03" w:rsidP="00B93D03">
      <w:pPr>
        <w:ind w:firstLine="1440"/>
        <w:rPr>
          <w:sz w:val="24"/>
          <w:szCs w:val="24"/>
        </w:rPr>
      </w:pPr>
      <w:r>
        <w:rPr>
          <w:sz w:val="24"/>
          <w:szCs w:val="24"/>
        </w:rPr>
        <w:t>4.</w:t>
      </w:r>
      <w:r>
        <w:rPr>
          <w:sz w:val="24"/>
          <w:szCs w:val="24"/>
        </w:rPr>
        <w:tab/>
        <w:t>That the docket at Docket No. C-2013-2367085 is marked closed.</w:t>
      </w:r>
    </w:p>
    <w:p w:rsidR="00B93D03" w:rsidRDefault="00B93D03" w:rsidP="00B93D03">
      <w:pPr>
        <w:rPr>
          <w:sz w:val="24"/>
          <w:szCs w:val="24"/>
        </w:rPr>
      </w:pPr>
    </w:p>
    <w:p w:rsidR="00B93D03" w:rsidRDefault="00B93D03" w:rsidP="00B93D03">
      <w:pPr>
        <w:rPr>
          <w:sz w:val="24"/>
          <w:szCs w:val="24"/>
        </w:rPr>
      </w:pPr>
    </w:p>
    <w:p w:rsidR="00B93D03" w:rsidRDefault="00B93D03" w:rsidP="00B93D03">
      <w:pPr>
        <w:spacing w:line="240" w:lineRule="auto"/>
        <w:rPr>
          <w:sz w:val="24"/>
          <w:szCs w:val="24"/>
        </w:rPr>
      </w:pPr>
      <w:r>
        <w:rPr>
          <w:sz w:val="24"/>
          <w:szCs w:val="24"/>
        </w:rPr>
        <w:t>Dated:</w:t>
      </w:r>
      <w:r>
        <w:rPr>
          <w:sz w:val="24"/>
          <w:szCs w:val="24"/>
        </w:rPr>
        <w:tab/>
      </w:r>
      <w:r>
        <w:rPr>
          <w:sz w:val="24"/>
          <w:szCs w:val="24"/>
          <w:u w:val="single"/>
        </w:rPr>
        <w:t>July 29, 2013</w:t>
      </w:r>
      <w:r>
        <w:rPr>
          <w:sz w:val="24"/>
          <w:szCs w:val="24"/>
        </w:rPr>
        <w:tab/>
      </w:r>
      <w:r>
        <w:rPr>
          <w:sz w:val="24"/>
          <w:szCs w:val="24"/>
        </w:rPr>
        <w:tab/>
      </w:r>
      <w:r>
        <w:rPr>
          <w:sz w:val="24"/>
          <w:szCs w:val="24"/>
        </w:rPr>
        <w:tab/>
      </w:r>
      <w:r>
        <w:rPr>
          <w:sz w:val="24"/>
          <w:szCs w:val="24"/>
        </w:rPr>
        <w:tab/>
      </w:r>
      <w:r>
        <w:rPr>
          <w:sz w:val="24"/>
          <w:szCs w:val="24"/>
        </w:rPr>
        <w:tab/>
        <w:t>______________</w:t>
      </w:r>
      <w:r>
        <w:rPr>
          <w:sz w:val="24"/>
          <w:szCs w:val="24"/>
          <w:u w:val="single"/>
        </w:rPr>
        <w:t>/s/</w:t>
      </w:r>
      <w:r>
        <w:rPr>
          <w:sz w:val="24"/>
          <w:szCs w:val="24"/>
        </w:rPr>
        <w:t>_______________</w:t>
      </w:r>
    </w:p>
    <w:p w:rsidR="00B93D03" w:rsidRDefault="00B93D03" w:rsidP="00B93D03">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Kandace F. Melillo </w:t>
      </w:r>
    </w:p>
    <w:p w:rsidR="00D806D9" w:rsidRPr="00B93D03" w:rsidRDefault="00B93D03" w:rsidP="00B93D03">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bookmarkStart w:id="0" w:name="_GoBack"/>
      <w:bookmarkEnd w:id="0"/>
    </w:p>
    <w:sectPr w:rsidR="00D806D9" w:rsidRPr="00B93D03" w:rsidSect="00D62CF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D5" w:rsidRDefault="00B236D5">
      <w:r>
        <w:separator/>
      </w:r>
    </w:p>
  </w:endnote>
  <w:endnote w:type="continuationSeparator" w:id="0">
    <w:p w:rsidR="00B236D5" w:rsidRDefault="00B2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B93D03">
      <w:rPr>
        <w:rStyle w:val="PageNumber"/>
        <w:noProof/>
        <w:sz w:val="20"/>
      </w:rPr>
      <w:t>2</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D5" w:rsidRDefault="00B236D5" w:rsidP="00184AAF">
      <w:pPr>
        <w:spacing w:line="240" w:lineRule="auto"/>
      </w:pPr>
      <w:r>
        <w:separator/>
      </w:r>
    </w:p>
  </w:footnote>
  <w:footnote w:type="continuationSeparator" w:id="0">
    <w:p w:rsidR="00B236D5" w:rsidRDefault="00B23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0D6F"/>
    <w:rsid w:val="0001101C"/>
    <w:rsid w:val="000136EB"/>
    <w:rsid w:val="00014D26"/>
    <w:rsid w:val="00016348"/>
    <w:rsid w:val="00027D7F"/>
    <w:rsid w:val="000342F6"/>
    <w:rsid w:val="00034DCC"/>
    <w:rsid w:val="00054A6D"/>
    <w:rsid w:val="00063C77"/>
    <w:rsid w:val="00070478"/>
    <w:rsid w:val="0007152D"/>
    <w:rsid w:val="00073BAB"/>
    <w:rsid w:val="000762AD"/>
    <w:rsid w:val="00080EC1"/>
    <w:rsid w:val="00082342"/>
    <w:rsid w:val="0008370A"/>
    <w:rsid w:val="00084361"/>
    <w:rsid w:val="0009467D"/>
    <w:rsid w:val="000A3CB8"/>
    <w:rsid w:val="000A44D3"/>
    <w:rsid w:val="000A6E54"/>
    <w:rsid w:val="000B2953"/>
    <w:rsid w:val="000B35CF"/>
    <w:rsid w:val="000B3D47"/>
    <w:rsid w:val="000C1CCD"/>
    <w:rsid w:val="000C3FF3"/>
    <w:rsid w:val="000C4A7C"/>
    <w:rsid w:val="000C4F25"/>
    <w:rsid w:val="000D0F65"/>
    <w:rsid w:val="000D1312"/>
    <w:rsid w:val="000D63D8"/>
    <w:rsid w:val="000E047B"/>
    <w:rsid w:val="000E0837"/>
    <w:rsid w:val="000E3D18"/>
    <w:rsid w:val="000E4465"/>
    <w:rsid w:val="000F517C"/>
    <w:rsid w:val="001041E9"/>
    <w:rsid w:val="00104538"/>
    <w:rsid w:val="001067DD"/>
    <w:rsid w:val="00106BE4"/>
    <w:rsid w:val="0010789A"/>
    <w:rsid w:val="0011088E"/>
    <w:rsid w:val="00113D34"/>
    <w:rsid w:val="00115C56"/>
    <w:rsid w:val="00121D44"/>
    <w:rsid w:val="0012450E"/>
    <w:rsid w:val="00125C28"/>
    <w:rsid w:val="00126232"/>
    <w:rsid w:val="00127905"/>
    <w:rsid w:val="00130C70"/>
    <w:rsid w:val="00135665"/>
    <w:rsid w:val="00135AD1"/>
    <w:rsid w:val="00141378"/>
    <w:rsid w:val="00141EBF"/>
    <w:rsid w:val="001474BD"/>
    <w:rsid w:val="00160EE9"/>
    <w:rsid w:val="001616DB"/>
    <w:rsid w:val="0016557F"/>
    <w:rsid w:val="001720BA"/>
    <w:rsid w:val="00172CFA"/>
    <w:rsid w:val="00173F39"/>
    <w:rsid w:val="00174EEB"/>
    <w:rsid w:val="001762F0"/>
    <w:rsid w:val="00176E7A"/>
    <w:rsid w:val="00180FCA"/>
    <w:rsid w:val="001811B7"/>
    <w:rsid w:val="00182191"/>
    <w:rsid w:val="001845CE"/>
    <w:rsid w:val="00184AAF"/>
    <w:rsid w:val="00184D53"/>
    <w:rsid w:val="00184D7C"/>
    <w:rsid w:val="00185B20"/>
    <w:rsid w:val="001910C8"/>
    <w:rsid w:val="001A15D2"/>
    <w:rsid w:val="001A2A2C"/>
    <w:rsid w:val="001A343E"/>
    <w:rsid w:val="001A3CFE"/>
    <w:rsid w:val="001A5D6D"/>
    <w:rsid w:val="001A6089"/>
    <w:rsid w:val="001A63C3"/>
    <w:rsid w:val="001A6BD5"/>
    <w:rsid w:val="001B181F"/>
    <w:rsid w:val="001B2B53"/>
    <w:rsid w:val="001B4C90"/>
    <w:rsid w:val="001B7128"/>
    <w:rsid w:val="001C232F"/>
    <w:rsid w:val="001C36CF"/>
    <w:rsid w:val="001C50EA"/>
    <w:rsid w:val="001D02E3"/>
    <w:rsid w:val="001D6C2E"/>
    <w:rsid w:val="001E24A6"/>
    <w:rsid w:val="001E3800"/>
    <w:rsid w:val="001E7638"/>
    <w:rsid w:val="001F1142"/>
    <w:rsid w:val="001F1A8A"/>
    <w:rsid w:val="001F2EC5"/>
    <w:rsid w:val="001F3617"/>
    <w:rsid w:val="001F373C"/>
    <w:rsid w:val="001F5B15"/>
    <w:rsid w:val="002005EF"/>
    <w:rsid w:val="00200600"/>
    <w:rsid w:val="00201C10"/>
    <w:rsid w:val="0020392A"/>
    <w:rsid w:val="0020667F"/>
    <w:rsid w:val="00206AD6"/>
    <w:rsid w:val="002211B9"/>
    <w:rsid w:val="00221BC6"/>
    <w:rsid w:val="00230D8C"/>
    <w:rsid w:val="0024256D"/>
    <w:rsid w:val="00245A00"/>
    <w:rsid w:val="00246D44"/>
    <w:rsid w:val="002532FC"/>
    <w:rsid w:val="002538B4"/>
    <w:rsid w:val="00254F42"/>
    <w:rsid w:val="0026222B"/>
    <w:rsid w:val="0026247D"/>
    <w:rsid w:val="00264EC6"/>
    <w:rsid w:val="002659A2"/>
    <w:rsid w:val="002708E0"/>
    <w:rsid w:val="00270B0A"/>
    <w:rsid w:val="00275DBC"/>
    <w:rsid w:val="00276440"/>
    <w:rsid w:val="002823C3"/>
    <w:rsid w:val="00283DC1"/>
    <w:rsid w:val="00286204"/>
    <w:rsid w:val="002878F2"/>
    <w:rsid w:val="00295AFD"/>
    <w:rsid w:val="002A5877"/>
    <w:rsid w:val="002B45F5"/>
    <w:rsid w:val="002B5DEC"/>
    <w:rsid w:val="002B7128"/>
    <w:rsid w:val="002C660B"/>
    <w:rsid w:val="002D41A2"/>
    <w:rsid w:val="002E1BFD"/>
    <w:rsid w:val="002E2004"/>
    <w:rsid w:val="002E4263"/>
    <w:rsid w:val="002E635E"/>
    <w:rsid w:val="002F0159"/>
    <w:rsid w:val="002F2C79"/>
    <w:rsid w:val="002F5CA0"/>
    <w:rsid w:val="002F69EC"/>
    <w:rsid w:val="002F7369"/>
    <w:rsid w:val="00300EA6"/>
    <w:rsid w:val="0030427E"/>
    <w:rsid w:val="00305A80"/>
    <w:rsid w:val="003105AC"/>
    <w:rsid w:val="00311C31"/>
    <w:rsid w:val="003145E6"/>
    <w:rsid w:val="00331DE4"/>
    <w:rsid w:val="00333DFE"/>
    <w:rsid w:val="003411B7"/>
    <w:rsid w:val="00346137"/>
    <w:rsid w:val="0034681A"/>
    <w:rsid w:val="003530F5"/>
    <w:rsid w:val="00357020"/>
    <w:rsid w:val="00357DC1"/>
    <w:rsid w:val="00357DD4"/>
    <w:rsid w:val="003621B6"/>
    <w:rsid w:val="003629D0"/>
    <w:rsid w:val="00377053"/>
    <w:rsid w:val="003831E6"/>
    <w:rsid w:val="003847FA"/>
    <w:rsid w:val="003860F1"/>
    <w:rsid w:val="00386B2B"/>
    <w:rsid w:val="00390F51"/>
    <w:rsid w:val="00393496"/>
    <w:rsid w:val="003A35A8"/>
    <w:rsid w:val="003A7003"/>
    <w:rsid w:val="003A7989"/>
    <w:rsid w:val="003B1A8B"/>
    <w:rsid w:val="003B59B2"/>
    <w:rsid w:val="003B68EE"/>
    <w:rsid w:val="003C301C"/>
    <w:rsid w:val="003D7CC9"/>
    <w:rsid w:val="003D7F24"/>
    <w:rsid w:val="003E54DB"/>
    <w:rsid w:val="003F0B22"/>
    <w:rsid w:val="003F3EDD"/>
    <w:rsid w:val="003F51F9"/>
    <w:rsid w:val="003F5B80"/>
    <w:rsid w:val="003F665A"/>
    <w:rsid w:val="003F685F"/>
    <w:rsid w:val="00401D4C"/>
    <w:rsid w:val="00406A90"/>
    <w:rsid w:val="0042381A"/>
    <w:rsid w:val="0043056E"/>
    <w:rsid w:val="00431265"/>
    <w:rsid w:val="004312CB"/>
    <w:rsid w:val="004316BC"/>
    <w:rsid w:val="004324C7"/>
    <w:rsid w:val="00433445"/>
    <w:rsid w:val="004356B0"/>
    <w:rsid w:val="0044074F"/>
    <w:rsid w:val="004410EE"/>
    <w:rsid w:val="00442CE5"/>
    <w:rsid w:val="00443CE8"/>
    <w:rsid w:val="00445BDD"/>
    <w:rsid w:val="00446877"/>
    <w:rsid w:val="00453F74"/>
    <w:rsid w:val="0045438D"/>
    <w:rsid w:val="00455102"/>
    <w:rsid w:val="00455EBE"/>
    <w:rsid w:val="0045648A"/>
    <w:rsid w:val="00463638"/>
    <w:rsid w:val="00466106"/>
    <w:rsid w:val="0047041A"/>
    <w:rsid w:val="00470559"/>
    <w:rsid w:val="0047204C"/>
    <w:rsid w:val="00475D8A"/>
    <w:rsid w:val="00483412"/>
    <w:rsid w:val="00483C78"/>
    <w:rsid w:val="004859F5"/>
    <w:rsid w:val="004870F5"/>
    <w:rsid w:val="0049122C"/>
    <w:rsid w:val="0049156A"/>
    <w:rsid w:val="0049191B"/>
    <w:rsid w:val="00492F42"/>
    <w:rsid w:val="00495698"/>
    <w:rsid w:val="004A4F24"/>
    <w:rsid w:val="004B1642"/>
    <w:rsid w:val="004B200B"/>
    <w:rsid w:val="004B641E"/>
    <w:rsid w:val="004C3742"/>
    <w:rsid w:val="004C6C33"/>
    <w:rsid w:val="004D2B2F"/>
    <w:rsid w:val="004D40EC"/>
    <w:rsid w:val="004D413E"/>
    <w:rsid w:val="004D5461"/>
    <w:rsid w:val="004D7343"/>
    <w:rsid w:val="004E3AEA"/>
    <w:rsid w:val="004E7D1A"/>
    <w:rsid w:val="004F0A05"/>
    <w:rsid w:val="004F2202"/>
    <w:rsid w:val="004F22DA"/>
    <w:rsid w:val="004F2F92"/>
    <w:rsid w:val="004F5F19"/>
    <w:rsid w:val="00503606"/>
    <w:rsid w:val="0050445F"/>
    <w:rsid w:val="0050486A"/>
    <w:rsid w:val="00506254"/>
    <w:rsid w:val="00506AB8"/>
    <w:rsid w:val="00510C3F"/>
    <w:rsid w:val="00512AA2"/>
    <w:rsid w:val="005145BA"/>
    <w:rsid w:val="00515AE5"/>
    <w:rsid w:val="005170F7"/>
    <w:rsid w:val="005216EE"/>
    <w:rsid w:val="00521C50"/>
    <w:rsid w:val="00531FE8"/>
    <w:rsid w:val="00532801"/>
    <w:rsid w:val="00532F1F"/>
    <w:rsid w:val="00540CCC"/>
    <w:rsid w:val="0054751C"/>
    <w:rsid w:val="00547574"/>
    <w:rsid w:val="0055382F"/>
    <w:rsid w:val="00553DB8"/>
    <w:rsid w:val="0055400B"/>
    <w:rsid w:val="00555C71"/>
    <w:rsid w:val="00563AC3"/>
    <w:rsid w:val="005668CE"/>
    <w:rsid w:val="0057184B"/>
    <w:rsid w:val="00572E36"/>
    <w:rsid w:val="00573DC0"/>
    <w:rsid w:val="00574863"/>
    <w:rsid w:val="00575C4A"/>
    <w:rsid w:val="005761A3"/>
    <w:rsid w:val="00576481"/>
    <w:rsid w:val="00577C33"/>
    <w:rsid w:val="005802BD"/>
    <w:rsid w:val="0058087D"/>
    <w:rsid w:val="00580EBE"/>
    <w:rsid w:val="00583141"/>
    <w:rsid w:val="00592746"/>
    <w:rsid w:val="005A03E3"/>
    <w:rsid w:val="005A0E88"/>
    <w:rsid w:val="005A1D4E"/>
    <w:rsid w:val="005A287A"/>
    <w:rsid w:val="005A48B6"/>
    <w:rsid w:val="005A6138"/>
    <w:rsid w:val="005A7A21"/>
    <w:rsid w:val="005B4874"/>
    <w:rsid w:val="005B614C"/>
    <w:rsid w:val="005B73DB"/>
    <w:rsid w:val="005C4A69"/>
    <w:rsid w:val="005C7F8D"/>
    <w:rsid w:val="005D4969"/>
    <w:rsid w:val="005D4C62"/>
    <w:rsid w:val="005D4FD9"/>
    <w:rsid w:val="005D5417"/>
    <w:rsid w:val="005D551E"/>
    <w:rsid w:val="005E194C"/>
    <w:rsid w:val="005F2013"/>
    <w:rsid w:val="005F53E9"/>
    <w:rsid w:val="005F7569"/>
    <w:rsid w:val="006017F7"/>
    <w:rsid w:val="006033E9"/>
    <w:rsid w:val="00604CE1"/>
    <w:rsid w:val="00607007"/>
    <w:rsid w:val="006079A2"/>
    <w:rsid w:val="00610860"/>
    <w:rsid w:val="00611B97"/>
    <w:rsid w:val="00612940"/>
    <w:rsid w:val="00615349"/>
    <w:rsid w:val="00617576"/>
    <w:rsid w:val="0061792B"/>
    <w:rsid w:val="006210E5"/>
    <w:rsid w:val="00621E09"/>
    <w:rsid w:val="0062644A"/>
    <w:rsid w:val="00627290"/>
    <w:rsid w:val="006336DE"/>
    <w:rsid w:val="00635424"/>
    <w:rsid w:val="006372E3"/>
    <w:rsid w:val="006410BF"/>
    <w:rsid w:val="006426C0"/>
    <w:rsid w:val="006429F2"/>
    <w:rsid w:val="006501D9"/>
    <w:rsid w:val="00650D16"/>
    <w:rsid w:val="006634D0"/>
    <w:rsid w:val="00670A02"/>
    <w:rsid w:val="0067313C"/>
    <w:rsid w:val="00675D0E"/>
    <w:rsid w:val="00676B8C"/>
    <w:rsid w:val="00680363"/>
    <w:rsid w:val="00682DCB"/>
    <w:rsid w:val="00683AF3"/>
    <w:rsid w:val="00686E80"/>
    <w:rsid w:val="00687034"/>
    <w:rsid w:val="006904DF"/>
    <w:rsid w:val="0069237C"/>
    <w:rsid w:val="00692ECB"/>
    <w:rsid w:val="006953B7"/>
    <w:rsid w:val="006963AD"/>
    <w:rsid w:val="00696DCF"/>
    <w:rsid w:val="00697EC9"/>
    <w:rsid w:val="006A1C20"/>
    <w:rsid w:val="006A3950"/>
    <w:rsid w:val="006B3913"/>
    <w:rsid w:val="006C01E2"/>
    <w:rsid w:val="006C3DB3"/>
    <w:rsid w:val="006C4639"/>
    <w:rsid w:val="006C5280"/>
    <w:rsid w:val="006D3E19"/>
    <w:rsid w:val="006D7E63"/>
    <w:rsid w:val="006E6A16"/>
    <w:rsid w:val="006E735C"/>
    <w:rsid w:val="00703756"/>
    <w:rsid w:val="00712C7C"/>
    <w:rsid w:val="00714040"/>
    <w:rsid w:val="00720E94"/>
    <w:rsid w:val="00723BC6"/>
    <w:rsid w:val="0072443E"/>
    <w:rsid w:val="007253AA"/>
    <w:rsid w:val="00730B1B"/>
    <w:rsid w:val="00731409"/>
    <w:rsid w:val="00736B6C"/>
    <w:rsid w:val="00740D85"/>
    <w:rsid w:val="0074384B"/>
    <w:rsid w:val="007451CA"/>
    <w:rsid w:val="00751744"/>
    <w:rsid w:val="00751999"/>
    <w:rsid w:val="00754503"/>
    <w:rsid w:val="00755188"/>
    <w:rsid w:val="007573C3"/>
    <w:rsid w:val="007629B9"/>
    <w:rsid w:val="0076340B"/>
    <w:rsid w:val="00763628"/>
    <w:rsid w:val="0076511D"/>
    <w:rsid w:val="007659E6"/>
    <w:rsid w:val="00771FD5"/>
    <w:rsid w:val="00775297"/>
    <w:rsid w:val="00776DBD"/>
    <w:rsid w:val="007815F7"/>
    <w:rsid w:val="00782611"/>
    <w:rsid w:val="00784AA5"/>
    <w:rsid w:val="0078787D"/>
    <w:rsid w:val="007924C2"/>
    <w:rsid w:val="00792C30"/>
    <w:rsid w:val="00793BC4"/>
    <w:rsid w:val="00794D58"/>
    <w:rsid w:val="00795AE7"/>
    <w:rsid w:val="007A6F6E"/>
    <w:rsid w:val="007B0861"/>
    <w:rsid w:val="007B3C77"/>
    <w:rsid w:val="007B4351"/>
    <w:rsid w:val="007B4FE1"/>
    <w:rsid w:val="007B538E"/>
    <w:rsid w:val="007C0E85"/>
    <w:rsid w:val="007C1637"/>
    <w:rsid w:val="007C46F3"/>
    <w:rsid w:val="007C54BE"/>
    <w:rsid w:val="007C6D01"/>
    <w:rsid w:val="007D07FC"/>
    <w:rsid w:val="007D2BB6"/>
    <w:rsid w:val="007D3C0C"/>
    <w:rsid w:val="007D50CB"/>
    <w:rsid w:val="007D6299"/>
    <w:rsid w:val="007E044C"/>
    <w:rsid w:val="007E5933"/>
    <w:rsid w:val="007F1C36"/>
    <w:rsid w:val="007F491A"/>
    <w:rsid w:val="007F5FB6"/>
    <w:rsid w:val="00800B9A"/>
    <w:rsid w:val="00806ABA"/>
    <w:rsid w:val="0081446E"/>
    <w:rsid w:val="0081520C"/>
    <w:rsid w:val="008167C2"/>
    <w:rsid w:val="00825F7E"/>
    <w:rsid w:val="00830454"/>
    <w:rsid w:val="00831C11"/>
    <w:rsid w:val="0083220B"/>
    <w:rsid w:val="00834AE7"/>
    <w:rsid w:val="00841067"/>
    <w:rsid w:val="008430AB"/>
    <w:rsid w:val="00845BA2"/>
    <w:rsid w:val="00847810"/>
    <w:rsid w:val="008555A9"/>
    <w:rsid w:val="00855F80"/>
    <w:rsid w:val="00856CA8"/>
    <w:rsid w:val="00862BEC"/>
    <w:rsid w:val="00863D1B"/>
    <w:rsid w:val="00874CEC"/>
    <w:rsid w:val="008855E3"/>
    <w:rsid w:val="00885C0F"/>
    <w:rsid w:val="00890245"/>
    <w:rsid w:val="008A2E3E"/>
    <w:rsid w:val="008A4B38"/>
    <w:rsid w:val="008A6FAF"/>
    <w:rsid w:val="008A7351"/>
    <w:rsid w:val="008A748E"/>
    <w:rsid w:val="008A799C"/>
    <w:rsid w:val="008B14A1"/>
    <w:rsid w:val="008B4AE0"/>
    <w:rsid w:val="008B71DC"/>
    <w:rsid w:val="008D5BE4"/>
    <w:rsid w:val="008E04ED"/>
    <w:rsid w:val="008E3000"/>
    <w:rsid w:val="008F17DF"/>
    <w:rsid w:val="008F2CE3"/>
    <w:rsid w:val="00903CB0"/>
    <w:rsid w:val="00904FF5"/>
    <w:rsid w:val="00913C70"/>
    <w:rsid w:val="00915CF4"/>
    <w:rsid w:val="0091624A"/>
    <w:rsid w:val="00920D12"/>
    <w:rsid w:val="0092325E"/>
    <w:rsid w:val="0092369F"/>
    <w:rsid w:val="0093224A"/>
    <w:rsid w:val="0094037E"/>
    <w:rsid w:val="00950B81"/>
    <w:rsid w:val="00953D48"/>
    <w:rsid w:val="00954BC6"/>
    <w:rsid w:val="00956852"/>
    <w:rsid w:val="00957737"/>
    <w:rsid w:val="00960272"/>
    <w:rsid w:val="009628FF"/>
    <w:rsid w:val="00965015"/>
    <w:rsid w:val="0096779F"/>
    <w:rsid w:val="00970E26"/>
    <w:rsid w:val="009746FB"/>
    <w:rsid w:val="009824B4"/>
    <w:rsid w:val="00985006"/>
    <w:rsid w:val="00987A8A"/>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0AE1"/>
    <w:rsid w:val="009E51F2"/>
    <w:rsid w:val="009F567B"/>
    <w:rsid w:val="009F5897"/>
    <w:rsid w:val="00A0146A"/>
    <w:rsid w:val="00A04BC9"/>
    <w:rsid w:val="00A0722D"/>
    <w:rsid w:val="00A07577"/>
    <w:rsid w:val="00A07ABA"/>
    <w:rsid w:val="00A11C8F"/>
    <w:rsid w:val="00A11D90"/>
    <w:rsid w:val="00A12307"/>
    <w:rsid w:val="00A22DD9"/>
    <w:rsid w:val="00A24BF5"/>
    <w:rsid w:val="00A34233"/>
    <w:rsid w:val="00A411BE"/>
    <w:rsid w:val="00A433B1"/>
    <w:rsid w:val="00A5194C"/>
    <w:rsid w:val="00A53CD9"/>
    <w:rsid w:val="00A54D71"/>
    <w:rsid w:val="00A5518D"/>
    <w:rsid w:val="00A5614D"/>
    <w:rsid w:val="00A5762B"/>
    <w:rsid w:val="00A6083A"/>
    <w:rsid w:val="00A62FF4"/>
    <w:rsid w:val="00A67791"/>
    <w:rsid w:val="00A71273"/>
    <w:rsid w:val="00A72D30"/>
    <w:rsid w:val="00A734AB"/>
    <w:rsid w:val="00A83337"/>
    <w:rsid w:val="00A84107"/>
    <w:rsid w:val="00AA01F1"/>
    <w:rsid w:val="00AA1876"/>
    <w:rsid w:val="00AA20FF"/>
    <w:rsid w:val="00AA5F51"/>
    <w:rsid w:val="00AA75FF"/>
    <w:rsid w:val="00AB0A2B"/>
    <w:rsid w:val="00AB0CB8"/>
    <w:rsid w:val="00AB40F1"/>
    <w:rsid w:val="00AB64EA"/>
    <w:rsid w:val="00AB66F6"/>
    <w:rsid w:val="00AB6A0B"/>
    <w:rsid w:val="00AC1DCA"/>
    <w:rsid w:val="00AC2BC0"/>
    <w:rsid w:val="00AC4134"/>
    <w:rsid w:val="00AC426B"/>
    <w:rsid w:val="00AC61BD"/>
    <w:rsid w:val="00AC6840"/>
    <w:rsid w:val="00AC7B8E"/>
    <w:rsid w:val="00AD1775"/>
    <w:rsid w:val="00AD21CE"/>
    <w:rsid w:val="00AD44E8"/>
    <w:rsid w:val="00AE0C7D"/>
    <w:rsid w:val="00AE3171"/>
    <w:rsid w:val="00AE5C66"/>
    <w:rsid w:val="00AE7BD8"/>
    <w:rsid w:val="00AF149A"/>
    <w:rsid w:val="00AF3423"/>
    <w:rsid w:val="00AF6216"/>
    <w:rsid w:val="00B10713"/>
    <w:rsid w:val="00B16A2B"/>
    <w:rsid w:val="00B223F1"/>
    <w:rsid w:val="00B236D5"/>
    <w:rsid w:val="00B3775D"/>
    <w:rsid w:val="00B402F6"/>
    <w:rsid w:val="00B41FCA"/>
    <w:rsid w:val="00B43ED0"/>
    <w:rsid w:val="00B44A3B"/>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8663A"/>
    <w:rsid w:val="00B91183"/>
    <w:rsid w:val="00B93B9D"/>
    <w:rsid w:val="00B93D03"/>
    <w:rsid w:val="00B94B35"/>
    <w:rsid w:val="00BA1179"/>
    <w:rsid w:val="00BA1223"/>
    <w:rsid w:val="00BA1497"/>
    <w:rsid w:val="00BB0588"/>
    <w:rsid w:val="00BB3E88"/>
    <w:rsid w:val="00BB4693"/>
    <w:rsid w:val="00BB600E"/>
    <w:rsid w:val="00BB7BD0"/>
    <w:rsid w:val="00BB7FFC"/>
    <w:rsid w:val="00BC303D"/>
    <w:rsid w:val="00BC676E"/>
    <w:rsid w:val="00BC7C00"/>
    <w:rsid w:val="00BD1574"/>
    <w:rsid w:val="00BD24CC"/>
    <w:rsid w:val="00BD2C9B"/>
    <w:rsid w:val="00BD4EFA"/>
    <w:rsid w:val="00BE21F9"/>
    <w:rsid w:val="00C002CE"/>
    <w:rsid w:val="00C01373"/>
    <w:rsid w:val="00C0342A"/>
    <w:rsid w:val="00C050E2"/>
    <w:rsid w:val="00C11341"/>
    <w:rsid w:val="00C149A6"/>
    <w:rsid w:val="00C160EB"/>
    <w:rsid w:val="00C20338"/>
    <w:rsid w:val="00C20A94"/>
    <w:rsid w:val="00C34266"/>
    <w:rsid w:val="00C407F4"/>
    <w:rsid w:val="00C40BCE"/>
    <w:rsid w:val="00C41914"/>
    <w:rsid w:val="00C428AD"/>
    <w:rsid w:val="00C44BBD"/>
    <w:rsid w:val="00C46638"/>
    <w:rsid w:val="00C47CA7"/>
    <w:rsid w:val="00C52AEA"/>
    <w:rsid w:val="00C60790"/>
    <w:rsid w:val="00C61246"/>
    <w:rsid w:val="00C65A97"/>
    <w:rsid w:val="00C70A29"/>
    <w:rsid w:val="00C72053"/>
    <w:rsid w:val="00C75FF3"/>
    <w:rsid w:val="00C81AF6"/>
    <w:rsid w:val="00C824D2"/>
    <w:rsid w:val="00C84A99"/>
    <w:rsid w:val="00C84D51"/>
    <w:rsid w:val="00C851A8"/>
    <w:rsid w:val="00C86BD4"/>
    <w:rsid w:val="00C9552D"/>
    <w:rsid w:val="00CA064A"/>
    <w:rsid w:val="00CA491A"/>
    <w:rsid w:val="00CA7120"/>
    <w:rsid w:val="00CB2675"/>
    <w:rsid w:val="00CB2857"/>
    <w:rsid w:val="00CC1ADA"/>
    <w:rsid w:val="00CC2AA8"/>
    <w:rsid w:val="00CC3845"/>
    <w:rsid w:val="00CC51E1"/>
    <w:rsid w:val="00CD39D9"/>
    <w:rsid w:val="00CD77C3"/>
    <w:rsid w:val="00CE2CAF"/>
    <w:rsid w:val="00CE43D2"/>
    <w:rsid w:val="00CF2911"/>
    <w:rsid w:val="00CF6DA6"/>
    <w:rsid w:val="00D01DAC"/>
    <w:rsid w:val="00D133E1"/>
    <w:rsid w:val="00D158AB"/>
    <w:rsid w:val="00D22C73"/>
    <w:rsid w:val="00D238C6"/>
    <w:rsid w:val="00D2497E"/>
    <w:rsid w:val="00D30299"/>
    <w:rsid w:val="00D4110F"/>
    <w:rsid w:val="00D472F1"/>
    <w:rsid w:val="00D47740"/>
    <w:rsid w:val="00D502C6"/>
    <w:rsid w:val="00D5047A"/>
    <w:rsid w:val="00D62CF2"/>
    <w:rsid w:val="00D64676"/>
    <w:rsid w:val="00D67582"/>
    <w:rsid w:val="00D702AC"/>
    <w:rsid w:val="00D71CE1"/>
    <w:rsid w:val="00D727E8"/>
    <w:rsid w:val="00D72F75"/>
    <w:rsid w:val="00D7322A"/>
    <w:rsid w:val="00D746CF"/>
    <w:rsid w:val="00D74A80"/>
    <w:rsid w:val="00D806D9"/>
    <w:rsid w:val="00D817D4"/>
    <w:rsid w:val="00D90E8B"/>
    <w:rsid w:val="00D915C7"/>
    <w:rsid w:val="00D953C7"/>
    <w:rsid w:val="00D95678"/>
    <w:rsid w:val="00D968E3"/>
    <w:rsid w:val="00DA41BD"/>
    <w:rsid w:val="00DA439C"/>
    <w:rsid w:val="00DA5EE7"/>
    <w:rsid w:val="00DB0038"/>
    <w:rsid w:val="00DB43FC"/>
    <w:rsid w:val="00DB4E87"/>
    <w:rsid w:val="00DC0854"/>
    <w:rsid w:val="00DC0B0E"/>
    <w:rsid w:val="00DC4D39"/>
    <w:rsid w:val="00DD1394"/>
    <w:rsid w:val="00DD1763"/>
    <w:rsid w:val="00DD2E1B"/>
    <w:rsid w:val="00DD6CFA"/>
    <w:rsid w:val="00DE0B4F"/>
    <w:rsid w:val="00DE532B"/>
    <w:rsid w:val="00DF083A"/>
    <w:rsid w:val="00DF2A0B"/>
    <w:rsid w:val="00DF5ECC"/>
    <w:rsid w:val="00DF7979"/>
    <w:rsid w:val="00E05AE1"/>
    <w:rsid w:val="00E05C73"/>
    <w:rsid w:val="00E12287"/>
    <w:rsid w:val="00E15130"/>
    <w:rsid w:val="00E235AF"/>
    <w:rsid w:val="00E24B95"/>
    <w:rsid w:val="00E251B4"/>
    <w:rsid w:val="00E253BE"/>
    <w:rsid w:val="00E27A89"/>
    <w:rsid w:val="00E308DE"/>
    <w:rsid w:val="00E4121C"/>
    <w:rsid w:val="00E4714E"/>
    <w:rsid w:val="00E55642"/>
    <w:rsid w:val="00E578AF"/>
    <w:rsid w:val="00E60FDB"/>
    <w:rsid w:val="00E64EF2"/>
    <w:rsid w:val="00E73A6A"/>
    <w:rsid w:val="00E748D5"/>
    <w:rsid w:val="00E75DB6"/>
    <w:rsid w:val="00E77413"/>
    <w:rsid w:val="00E7745D"/>
    <w:rsid w:val="00E80774"/>
    <w:rsid w:val="00E8126D"/>
    <w:rsid w:val="00E850DD"/>
    <w:rsid w:val="00E900BF"/>
    <w:rsid w:val="00E91305"/>
    <w:rsid w:val="00E916C4"/>
    <w:rsid w:val="00E929C2"/>
    <w:rsid w:val="00E93B4B"/>
    <w:rsid w:val="00E94C4C"/>
    <w:rsid w:val="00EA1F51"/>
    <w:rsid w:val="00EA451A"/>
    <w:rsid w:val="00EA481C"/>
    <w:rsid w:val="00EA5E84"/>
    <w:rsid w:val="00EB1DEB"/>
    <w:rsid w:val="00EC4F93"/>
    <w:rsid w:val="00EC57B0"/>
    <w:rsid w:val="00EC7B44"/>
    <w:rsid w:val="00EE21FF"/>
    <w:rsid w:val="00EE4496"/>
    <w:rsid w:val="00EE55F4"/>
    <w:rsid w:val="00EE66E3"/>
    <w:rsid w:val="00EE745E"/>
    <w:rsid w:val="00EE7BEF"/>
    <w:rsid w:val="00EF0D17"/>
    <w:rsid w:val="00EF2F66"/>
    <w:rsid w:val="00EF32E8"/>
    <w:rsid w:val="00EF634C"/>
    <w:rsid w:val="00F01645"/>
    <w:rsid w:val="00F026BA"/>
    <w:rsid w:val="00F0375E"/>
    <w:rsid w:val="00F112D5"/>
    <w:rsid w:val="00F128BD"/>
    <w:rsid w:val="00F15EC2"/>
    <w:rsid w:val="00F16484"/>
    <w:rsid w:val="00F2743F"/>
    <w:rsid w:val="00F308F5"/>
    <w:rsid w:val="00F3103E"/>
    <w:rsid w:val="00F35BD2"/>
    <w:rsid w:val="00F360F5"/>
    <w:rsid w:val="00F46186"/>
    <w:rsid w:val="00F46A49"/>
    <w:rsid w:val="00F475E6"/>
    <w:rsid w:val="00F5014B"/>
    <w:rsid w:val="00F5563B"/>
    <w:rsid w:val="00F612C1"/>
    <w:rsid w:val="00F61BDA"/>
    <w:rsid w:val="00F628D1"/>
    <w:rsid w:val="00F67470"/>
    <w:rsid w:val="00F718D1"/>
    <w:rsid w:val="00F724B0"/>
    <w:rsid w:val="00F8440A"/>
    <w:rsid w:val="00F86468"/>
    <w:rsid w:val="00F905A9"/>
    <w:rsid w:val="00F916C1"/>
    <w:rsid w:val="00F93A24"/>
    <w:rsid w:val="00F9419A"/>
    <w:rsid w:val="00FA1765"/>
    <w:rsid w:val="00FA233E"/>
    <w:rsid w:val="00FA24D0"/>
    <w:rsid w:val="00FA641E"/>
    <w:rsid w:val="00FB646A"/>
    <w:rsid w:val="00FC2542"/>
    <w:rsid w:val="00FC4BE0"/>
    <w:rsid w:val="00FD253E"/>
    <w:rsid w:val="00FD2B26"/>
    <w:rsid w:val="00FD5922"/>
    <w:rsid w:val="00FE19E5"/>
    <w:rsid w:val="00FE25D8"/>
    <w:rsid w:val="00FE3A43"/>
    <w:rsid w:val="00FE5124"/>
    <w:rsid w:val="00FE6A13"/>
    <w:rsid w:val="00FF1C1F"/>
    <w:rsid w:val="00FF2DDF"/>
    <w:rsid w:val="00FF3924"/>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 w:type="character" w:customStyle="1" w:styleId="BodyTextChar">
    <w:name w:val="Body Text Char"/>
    <w:basedOn w:val="DefaultParagraphFont"/>
    <w:link w:val="BodyText"/>
    <w:rsid w:val="00B93D03"/>
    <w:rPr>
      <w:rFonts w:eastAsia="SimSu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 w:type="character" w:customStyle="1" w:styleId="BodyTextChar">
    <w:name w:val="Body Text Char"/>
    <w:basedOn w:val="DefaultParagraphFont"/>
    <w:link w:val="BodyText"/>
    <w:rsid w:val="00B93D03"/>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96977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4A18-292F-46FA-B8CC-DAEF288F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Park, Pokim</cp:lastModifiedBy>
  <cp:revision>3</cp:revision>
  <cp:lastPrinted>2013-07-29T17:38:00Z</cp:lastPrinted>
  <dcterms:created xsi:type="dcterms:W3CDTF">2013-07-29T19:29:00Z</dcterms:created>
  <dcterms:modified xsi:type="dcterms:W3CDTF">2013-08-02T19:11:00Z</dcterms:modified>
</cp:coreProperties>
</file>