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CF" w:rsidRDefault="004815A0" w:rsidP="009B0ACF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BEFORE THE</w:t>
      </w:r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</w:rPr>
        <w:fldChar w:fldCharType="end"/>
      </w:r>
    </w:p>
    <w:p w:rsidR="004815A0" w:rsidRPr="009B0ACF" w:rsidRDefault="004815A0" w:rsidP="009B0ACF">
      <w:pPr>
        <w:tabs>
          <w:tab w:val="center" w:pos="4680"/>
        </w:tabs>
        <w:suppressAutoHyphens/>
        <w:jc w:val="center"/>
        <w:rPr>
          <w:b/>
          <w:spacing w:val="-3"/>
        </w:rPr>
      </w:pPr>
      <w:r w:rsidRPr="00180E60">
        <w:rPr>
          <w:b/>
          <w:spacing w:val="-3"/>
          <w:szCs w:val="24"/>
        </w:rPr>
        <w:t>PENNSYLVANIA</w:t>
      </w:r>
      <w:r>
        <w:rPr>
          <w:b/>
          <w:spacing w:val="-3"/>
        </w:rPr>
        <w:t xml:space="preserve"> PUBLIC UTILITY COMMISSION</w:t>
      </w: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</w:p>
    <w:p w:rsidR="009B0ACF" w:rsidRDefault="009B0ACF">
      <w:pPr>
        <w:tabs>
          <w:tab w:val="left" w:pos="-720"/>
        </w:tabs>
        <w:suppressAutoHyphens/>
        <w:jc w:val="both"/>
        <w:rPr>
          <w:spacing w:val="-3"/>
        </w:rPr>
      </w:pPr>
    </w:p>
    <w:p w:rsidR="004815A0" w:rsidRDefault="009B0AC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Tyrone Gibbs, FS-7093</w:t>
      </w:r>
      <w:r w:rsidR="00D5786B">
        <w:rPr>
          <w:spacing w:val="-3"/>
        </w:rPr>
        <w:tab/>
      </w:r>
      <w:r w:rsidR="005D7EFC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4815A0">
        <w:rPr>
          <w:spacing w:val="-3"/>
        </w:rPr>
        <w:t>:</w:t>
      </w: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9B0ACF">
        <w:rPr>
          <w:spacing w:val="-3"/>
        </w:rPr>
        <w:tab/>
      </w:r>
      <w:r>
        <w:rPr>
          <w:spacing w:val="-3"/>
        </w:rPr>
        <w:t>:</w:t>
      </w: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v.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D5786B">
        <w:rPr>
          <w:spacing w:val="-3"/>
        </w:rPr>
        <w:tab/>
      </w:r>
      <w:r w:rsidR="009B0ACF">
        <w:rPr>
          <w:spacing w:val="-3"/>
        </w:rPr>
        <w:tab/>
        <w:t>:</w:t>
      </w:r>
      <w:r w:rsidR="009B0ACF">
        <w:rPr>
          <w:spacing w:val="-3"/>
        </w:rPr>
        <w:tab/>
        <w:t>Docket No. C-2013-2358084</w:t>
      </w: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9B0ACF">
        <w:rPr>
          <w:spacing w:val="-3"/>
        </w:rPr>
        <w:tab/>
      </w:r>
      <w:r>
        <w:rPr>
          <w:spacing w:val="-3"/>
        </w:rPr>
        <w:t>:</w:t>
      </w:r>
    </w:p>
    <w:p w:rsidR="001F3664" w:rsidRDefault="009B0ACF" w:rsidP="009B0ACF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>Global Tel Link Corporation</w:t>
      </w:r>
      <w:r w:rsidR="00D5786B">
        <w:rPr>
          <w:spacing w:val="-3"/>
        </w:rPr>
        <w:tab/>
      </w:r>
      <w:r w:rsidR="001F3664">
        <w:rPr>
          <w:spacing w:val="-3"/>
        </w:rPr>
        <w:tab/>
      </w:r>
      <w:r w:rsidR="004815A0">
        <w:rPr>
          <w:spacing w:val="-3"/>
        </w:rPr>
        <w:tab/>
      </w:r>
      <w:r>
        <w:rPr>
          <w:spacing w:val="-3"/>
        </w:rPr>
        <w:tab/>
      </w:r>
      <w:r w:rsidR="004815A0">
        <w:rPr>
          <w:spacing w:val="-3"/>
        </w:rPr>
        <w:t>:</w:t>
      </w: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</w:p>
    <w:p w:rsidR="009B0ACF" w:rsidRDefault="004815A0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</w:p>
    <w:p w:rsidR="00972257" w:rsidRPr="00972257" w:rsidRDefault="00972257" w:rsidP="00972257">
      <w:pPr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  <w:szCs w:val="24"/>
        </w:rPr>
      </w:pPr>
      <w:r w:rsidRPr="00972257">
        <w:rPr>
          <w:b/>
          <w:bCs/>
          <w:spacing w:val="-3"/>
          <w:szCs w:val="24"/>
          <w:u w:val="single"/>
        </w:rPr>
        <w:t>ORDER GRANTING A CONTINUANCE</w:t>
      </w:r>
    </w:p>
    <w:p w:rsidR="00972257" w:rsidRPr="00972257" w:rsidRDefault="00972257" w:rsidP="00972257">
      <w:pPr>
        <w:tabs>
          <w:tab w:val="left" w:pos="-720"/>
        </w:tabs>
        <w:suppressAutoHyphens/>
        <w:autoSpaceDE w:val="0"/>
        <w:autoSpaceDN w:val="0"/>
        <w:ind w:firstLine="1440"/>
        <w:rPr>
          <w:spacing w:val="-3"/>
          <w:szCs w:val="24"/>
        </w:rPr>
      </w:pPr>
    </w:p>
    <w:p w:rsidR="00972257" w:rsidRPr="00972257" w:rsidRDefault="00972257" w:rsidP="00972257">
      <w:pPr>
        <w:tabs>
          <w:tab w:val="left" w:pos="-720"/>
        </w:tabs>
        <w:suppressAutoHyphens/>
        <w:autoSpaceDE w:val="0"/>
        <w:autoSpaceDN w:val="0"/>
        <w:ind w:firstLine="1440"/>
        <w:rPr>
          <w:spacing w:val="-3"/>
          <w:szCs w:val="24"/>
        </w:rPr>
      </w:pPr>
    </w:p>
    <w:p w:rsidR="008A2077" w:rsidRDefault="00972257" w:rsidP="00972257">
      <w:pPr>
        <w:autoSpaceDE w:val="0"/>
        <w:autoSpaceDN w:val="0"/>
        <w:spacing w:line="360" w:lineRule="auto"/>
        <w:rPr>
          <w:szCs w:val="24"/>
        </w:rPr>
      </w:pPr>
      <w:r w:rsidRPr="00972257">
        <w:rPr>
          <w:szCs w:val="24"/>
        </w:rPr>
        <w:tab/>
      </w:r>
      <w:r w:rsidRPr="00972257">
        <w:rPr>
          <w:szCs w:val="24"/>
        </w:rPr>
        <w:tab/>
        <w:t xml:space="preserve">An Initial </w:t>
      </w:r>
      <w:r w:rsidR="008A2077">
        <w:rPr>
          <w:szCs w:val="24"/>
        </w:rPr>
        <w:t>Telephonic</w:t>
      </w:r>
      <w:r w:rsidRPr="00972257">
        <w:rPr>
          <w:szCs w:val="24"/>
        </w:rPr>
        <w:t xml:space="preserve"> Hearing in this case is scheduled for Thursday, </w:t>
      </w:r>
      <w:r w:rsidR="008A2077">
        <w:rPr>
          <w:szCs w:val="24"/>
        </w:rPr>
        <w:t>August 8, 2013</w:t>
      </w:r>
      <w:r w:rsidRPr="00972257">
        <w:rPr>
          <w:szCs w:val="24"/>
        </w:rPr>
        <w:t xml:space="preserve">, at 10:00 a.m.  On </w:t>
      </w:r>
      <w:r w:rsidR="008A2077">
        <w:rPr>
          <w:szCs w:val="24"/>
        </w:rPr>
        <w:t>Friday, August 2, 2013</w:t>
      </w:r>
      <w:r w:rsidRPr="00972257">
        <w:rPr>
          <w:szCs w:val="24"/>
        </w:rPr>
        <w:t xml:space="preserve">, I received a copy of a </w:t>
      </w:r>
      <w:r w:rsidR="008A2077">
        <w:rPr>
          <w:szCs w:val="24"/>
        </w:rPr>
        <w:t>letter from Complainant requesting a continuance of the August 8, 2013, hearing.</w:t>
      </w:r>
      <w:r w:rsidR="00B36F42">
        <w:rPr>
          <w:szCs w:val="24"/>
        </w:rPr>
        <w:t xml:space="preserve">  Complainant’s</w:t>
      </w:r>
      <w:r w:rsidR="00B36F42" w:rsidRPr="00972257">
        <w:rPr>
          <w:szCs w:val="24"/>
        </w:rPr>
        <w:t xml:space="preserve"> </w:t>
      </w:r>
      <w:r w:rsidR="00B36F42">
        <w:rPr>
          <w:szCs w:val="24"/>
        </w:rPr>
        <w:t xml:space="preserve">letter </w:t>
      </w:r>
      <w:r w:rsidR="00B36F42" w:rsidRPr="00972257">
        <w:rPr>
          <w:szCs w:val="24"/>
        </w:rPr>
        <w:t xml:space="preserve">indicated that </w:t>
      </w:r>
      <w:r w:rsidR="00B36F42">
        <w:rPr>
          <w:szCs w:val="24"/>
        </w:rPr>
        <w:t xml:space="preserve">discovery was still ongoing and that additional documentation was being requested.  Upon receipt of this letter, I inquired via email as to whether the Respondent’s counsel had any objections, and indicated I was inclined to grant this first request for a continuance.  </w:t>
      </w:r>
      <w:r w:rsidR="00453BFB">
        <w:rPr>
          <w:szCs w:val="24"/>
        </w:rPr>
        <w:t>Respondent’s counsel responded that he would prefer to go forward on August 8, 2013, but accepted my judgment about a need for a continuance.</w:t>
      </w:r>
    </w:p>
    <w:p w:rsidR="00972257" w:rsidRPr="00972257" w:rsidRDefault="008A2077" w:rsidP="00972257">
      <w:pPr>
        <w:autoSpaceDE w:val="0"/>
        <w:autoSpaceDN w:val="0"/>
        <w:spacing w:line="360" w:lineRule="auto"/>
        <w:rPr>
          <w:szCs w:val="24"/>
        </w:rPr>
      </w:pPr>
      <w:r w:rsidRPr="00972257">
        <w:rPr>
          <w:szCs w:val="24"/>
        </w:rPr>
        <w:t xml:space="preserve"> </w:t>
      </w:r>
    </w:p>
    <w:p w:rsidR="00972257" w:rsidRPr="00972257" w:rsidRDefault="00972257" w:rsidP="00B36F42">
      <w:pPr>
        <w:autoSpaceDE w:val="0"/>
        <w:autoSpaceDN w:val="0"/>
        <w:spacing w:line="360" w:lineRule="auto"/>
        <w:rPr>
          <w:szCs w:val="24"/>
        </w:rPr>
      </w:pP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pacing w:val="-3"/>
          <w:szCs w:val="24"/>
        </w:rPr>
        <w:t xml:space="preserve">The standard for granting a continuance, as set forth in 52 Pa. Code §1.15(b), is that good cause must be shown.  I conclude that good cause has been shown to grant the </w:t>
      </w:r>
      <w:r w:rsidR="00B36F42">
        <w:rPr>
          <w:spacing w:val="-3"/>
          <w:szCs w:val="24"/>
        </w:rPr>
        <w:t xml:space="preserve">Complainant one </w:t>
      </w:r>
      <w:r w:rsidRPr="00972257">
        <w:rPr>
          <w:spacing w:val="-3"/>
          <w:szCs w:val="24"/>
        </w:rPr>
        <w:t xml:space="preserve">continuance for purposes of </w:t>
      </w:r>
      <w:r w:rsidR="00453BFB">
        <w:rPr>
          <w:spacing w:val="-3"/>
          <w:szCs w:val="24"/>
        </w:rPr>
        <w:t>conducting further</w:t>
      </w:r>
      <w:r w:rsidR="00530CA7">
        <w:rPr>
          <w:spacing w:val="-3"/>
          <w:szCs w:val="24"/>
        </w:rPr>
        <w:t xml:space="preserve"> discovery.</w:t>
      </w:r>
      <w:r w:rsidRPr="00972257">
        <w:rPr>
          <w:spacing w:val="-3"/>
          <w:szCs w:val="24"/>
        </w:rPr>
        <w:t xml:space="preserve">  However, </w:t>
      </w:r>
      <w:r w:rsidR="00453BFB">
        <w:rPr>
          <w:spacing w:val="-3"/>
          <w:szCs w:val="24"/>
        </w:rPr>
        <w:t>additional</w:t>
      </w:r>
      <w:r w:rsidR="00530CA7">
        <w:rPr>
          <w:spacing w:val="-3"/>
          <w:szCs w:val="24"/>
        </w:rPr>
        <w:t xml:space="preserve"> continuances for this purpose may not be granted to the Complainant, and the parties must be ready to proceed at the next scheduled hearing.</w:t>
      </w:r>
    </w:p>
    <w:p w:rsidR="00972257" w:rsidRPr="00972257" w:rsidRDefault="00972257" w:rsidP="00972257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  <w:szCs w:val="24"/>
        </w:rPr>
      </w:pPr>
    </w:p>
    <w:p w:rsidR="00530CA7" w:rsidRDefault="00530CA7" w:rsidP="00972257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  <w:szCs w:val="24"/>
        </w:rPr>
      </w:pPr>
    </w:p>
    <w:p w:rsidR="00972257" w:rsidRPr="00972257" w:rsidRDefault="00972257" w:rsidP="00972257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  <w:szCs w:val="24"/>
        </w:rPr>
      </w:pPr>
      <w:r w:rsidRPr="00972257">
        <w:rPr>
          <w:spacing w:val="-3"/>
          <w:szCs w:val="24"/>
        </w:rPr>
        <w:t>THEREFORE,</w:t>
      </w:r>
    </w:p>
    <w:p w:rsidR="00972257" w:rsidRPr="00972257" w:rsidRDefault="00972257" w:rsidP="00972257">
      <w:pPr>
        <w:autoSpaceDE w:val="0"/>
        <w:autoSpaceDN w:val="0"/>
        <w:spacing w:line="360" w:lineRule="auto"/>
        <w:rPr>
          <w:spacing w:val="-3"/>
          <w:szCs w:val="24"/>
        </w:rPr>
      </w:pPr>
    </w:p>
    <w:p w:rsidR="00972257" w:rsidRPr="00972257" w:rsidRDefault="00972257" w:rsidP="00972257">
      <w:pPr>
        <w:autoSpaceDE w:val="0"/>
        <w:autoSpaceDN w:val="0"/>
        <w:spacing w:line="360" w:lineRule="auto"/>
        <w:rPr>
          <w:spacing w:val="-3"/>
          <w:szCs w:val="24"/>
        </w:rPr>
      </w:pPr>
      <w:r w:rsidRPr="00972257">
        <w:rPr>
          <w:spacing w:val="-3"/>
          <w:szCs w:val="24"/>
        </w:rPr>
        <w:tab/>
      </w:r>
      <w:r w:rsidRPr="00972257">
        <w:rPr>
          <w:spacing w:val="-3"/>
          <w:szCs w:val="24"/>
        </w:rPr>
        <w:tab/>
        <w:t>IT IS ORDERED:</w:t>
      </w:r>
    </w:p>
    <w:p w:rsidR="00972257" w:rsidRPr="00972257" w:rsidRDefault="00972257" w:rsidP="00972257">
      <w:pPr>
        <w:autoSpaceDE w:val="0"/>
        <w:autoSpaceDN w:val="0"/>
        <w:spacing w:line="360" w:lineRule="auto"/>
        <w:rPr>
          <w:spacing w:val="-3"/>
          <w:szCs w:val="24"/>
        </w:rPr>
      </w:pPr>
    </w:p>
    <w:p w:rsidR="00972257" w:rsidRPr="00972257" w:rsidRDefault="00972257" w:rsidP="00972257">
      <w:pPr>
        <w:autoSpaceDE w:val="0"/>
        <w:autoSpaceDN w:val="0"/>
        <w:spacing w:line="360" w:lineRule="auto"/>
        <w:rPr>
          <w:spacing w:val="-3"/>
          <w:szCs w:val="24"/>
        </w:rPr>
      </w:pPr>
      <w:r w:rsidRPr="00972257">
        <w:rPr>
          <w:spacing w:val="-3"/>
          <w:szCs w:val="24"/>
        </w:rPr>
        <w:lastRenderedPageBreak/>
        <w:tab/>
      </w:r>
      <w:r w:rsidRPr="00972257">
        <w:rPr>
          <w:spacing w:val="-3"/>
          <w:szCs w:val="24"/>
        </w:rPr>
        <w:tab/>
        <w:t>1.</w:t>
      </w:r>
      <w:r w:rsidRPr="00972257">
        <w:rPr>
          <w:spacing w:val="-3"/>
          <w:szCs w:val="24"/>
        </w:rPr>
        <w:tab/>
        <w:t xml:space="preserve">That a continuance of the </w:t>
      </w:r>
      <w:r w:rsidR="00530CA7">
        <w:rPr>
          <w:spacing w:val="-3"/>
          <w:szCs w:val="24"/>
        </w:rPr>
        <w:t>August 8, 2013</w:t>
      </w:r>
      <w:r w:rsidRPr="00972257">
        <w:rPr>
          <w:spacing w:val="-3"/>
          <w:szCs w:val="24"/>
        </w:rPr>
        <w:t xml:space="preserve">, hearing is granted and that the hearing scheduled on that date is cancelled. </w:t>
      </w:r>
    </w:p>
    <w:p w:rsidR="00972257" w:rsidRPr="00972257" w:rsidRDefault="00972257" w:rsidP="00972257">
      <w:pPr>
        <w:autoSpaceDE w:val="0"/>
        <w:autoSpaceDN w:val="0"/>
        <w:spacing w:line="360" w:lineRule="auto"/>
        <w:rPr>
          <w:spacing w:val="-3"/>
          <w:szCs w:val="24"/>
        </w:rPr>
      </w:pPr>
    </w:p>
    <w:p w:rsidR="00972257" w:rsidRPr="00972257" w:rsidRDefault="00972257" w:rsidP="00972257">
      <w:pPr>
        <w:autoSpaceDE w:val="0"/>
        <w:autoSpaceDN w:val="0"/>
        <w:spacing w:line="360" w:lineRule="auto"/>
        <w:rPr>
          <w:spacing w:val="-3"/>
          <w:szCs w:val="24"/>
        </w:rPr>
      </w:pPr>
      <w:r w:rsidRPr="00972257">
        <w:rPr>
          <w:spacing w:val="-3"/>
          <w:szCs w:val="24"/>
        </w:rPr>
        <w:tab/>
      </w:r>
      <w:r w:rsidRPr="00972257">
        <w:rPr>
          <w:spacing w:val="-3"/>
          <w:szCs w:val="24"/>
        </w:rPr>
        <w:tab/>
        <w:t>2.</w:t>
      </w:r>
      <w:r w:rsidRPr="00972257">
        <w:rPr>
          <w:spacing w:val="-3"/>
          <w:szCs w:val="24"/>
        </w:rPr>
        <w:tab/>
        <w:t>That the parties be provided notice of the new day, date, and time of the rescheduled hearing.</w:t>
      </w:r>
    </w:p>
    <w:p w:rsidR="00972257" w:rsidRPr="00972257" w:rsidRDefault="00972257" w:rsidP="00972257">
      <w:pPr>
        <w:autoSpaceDE w:val="0"/>
        <w:autoSpaceDN w:val="0"/>
        <w:spacing w:line="360" w:lineRule="auto"/>
        <w:rPr>
          <w:spacing w:val="-3"/>
          <w:szCs w:val="24"/>
        </w:rPr>
      </w:pPr>
    </w:p>
    <w:p w:rsidR="00972257" w:rsidRPr="00972257" w:rsidRDefault="00972257" w:rsidP="00972257">
      <w:pPr>
        <w:autoSpaceDE w:val="0"/>
        <w:autoSpaceDN w:val="0"/>
        <w:spacing w:line="360" w:lineRule="auto"/>
        <w:rPr>
          <w:szCs w:val="24"/>
        </w:rPr>
      </w:pPr>
      <w:r w:rsidRPr="00972257">
        <w:rPr>
          <w:spacing w:val="-3"/>
          <w:szCs w:val="24"/>
        </w:rPr>
        <w:tab/>
      </w:r>
      <w:r w:rsidRPr="00972257">
        <w:rPr>
          <w:spacing w:val="-3"/>
          <w:szCs w:val="24"/>
        </w:rPr>
        <w:tab/>
      </w:r>
    </w:p>
    <w:p w:rsidR="00972257" w:rsidRPr="00972257" w:rsidRDefault="00972257" w:rsidP="00972257">
      <w:pPr>
        <w:autoSpaceDE w:val="0"/>
        <w:autoSpaceDN w:val="0"/>
        <w:rPr>
          <w:szCs w:val="24"/>
        </w:rPr>
      </w:pPr>
      <w:r w:rsidRPr="00972257">
        <w:rPr>
          <w:szCs w:val="24"/>
        </w:rPr>
        <w:t>Date:</w:t>
      </w:r>
      <w:r w:rsidRPr="00972257">
        <w:rPr>
          <w:szCs w:val="24"/>
        </w:rPr>
        <w:tab/>
      </w:r>
      <w:r w:rsidR="00530CA7" w:rsidRPr="00530CA7">
        <w:rPr>
          <w:szCs w:val="24"/>
          <w:u w:val="single"/>
        </w:rPr>
        <w:t>August 2</w:t>
      </w:r>
      <w:r w:rsidRPr="00972257">
        <w:rPr>
          <w:szCs w:val="24"/>
          <w:u w:val="single"/>
        </w:rPr>
        <w:t>, 2013</w:t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  <w:t>_____________________________</w:t>
      </w:r>
    </w:p>
    <w:p w:rsidR="00972257" w:rsidRPr="00972257" w:rsidRDefault="00972257" w:rsidP="00972257">
      <w:pPr>
        <w:tabs>
          <w:tab w:val="left" w:pos="-720"/>
        </w:tabs>
        <w:suppressAutoHyphens/>
        <w:autoSpaceDE w:val="0"/>
        <w:autoSpaceDN w:val="0"/>
        <w:jc w:val="both"/>
        <w:rPr>
          <w:szCs w:val="24"/>
        </w:rPr>
      </w:pP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  <w:t>Kandace F. Melillo</w:t>
      </w:r>
    </w:p>
    <w:p w:rsidR="00972257" w:rsidRPr="00972257" w:rsidRDefault="00972257" w:rsidP="00972257">
      <w:pPr>
        <w:tabs>
          <w:tab w:val="left" w:pos="-720"/>
        </w:tabs>
        <w:suppressAutoHyphens/>
        <w:autoSpaceDE w:val="0"/>
        <w:autoSpaceDN w:val="0"/>
        <w:jc w:val="both"/>
        <w:rPr>
          <w:szCs w:val="24"/>
        </w:rPr>
      </w:pP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  <w:t>Administrative Law Judge</w:t>
      </w:r>
    </w:p>
    <w:p w:rsidR="00972257" w:rsidRPr="00972257" w:rsidRDefault="00972257" w:rsidP="00972257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spacing w:val="-3"/>
          <w:szCs w:val="24"/>
        </w:rPr>
      </w:pPr>
    </w:p>
    <w:p w:rsidR="00A419FC" w:rsidRDefault="00A419FC" w:rsidP="009B0ACF">
      <w:pPr>
        <w:tabs>
          <w:tab w:val="center" w:pos="4680"/>
        </w:tabs>
        <w:suppressAutoHyphens/>
        <w:jc w:val="center"/>
        <w:rPr>
          <w:spacing w:val="-3"/>
        </w:rPr>
      </w:pPr>
    </w:p>
    <w:p w:rsidR="00F94214" w:rsidRDefault="00F94214">
      <w:pPr>
        <w:tabs>
          <w:tab w:val="left" w:pos="-720"/>
        </w:tabs>
        <w:suppressAutoHyphens/>
        <w:jc w:val="both"/>
        <w:rPr>
          <w:spacing w:val="-3"/>
        </w:rPr>
        <w:sectPr w:rsidR="00F94214">
          <w:footerReference w:type="even" r:id="rId8"/>
          <w:footerReference w:type="default" r:id="rId9"/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  <w:titlePg/>
        </w:sectPr>
      </w:pPr>
    </w:p>
    <w:p w:rsidR="00F94214" w:rsidRPr="00F94214" w:rsidRDefault="00F94214" w:rsidP="00F94214">
      <w:pPr>
        <w:contextualSpacing/>
        <w:rPr>
          <w:rFonts w:ascii="Microsoft Sans Serif" w:hAnsi="Calibri"/>
          <w:b/>
          <w:szCs w:val="22"/>
          <w:u w:val="single"/>
        </w:rPr>
      </w:pPr>
      <w:r w:rsidRPr="00F94214">
        <w:rPr>
          <w:rFonts w:ascii="Microsoft Sans Serif" w:hAnsi="Calibri"/>
          <w:b/>
          <w:szCs w:val="22"/>
          <w:u w:val="single"/>
        </w:rPr>
        <w:lastRenderedPageBreak/>
        <w:t>C-2013-2358084 - TYRONE GIBBS v. GLOBAL TEL LINK CORPORATION</w:t>
      </w:r>
      <w:r w:rsidRPr="00F94214">
        <w:rPr>
          <w:rFonts w:ascii="Microsoft Sans Serif" w:hAnsi="Calibri"/>
          <w:b/>
          <w:szCs w:val="22"/>
          <w:u w:val="single"/>
        </w:rPr>
        <w:cr/>
        <w:t>Revised (</w:t>
      </w:r>
      <w:r w:rsidRPr="00F94214">
        <w:rPr>
          <w:rFonts w:ascii="Microsoft Sans Serif" w:hAnsi="Calibri"/>
          <w:b/>
          <w:i/>
          <w:szCs w:val="22"/>
          <w:u w:val="single"/>
        </w:rPr>
        <w:t>6/24/13</w:t>
      </w:r>
      <w:r w:rsidRPr="00F94214">
        <w:rPr>
          <w:rFonts w:ascii="Microsoft Sans Serif" w:hAnsi="Calibri"/>
          <w:b/>
          <w:szCs w:val="22"/>
          <w:u w:val="single"/>
        </w:rPr>
        <w:t>)</w:t>
      </w:r>
    </w:p>
    <w:p w:rsidR="00F94214" w:rsidRPr="00F94214" w:rsidRDefault="00F94214" w:rsidP="00F94214">
      <w:pPr>
        <w:contextualSpacing/>
        <w:rPr>
          <w:rFonts w:ascii="Microsoft Sans Serif" w:hAnsi="Calibri"/>
          <w:b/>
          <w:szCs w:val="22"/>
          <w:u w:val="single"/>
        </w:rPr>
      </w:pPr>
    </w:p>
    <w:p w:rsidR="00F94214" w:rsidRPr="00F94214" w:rsidRDefault="00F94214" w:rsidP="00F94214">
      <w:pPr>
        <w:contextualSpacing/>
        <w:rPr>
          <w:rFonts w:ascii="Microsoft Sans Serif" w:hAnsi="Calibri"/>
          <w:szCs w:val="22"/>
        </w:rPr>
      </w:pPr>
      <w:r w:rsidRPr="00F94214">
        <w:rPr>
          <w:rFonts w:ascii="Microsoft Sans Serif" w:hAnsi="Calibri"/>
          <w:szCs w:val="22"/>
        </w:rPr>
        <w:t xml:space="preserve">TYRONE GIBBS FS7093  </w:t>
      </w:r>
    </w:p>
    <w:p w:rsidR="00F94214" w:rsidRPr="00F94214" w:rsidRDefault="00F94214" w:rsidP="00F94214">
      <w:pPr>
        <w:contextualSpacing/>
        <w:rPr>
          <w:rFonts w:ascii="Microsoft Sans Serif" w:hAnsi="Calibri"/>
          <w:b/>
          <w:szCs w:val="22"/>
          <w:u w:val="single"/>
        </w:rPr>
      </w:pPr>
      <w:r w:rsidRPr="00F94214">
        <w:rPr>
          <w:rFonts w:ascii="Microsoft Sans Serif" w:hAnsi="Calibri"/>
          <w:szCs w:val="22"/>
        </w:rPr>
        <w:t>PO BOX 244</w:t>
      </w:r>
      <w:r w:rsidRPr="00F94214">
        <w:rPr>
          <w:rFonts w:ascii="Microsoft Sans Serif" w:hAnsi="Calibri"/>
          <w:szCs w:val="22"/>
        </w:rPr>
        <w:cr/>
        <w:t>GRATERFORD PA  19426</w:t>
      </w:r>
      <w:r w:rsidRPr="00F94214">
        <w:rPr>
          <w:rFonts w:ascii="Microsoft Sans Serif" w:hAnsi="Calibri"/>
          <w:szCs w:val="22"/>
        </w:rPr>
        <w:cr/>
        <w:t>610.489.4141 EXT. 2791</w:t>
      </w:r>
      <w:r w:rsidRPr="00F94214">
        <w:rPr>
          <w:rFonts w:ascii="Microsoft Sans Serif" w:hAnsi="Calibri"/>
          <w:b/>
          <w:szCs w:val="22"/>
          <w:u w:val="single"/>
        </w:rPr>
        <w:cr/>
      </w:r>
    </w:p>
    <w:p w:rsidR="00F94214" w:rsidRPr="00F94214" w:rsidRDefault="00F94214" w:rsidP="00F94214">
      <w:pPr>
        <w:contextualSpacing/>
        <w:rPr>
          <w:rFonts w:ascii="Microsoft Sans Serif" w:hAnsi="Calibri"/>
          <w:szCs w:val="22"/>
        </w:rPr>
      </w:pPr>
      <w:r w:rsidRPr="00F94214">
        <w:rPr>
          <w:rFonts w:ascii="Microsoft Sans Serif" w:hAnsi="Calibri"/>
          <w:szCs w:val="22"/>
        </w:rPr>
        <w:t>EDWARD G. LANZA ESQUIRE</w:t>
      </w:r>
      <w:r w:rsidRPr="00F94214">
        <w:rPr>
          <w:rFonts w:ascii="Microsoft Sans Serif" w:hAnsi="Calibri"/>
          <w:szCs w:val="22"/>
        </w:rPr>
        <w:cr/>
        <w:t>ECKERT SEAMANS CHERIN &amp; MELLOT LLC</w:t>
      </w:r>
      <w:r w:rsidRPr="00F94214">
        <w:rPr>
          <w:rFonts w:ascii="Microsoft Sans Serif" w:hAnsi="Calibri"/>
          <w:szCs w:val="22"/>
        </w:rPr>
        <w:cr/>
        <w:t xml:space="preserve">213 MARKET STREET 8TH </w:t>
      </w:r>
      <w:proofErr w:type="gramStart"/>
      <w:r w:rsidRPr="00F94214">
        <w:rPr>
          <w:rFonts w:ascii="Microsoft Sans Serif" w:hAnsi="Calibri"/>
          <w:szCs w:val="22"/>
        </w:rPr>
        <w:t>FLOOR</w:t>
      </w:r>
      <w:proofErr w:type="gramEnd"/>
      <w:r w:rsidRPr="00F94214">
        <w:rPr>
          <w:rFonts w:ascii="Microsoft Sans Serif" w:hAnsi="Calibri"/>
          <w:szCs w:val="22"/>
        </w:rPr>
        <w:cr/>
        <w:t>HARRISBURG PA  17101-1248</w:t>
      </w:r>
      <w:r w:rsidRPr="00F94214">
        <w:rPr>
          <w:rFonts w:ascii="Microsoft Sans Serif" w:hAnsi="Calibri"/>
          <w:szCs w:val="22"/>
        </w:rPr>
        <w:cr/>
        <w:t>717.237.7174</w:t>
      </w:r>
    </w:p>
    <w:p w:rsidR="00F94214" w:rsidRPr="00F94214" w:rsidRDefault="00F94214" w:rsidP="00F94214">
      <w:pPr>
        <w:contextualSpacing/>
        <w:rPr>
          <w:rFonts w:ascii="Microsoft Sans Serif" w:hAnsi="Calibri"/>
          <w:b/>
          <w:i/>
          <w:szCs w:val="22"/>
          <w:u w:val="single"/>
        </w:rPr>
      </w:pPr>
      <w:r w:rsidRPr="00F94214">
        <w:rPr>
          <w:rFonts w:ascii="Microsoft Sans Serif" w:hAnsi="Calibri"/>
          <w:b/>
          <w:i/>
          <w:szCs w:val="22"/>
          <w:u w:val="single"/>
        </w:rPr>
        <w:t>E-Serve</w:t>
      </w:r>
    </w:p>
    <w:p w:rsidR="00F94214" w:rsidRPr="00F94214" w:rsidRDefault="00F94214" w:rsidP="00F94214">
      <w:pPr>
        <w:contextualSpacing/>
        <w:rPr>
          <w:rFonts w:ascii="Microsoft Sans Serif" w:hAnsi="Calibri"/>
          <w:szCs w:val="22"/>
        </w:rPr>
      </w:pPr>
    </w:p>
    <w:p w:rsidR="00F94214" w:rsidRPr="00F94214" w:rsidRDefault="00F94214" w:rsidP="00F94214">
      <w:pPr>
        <w:contextualSpacing/>
        <w:rPr>
          <w:rFonts w:ascii="Microsoft Sans Serif" w:hAnsi="Calibri"/>
          <w:szCs w:val="22"/>
        </w:rPr>
      </w:pPr>
      <w:bookmarkStart w:id="0" w:name="_GoBack"/>
      <w:r w:rsidRPr="00F94214">
        <w:rPr>
          <w:rFonts w:ascii="Microsoft Sans Serif" w:hAnsi="Calibri"/>
          <w:szCs w:val="22"/>
        </w:rPr>
        <w:t>KEVIN B. LEFTON ESQUIRE</w:t>
      </w:r>
    </w:p>
    <w:p w:rsidR="00F94214" w:rsidRPr="00F94214" w:rsidRDefault="00F94214" w:rsidP="00F94214">
      <w:pPr>
        <w:contextualSpacing/>
        <w:rPr>
          <w:rFonts w:ascii="Microsoft Sans Serif" w:hAnsi="Calibri"/>
          <w:szCs w:val="22"/>
        </w:rPr>
      </w:pPr>
      <w:r w:rsidRPr="00F94214">
        <w:rPr>
          <w:rFonts w:ascii="Microsoft Sans Serif" w:hAnsi="Calibri"/>
          <w:szCs w:val="22"/>
        </w:rPr>
        <w:t>SENIOR COUNSEL</w:t>
      </w:r>
    </w:p>
    <w:p w:rsidR="00F94214" w:rsidRPr="00F94214" w:rsidRDefault="00F94214" w:rsidP="00F94214">
      <w:pPr>
        <w:contextualSpacing/>
        <w:rPr>
          <w:rFonts w:ascii="Microsoft Sans Serif" w:hAnsi="Calibri"/>
          <w:szCs w:val="22"/>
        </w:rPr>
      </w:pPr>
      <w:r w:rsidRPr="00F94214">
        <w:rPr>
          <w:rFonts w:ascii="Microsoft Sans Serif" w:hAnsi="Calibri"/>
          <w:szCs w:val="22"/>
        </w:rPr>
        <w:t>GLOBAL TEL*LINK CORPORATION</w:t>
      </w:r>
    </w:p>
    <w:p w:rsidR="00F94214" w:rsidRPr="00F94214" w:rsidRDefault="00F94214" w:rsidP="00F94214">
      <w:pPr>
        <w:contextualSpacing/>
        <w:rPr>
          <w:rFonts w:ascii="Microsoft Sans Serif" w:hAnsi="Calibri"/>
          <w:szCs w:val="22"/>
        </w:rPr>
      </w:pPr>
      <w:r w:rsidRPr="00F94214">
        <w:rPr>
          <w:rFonts w:ascii="Microsoft Sans Serif" w:hAnsi="Calibri"/>
          <w:szCs w:val="22"/>
        </w:rPr>
        <w:t>12021 SUNSET HILLS ROAD</w:t>
      </w:r>
    </w:p>
    <w:p w:rsidR="00F94214" w:rsidRPr="00F94214" w:rsidRDefault="00F94214" w:rsidP="00F94214">
      <w:pPr>
        <w:contextualSpacing/>
        <w:rPr>
          <w:rFonts w:ascii="Microsoft Sans Serif" w:hAnsi="Calibri"/>
          <w:szCs w:val="22"/>
        </w:rPr>
      </w:pPr>
      <w:r w:rsidRPr="00F94214">
        <w:rPr>
          <w:rFonts w:ascii="Microsoft Sans Serif" w:hAnsi="Calibri"/>
          <w:szCs w:val="22"/>
        </w:rPr>
        <w:t>SUITE 100</w:t>
      </w:r>
    </w:p>
    <w:p w:rsidR="00F94214" w:rsidRPr="00F94214" w:rsidRDefault="00F94214" w:rsidP="00F94214">
      <w:pPr>
        <w:contextualSpacing/>
        <w:rPr>
          <w:rFonts w:ascii="Microsoft Sans Serif" w:hAnsi="Calibri"/>
          <w:szCs w:val="22"/>
        </w:rPr>
      </w:pPr>
      <w:r w:rsidRPr="00F94214">
        <w:rPr>
          <w:rFonts w:ascii="Microsoft Sans Serif" w:hAnsi="Calibri"/>
          <w:szCs w:val="22"/>
        </w:rPr>
        <w:t>RESTON VA  20190</w:t>
      </w:r>
      <w:bookmarkEnd w:id="0"/>
      <w:r w:rsidRPr="00F94214">
        <w:rPr>
          <w:rFonts w:ascii="Microsoft Sans Serif" w:hAnsi="Calibri"/>
          <w:szCs w:val="22"/>
        </w:rPr>
        <w:cr/>
      </w:r>
      <w:r w:rsidRPr="00F94214">
        <w:rPr>
          <w:rFonts w:ascii="Microsoft Sans Serif" w:hAnsi="Calibri"/>
          <w:szCs w:val="22"/>
        </w:rPr>
        <w:cr/>
        <w:t xml:space="preserve"> </w:t>
      </w:r>
    </w:p>
    <w:p w:rsidR="00F94214" w:rsidRPr="00F94214" w:rsidRDefault="00F94214" w:rsidP="00F94214">
      <w:pPr>
        <w:contextualSpacing/>
        <w:rPr>
          <w:rFonts w:ascii="Calibri" w:hAnsi="Calibri"/>
          <w:sz w:val="22"/>
          <w:szCs w:val="22"/>
        </w:rPr>
      </w:pPr>
      <w:r w:rsidRPr="00F94214">
        <w:rPr>
          <w:rFonts w:ascii="Microsoft Sans Serif" w:hAnsi="Calibri"/>
          <w:szCs w:val="22"/>
        </w:rPr>
        <w:cr/>
      </w:r>
    </w:p>
    <w:p w:rsidR="00F94214" w:rsidRPr="00F94214" w:rsidRDefault="00F94214" w:rsidP="00F94214">
      <w:pPr>
        <w:contextualSpacing/>
        <w:rPr>
          <w:rFonts w:ascii="Calibri" w:hAnsi="Calibri"/>
          <w:sz w:val="22"/>
          <w:szCs w:val="22"/>
        </w:rPr>
      </w:pP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</w:p>
    <w:sectPr w:rsidR="004815A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25D" w:rsidRDefault="00CD125D">
      <w:pPr>
        <w:spacing w:line="20" w:lineRule="exact"/>
      </w:pPr>
    </w:p>
  </w:endnote>
  <w:endnote w:type="continuationSeparator" w:id="0">
    <w:p w:rsidR="00CD125D" w:rsidRDefault="00CD125D">
      <w:r>
        <w:t xml:space="preserve"> </w:t>
      </w:r>
    </w:p>
  </w:endnote>
  <w:endnote w:type="continuationNotice" w:id="1">
    <w:p w:rsidR="00CD125D" w:rsidRDefault="00CD125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62F" w:rsidRDefault="003F36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362F" w:rsidRDefault="003F36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62F" w:rsidRDefault="003F36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2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F362F" w:rsidRDefault="003F362F">
    <w:pPr>
      <w:tabs>
        <w:tab w:val="left" w:pos="-720"/>
      </w:tabs>
      <w:suppressAutoHyphens/>
      <w:jc w:val="center"/>
    </w:pPr>
  </w:p>
  <w:p w:rsidR="003F362F" w:rsidRDefault="00CD125D">
    <w:pPr>
      <w:tabs>
        <w:tab w:val="left" w:pos="-720"/>
      </w:tabs>
      <w:suppressAutoHyphens/>
    </w:pPr>
    <w:r>
      <w:rPr>
        <w:noProof/>
      </w:rPr>
      <w:pict>
        <v:rect id="_x0000_s2049" style="position:absolute;margin-left:73.5pt;margin-top:12pt;width:465pt;height:12pt;z-index:-2;mso-position-horizontal-relative:margin" o:allowincell="f" filled="f" stroked="f" strokeweight="0">
          <v:textbox inset="0,0,0,0">
            <w:txbxContent>
              <w:p w:rsidR="003F362F" w:rsidRDefault="003F362F">
                <w:pPr>
                  <w:tabs>
                    <w:tab w:val="center" w:pos="4650"/>
                  </w:tabs>
                  <w:suppressAutoHyphens/>
                  <w:jc w:val="both"/>
                </w:pPr>
                <w:r>
                  <w:tab/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14" w:rsidRDefault="00F94214">
    <w:pPr>
      <w:tabs>
        <w:tab w:val="left" w:pos="-720"/>
      </w:tabs>
      <w:suppressAutoHyphens/>
      <w:jc w:val="center"/>
    </w:pPr>
  </w:p>
  <w:p w:rsidR="00F94214" w:rsidRDefault="00F94214">
    <w:pPr>
      <w:tabs>
        <w:tab w:val="left" w:pos="-720"/>
      </w:tabs>
      <w:suppressAutoHyphens/>
    </w:pPr>
    <w:r>
      <w:rPr>
        <w:noProof/>
      </w:rPr>
      <w:pict>
        <v:rect id="_x0000_s2051" style="position:absolute;margin-left:73.5pt;margin-top:12pt;width:465pt;height:12pt;z-index:-1;mso-position-horizontal-relative:margin" o:allowincell="f" filled="f" stroked="f" strokeweight="0">
          <v:textbox inset="0,0,0,0">
            <w:txbxContent>
              <w:p w:rsidR="00F94214" w:rsidRDefault="00F94214">
                <w:pPr>
                  <w:tabs>
                    <w:tab w:val="center" w:pos="4650"/>
                  </w:tabs>
                  <w:suppressAutoHyphens/>
                  <w:jc w:val="both"/>
                </w:pPr>
                <w:r>
                  <w:tab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25D" w:rsidRDefault="00CD125D">
      <w:r>
        <w:separator/>
      </w:r>
    </w:p>
  </w:footnote>
  <w:footnote w:type="continuationSeparator" w:id="0">
    <w:p w:rsidR="00CD125D" w:rsidRDefault="00CD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5A0"/>
    <w:rsid w:val="00102481"/>
    <w:rsid w:val="00180E60"/>
    <w:rsid w:val="001F3664"/>
    <w:rsid w:val="002233DA"/>
    <w:rsid w:val="003E1F84"/>
    <w:rsid w:val="003F362F"/>
    <w:rsid w:val="00453BFB"/>
    <w:rsid w:val="004815A0"/>
    <w:rsid w:val="004D5C2E"/>
    <w:rsid w:val="00513376"/>
    <w:rsid w:val="00530CA7"/>
    <w:rsid w:val="0057429E"/>
    <w:rsid w:val="005D7EFC"/>
    <w:rsid w:val="005E1467"/>
    <w:rsid w:val="005E380F"/>
    <w:rsid w:val="0065065A"/>
    <w:rsid w:val="007518DC"/>
    <w:rsid w:val="008A2077"/>
    <w:rsid w:val="009256A0"/>
    <w:rsid w:val="00972257"/>
    <w:rsid w:val="009849F4"/>
    <w:rsid w:val="009B0ACF"/>
    <w:rsid w:val="00A419FC"/>
    <w:rsid w:val="00AC75D1"/>
    <w:rsid w:val="00B31E82"/>
    <w:rsid w:val="00B36F42"/>
    <w:rsid w:val="00C73D86"/>
    <w:rsid w:val="00CD125D"/>
    <w:rsid w:val="00D5786B"/>
    <w:rsid w:val="00DD4690"/>
    <w:rsid w:val="00F9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ParaTab1">
    <w:name w:val="ParaTab 1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 Generic telephonic all utilities</vt:lpstr>
    </vt:vector>
  </TitlesOfParts>
  <Company>PA PUC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 Generic telephonic all utilities</dc:title>
  <dc:creator>COCHERES</dc:creator>
  <cp:lastModifiedBy>Leonard, Allyson</cp:lastModifiedBy>
  <cp:revision>3</cp:revision>
  <cp:lastPrinted>2013-08-05T12:20:00Z</cp:lastPrinted>
  <dcterms:created xsi:type="dcterms:W3CDTF">2013-08-05T12:18:00Z</dcterms:created>
  <dcterms:modified xsi:type="dcterms:W3CDTF">2013-08-05T12:26:00Z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683919327</vt:i4>
  </property>
  <property fmtid="{D5CDD505-2E9C-101B-9397-08002B2CF9AE}" pid="3" name="_EmailSubject">
    <vt:lpwstr>#579602 v1 - Haupt v. VSSi.PO.doc</vt:lpwstr>
  </property>
  <property fmtid="{D5CDD505-2E9C-101B-9397-08002B2CF9AE}" pid="4" name="_AuthorEmail">
    <vt:lpwstr>lcocheres@state.pa.us</vt:lpwstr>
  </property>
  <property fmtid="{D5CDD505-2E9C-101B-9397-08002B2CF9AE}" pid="5" name="_AuthorEmailDisplayName">
    <vt:lpwstr>Cocheres, Louis</vt:lpwstr>
  </property>
  <property fmtid="{D5CDD505-2E9C-101B-9397-08002B2CF9AE}" pid="6" name="_ReviewingToolsShownOnce">
    <vt:lpwstr/>
  </property>
</Properties>
</file>