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FC" w:rsidRDefault="000712FC" w:rsidP="000712FC">
      <w:pPr>
        <w:jc w:val="center"/>
        <w:rPr>
          <w:b/>
        </w:rPr>
      </w:pPr>
      <w:r>
        <w:rPr>
          <w:b/>
        </w:rPr>
        <w:t>BEFORE THE</w:t>
      </w:r>
    </w:p>
    <w:p w:rsidR="000712FC" w:rsidRDefault="000712FC" w:rsidP="000712FC">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0712FC" w:rsidRDefault="000712FC" w:rsidP="000712FC"/>
    <w:p w:rsidR="000712FC" w:rsidRDefault="000712FC" w:rsidP="000712FC"/>
    <w:p w:rsidR="000712FC" w:rsidRDefault="000712FC" w:rsidP="000712FC"/>
    <w:p w:rsidR="000712FC" w:rsidRDefault="000712FC" w:rsidP="000712FC">
      <w:r>
        <w:t xml:space="preserve">Stephen J. Noll </w:t>
      </w:r>
      <w:r>
        <w:tab/>
      </w:r>
      <w:r>
        <w:tab/>
      </w:r>
      <w:r>
        <w:tab/>
      </w:r>
      <w:r>
        <w:tab/>
      </w:r>
      <w:r>
        <w:tab/>
        <w:t>:</w:t>
      </w:r>
      <w:r>
        <w:tab/>
      </w:r>
    </w:p>
    <w:p w:rsidR="000712FC" w:rsidRDefault="000712FC" w:rsidP="000712FC">
      <w:r>
        <w:tab/>
      </w:r>
      <w:r>
        <w:tab/>
      </w:r>
      <w:r>
        <w:tab/>
      </w:r>
      <w:r>
        <w:tab/>
      </w:r>
      <w:r>
        <w:tab/>
      </w:r>
      <w:r>
        <w:tab/>
      </w:r>
      <w:r>
        <w:tab/>
        <w:t>:</w:t>
      </w:r>
    </w:p>
    <w:p w:rsidR="000712FC" w:rsidRDefault="000712FC" w:rsidP="000712FC">
      <w:pPr>
        <w:numPr>
          <w:ilvl w:val="0"/>
          <w:numId w:val="4"/>
        </w:numPr>
        <w:ind w:left="5040" w:hanging="4320"/>
      </w:pPr>
      <w:r>
        <w:t>:</w:t>
      </w:r>
      <w:r>
        <w:tab/>
      </w:r>
      <w:r>
        <w:tab/>
        <w:t>C-2013-2353658</w:t>
      </w:r>
    </w:p>
    <w:p w:rsidR="000712FC" w:rsidRDefault="000712FC" w:rsidP="000712FC">
      <w:pPr>
        <w:ind w:left="5040"/>
      </w:pPr>
      <w:r>
        <w:t>:</w:t>
      </w:r>
    </w:p>
    <w:p w:rsidR="002F56A9" w:rsidRDefault="000712FC" w:rsidP="000712FC">
      <w:proofErr w:type="gramStart"/>
      <w:r>
        <w:t>Columbia Gas of Pennsylvania, Inc.</w:t>
      </w:r>
      <w:proofErr w:type="gramEnd"/>
      <w:r>
        <w:t xml:space="preserve"> </w:t>
      </w:r>
      <w:r>
        <w:tab/>
        <w:t xml:space="preserve"> </w:t>
      </w:r>
      <w:r>
        <w:tab/>
      </w:r>
      <w:r>
        <w:tab/>
        <w:t>:</w:t>
      </w:r>
    </w:p>
    <w:p w:rsidR="002D6E1A" w:rsidRDefault="002D6E1A" w:rsidP="002F56A9"/>
    <w:p w:rsidR="001E2E86" w:rsidRDefault="001E2E86" w:rsidP="00716AAB"/>
    <w:p w:rsidR="00716AAB" w:rsidRDefault="00716AAB" w:rsidP="00716AAB"/>
    <w:p w:rsidR="002D6E1A" w:rsidRDefault="002D6E1A" w:rsidP="002D6E1A">
      <w:pPr>
        <w:tabs>
          <w:tab w:val="center" w:pos="4680"/>
        </w:tabs>
        <w:suppressAutoHyphens/>
        <w:jc w:val="center"/>
        <w:rPr>
          <w:b/>
          <w:bCs/>
          <w:spacing w:val="-3"/>
          <w:u w:val="single"/>
        </w:rPr>
      </w:pPr>
      <w:r w:rsidRPr="00403F68">
        <w:rPr>
          <w:b/>
          <w:bCs/>
          <w:spacing w:val="-3"/>
          <w:u w:val="single"/>
        </w:rPr>
        <w:t>IN</w:t>
      </w:r>
      <w:r>
        <w:rPr>
          <w:b/>
          <w:bCs/>
          <w:spacing w:val="-3"/>
          <w:u w:val="single"/>
        </w:rPr>
        <w:t>ITIAL DECISION</w:t>
      </w:r>
    </w:p>
    <w:p w:rsidR="002D6E1A" w:rsidRDefault="002D6E1A" w:rsidP="002D6E1A">
      <w:pPr>
        <w:tabs>
          <w:tab w:val="center" w:pos="4680"/>
        </w:tabs>
        <w:suppressAutoHyphens/>
        <w:jc w:val="center"/>
        <w:rPr>
          <w:bCs/>
          <w:spacing w:val="-3"/>
        </w:rPr>
      </w:pPr>
    </w:p>
    <w:p w:rsidR="002D6E1A" w:rsidRDefault="002D6E1A" w:rsidP="002D6E1A">
      <w:pPr>
        <w:tabs>
          <w:tab w:val="center" w:pos="4680"/>
        </w:tabs>
        <w:suppressAutoHyphens/>
        <w:jc w:val="center"/>
        <w:rPr>
          <w:bCs/>
          <w:spacing w:val="-3"/>
        </w:rPr>
      </w:pPr>
    </w:p>
    <w:p w:rsidR="002D6E1A" w:rsidRDefault="002D6E1A" w:rsidP="002D6E1A">
      <w:pPr>
        <w:tabs>
          <w:tab w:val="center" w:pos="4680"/>
        </w:tabs>
        <w:suppressAutoHyphens/>
        <w:jc w:val="center"/>
        <w:rPr>
          <w:bCs/>
          <w:spacing w:val="-3"/>
        </w:rPr>
      </w:pPr>
      <w:r>
        <w:rPr>
          <w:bCs/>
          <w:spacing w:val="-3"/>
        </w:rPr>
        <w:t>Before</w:t>
      </w:r>
    </w:p>
    <w:p w:rsidR="002D6E1A" w:rsidRDefault="002D6E1A" w:rsidP="002D6E1A">
      <w:pPr>
        <w:tabs>
          <w:tab w:val="center" w:pos="4680"/>
        </w:tabs>
        <w:suppressAutoHyphens/>
        <w:jc w:val="center"/>
        <w:rPr>
          <w:bCs/>
          <w:spacing w:val="-3"/>
        </w:rPr>
      </w:pPr>
      <w:r>
        <w:rPr>
          <w:bCs/>
          <w:spacing w:val="-3"/>
        </w:rPr>
        <w:t>Mark A. Hoyer</w:t>
      </w:r>
    </w:p>
    <w:p w:rsidR="002D6E1A" w:rsidRDefault="002D6E1A" w:rsidP="002D6E1A">
      <w:pPr>
        <w:tabs>
          <w:tab w:val="center" w:pos="4680"/>
        </w:tabs>
        <w:suppressAutoHyphens/>
        <w:jc w:val="center"/>
        <w:rPr>
          <w:bCs/>
          <w:spacing w:val="-3"/>
        </w:rPr>
      </w:pPr>
      <w:r>
        <w:rPr>
          <w:bCs/>
          <w:spacing w:val="-3"/>
        </w:rPr>
        <w:t>Administrative Law Judge</w:t>
      </w:r>
    </w:p>
    <w:p w:rsidR="002D6E1A" w:rsidRDefault="002D6E1A" w:rsidP="002D6E1A">
      <w:pPr>
        <w:tabs>
          <w:tab w:val="center" w:pos="4680"/>
        </w:tabs>
        <w:suppressAutoHyphens/>
        <w:jc w:val="center"/>
        <w:rPr>
          <w:bCs/>
          <w:spacing w:val="-3"/>
        </w:rPr>
      </w:pPr>
    </w:p>
    <w:p w:rsidR="006E2B37" w:rsidRDefault="006E2B37" w:rsidP="002D6E1A">
      <w:pPr>
        <w:tabs>
          <w:tab w:val="center" w:pos="4680"/>
        </w:tabs>
        <w:suppressAutoHyphens/>
        <w:jc w:val="center"/>
        <w:rPr>
          <w:bCs/>
          <w:spacing w:val="-3"/>
        </w:rPr>
      </w:pPr>
    </w:p>
    <w:p w:rsidR="00B151EA" w:rsidRDefault="00B151EA" w:rsidP="00B151EA">
      <w:pPr>
        <w:tabs>
          <w:tab w:val="center" w:pos="4680"/>
        </w:tabs>
        <w:suppressAutoHyphens/>
        <w:spacing w:line="360" w:lineRule="auto"/>
        <w:ind w:firstLine="1440"/>
        <w:rPr>
          <w:bCs/>
          <w:spacing w:val="-3"/>
        </w:rPr>
      </w:pPr>
      <w:r>
        <w:rPr>
          <w:bCs/>
          <w:spacing w:val="-3"/>
        </w:rPr>
        <w:t xml:space="preserve">This Initial Decision dismisses the formal complaint (Complaint) of Stephen J. Noll (Complainant) filed with the Pennsylvania Public Utility Commission (Commission) against Columbia Gas of Pennsylvania, Inc. (Columbia, the Company or Respondent) on March 11, 2013, at Docket No. </w:t>
      </w:r>
      <w:proofErr w:type="gramStart"/>
      <w:r>
        <w:rPr>
          <w:bCs/>
          <w:spacing w:val="-3"/>
        </w:rPr>
        <w:t>C-2013-2353658.</w:t>
      </w:r>
      <w:proofErr w:type="gramEnd"/>
      <w:r>
        <w:rPr>
          <w:bCs/>
          <w:spacing w:val="-3"/>
        </w:rPr>
        <w:t xml:space="preserve">  </w:t>
      </w:r>
    </w:p>
    <w:p w:rsidR="002D6E1A" w:rsidRDefault="002D6E1A" w:rsidP="00F172A9">
      <w:pPr>
        <w:tabs>
          <w:tab w:val="center" w:pos="4680"/>
        </w:tabs>
        <w:suppressAutoHyphens/>
        <w:spacing w:line="360" w:lineRule="auto"/>
        <w:jc w:val="center"/>
        <w:rPr>
          <w:bCs/>
          <w:spacing w:val="-3"/>
        </w:rPr>
      </w:pPr>
    </w:p>
    <w:p w:rsidR="002D6E1A" w:rsidRDefault="002D6E1A" w:rsidP="002D6E1A">
      <w:pPr>
        <w:tabs>
          <w:tab w:val="center" w:pos="4680"/>
        </w:tabs>
        <w:suppressAutoHyphens/>
        <w:jc w:val="center"/>
        <w:rPr>
          <w:bCs/>
          <w:spacing w:val="-3"/>
          <w:u w:val="single"/>
        </w:rPr>
      </w:pPr>
      <w:r>
        <w:rPr>
          <w:bCs/>
          <w:spacing w:val="-3"/>
          <w:u w:val="single"/>
        </w:rPr>
        <w:t>HISTORY OF THE PROCEEDINGS</w:t>
      </w:r>
    </w:p>
    <w:p w:rsidR="002D6E1A" w:rsidRDefault="002D6E1A" w:rsidP="002D6E1A">
      <w:pPr>
        <w:tabs>
          <w:tab w:val="center" w:pos="4680"/>
        </w:tabs>
        <w:suppressAutoHyphens/>
        <w:jc w:val="center"/>
        <w:rPr>
          <w:bCs/>
          <w:spacing w:val="-3"/>
          <w:u w:val="single"/>
        </w:rPr>
      </w:pPr>
    </w:p>
    <w:p w:rsidR="002D6E1A" w:rsidRDefault="002D6E1A" w:rsidP="002D6E1A">
      <w:pPr>
        <w:tabs>
          <w:tab w:val="center" w:pos="4680"/>
        </w:tabs>
        <w:suppressAutoHyphens/>
        <w:jc w:val="center"/>
        <w:rPr>
          <w:bCs/>
          <w:spacing w:val="-3"/>
          <w:u w:val="single"/>
        </w:rPr>
      </w:pPr>
    </w:p>
    <w:p w:rsidR="002D6E1A" w:rsidRDefault="002D6E1A" w:rsidP="002D6E1A">
      <w:pPr>
        <w:suppressAutoHyphens/>
        <w:spacing w:line="360" w:lineRule="auto"/>
        <w:rPr>
          <w:bCs/>
          <w:spacing w:val="-3"/>
        </w:rPr>
      </w:pPr>
      <w:r>
        <w:rPr>
          <w:bCs/>
          <w:spacing w:val="-3"/>
        </w:rPr>
        <w:tab/>
      </w:r>
      <w:r>
        <w:rPr>
          <w:bCs/>
          <w:spacing w:val="-3"/>
        </w:rPr>
        <w:tab/>
        <w:t xml:space="preserve">Mr. </w:t>
      </w:r>
      <w:r w:rsidR="00B151EA">
        <w:rPr>
          <w:bCs/>
          <w:spacing w:val="-3"/>
        </w:rPr>
        <w:t xml:space="preserve">Noll </w:t>
      </w:r>
      <w:r>
        <w:rPr>
          <w:bCs/>
          <w:spacing w:val="-3"/>
        </w:rPr>
        <w:t>allege</w:t>
      </w:r>
      <w:r w:rsidR="0005531D">
        <w:rPr>
          <w:bCs/>
          <w:spacing w:val="-3"/>
        </w:rPr>
        <w:t>s</w:t>
      </w:r>
      <w:r>
        <w:rPr>
          <w:bCs/>
          <w:spacing w:val="-3"/>
        </w:rPr>
        <w:t xml:space="preserve"> </w:t>
      </w:r>
      <w:r w:rsidR="00DA27B0">
        <w:rPr>
          <w:bCs/>
          <w:spacing w:val="-3"/>
        </w:rPr>
        <w:t xml:space="preserve">in his Complaint that </w:t>
      </w:r>
      <w:r w:rsidR="0005531D">
        <w:rPr>
          <w:bCs/>
          <w:spacing w:val="-3"/>
        </w:rPr>
        <w:t xml:space="preserve">Columbia is threatening to terminate his gas utility service and </w:t>
      </w:r>
      <w:r w:rsidR="00DA27B0">
        <w:rPr>
          <w:bCs/>
          <w:spacing w:val="-3"/>
        </w:rPr>
        <w:t xml:space="preserve">there are incorrect charges on his bill for </w:t>
      </w:r>
      <w:r w:rsidR="0005531D">
        <w:rPr>
          <w:bCs/>
          <w:spacing w:val="-3"/>
        </w:rPr>
        <w:t xml:space="preserve">service.  </w:t>
      </w:r>
      <w:proofErr w:type="gramStart"/>
      <w:r w:rsidR="0005531D">
        <w:rPr>
          <w:bCs/>
          <w:spacing w:val="-3"/>
        </w:rPr>
        <w:t>Mr. Noll disputes</w:t>
      </w:r>
      <w:r w:rsidR="00DA27B0">
        <w:rPr>
          <w:bCs/>
          <w:spacing w:val="-3"/>
        </w:rPr>
        <w:t xml:space="preserve"> Columbia’s records regarding the dates of payments made by him and also claim</w:t>
      </w:r>
      <w:r w:rsidR="0005531D">
        <w:rPr>
          <w:bCs/>
          <w:spacing w:val="-3"/>
        </w:rPr>
        <w:t>s</w:t>
      </w:r>
      <w:proofErr w:type="gramEnd"/>
      <w:r w:rsidR="00DA27B0">
        <w:rPr>
          <w:bCs/>
          <w:spacing w:val="-3"/>
        </w:rPr>
        <w:t xml:space="preserve"> he never received a “payment arrangement letter” from Columbia.  </w:t>
      </w:r>
      <w:r w:rsidR="00DA27B0">
        <w:rPr>
          <w:bCs/>
          <w:i/>
          <w:spacing w:val="-3"/>
        </w:rPr>
        <w:t>See</w:t>
      </w:r>
      <w:r w:rsidR="00DA27B0">
        <w:rPr>
          <w:bCs/>
          <w:spacing w:val="-3"/>
        </w:rPr>
        <w:t xml:space="preserve"> Formal Complaint Form, p. 3, ¶5.</w:t>
      </w:r>
      <w:r w:rsidR="0048370A">
        <w:rPr>
          <w:rStyle w:val="FootnoteReference"/>
          <w:bCs/>
          <w:spacing w:val="-3"/>
        </w:rPr>
        <w:footnoteReference w:id="1"/>
      </w:r>
      <w:r w:rsidR="00DA27B0">
        <w:rPr>
          <w:bCs/>
          <w:spacing w:val="-3"/>
        </w:rPr>
        <w:t xml:space="preserve">  </w:t>
      </w:r>
      <w:r w:rsidR="0046084D">
        <w:rPr>
          <w:bCs/>
          <w:spacing w:val="-3"/>
        </w:rPr>
        <w:t xml:space="preserve">  </w:t>
      </w:r>
      <w:r>
        <w:rPr>
          <w:bCs/>
          <w:spacing w:val="-3"/>
        </w:rPr>
        <w:t xml:space="preserve"> </w:t>
      </w:r>
    </w:p>
    <w:p w:rsidR="002D6E1A" w:rsidRDefault="002D6E1A" w:rsidP="002D6E1A">
      <w:pPr>
        <w:suppressAutoHyphens/>
        <w:spacing w:line="360" w:lineRule="auto"/>
        <w:rPr>
          <w:bCs/>
          <w:spacing w:val="-3"/>
        </w:rPr>
      </w:pPr>
    </w:p>
    <w:p w:rsidR="002D6E1A" w:rsidRDefault="002D6E1A" w:rsidP="002D6E1A">
      <w:pPr>
        <w:suppressAutoHyphens/>
        <w:spacing w:line="360" w:lineRule="auto"/>
        <w:rPr>
          <w:bCs/>
          <w:spacing w:val="-3"/>
        </w:rPr>
      </w:pPr>
      <w:r>
        <w:rPr>
          <w:bCs/>
          <w:spacing w:val="-3"/>
        </w:rPr>
        <w:tab/>
      </w:r>
      <w:r>
        <w:rPr>
          <w:bCs/>
          <w:spacing w:val="-3"/>
        </w:rPr>
        <w:tab/>
        <w:t xml:space="preserve">On </w:t>
      </w:r>
      <w:r w:rsidR="0005531D">
        <w:rPr>
          <w:bCs/>
          <w:spacing w:val="-3"/>
        </w:rPr>
        <w:t xml:space="preserve">April 9, 2013, Columbia </w:t>
      </w:r>
      <w:r>
        <w:rPr>
          <w:bCs/>
          <w:spacing w:val="-3"/>
        </w:rPr>
        <w:t>filed an Answer</w:t>
      </w:r>
      <w:r w:rsidR="0005531D">
        <w:rPr>
          <w:bCs/>
          <w:spacing w:val="-3"/>
        </w:rPr>
        <w:t>.  Columbia</w:t>
      </w:r>
      <w:r w:rsidR="004F1D40">
        <w:rPr>
          <w:bCs/>
          <w:spacing w:val="-3"/>
        </w:rPr>
        <w:t xml:space="preserve"> </w:t>
      </w:r>
      <w:r w:rsidR="0005531D">
        <w:rPr>
          <w:bCs/>
          <w:spacing w:val="-3"/>
        </w:rPr>
        <w:t>admits Complainant has received a notice of pe</w:t>
      </w:r>
      <w:r w:rsidR="00EB5679">
        <w:rPr>
          <w:bCs/>
          <w:spacing w:val="-3"/>
        </w:rPr>
        <w:t xml:space="preserve">nding termination of service for, according to Columbia, </w:t>
      </w:r>
      <w:r w:rsidR="0005531D">
        <w:rPr>
          <w:bCs/>
          <w:spacing w:val="-3"/>
        </w:rPr>
        <w:t xml:space="preserve">“repeated and persistent failure to pay monthly bills in full and on a timely basis.”  Answer, p. 1, ¶4.  </w:t>
      </w:r>
      <w:r w:rsidR="00245CBE">
        <w:rPr>
          <w:bCs/>
          <w:spacing w:val="-3"/>
        </w:rPr>
        <w:t xml:space="preserve">Columbia </w:t>
      </w:r>
      <w:r w:rsidR="00245CBE">
        <w:rPr>
          <w:bCs/>
          <w:spacing w:val="-3"/>
        </w:rPr>
        <w:lastRenderedPageBreak/>
        <w:t>further admits that on February 22, 201</w:t>
      </w:r>
      <w:r w:rsidR="00B216AF">
        <w:rPr>
          <w:bCs/>
          <w:spacing w:val="-3"/>
        </w:rPr>
        <w:t>2</w:t>
      </w:r>
      <w:r w:rsidR="00245CBE">
        <w:rPr>
          <w:bCs/>
          <w:spacing w:val="-3"/>
        </w:rPr>
        <w:t xml:space="preserve">, Complainant was offered “a budget plus payment plan of $134.00 per month, consisting of the then current $113.00 average monthly bill, plus $21.00 per month to be credited to Complainant’s arrearage.”  Answer, p. 1, ¶5.  </w:t>
      </w:r>
      <w:r w:rsidR="00EB5679">
        <w:rPr>
          <w:bCs/>
          <w:spacing w:val="-3"/>
        </w:rPr>
        <w:t xml:space="preserve">Columbia alleges that “because the average monthly bill is recalculated quarterly and is based on weather conditions, filed rates and personal consumption habits, currently the budget plus payment plan Columbia is offering to Complainant is $166.00 per month, consisting of Complainant’s current $145.00 average monthly bill, plus $21.00 to be credited to Complainant’s arrearage.”  Answer, p. 1, ¶5.  </w:t>
      </w:r>
      <w:r w:rsidR="0005531D">
        <w:rPr>
          <w:bCs/>
          <w:spacing w:val="-3"/>
        </w:rPr>
        <w:t xml:space="preserve">Columbia denies there are incorrect charges on Complainant’s bill.  </w:t>
      </w:r>
      <w:r w:rsidR="00EB5679">
        <w:rPr>
          <w:bCs/>
          <w:spacing w:val="-3"/>
        </w:rPr>
        <w:t xml:space="preserve">Columbia requests permission to proceed with termination of service to Complainant.  </w:t>
      </w:r>
      <w:r w:rsidR="004F1D40">
        <w:rPr>
          <w:bCs/>
          <w:spacing w:val="-3"/>
        </w:rPr>
        <w:t xml:space="preserve">  </w:t>
      </w:r>
    </w:p>
    <w:p w:rsidR="002D6E1A" w:rsidRDefault="002D6E1A" w:rsidP="002D6E1A">
      <w:pPr>
        <w:suppressAutoHyphens/>
        <w:spacing w:line="360" w:lineRule="auto"/>
        <w:rPr>
          <w:bCs/>
          <w:spacing w:val="-3"/>
        </w:rPr>
      </w:pPr>
    </w:p>
    <w:p w:rsidR="004F1D40" w:rsidRDefault="002D6E1A" w:rsidP="002D6E1A">
      <w:pPr>
        <w:suppressAutoHyphens/>
        <w:spacing w:line="360" w:lineRule="auto"/>
        <w:rPr>
          <w:bCs/>
          <w:spacing w:val="-3"/>
        </w:rPr>
      </w:pPr>
      <w:r>
        <w:rPr>
          <w:bCs/>
          <w:spacing w:val="-3"/>
        </w:rPr>
        <w:tab/>
      </w:r>
      <w:r>
        <w:rPr>
          <w:bCs/>
          <w:spacing w:val="-3"/>
        </w:rPr>
        <w:tab/>
        <w:t>By Telephon</w:t>
      </w:r>
      <w:r w:rsidR="00B9058D">
        <w:rPr>
          <w:bCs/>
          <w:spacing w:val="-3"/>
        </w:rPr>
        <w:t>ic</w:t>
      </w:r>
      <w:r>
        <w:rPr>
          <w:bCs/>
          <w:spacing w:val="-3"/>
        </w:rPr>
        <w:t xml:space="preserve"> Hearing Notice dated </w:t>
      </w:r>
      <w:r w:rsidR="00B9058D">
        <w:rPr>
          <w:bCs/>
          <w:spacing w:val="-3"/>
        </w:rPr>
        <w:t>April 10, 2013, Mr. Noll and Columbia (</w:t>
      </w:r>
      <w:r>
        <w:rPr>
          <w:bCs/>
          <w:spacing w:val="-3"/>
        </w:rPr>
        <w:t>the parties</w:t>
      </w:r>
      <w:r w:rsidR="00B9058D">
        <w:rPr>
          <w:bCs/>
          <w:spacing w:val="-3"/>
        </w:rPr>
        <w:t>)</w:t>
      </w:r>
      <w:r>
        <w:rPr>
          <w:bCs/>
          <w:spacing w:val="-3"/>
        </w:rPr>
        <w:t xml:space="preserve"> were notified that an Initial Telephonic Hearing was scheduled for </w:t>
      </w:r>
      <w:r w:rsidR="00B9058D">
        <w:rPr>
          <w:bCs/>
          <w:spacing w:val="-3"/>
        </w:rPr>
        <w:t xml:space="preserve">Tuesday, May 7, 2013, at 10:00 a.m.  </w:t>
      </w:r>
      <w:r>
        <w:rPr>
          <w:bCs/>
          <w:spacing w:val="-3"/>
        </w:rPr>
        <w:t>I was assigned to preside in this matter.</w:t>
      </w:r>
      <w:r w:rsidR="004F1D40">
        <w:rPr>
          <w:bCs/>
          <w:spacing w:val="-3"/>
        </w:rPr>
        <w:t xml:space="preserve">  </w:t>
      </w:r>
      <w:r>
        <w:rPr>
          <w:bCs/>
          <w:spacing w:val="-3"/>
        </w:rPr>
        <w:t xml:space="preserve">On </w:t>
      </w:r>
      <w:r w:rsidR="00B9058D">
        <w:rPr>
          <w:bCs/>
          <w:spacing w:val="-3"/>
        </w:rPr>
        <w:t xml:space="preserve">April 11, 2013, </w:t>
      </w:r>
      <w:r>
        <w:rPr>
          <w:bCs/>
          <w:spacing w:val="-3"/>
        </w:rPr>
        <w:t xml:space="preserve">I issued a Prehearing Order which provided applicable procedures regarding submission of exhibits, attorney representation, continuances, subpoenas, and the burden of proof.  </w:t>
      </w:r>
    </w:p>
    <w:p w:rsidR="002D6E1A" w:rsidRDefault="002D6E1A" w:rsidP="004F1D40">
      <w:pPr>
        <w:suppressAutoHyphens/>
        <w:spacing w:line="360" w:lineRule="auto"/>
        <w:rPr>
          <w:bCs/>
          <w:spacing w:val="-3"/>
        </w:rPr>
      </w:pPr>
      <w:r>
        <w:rPr>
          <w:bCs/>
          <w:spacing w:val="-3"/>
        </w:rPr>
        <w:tab/>
      </w:r>
      <w:r>
        <w:rPr>
          <w:bCs/>
          <w:spacing w:val="-3"/>
        </w:rPr>
        <w:tab/>
      </w:r>
    </w:p>
    <w:p w:rsidR="002D6E1A" w:rsidRDefault="002D6E1A" w:rsidP="00805C49">
      <w:pPr>
        <w:suppressAutoHyphens/>
        <w:spacing w:line="360" w:lineRule="auto"/>
        <w:rPr>
          <w:bCs/>
          <w:spacing w:val="-3"/>
        </w:rPr>
      </w:pPr>
      <w:r>
        <w:rPr>
          <w:bCs/>
          <w:spacing w:val="-3"/>
        </w:rPr>
        <w:tab/>
      </w:r>
      <w:r>
        <w:rPr>
          <w:bCs/>
          <w:spacing w:val="-3"/>
        </w:rPr>
        <w:tab/>
        <w:t>The Init</w:t>
      </w:r>
      <w:r w:rsidR="00521904">
        <w:rPr>
          <w:bCs/>
          <w:spacing w:val="-3"/>
        </w:rPr>
        <w:t xml:space="preserve">ial Telephonic Hearing was held </w:t>
      </w:r>
      <w:r>
        <w:rPr>
          <w:bCs/>
          <w:spacing w:val="-3"/>
        </w:rPr>
        <w:t xml:space="preserve">on </w:t>
      </w:r>
      <w:r w:rsidR="00B9058D">
        <w:rPr>
          <w:bCs/>
          <w:spacing w:val="-3"/>
        </w:rPr>
        <w:t xml:space="preserve">May 7, 2013.  </w:t>
      </w:r>
      <w:r>
        <w:rPr>
          <w:bCs/>
          <w:spacing w:val="-3"/>
        </w:rPr>
        <w:t>The parties endeavored to settle prior to the hearing but were unsuccessful.</w:t>
      </w:r>
      <w:r w:rsidR="00E95C99">
        <w:rPr>
          <w:bCs/>
          <w:spacing w:val="-3"/>
        </w:rPr>
        <w:t xml:space="preserve">  </w:t>
      </w:r>
      <w:r w:rsidR="00A7107D">
        <w:rPr>
          <w:bCs/>
          <w:spacing w:val="-3"/>
        </w:rPr>
        <w:t>Complainant made an oral motion for a continuance alleging that he did not receive Columbia’s exhibits in the mail until May 6, 2013.  I verified Complainant’s address and advised him that I received the proposed exhibits on April 29, 2013.</w:t>
      </w:r>
      <w:r w:rsidR="00A7107D">
        <w:rPr>
          <w:rStyle w:val="FootnoteReference"/>
          <w:bCs/>
          <w:spacing w:val="-3"/>
        </w:rPr>
        <w:footnoteReference w:id="2"/>
      </w:r>
      <w:r w:rsidR="00A7107D">
        <w:rPr>
          <w:bCs/>
          <w:spacing w:val="-3"/>
        </w:rPr>
        <w:t xml:space="preserve"> </w:t>
      </w:r>
      <w:r w:rsidR="003C557B">
        <w:rPr>
          <w:bCs/>
          <w:spacing w:val="-3"/>
        </w:rPr>
        <w:t xml:space="preserve"> Tr. 8-9.  </w:t>
      </w:r>
      <w:r w:rsidR="00A7107D">
        <w:rPr>
          <w:bCs/>
          <w:spacing w:val="-3"/>
        </w:rPr>
        <w:t>Columbia objected to the continuance request</w:t>
      </w:r>
      <w:r w:rsidR="00521904">
        <w:rPr>
          <w:bCs/>
          <w:spacing w:val="-3"/>
        </w:rPr>
        <w:t xml:space="preserve">.  The request was denied and the hearing commenced.  </w:t>
      </w:r>
      <w:r w:rsidR="00E95C99">
        <w:rPr>
          <w:bCs/>
          <w:spacing w:val="-3"/>
        </w:rPr>
        <w:t xml:space="preserve">Complainant appeared </w:t>
      </w:r>
      <w:r w:rsidR="00E95C99">
        <w:rPr>
          <w:bCs/>
          <w:i/>
          <w:spacing w:val="-3"/>
        </w:rPr>
        <w:t>pro se</w:t>
      </w:r>
      <w:r w:rsidR="00E95C99">
        <w:rPr>
          <w:bCs/>
          <w:spacing w:val="-3"/>
        </w:rPr>
        <w:t xml:space="preserve"> and testified on his own behalf.  He did not offer any exhibits.  </w:t>
      </w:r>
      <w:r w:rsidR="00521904">
        <w:rPr>
          <w:bCs/>
          <w:spacing w:val="-3"/>
        </w:rPr>
        <w:t xml:space="preserve">Columbia </w:t>
      </w:r>
      <w:r w:rsidR="00E95C99">
        <w:rPr>
          <w:bCs/>
          <w:spacing w:val="-3"/>
        </w:rPr>
        <w:t xml:space="preserve">was represented at the hearing by </w:t>
      </w:r>
      <w:r w:rsidR="00521904">
        <w:rPr>
          <w:bCs/>
          <w:spacing w:val="-3"/>
        </w:rPr>
        <w:t>Larry R. Crayne</w:t>
      </w:r>
      <w:r w:rsidR="00E95C99">
        <w:rPr>
          <w:bCs/>
          <w:spacing w:val="-3"/>
        </w:rPr>
        <w:t xml:space="preserve">, Esquire.  </w:t>
      </w:r>
      <w:r w:rsidR="00521904">
        <w:rPr>
          <w:bCs/>
          <w:spacing w:val="-3"/>
        </w:rPr>
        <w:t>Columbia p</w:t>
      </w:r>
      <w:r w:rsidR="00E95C99">
        <w:rPr>
          <w:bCs/>
          <w:spacing w:val="-3"/>
        </w:rPr>
        <w:t xml:space="preserve">resented one witness, </w:t>
      </w:r>
      <w:r w:rsidR="00521904">
        <w:rPr>
          <w:bCs/>
          <w:spacing w:val="-3"/>
        </w:rPr>
        <w:t xml:space="preserve">Kathy K. </w:t>
      </w:r>
      <w:proofErr w:type="spellStart"/>
      <w:r w:rsidR="00521904">
        <w:rPr>
          <w:bCs/>
          <w:spacing w:val="-3"/>
        </w:rPr>
        <w:t>Dittenhafer</w:t>
      </w:r>
      <w:proofErr w:type="spellEnd"/>
      <w:r w:rsidR="00521904">
        <w:rPr>
          <w:bCs/>
          <w:spacing w:val="-3"/>
        </w:rPr>
        <w:t xml:space="preserve">, </w:t>
      </w:r>
      <w:r w:rsidR="00E95C99">
        <w:rPr>
          <w:bCs/>
          <w:spacing w:val="-3"/>
        </w:rPr>
        <w:t>and offered fo</w:t>
      </w:r>
      <w:r w:rsidR="00805C49">
        <w:rPr>
          <w:bCs/>
          <w:spacing w:val="-3"/>
        </w:rPr>
        <w:t>u</w:t>
      </w:r>
      <w:r w:rsidR="00E95C99">
        <w:rPr>
          <w:bCs/>
          <w:spacing w:val="-3"/>
        </w:rPr>
        <w:t>r exhibits</w:t>
      </w:r>
      <w:r w:rsidR="00805C49">
        <w:rPr>
          <w:bCs/>
          <w:spacing w:val="-3"/>
        </w:rPr>
        <w:t xml:space="preserve"> marked and admitted as </w:t>
      </w:r>
      <w:r w:rsidR="00521904">
        <w:rPr>
          <w:bCs/>
          <w:spacing w:val="-3"/>
        </w:rPr>
        <w:t xml:space="preserve">CG Ex. 1, CG Ex. 2, CG Ex. 3 and CG Ex. 4.  </w:t>
      </w:r>
      <w:r w:rsidR="00805C49">
        <w:rPr>
          <w:bCs/>
          <w:spacing w:val="-3"/>
        </w:rPr>
        <w:t>Briefs were not requested.</w:t>
      </w:r>
    </w:p>
    <w:p w:rsidR="00805C49" w:rsidRDefault="00805C49" w:rsidP="00805C49">
      <w:pPr>
        <w:suppressAutoHyphens/>
        <w:spacing w:line="360" w:lineRule="auto"/>
        <w:rPr>
          <w:bCs/>
          <w:spacing w:val="-3"/>
        </w:rPr>
      </w:pPr>
    </w:p>
    <w:p w:rsidR="002D6E1A" w:rsidRDefault="00805C49" w:rsidP="002D6E1A">
      <w:pPr>
        <w:suppressAutoHyphens/>
        <w:spacing w:line="360" w:lineRule="auto"/>
        <w:rPr>
          <w:bCs/>
          <w:spacing w:val="-3"/>
        </w:rPr>
      </w:pPr>
      <w:r>
        <w:rPr>
          <w:bCs/>
          <w:spacing w:val="-3"/>
        </w:rPr>
        <w:tab/>
      </w:r>
      <w:r>
        <w:rPr>
          <w:bCs/>
          <w:spacing w:val="-3"/>
        </w:rPr>
        <w:tab/>
        <w:t xml:space="preserve">The hearing record was closed by Interim Order dated </w:t>
      </w:r>
      <w:r w:rsidR="00BD1FA7">
        <w:rPr>
          <w:bCs/>
          <w:spacing w:val="-3"/>
        </w:rPr>
        <w:t xml:space="preserve">May 20, 2013.  </w:t>
      </w:r>
      <w:r>
        <w:rPr>
          <w:bCs/>
          <w:spacing w:val="-3"/>
        </w:rPr>
        <w:t xml:space="preserve">The record consists of a </w:t>
      </w:r>
      <w:r w:rsidR="00BD1FA7">
        <w:rPr>
          <w:bCs/>
          <w:spacing w:val="-3"/>
        </w:rPr>
        <w:t>31</w:t>
      </w:r>
      <w:r>
        <w:rPr>
          <w:bCs/>
          <w:spacing w:val="-3"/>
        </w:rPr>
        <w:t>-page hearing transcript and the aforementioned four exhibits</w:t>
      </w:r>
      <w:r w:rsidR="00BD1FA7">
        <w:rPr>
          <w:bCs/>
          <w:spacing w:val="-3"/>
        </w:rPr>
        <w:t xml:space="preserve">.  </w:t>
      </w:r>
      <w:r w:rsidR="002D6E1A">
        <w:rPr>
          <w:bCs/>
          <w:spacing w:val="-3"/>
        </w:rPr>
        <w:t>This case is now ready for a decision.</w:t>
      </w:r>
    </w:p>
    <w:p w:rsidR="002D6E1A" w:rsidRPr="00B06030" w:rsidRDefault="002D6E1A" w:rsidP="002D6E1A">
      <w:pPr>
        <w:suppressAutoHyphens/>
        <w:spacing w:line="360" w:lineRule="auto"/>
        <w:jc w:val="center"/>
        <w:rPr>
          <w:bCs/>
          <w:spacing w:val="-3"/>
        </w:rPr>
      </w:pPr>
      <w:r>
        <w:rPr>
          <w:bCs/>
          <w:spacing w:val="-3"/>
          <w:u w:val="single"/>
        </w:rPr>
        <w:lastRenderedPageBreak/>
        <w:t>FINDINGS OF FACT</w:t>
      </w:r>
    </w:p>
    <w:p w:rsidR="002D6E1A" w:rsidRDefault="002D6E1A" w:rsidP="002D6E1A">
      <w:pPr>
        <w:suppressAutoHyphens/>
        <w:spacing w:line="360" w:lineRule="auto"/>
        <w:jc w:val="center"/>
        <w:rPr>
          <w:bCs/>
          <w:spacing w:val="-3"/>
          <w:u w:val="single"/>
        </w:rPr>
      </w:pPr>
    </w:p>
    <w:p w:rsidR="002D6E1A" w:rsidRDefault="002D6E1A" w:rsidP="002D6E1A">
      <w:pPr>
        <w:suppressAutoHyphens/>
        <w:spacing w:line="360" w:lineRule="auto"/>
        <w:rPr>
          <w:bCs/>
          <w:spacing w:val="-3"/>
        </w:rPr>
      </w:pPr>
      <w:r>
        <w:rPr>
          <w:bCs/>
          <w:spacing w:val="-3"/>
        </w:rPr>
        <w:tab/>
      </w:r>
      <w:r>
        <w:rPr>
          <w:bCs/>
          <w:spacing w:val="-3"/>
        </w:rPr>
        <w:tab/>
        <w:t>1.</w:t>
      </w:r>
      <w:r>
        <w:rPr>
          <w:bCs/>
          <w:spacing w:val="-3"/>
        </w:rPr>
        <w:tab/>
      </w:r>
      <w:r w:rsidR="00805C49">
        <w:rPr>
          <w:bCs/>
          <w:spacing w:val="-3"/>
        </w:rPr>
        <w:t xml:space="preserve">Complainant, </w:t>
      </w:r>
      <w:r w:rsidR="00284C00">
        <w:rPr>
          <w:bCs/>
          <w:spacing w:val="-3"/>
        </w:rPr>
        <w:t xml:space="preserve">Stephen J. Noll, resides at 611 Main Street, North Huntington, Pennsylvania 15642 </w:t>
      </w:r>
      <w:r w:rsidR="00805C49">
        <w:rPr>
          <w:bCs/>
          <w:spacing w:val="-3"/>
        </w:rPr>
        <w:t xml:space="preserve">(Tr. </w:t>
      </w:r>
      <w:r w:rsidR="00284C00">
        <w:rPr>
          <w:bCs/>
          <w:spacing w:val="-3"/>
        </w:rPr>
        <w:t xml:space="preserve">8, 13).  </w:t>
      </w:r>
      <w:r w:rsidR="00805C49">
        <w:rPr>
          <w:bCs/>
          <w:spacing w:val="-3"/>
        </w:rPr>
        <w:t xml:space="preserve">  </w:t>
      </w:r>
    </w:p>
    <w:p w:rsidR="002D6E1A" w:rsidRDefault="002D6E1A" w:rsidP="002D6E1A">
      <w:pPr>
        <w:suppressAutoHyphens/>
        <w:spacing w:line="360" w:lineRule="auto"/>
        <w:rPr>
          <w:bCs/>
          <w:spacing w:val="-3"/>
        </w:rPr>
      </w:pPr>
    </w:p>
    <w:p w:rsidR="002D6E1A" w:rsidRDefault="002D6E1A" w:rsidP="002D6E1A">
      <w:pPr>
        <w:suppressAutoHyphens/>
        <w:spacing w:line="360" w:lineRule="auto"/>
        <w:rPr>
          <w:bCs/>
          <w:spacing w:val="-3"/>
        </w:rPr>
      </w:pPr>
      <w:r>
        <w:rPr>
          <w:bCs/>
          <w:spacing w:val="-3"/>
        </w:rPr>
        <w:tab/>
      </w:r>
      <w:r>
        <w:rPr>
          <w:bCs/>
          <w:spacing w:val="-3"/>
        </w:rPr>
        <w:tab/>
        <w:t>2.</w:t>
      </w:r>
      <w:r>
        <w:rPr>
          <w:bCs/>
          <w:spacing w:val="-3"/>
        </w:rPr>
        <w:tab/>
        <w:t>Respondent</w:t>
      </w:r>
      <w:r w:rsidR="00295301">
        <w:rPr>
          <w:bCs/>
          <w:spacing w:val="-3"/>
        </w:rPr>
        <w:t xml:space="preserve">, </w:t>
      </w:r>
      <w:r w:rsidR="00284C00">
        <w:rPr>
          <w:bCs/>
          <w:spacing w:val="-3"/>
        </w:rPr>
        <w:t xml:space="preserve">Columbia Gas of Pennsylvania, Inc., </w:t>
      </w:r>
      <w:r w:rsidR="00295301">
        <w:rPr>
          <w:bCs/>
          <w:spacing w:val="-3"/>
        </w:rPr>
        <w:t xml:space="preserve">provides gas </w:t>
      </w:r>
      <w:r w:rsidR="00B437E7">
        <w:rPr>
          <w:bCs/>
          <w:spacing w:val="-3"/>
        </w:rPr>
        <w:t xml:space="preserve">utility </w:t>
      </w:r>
      <w:r w:rsidR="00295301">
        <w:rPr>
          <w:bCs/>
          <w:spacing w:val="-3"/>
        </w:rPr>
        <w:t xml:space="preserve">service to Complainant at </w:t>
      </w:r>
      <w:r w:rsidR="00284C00">
        <w:rPr>
          <w:bCs/>
          <w:spacing w:val="-3"/>
        </w:rPr>
        <w:t>611 Main Street, North Huntington, Pennsylvania 15642 (Tr. 13).</w:t>
      </w:r>
      <w:r w:rsidR="00295301">
        <w:rPr>
          <w:bCs/>
          <w:spacing w:val="-3"/>
        </w:rPr>
        <w:t xml:space="preserve">  </w:t>
      </w:r>
    </w:p>
    <w:p w:rsidR="002D6E1A" w:rsidRDefault="002D6E1A" w:rsidP="002D6E1A">
      <w:pPr>
        <w:suppressAutoHyphens/>
        <w:spacing w:line="360" w:lineRule="auto"/>
        <w:rPr>
          <w:bCs/>
          <w:spacing w:val="-3"/>
        </w:rPr>
      </w:pPr>
      <w:r>
        <w:rPr>
          <w:bCs/>
          <w:spacing w:val="-3"/>
        </w:rPr>
        <w:t xml:space="preserve"> </w:t>
      </w:r>
    </w:p>
    <w:p w:rsidR="002D6E1A" w:rsidRDefault="002D6E1A" w:rsidP="002D6E1A">
      <w:pPr>
        <w:suppressAutoHyphens/>
        <w:spacing w:line="360" w:lineRule="auto"/>
        <w:rPr>
          <w:bCs/>
          <w:spacing w:val="-3"/>
        </w:rPr>
      </w:pPr>
      <w:r>
        <w:rPr>
          <w:bCs/>
          <w:spacing w:val="-3"/>
        </w:rPr>
        <w:tab/>
      </w:r>
      <w:r>
        <w:rPr>
          <w:bCs/>
          <w:spacing w:val="-3"/>
        </w:rPr>
        <w:tab/>
        <w:t>3.</w:t>
      </w:r>
      <w:r>
        <w:rPr>
          <w:bCs/>
          <w:spacing w:val="-3"/>
        </w:rPr>
        <w:tab/>
      </w:r>
      <w:r w:rsidR="00820F5B">
        <w:rPr>
          <w:bCs/>
          <w:spacing w:val="-3"/>
        </w:rPr>
        <w:t>On February 22, 201</w:t>
      </w:r>
      <w:r w:rsidR="002455E0">
        <w:rPr>
          <w:bCs/>
          <w:spacing w:val="-3"/>
        </w:rPr>
        <w:t>2</w:t>
      </w:r>
      <w:r w:rsidR="00820F5B">
        <w:rPr>
          <w:bCs/>
          <w:spacing w:val="-3"/>
        </w:rPr>
        <w:t>, Mr. Noll and Columbia entered into a budget plus payment plan of $134.00 per month, consisting of the then current $113.00 average monthly bill, plus $21.00 per month to be credited to Complainant’s arrearage</w:t>
      </w:r>
      <w:r w:rsidR="00490973">
        <w:rPr>
          <w:bCs/>
          <w:spacing w:val="-3"/>
        </w:rPr>
        <w:t xml:space="preserve">.  </w:t>
      </w:r>
      <w:r w:rsidR="00974B65">
        <w:rPr>
          <w:bCs/>
          <w:spacing w:val="-3"/>
        </w:rPr>
        <w:t xml:space="preserve">  </w:t>
      </w:r>
      <w:r w:rsidR="00D13AB8">
        <w:rPr>
          <w:bCs/>
          <w:spacing w:val="-3"/>
        </w:rPr>
        <w:t xml:space="preserve">   </w:t>
      </w:r>
    </w:p>
    <w:p w:rsidR="00974B65" w:rsidRDefault="00974B65" w:rsidP="002D6E1A">
      <w:pPr>
        <w:suppressAutoHyphens/>
        <w:spacing w:line="360" w:lineRule="auto"/>
        <w:rPr>
          <w:bCs/>
          <w:spacing w:val="-3"/>
        </w:rPr>
      </w:pPr>
    </w:p>
    <w:p w:rsidR="00974B65" w:rsidRDefault="00974B65" w:rsidP="002D6E1A">
      <w:pPr>
        <w:suppressAutoHyphens/>
        <w:spacing w:line="360" w:lineRule="auto"/>
        <w:rPr>
          <w:bCs/>
          <w:spacing w:val="-3"/>
        </w:rPr>
      </w:pPr>
      <w:r>
        <w:rPr>
          <w:bCs/>
          <w:spacing w:val="-3"/>
        </w:rPr>
        <w:tab/>
      </w:r>
      <w:r>
        <w:rPr>
          <w:bCs/>
          <w:spacing w:val="-3"/>
        </w:rPr>
        <w:tab/>
        <w:t>4.</w:t>
      </w:r>
      <w:r>
        <w:rPr>
          <w:bCs/>
          <w:spacing w:val="-3"/>
        </w:rPr>
        <w:tab/>
      </w:r>
      <w:r w:rsidR="00292F6E">
        <w:rPr>
          <w:bCs/>
          <w:spacing w:val="-3"/>
        </w:rPr>
        <w:t xml:space="preserve">Columbia calculates the base budget amount (average monthly bill) by determining the average of the consumption for the previous 12 months and including in the calculation the “current rate of gas.”  Columbia recalculates the base budget amount periodically.  At minimum, the base budget amount is recalculated in May, August, October and January (Tr. 21).  </w:t>
      </w:r>
      <w:r>
        <w:rPr>
          <w:bCs/>
          <w:spacing w:val="-3"/>
        </w:rPr>
        <w:t xml:space="preserve">  </w:t>
      </w:r>
    </w:p>
    <w:p w:rsidR="002D6E1A" w:rsidRDefault="002D6E1A" w:rsidP="002D6E1A">
      <w:pPr>
        <w:suppressAutoHyphens/>
        <w:spacing w:line="360" w:lineRule="auto"/>
        <w:rPr>
          <w:bCs/>
          <w:spacing w:val="-3"/>
        </w:rPr>
      </w:pPr>
    </w:p>
    <w:p w:rsidR="002D6E1A" w:rsidRDefault="00CD2433" w:rsidP="002D6E1A">
      <w:pPr>
        <w:suppressAutoHyphens/>
        <w:spacing w:line="360" w:lineRule="auto"/>
        <w:rPr>
          <w:b/>
          <w:bCs/>
          <w:spacing w:val="-3"/>
        </w:rPr>
      </w:pPr>
      <w:r>
        <w:rPr>
          <w:bCs/>
          <w:spacing w:val="-3"/>
        </w:rPr>
        <w:tab/>
      </w:r>
      <w:r>
        <w:rPr>
          <w:bCs/>
          <w:spacing w:val="-3"/>
        </w:rPr>
        <w:tab/>
        <w:t>5</w:t>
      </w:r>
      <w:r w:rsidR="002D6E1A">
        <w:rPr>
          <w:bCs/>
          <w:spacing w:val="-3"/>
        </w:rPr>
        <w:t>.</w:t>
      </w:r>
      <w:r w:rsidR="002D6E1A">
        <w:rPr>
          <w:bCs/>
          <w:spacing w:val="-3"/>
        </w:rPr>
        <w:tab/>
      </w:r>
      <w:r w:rsidR="00292F6E">
        <w:rPr>
          <w:bCs/>
          <w:spacing w:val="-3"/>
        </w:rPr>
        <w:t xml:space="preserve">When Columbia recalculates the base budget amount for a customer’s payment plan a message is printed on the first page of the bill that </w:t>
      </w:r>
      <w:r w:rsidR="00C754AE">
        <w:rPr>
          <w:bCs/>
          <w:spacing w:val="-3"/>
        </w:rPr>
        <w:t>provides</w:t>
      </w:r>
      <w:r w:rsidR="00292F6E">
        <w:rPr>
          <w:bCs/>
          <w:spacing w:val="-3"/>
        </w:rPr>
        <w:t xml:space="preserve">, “the base budget amount on your payment plan has been revised.”  (Tr. 21-22).  </w:t>
      </w:r>
      <w:r w:rsidR="00974B65" w:rsidRPr="00A64A91">
        <w:rPr>
          <w:bCs/>
          <w:spacing w:val="-3"/>
        </w:rPr>
        <w:t xml:space="preserve">  </w:t>
      </w:r>
      <w:r w:rsidR="00974B65" w:rsidRPr="00A64A91">
        <w:rPr>
          <w:b/>
          <w:bCs/>
          <w:spacing w:val="-3"/>
        </w:rPr>
        <w:t xml:space="preserve"> </w:t>
      </w:r>
    </w:p>
    <w:p w:rsidR="00974B65" w:rsidRPr="00A64A91" w:rsidRDefault="00974B65" w:rsidP="002D6E1A">
      <w:pPr>
        <w:suppressAutoHyphens/>
        <w:spacing w:line="360" w:lineRule="auto"/>
        <w:rPr>
          <w:bCs/>
          <w:spacing w:val="-3"/>
        </w:rPr>
      </w:pPr>
    </w:p>
    <w:p w:rsidR="002D6E1A" w:rsidRDefault="002D6E1A" w:rsidP="002D6E1A">
      <w:pPr>
        <w:suppressAutoHyphens/>
        <w:spacing w:line="360" w:lineRule="auto"/>
        <w:rPr>
          <w:bCs/>
          <w:spacing w:val="-3"/>
        </w:rPr>
      </w:pPr>
      <w:r>
        <w:rPr>
          <w:bCs/>
          <w:spacing w:val="-3"/>
        </w:rPr>
        <w:tab/>
      </w:r>
      <w:r>
        <w:rPr>
          <w:bCs/>
          <w:spacing w:val="-3"/>
        </w:rPr>
        <w:tab/>
      </w:r>
      <w:r w:rsidR="00CD2433">
        <w:rPr>
          <w:bCs/>
          <w:spacing w:val="-3"/>
        </w:rPr>
        <w:t>6</w:t>
      </w:r>
      <w:r>
        <w:rPr>
          <w:bCs/>
          <w:spacing w:val="-3"/>
        </w:rPr>
        <w:t>.</w:t>
      </w:r>
      <w:r>
        <w:rPr>
          <w:bCs/>
          <w:spacing w:val="-3"/>
        </w:rPr>
        <w:tab/>
      </w:r>
      <w:r w:rsidR="00974B65" w:rsidRPr="00A64A91">
        <w:rPr>
          <w:b/>
          <w:bCs/>
          <w:spacing w:val="-3"/>
        </w:rPr>
        <w:t xml:space="preserve"> </w:t>
      </w:r>
      <w:r w:rsidR="00C754AE">
        <w:rPr>
          <w:bCs/>
          <w:spacing w:val="-3"/>
        </w:rPr>
        <w:t xml:space="preserve">When Columbia establishes a payment arrangement with a customer a confirmation letter is mailed to the customer which advises the customer that the base budget amount is subject to change (Tr. 22).  </w:t>
      </w:r>
      <w:r w:rsidR="00974B65">
        <w:rPr>
          <w:bCs/>
          <w:spacing w:val="-3"/>
        </w:rPr>
        <w:t xml:space="preserve">    </w:t>
      </w:r>
      <w:r w:rsidR="00974B65" w:rsidRPr="00A64A91">
        <w:rPr>
          <w:bCs/>
          <w:spacing w:val="-3"/>
        </w:rPr>
        <w:t xml:space="preserve">  </w:t>
      </w:r>
      <w:r w:rsidR="00974B65" w:rsidRPr="00A64A91">
        <w:rPr>
          <w:b/>
          <w:bCs/>
          <w:spacing w:val="-3"/>
        </w:rPr>
        <w:t xml:space="preserve"> </w:t>
      </w:r>
    </w:p>
    <w:p w:rsidR="002D6E1A" w:rsidRDefault="002D6E1A" w:rsidP="002D6E1A">
      <w:pPr>
        <w:suppressAutoHyphens/>
        <w:spacing w:line="360" w:lineRule="auto"/>
        <w:rPr>
          <w:bCs/>
          <w:spacing w:val="-3"/>
        </w:rPr>
      </w:pPr>
    </w:p>
    <w:p w:rsidR="002D6E1A" w:rsidRDefault="00974B65" w:rsidP="002D6E1A">
      <w:pPr>
        <w:suppressAutoHyphens/>
        <w:spacing w:line="360" w:lineRule="auto"/>
        <w:rPr>
          <w:bCs/>
          <w:spacing w:val="-3"/>
        </w:rPr>
      </w:pPr>
      <w:r>
        <w:rPr>
          <w:bCs/>
          <w:spacing w:val="-3"/>
        </w:rPr>
        <w:tab/>
      </w:r>
      <w:r>
        <w:rPr>
          <w:bCs/>
          <w:spacing w:val="-3"/>
        </w:rPr>
        <w:tab/>
      </w:r>
      <w:r w:rsidR="00CD2433">
        <w:rPr>
          <w:bCs/>
          <w:spacing w:val="-3"/>
        </w:rPr>
        <w:t>7</w:t>
      </w:r>
      <w:r w:rsidR="002D6E1A">
        <w:rPr>
          <w:bCs/>
          <w:spacing w:val="-3"/>
        </w:rPr>
        <w:t>.</w:t>
      </w:r>
      <w:r w:rsidR="002D6E1A">
        <w:rPr>
          <w:bCs/>
          <w:spacing w:val="-3"/>
        </w:rPr>
        <w:tab/>
      </w:r>
      <w:r w:rsidR="00335CB6">
        <w:rPr>
          <w:bCs/>
          <w:spacing w:val="-3"/>
        </w:rPr>
        <w:t xml:space="preserve"> </w:t>
      </w:r>
      <w:r w:rsidR="00C754AE">
        <w:rPr>
          <w:bCs/>
          <w:spacing w:val="-3"/>
        </w:rPr>
        <w:t>Columbia did not receive any return</w:t>
      </w:r>
      <w:r w:rsidR="00E92094">
        <w:rPr>
          <w:bCs/>
          <w:spacing w:val="-3"/>
        </w:rPr>
        <w:t>ed</w:t>
      </w:r>
      <w:r w:rsidR="00C754AE">
        <w:rPr>
          <w:bCs/>
          <w:spacing w:val="-3"/>
        </w:rPr>
        <w:t xml:space="preserve"> mail </w:t>
      </w:r>
      <w:r w:rsidR="00E92094">
        <w:rPr>
          <w:bCs/>
          <w:spacing w:val="-3"/>
        </w:rPr>
        <w:t xml:space="preserve">from the Post Office </w:t>
      </w:r>
      <w:r w:rsidR="00C754AE">
        <w:rPr>
          <w:bCs/>
          <w:spacing w:val="-3"/>
        </w:rPr>
        <w:t>for any mail items sent to Complainant at his current address (Tr. 8, 13,</w:t>
      </w:r>
      <w:r w:rsidR="00E92094">
        <w:rPr>
          <w:bCs/>
          <w:spacing w:val="-3"/>
        </w:rPr>
        <w:t xml:space="preserve"> </w:t>
      </w:r>
      <w:r w:rsidR="00C754AE">
        <w:rPr>
          <w:bCs/>
          <w:spacing w:val="-3"/>
        </w:rPr>
        <w:t>22</w:t>
      </w:r>
      <w:r w:rsidR="00E92094">
        <w:rPr>
          <w:bCs/>
          <w:spacing w:val="-3"/>
        </w:rPr>
        <w:t xml:space="preserve">).  </w:t>
      </w:r>
      <w:r w:rsidR="00C754AE">
        <w:rPr>
          <w:bCs/>
          <w:spacing w:val="-3"/>
        </w:rPr>
        <w:t xml:space="preserve"> </w:t>
      </w:r>
    </w:p>
    <w:p w:rsidR="00335CB6" w:rsidRDefault="00335CB6" w:rsidP="002D6E1A">
      <w:pPr>
        <w:suppressAutoHyphens/>
        <w:spacing w:line="360" w:lineRule="auto"/>
        <w:rPr>
          <w:bCs/>
          <w:spacing w:val="-3"/>
        </w:rPr>
      </w:pPr>
    </w:p>
    <w:p w:rsidR="002D6E1A" w:rsidRPr="002D6D21" w:rsidRDefault="002D6E1A" w:rsidP="002D6E1A">
      <w:pPr>
        <w:suppressAutoHyphens/>
        <w:spacing w:line="360" w:lineRule="auto"/>
        <w:rPr>
          <w:bCs/>
          <w:spacing w:val="-3"/>
        </w:rPr>
      </w:pPr>
      <w:r>
        <w:rPr>
          <w:bCs/>
          <w:spacing w:val="-3"/>
        </w:rPr>
        <w:tab/>
      </w:r>
      <w:r>
        <w:rPr>
          <w:bCs/>
          <w:spacing w:val="-3"/>
        </w:rPr>
        <w:tab/>
        <w:t>8.</w:t>
      </w:r>
      <w:r>
        <w:rPr>
          <w:bCs/>
          <w:spacing w:val="-3"/>
        </w:rPr>
        <w:tab/>
      </w:r>
      <w:r w:rsidR="00BB050C">
        <w:rPr>
          <w:bCs/>
          <w:spacing w:val="-3"/>
        </w:rPr>
        <w:t>At the time of the hearing, Complainant owed Columbia $756.60</w:t>
      </w:r>
      <w:r w:rsidR="00970ED0">
        <w:rPr>
          <w:bCs/>
          <w:spacing w:val="-3"/>
        </w:rPr>
        <w:t>.  The past due amount owed on the account under his payment plan was $498.00</w:t>
      </w:r>
      <w:r w:rsidR="00BB050C">
        <w:rPr>
          <w:bCs/>
          <w:spacing w:val="-3"/>
        </w:rPr>
        <w:t xml:space="preserve"> (Tr. 21, 23; CG Ex. 1).  </w:t>
      </w:r>
      <w:r w:rsidR="00810510">
        <w:rPr>
          <w:bCs/>
          <w:spacing w:val="-3"/>
        </w:rPr>
        <w:t xml:space="preserve"> </w:t>
      </w:r>
    </w:p>
    <w:p w:rsidR="00DC0895" w:rsidRDefault="00DC0895" w:rsidP="002D6E1A">
      <w:pPr>
        <w:tabs>
          <w:tab w:val="center" w:pos="4680"/>
        </w:tabs>
        <w:suppressAutoHyphens/>
        <w:spacing w:line="360" w:lineRule="auto"/>
        <w:jc w:val="center"/>
        <w:rPr>
          <w:bCs/>
          <w:spacing w:val="-3"/>
          <w:u w:val="single"/>
        </w:rPr>
      </w:pPr>
    </w:p>
    <w:p w:rsidR="002D6E1A" w:rsidRDefault="002D6E1A" w:rsidP="002D6E1A">
      <w:pPr>
        <w:tabs>
          <w:tab w:val="center" w:pos="4680"/>
        </w:tabs>
        <w:suppressAutoHyphens/>
        <w:spacing w:line="360" w:lineRule="auto"/>
        <w:jc w:val="center"/>
        <w:rPr>
          <w:bCs/>
          <w:spacing w:val="-3"/>
          <w:u w:val="single"/>
        </w:rPr>
      </w:pPr>
      <w:r>
        <w:rPr>
          <w:bCs/>
          <w:spacing w:val="-3"/>
          <w:u w:val="single"/>
        </w:rPr>
        <w:lastRenderedPageBreak/>
        <w:t>DISCUSSION</w:t>
      </w:r>
    </w:p>
    <w:p w:rsidR="00ED4424" w:rsidRDefault="00ED4424" w:rsidP="00704CE7">
      <w:pPr>
        <w:tabs>
          <w:tab w:val="center" w:pos="4680"/>
        </w:tabs>
        <w:suppressAutoHyphens/>
        <w:spacing w:line="360" w:lineRule="auto"/>
        <w:rPr>
          <w:bCs/>
          <w:spacing w:val="-3"/>
          <w:u w:val="single"/>
        </w:rPr>
      </w:pPr>
    </w:p>
    <w:p w:rsidR="00ED4424" w:rsidRDefault="00ED4424" w:rsidP="00ED4424">
      <w:pPr>
        <w:tabs>
          <w:tab w:val="left" w:pos="-720"/>
        </w:tabs>
        <w:suppressAutoHyphens/>
        <w:spacing w:line="360" w:lineRule="auto"/>
        <w:ind w:firstLine="1440"/>
      </w:pPr>
      <w:r>
        <w:t>Since Mr. Noll is requesting</w:t>
      </w:r>
      <w:r w:rsidRPr="00960D05">
        <w:t xml:space="preserve"> affirmative relief from the Commission, </w:t>
      </w:r>
      <w:r>
        <w:t xml:space="preserve">he bears </w:t>
      </w:r>
      <w:r w:rsidRPr="00960D05">
        <w:t xml:space="preserve">the burden of proof.  </w:t>
      </w:r>
      <w:proofErr w:type="gramStart"/>
      <w:r w:rsidRPr="00960D05">
        <w:t>66 Pa. C.S. §332(a).</w:t>
      </w:r>
      <w:proofErr w:type="gramEnd"/>
      <w:r w:rsidRPr="00960D05">
        <w:t xml:space="preserve"> </w:t>
      </w:r>
      <w:r>
        <w:t xml:space="preserve"> </w:t>
      </w:r>
      <w:r w:rsidRPr="00960D05">
        <w:t xml:space="preserve">To satisfy </w:t>
      </w:r>
      <w:r>
        <w:t>this burden,</w:t>
      </w:r>
      <w:r w:rsidRPr="00960D05">
        <w:t xml:space="preserve"> </w:t>
      </w:r>
      <w:r>
        <w:t>he</w:t>
      </w:r>
      <w:r w:rsidRPr="00960D05">
        <w:t xml:space="preserve"> must demonstrate that </w:t>
      </w:r>
      <w:r>
        <w:t>Columbia</w:t>
      </w:r>
      <w:r w:rsidRPr="00960D05">
        <w:t xml:space="preserve"> violated the Public Utility Code</w:t>
      </w:r>
      <w:r w:rsidR="005D6D91">
        <w:t xml:space="preserve"> (the Code), </w:t>
      </w:r>
      <w:r w:rsidR="005D6D91">
        <w:rPr>
          <w:bCs/>
          <w:spacing w:val="-3"/>
        </w:rPr>
        <w:t xml:space="preserve">66 Pa. C.S. §101 </w:t>
      </w:r>
      <w:proofErr w:type="gramStart"/>
      <w:r w:rsidR="005D6D91">
        <w:rPr>
          <w:bCs/>
          <w:i/>
          <w:spacing w:val="-3"/>
        </w:rPr>
        <w:t>et</w:t>
      </w:r>
      <w:proofErr w:type="gramEnd"/>
      <w:r w:rsidR="005D6D91">
        <w:rPr>
          <w:bCs/>
          <w:i/>
          <w:spacing w:val="-3"/>
        </w:rPr>
        <w:t xml:space="preserve"> </w:t>
      </w:r>
      <w:proofErr w:type="spellStart"/>
      <w:r w:rsidR="005D6D91">
        <w:rPr>
          <w:bCs/>
          <w:i/>
          <w:spacing w:val="-3"/>
        </w:rPr>
        <w:t>seq</w:t>
      </w:r>
      <w:proofErr w:type="spellEnd"/>
      <w:r w:rsidR="005D6D91">
        <w:rPr>
          <w:bCs/>
          <w:spacing w:val="-3"/>
        </w:rPr>
        <w:t xml:space="preserve">, </w:t>
      </w:r>
      <w:r w:rsidRPr="00960D05">
        <w:t xml:space="preserve">a </w:t>
      </w:r>
      <w:r w:rsidR="005D6D91">
        <w:t xml:space="preserve">Commission </w:t>
      </w:r>
      <w:r w:rsidRPr="00960D05">
        <w:t xml:space="preserve">regulation or </w:t>
      </w:r>
      <w:r w:rsidR="005D6D91">
        <w:t xml:space="preserve">a Commission </w:t>
      </w:r>
      <w:r w:rsidRPr="00960D05">
        <w:t>Order</w:t>
      </w:r>
      <w:r w:rsidR="005D6D91">
        <w:t xml:space="preserve">.  </w:t>
      </w:r>
      <w:r w:rsidRPr="00960D05">
        <w:t xml:space="preserve">This must be shown by a preponderance of the evidence.  </w:t>
      </w:r>
      <w:proofErr w:type="gramStart"/>
      <w:r w:rsidRPr="00960D05">
        <w:t>66</w:t>
      </w:r>
      <w:r w:rsidR="00784F28">
        <w:t> </w:t>
      </w:r>
      <w:r w:rsidRPr="00960D05">
        <w:t xml:space="preserve">Pa. C.S. §701; </w:t>
      </w:r>
      <w:r w:rsidRPr="00960D05">
        <w:rPr>
          <w:u w:val="single"/>
        </w:rPr>
        <w:t>Patterson v. Bell Telephone Company of Pennsylvania</w:t>
      </w:r>
      <w:r w:rsidRPr="00960D05">
        <w:t>, 72 PA PUC 196 (1990).</w:t>
      </w:r>
      <w:proofErr w:type="gramEnd"/>
      <w:r w:rsidRPr="00960D05">
        <w:t xml:space="preserve">  Preponderance of the evidence means that the party with the burden of proof has presented evidence that is more convincing, by even the smallest amount, than that presented by the other party.  </w:t>
      </w:r>
      <w:proofErr w:type="gramStart"/>
      <w:r w:rsidRPr="00960D05">
        <w:rPr>
          <w:u w:val="single"/>
        </w:rPr>
        <w:t xml:space="preserve">Samuel J. </w:t>
      </w:r>
      <w:proofErr w:type="spellStart"/>
      <w:r w:rsidRPr="00960D05">
        <w:rPr>
          <w:u w:val="single"/>
        </w:rPr>
        <w:t>Lansberry</w:t>
      </w:r>
      <w:proofErr w:type="spellEnd"/>
      <w:r w:rsidRPr="00960D05">
        <w:rPr>
          <w:u w:val="single"/>
        </w:rPr>
        <w:t>, Inc. v. Pa. P.U.C.</w:t>
      </w:r>
      <w:r w:rsidRPr="00960D05">
        <w:t xml:space="preserve">, 578 A.2d 600, 602, </w:t>
      </w:r>
      <w:proofErr w:type="spellStart"/>
      <w:r w:rsidRPr="00960D05">
        <w:rPr>
          <w:u w:val="single"/>
        </w:rPr>
        <w:t>alloc</w:t>
      </w:r>
      <w:proofErr w:type="spellEnd"/>
      <w:r w:rsidRPr="00960D05">
        <w:rPr>
          <w:u w:val="single"/>
        </w:rPr>
        <w:t>.</w:t>
      </w:r>
      <w:proofErr w:type="gramEnd"/>
      <w:r w:rsidRPr="00960D05">
        <w:rPr>
          <w:u w:val="single"/>
        </w:rPr>
        <w:t xml:space="preserve"> </w:t>
      </w:r>
      <w:proofErr w:type="gramStart"/>
      <w:r w:rsidRPr="00960D05">
        <w:rPr>
          <w:u w:val="single"/>
        </w:rPr>
        <w:t>den.</w:t>
      </w:r>
      <w:r>
        <w:t>, 602 A.2d 863 (1992).</w:t>
      </w:r>
      <w:proofErr w:type="gramEnd"/>
    </w:p>
    <w:p w:rsidR="00ED4424" w:rsidRDefault="00ED4424" w:rsidP="00ED4424">
      <w:pPr>
        <w:tabs>
          <w:tab w:val="left" w:pos="-720"/>
        </w:tabs>
        <w:suppressAutoHyphens/>
        <w:spacing w:line="360" w:lineRule="auto"/>
      </w:pPr>
    </w:p>
    <w:p w:rsidR="00ED4424" w:rsidRDefault="00ED4424" w:rsidP="00ED4424">
      <w:pPr>
        <w:tabs>
          <w:tab w:val="left" w:pos="-720"/>
        </w:tabs>
        <w:suppressAutoHyphens/>
        <w:spacing w:line="360" w:lineRule="auto"/>
      </w:pPr>
      <w:r>
        <w:tab/>
      </w:r>
      <w:r>
        <w:tab/>
      </w:r>
      <w:r w:rsidRPr="00960D05">
        <w:t xml:space="preserve">In addition, the Commission’s findings of fact must be supported by “substantial evidence,” which consists of evidence that a reasonable mind might accept as adequate to support a conclusion.  A mere “trace of evidence or a suspicion of the existence of a fact” is insufficient.  </w:t>
      </w:r>
      <w:proofErr w:type="gramStart"/>
      <w:r w:rsidRPr="00960D05">
        <w:rPr>
          <w:u w:val="single"/>
        </w:rPr>
        <w:t>Norfolk and Western Railway v. Pa. P.U.C.</w:t>
      </w:r>
      <w:r w:rsidRPr="00960D05">
        <w:t>, 489 Pa. 109, 413 A.2d 1037 (1980).</w:t>
      </w:r>
      <w:proofErr w:type="gramEnd"/>
      <w:r>
        <w:tab/>
      </w:r>
    </w:p>
    <w:p w:rsidR="00ED4424" w:rsidRPr="00ED4424" w:rsidRDefault="00ED4424" w:rsidP="00704CE7">
      <w:pPr>
        <w:tabs>
          <w:tab w:val="center" w:pos="4680"/>
        </w:tabs>
        <w:suppressAutoHyphens/>
        <w:spacing w:line="360" w:lineRule="auto"/>
        <w:rPr>
          <w:bCs/>
          <w:spacing w:val="-3"/>
        </w:rPr>
      </w:pPr>
    </w:p>
    <w:p w:rsidR="00B63B40" w:rsidRDefault="00222BBB" w:rsidP="00704CE7">
      <w:pPr>
        <w:tabs>
          <w:tab w:val="center" w:pos="4680"/>
        </w:tabs>
        <w:suppressAutoHyphens/>
        <w:spacing w:line="360" w:lineRule="auto"/>
        <w:ind w:firstLine="1440"/>
        <w:rPr>
          <w:bCs/>
          <w:spacing w:val="-3"/>
        </w:rPr>
      </w:pPr>
      <w:r>
        <w:rPr>
          <w:bCs/>
          <w:spacing w:val="-3"/>
        </w:rPr>
        <w:t xml:space="preserve">Mr. Noll alleges Columbia is threatening to terminate his gas utility service and that there are incorrect charges on his bill for service.  Mr. Noll also disputes Columbia’s records regarding the dates of payments made by him and claims he never received a “payment arrangement letter” from Columbia.  </w:t>
      </w:r>
    </w:p>
    <w:p w:rsidR="00B63B40" w:rsidRDefault="00B63B40" w:rsidP="00704CE7">
      <w:pPr>
        <w:tabs>
          <w:tab w:val="center" w:pos="4680"/>
        </w:tabs>
        <w:suppressAutoHyphens/>
        <w:spacing w:line="360" w:lineRule="auto"/>
        <w:ind w:firstLine="1440"/>
        <w:rPr>
          <w:bCs/>
          <w:spacing w:val="-3"/>
        </w:rPr>
      </w:pPr>
    </w:p>
    <w:p w:rsidR="005D6D91" w:rsidRDefault="00222BBB" w:rsidP="00B63B40">
      <w:pPr>
        <w:tabs>
          <w:tab w:val="center" w:pos="4680"/>
        </w:tabs>
        <w:suppressAutoHyphens/>
        <w:spacing w:line="360" w:lineRule="auto"/>
        <w:ind w:firstLine="1440"/>
        <w:rPr>
          <w:bCs/>
          <w:spacing w:val="-3"/>
        </w:rPr>
      </w:pPr>
      <w:r>
        <w:rPr>
          <w:bCs/>
          <w:spacing w:val="-3"/>
        </w:rPr>
        <w:t>At the hearing, Mr. Noll did not offer</w:t>
      </w:r>
      <w:r w:rsidR="00B81BF3">
        <w:rPr>
          <w:bCs/>
          <w:spacing w:val="-3"/>
        </w:rPr>
        <w:t xml:space="preserve"> any </w:t>
      </w:r>
      <w:r>
        <w:rPr>
          <w:bCs/>
          <w:spacing w:val="-3"/>
        </w:rPr>
        <w:t xml:space="preserve">evidence that Columbia failed to comply with the termination provisions and rules contained in the </w:t>
      </w:r>
      <w:r w:rsidR="005D6D91">
        <w:rPr>
          <w:bCs/>
          <w:spacing w:val="-3"/>
        </w:rPr>
        <w:t xml:space="preserve">Code.  </w:t>
      </w:r>
      <w:r w:rsidR="006362CD">
        <w:rPr>
          <w:bCs/>
          <w:spacing w:val="-3"/>
        </w:rPr>
        <w:t xml:space="preserve">He did not offer any evidence that his bills for utility service are incorrect.  </w:t>
      </w:r>
      <w:r w:rsidR="00B81BF3">
        <w:rPr>
          <w:bCs/>
          <w:spacing w:val="-3"/>
        </w:rPr>
        <w:t>He also did not offer any evidence regarding the dates of payments made by him that are different from those listed in Columbia’</w:t>
      </w:r>
      <w:r w:rsidR="00B63B40">
        <w:rPr>
          <w:bCs/>
          <w:spacing w:val="-3"/>
        </w:rPr>
        <w:t>s business records.</w:t>
      </w:r>
      <w:r w:rsidR="005D6D91">
        <w:rPr>
          <w:bCs/>
          <w:spacing w:val="-3"/>
        </w:rPr>
        <w:t xml:space="preserve">  Consequently, he has failed to meet his burden of proof regarding any of these claims.  </w:t>
      </w:r>
    </w:p>
    <w:p w:rsidR="006362CD" w:rsidRDefault="006362CD" w:rsidP="00B63B40">
      <w:pPr>
        <w:tabs>
          <w:tab w:val="center" w:pos="4680"/>
        </w:tabs>
        <w:suppressAutoHyphens/>
        <w:spacing w:line="360" w:lineRule="auto"/>
        <w:ind w:firstLine="1440"/>
        <w:rPr>
          <w:bCs/>
          <w:spacing w:val="-3"/>
        </w:rPr>
      </w:pPr>
    </w:p>
    <w:p w:rsidR="002D6E1A" w:rsidRDefault="00040421" w:rsidP="005D6D91">
      <w:pPr>
        <w:tabs>
          <w:tab w:val="center" w:pos="4680"/>
        </w:tabs>
        <w:suppressAutoHyphens/>
        <w:spacing w:line="360" w:lineRule="auto"/>
        <w:ind w:firstLine="1440"/>
      </w:pPr>
      <w:r>
        <w:rPr>
          <w:bCs/>
          <w:spacing w:val="-3"/>
        </w:rPr>
        <w:t xml:space="preserve">According to Mr. Noll, Columbia and he entered into a payment arrangement with a budget amount of $134.00 per month.  His chief complaint is that the budget amount was increased by Columbia.  </w:t>
      </w:r>
      <w:r w:rsidR="003C5575">
        <w:rPr>
          <w:bCs/>
          <w:spacing w:val="-3"/>
        </w:rPr>
        <w:t xml:space="preserve">He argues Columbia should have honored his payment plan.  </w:t>
      </w:r>
      <w:proofErr w:type="gramStart"/>
      <w:r w:rsidR="003C5575">
        <w:rPr>
          <w:bCs/>
          <w:spacing w:val="-3"/>
        </w:rPr>
        <w:t>Tr. 14.</w:t>
      </w:r>
      <w:proofErr w:type="gramEnd"/>
      <w:r w:rsidR="003C5575">
        <w:rPr>
          <w:bCs/>
          <w:spacing w:val="-3"/>
        </w:rPr>
        <w:t xml:space="preserve">  </w:t>
      </w:r>
      <w:r>
        <w:rPr>
          <w:bCs/>
          <w:spacing w:val="-3"/>
        </w:rPr>
        <w:t xml:space="preserve">He opined that </w:t>
      </w:r>
      <w:r>
        <w:rPr>
          <w:bCs/>
          <w:spacing w:val="-3"/>
        </w:rPr>
        <w:lastRenderedPageBreak/>
        <w:t xml:space="preserve">Columbia should not be permitted to increase the budget amount; that he did not know it could be increased; and that he did not receive notice that the budget amount could be increased or that it would be increased.  Tr. 13-14.     </w:t>
      </w:r>
      <w:r w:rsidR="002D6E1A">
        <w:tab/>
      </w:r>
      <w:r w:rsidR="002D6E1A">
        <w:tab/>
      </w:r>
    </w:p>
    <w:p w:rsidR="00097837" w:rsidRDefault="00097837" w:rsidP="006227B9">
      <w:pPr>
        <w:tabs>
          <w:tab w:val="left" w:pos="-720"/>
        </w:tabs>
        <w:suppressAutoHyphens/>
        <w:spacing w:line="360" w:lineRule="auto"/>
      </w:pPr>
    </w:p>
    <w:p w:rsidR="00097837" w:rsidRDefault="00097837" w:rsidP="006227B9">
      <w:pPr>
        <w:tabs>
          <w:tab w:val="left" w:pos="-720"/>
        </w:tabs>
        <w:suppressAutoHyphens/>
        <w:spacing w:line="360" w:lineRule="auto"/>
      </w:pPr>
      <w:r>
        <w:tab/>
      </w:r>
      <w:r>
        <w:tab/>
      </w:r>
      <w:r w:rsidR="00A2588C">
        <w:t>The applicable law pertaining to the establishment and availability of equal monthly billing or budget billing is set for</w:t>
      </w:r>
      <w:r w:rsidR="00613C63">
        <w:t>th</w:t>
      </w:r>
      <w:bookmarkStart w:id="0" w:name="_GoBack"/>
      <w:bookmarkEnd w:id="0"/>
      <w:r w:rsidR="00A2588C">
        <w:t xml:space="preserve"> in the Commission’s regulations.  Section 56.12(7) of the regulations provides as follows:</w:t>
      </w:r>
    </w:p>
    <w:p w:rsidR="006362CD" w:rsidRDefault="006362CD" w:rsidP="00EC525A">
      <w:pPr>
        <w:tabs>
          <w:tab w:val="left" w:pos="-720"/>
        </w:tabs>
        <w:suppressAutoHyphens/>
      </w:pPr>
    </w:p>
    <w:p w:rsidR="00A2588C" w:rsidRDefault="00A2588C" w:rsidP="00A2588C">
      <w:pPr>
        <w:tabs>
          <w:tab w:val="left" w:pos="-720"/>
        </w:tabs>
        <w:suppressAutoHyphens/>
        <w:ind w:left="1440" w:right="1440"/>
      </w:pPr>
      <w:r>
        <w:t> (7)  </w:t>
      </w:r>
      <w:r>
        <w:rPr>
          <w:i/>
          <w:iCs/>
        </w:rPr>
        <w:t xml:space="preserve">Budget billing. </w:t>
      </w:r>
      <w:r>
        <w:t>A gas, electric and steam heating public utility shall provide its residential customers, on a year-round rolling enrollment basis, with an optional billing procedure which averages estimated public utility service costs over a 10-month, 11</w:t>
      </w:r>
      <w:r w:rsidR="00A10D40">
        <w:noBreakHyphen/>
      </w:r>
      <w:r>
        <w:t xml:space="preserve">month or 12-month period to eliminate, to the extent possible, seasonal fluctuations in utility bills. </w:t>
      </w:r>
      <w:r w:rsidRPr="00C27688">
        <w:rPr>
          <w:u w:val="single"/>
        </w:rPr>
        <w:t>The public utility shall review accounts at least three times during the optional billing period.</w:t>
      </w:r>
      <w:r>
        <w:t xml:space="preserve"> At the conclusion of the budget billing year, a resulting reconciliation amount exceeding $100 but less than $300 shall be, at the request of the customer, amortized over a 6-month period. Reconciliation amounts exceeding $300 shall be amortized over at least a 12</w:t>
      </w:r>
      <w:r w:rsidR="00A10D40">
        <w:noBreakHyphen/>
      </w:r>
      <w:r>
        <w:t>month period at the request of the customer. Shorter amortization periods are permissible at the request of the customer.</w:t>
      </w:r>
    </w:p>
    <w:p w:rsidR="00A2588C" w:rsidRDefault="00A2588C" w:rsidP="006227B9">
      <w:pPr>
        <w:tabs>
          <w:tab w:val="left" w:pos="-720"/>
        </w:tabs>
        <w:suppressAutoHyphens/>
        <w:spacing w:line="360" w:lineRule="auto"/>
      </w:pPr>
    </w:p>
    <w:p w:rsidR="00A2588C" w:rsidRDefault="00A2588C" w:rsidP="006227B9">
      <w:pPr>
        <w:tabs>
          <w:tab w:val="left" w:pos="-720"/>
        </w:tabs>
        <w:suppressAutoHyphens/>
        <w:spacing w:line="360" w:lineRule="auto"/>
      </w:pPr>
      <w:r>
        <w:t>52 Pa Code §56.12(7)</w:t>
      </w:r>
      <w:r w:rsidR="00A10D40">
        <w:t xml:space="preserve"> </w:t>
      </w:r>
      <w:r w:rsidR="00C27688">
        <w:t>(emphasis added).</w:t>
      </w:r>
    </w:p>
    <w:p w:rsidR="00A2588C" w:rsidRDefault="00A2588C" w:rsidP="006227B9">
      <w:pPr>
        <w:tabs>
          <w:tab w:val="left" w:pos="-720"/>
        </w:tabs>
        <w:suppressAutoHyphens/>
        <w:spacing w:line="360" w:lineRule="auto"/>
      </w:pPr>
    </w:p>
    <w:p w:rsidR="00C4437C" w:rsidRDefault="00660843" w:rsidP="006227B9">
      <w:pPr>
        <w:tabs>
          <w:tab w:val="left" w:pos="-720"/>
        </w:tabs>
        <w:suppressAutoHyphens/>
        <w:spacing w:line="360" w:lineRule="auto"/>
      </w:pPr>
      <w:r>
        <w:tab/>
      </w:r>
      <w:r>
        <w:tab/>
        <w:t>The Commission issued a Fina</w:t>
      </w:r>
      <w:r w:rsidR="006362CD">
        <w:t>l Interpretative Order on June 2</w:t>
      </w:r>
      <w:r>
        <w:t>, 2006</w:t>
      </w:r>
      <w:r w:rsidR="00A13B29">
        <w:t xml:space="preserve"> regarding 52</w:t>
      </w:r>
      <w:r w:rsidR="008F0368">
        <w:t> </w:t>
      </w:r>
      <w:r w:rsidR="00A13B29">
        <w:t>Pa Code §56.12(7) pertaining to the establishment and availability of equal monthly billing or budget billing for utility customers.</w:t>
      </w:r>
      <w:r w:rsidR="00C27688">
        <w:rPr>
          <w:rStyle w:val="FootnoteReference"/>
        </w:rPr>
        <w:footnoteReference w:id="3"/>
      </w:r>
      <w:r w:rsidR="00A13B29">
        <w:t xml:space="preserve">  </w:t>
      </w:r>
      <w:r w:rsidR="00816280" w:rsidRPr="00816280">
        <w:rPr>
          <w:u w:val="single"/>
        </w:rPr>
        <w:t>In re:</w:t>
      </w:r>
      <w:r w:rsidR="00816280">
        <w:rPr>
          <w:u w:val="single"/>
        </w:rPr>
        <w:t xml:space="preserve"> Insuring Consistent Application of </w:t>
      </w:r>
      <w:r w:rsidR="00816280" w:rsidRPr="00816280">
        <w:rPr>
          <w:u w:val="single"/>
        </w:rPr>
        <w:t>52 Pa Code §56.12(7)</w:t>
      </w:r>
      <w:r w:rsidR="00816280">
        <w:rPr>
          <w:u w:val="single"/>
        </w:rPr>
        <w:t xml:space="preserve"> Equal Monthly </w:t>
      </w:r>
      <w:r w:rsidR="00816280" w:rsidRPr="00DA6C67">
        <w:rPr>
          <w:u w:val="single"/>
        </w:rPr>
        <w:t>Billing</w:t>
      </w:r>
      <w:r w:rsidR="00816280">
        <w:t xml:space="preserve">, Docket No. M-00051925 (Order entered June 2, 2006).  </w:t>
      </w:r>
      <w:r w:rsidRPr="00816280">
        <w:t>That</w:t>
      </w:r>
      <w:r>
        <w:t xml:space="preserve"> order set forth the elements which are essential to an acceptable budget billing program.</w:t>
      </w:r>
      <w:r w:rsidR="006362CD">
        <w:t xml:space="preserve">  Petitions for Reconsideration of the Commission’s Final Interpretive Order entered on June 2, 2006 at Docket No. M-00051925, were filed.  Those Petitions for Reconsideration were granted in part consistent with the Commission Order entered on November 1</w:t>
      </w:r>
      <w:r w:rsidR="00C4437C">
        <w:t xml:space="preserve">4, 2006.  </w:t>
      </w:r>
      <w:r w:rsidR="006362CD">
        <w:t xml:space="preserve"> </w:t>
      </w:r>
      <w:r w:rsidR="00C4437C" w:rsidRPr="00C4437C">
        <w:rPr>
          <w:i/>
        </w:rPr>
        <w:t>See</w:t>
      </w:r>
      <w:r w:rsidR="00C4437C">
        <w:rPr>
          <w:i/>
        </w:rPr>
        <w:t xml:space="preserve">, </w:t>
      </w:r>
      <w:r w:rsidR="00C4437C" w:rsidRPr="00C4437C">
        <w:rPr>
          <w:u w:val="single"/>
        </w:rPr>
        <w:t xml:space="preserve">In </w:t>
      </w:r>
      <w:r w:rsidR="00C4437C" w:rsidRPr="00816280">
        <w:rPr>
          <w:u w:val="single"/>
        </w:rPr>
        <w:t>re:</w:t>
      </w:r>
      <w:r w:rsidR="00C4437C">
        <w:rPr>
          <w:u w:val="single"/>
        </w:rPr>
        <w:t xml:space="preserve"> </w:t>
      </w:r>
      <w:r w:rsidR="00C4437C">
        <w:rPr>
          <w:u w:val="single"/>
        </w:rPr>
        <w:lastRenderedPageBreak/>
        <w:t xml:space="preserve">Insuring Consistent Application of </w:t>
      </w:r>
      <w:r w:rsidR="00C4437C" w:rsidRPr="00816280">
        <w:rPr>
          <w:u w:val="single"/>
        </w:rPr>
        <w:t>52 Pa Code §56.12(7)</w:t>
      </w:r>
      <w:r w:rsidR="00C4437C">
        <w:rPr>
          <w:u w:val="single"/>
        </w:rPr>
        <w:t xml:space="preserve"> Equal Monthly </w:t>
      </w:r>
      <w:r w:rsidR="00C4437C" w:rsidRPr="00DA6C67">
        <w:rPr>
          <w:u w:val="single"/>
        </w:rPr>
        <w:t>Billing</w:t>
      </w:r>
      <w:r w:rsidR="00C4437C">
        <w:t>, Docket No. M</w:t>
      </w:r>
      <w:r w:rsidR="004C73C5">
        <w:noBreakHyphen/>
      </w:r>
      <w:r w:rsidR="00C4437C">
        <w:t xml:space="preserve">00051925 (Order entered November 14, 2006).  </w:t>
      </w:r>
    </w:p>
    <w:p w:rsidR="00C4437C" w:rsidRDefault="00C4437C" w:rsidP="006227B9">
      <w:pPr>
        <w:tabs>
          <w:tab w:val="left" w:pos="-720"/>
        </w:tabs>
        <w:suppressAutoHyphens/>
        <w:spacing w:line="360" w:lineRule="auto"/>
      </w:pPr>
    </w:p>
    <w:p w:rsidR="00C27688" w:rsidRDefault="00C4437C" w:rsidP="006227B9">
      <w:pPr>
        <w:tabs>
          <w:tab w:val="left" w:pos="-720"/>
        </w:tabs>
        <w:suppressAutoHyphens/>
        <w:spacing w:line="360" w:lineRule="auto"/>
      </w:pPr>
      <w:r>
        <w:tab/>
      </w:r>
      <w:r>
        <w:tab/>
        <w:t>In the Order entered on November 14, 2006, the Commission deleted the prohibition on “winter true-ups”</w:t>
      </w:r>
      <w:r w:rsidR="004345A8">
        <w:rPr>
          <w:rStyle w:val="FootnoteReference"/>
        </w:rPr>
        <w:footnoteReference w:id="4"/>
      </w:r>
      <w:r>
        <w:t xml:space="preserve"> from the interpretive rule.  </w:t>
      </w:r>
      <w:proofErr w:type="gramStart"/>
      <w:r>
        <w:rPr>
          <w:i/>
          <w:u w:val="single"/>
        </w:rPr>
        <w:t>Id.</w:t>
      </w:r>
      <w:r>
        <w:t xml:space="preserve"> at 14.</w:t>
      </w:r>
      <w:proofErr w:type="gramEnd"/>
      <w:r>
        <w:t xml:space="preserve">  The Commission opined that “if the budget billing amount is reviewed and adjusted periodically, the true-up amount should not be substantial.”  </w:t>
      </w:r>
      <w:r>
        <w:rPr>
          <w:i/>
          <w:u w:val="single"/>
        </w:rPr>
        <w:t>Id.</w:t>
      </w:r>
      <w:r>
        <w:t xml:space="preserve">  The Commission directed utilities to exercise good judgment regarding these “true-ups” and </w:t>
      </w:r>
      <w:r w:rsidR="00C27688">
        <w:t>“</w:t>
      </w:r>
      <w:r>
        <w:t>to manage their budget billing programs in a manner designed to avoid large winter true-ups for heating customers.</w:t>
      </w:r>
      <w:r w:rsidR="00C27688">
        <w:t xml:space="preserve">”  </w:t>
      </w:r>
      <w:r w:rsidR="00C27688">
        <w:rPr>
          <w:i/>
          <w:u w:val="single"/>
        </w:rPr>
        <w:t>Id.</w:t>
      </w:r>
      <w:r w:rsidR="00C27688">
        <w:t xml:space="preserve">  </w:t>
      </w:r>
    </w:p>
    <w:p w:rsidR="00C27688" w:rsidRDefault="00C27688" w:rsidP="006227B9">
      <w:pPr>
        <w:tabs>
          <w:tab w:val="left" w:pos="-720"/>
        </w:tabs>
        <w:suppressAutoHyphens/>
        <w:spacing w:line="360" w:lineRule="auto"/>
      </w:pPr>
    </w:p>
    <w:p w:rsidR="00ED4424" w:rsidRDefault="00C27688" w:rsidP="006227B9">
      <w:pPr>
        <w:tabs>
          <w:tab w:val="left" w:pos="-720"/>
        </w:tabs>
        <w:suppressAutoHyphens/>
        <w:spacing w:line="360" w:lineRule="auto"/>
      </w:pPr>
      <w:r>
        <w:tab/>
      </w:r>
      <w:r>
        <w:tab/>
        <w:t>Mr. Noll objects to periodic adjustments to his budget billing base amount.</w:t>
      </w:r>
      <w:r w:rsidR="000D691C">
        <w:t xml:space="preserve">  The applicable regulation, 52 Pa Code §56.12(7), requires </w:t>
      </w:r>
      <w:r w:rsidR="000D691C" w:rsidRPr="000D691C">
        <w:t xml:space="preserve">public utilities </w:t>
      </w:r>
      <w:r w:rsidR="000D691C">
        <w:t>to</w:t>
      </w:r>
      <w:r w:rsidR="000D691C" w:rsidRPr="000D691C">
        <w:t xml:space="preserve"> review accounts </w:t>
      </w:r>
      <w:r w:rsidR="000D691C" w:rsidRPr="000D691C">
        <w:rPr>
          <w:i/>
        </w:rPr>
        <w:t>at least</w:t>
      </w:r>
      <w:r w:rsidR="000D691C" w:rsidRPr="000D691C">
        <w:t xml:space="preserve"> three times during the optional billing period</w:t>
      </w:r>
      <w:r w:rsidR="000D691C">
        <w:t>.</w:t>
      </w:r>
      <w:r w:rsidR="000D691C">
        <w:rPr>
          <w:rStyle w:val="FootnoteReference"/>
        </w:rPr>
        <w:footnoteReference w:id="5"/>
      </w:r>
      <w:r w:rsidR="000D691C">
        <w:t xml:space="preserve">  </w:t>
      </w:r>
      <w:r w:rsidR="000D691C">
        <w:rPr>
          <w:bCs/>
          <w:spacing w:val="-3"/>
        </w:rPr>
        <w:t xml:space="preserve">Columbia recalculates the base budget amount periodically.  At minimum, the base budget amount is recalculated in May, August, October and January.  </w:t>
      </w:r>
      <w:proofErr w:type="gramStart"/>
      <w:r w:rsidR="000D691C">
        <w:rPr>
          <w:bCs/>
          <w:spacing w:val="-3"/>
        </w:rPr>
        <w:t>Tr. 21.</w:t>
      </w:r>
      <w:proofErr w:type="gramEnd"/>
      <w:r w:rsidR="000D691C">
        <w:rPr>
          <w:bCs/>
          <w:spacing w:val="-3"/>
        </w:rPr>
        <w:t xml:space="preserve">  Columbia is not prohibited by the applicable regulation from adjusting the base budget amount more than three times</w:t>
      </w:r>
      <w:r w:rsidR="00ED4424">
        <w:rPr>
          <w:bCs/>
          <w:spacing w:val="-3"/>
        </w:rPr>
        <w:t xml:space="preserve"> </w:t>
      </w:r>
      <w:r w:rsidR="000D691C">
        <w:rPr>
          <w:bCs/>
          <w:spacing w:val="-3"/>
        </w:rPr>
        <w:t xml:space="preserve">during the optional billing period, which in Columbia’s case is a 12-month period.  The regulation requires </w:t>
      </w:r>
      <w:r w:rsidR="000D691C">
        <w:rPr>
          <w:bCs/>
          <w:i/>
          <w:spacing w:val="-3"/>
        </w:rPr>
        <w:t xml:space="preserve">at </w:t>
      </w:r>
      <w:proofErr w:type="gramStart"/>
      <w:r w:rsidR="000D691C">
        <w:rPr>
          <w:bCs/>
          <w:i/>
          <w:spacing w:val="-3"/>
        </w:rPr>
        <w:t>least</w:t>
      </w:r>
      <w:r w:rsidR="000D691C">
        <w:rPr>
          <w:bCs/>
          <w:spacing w:val="-3"/>
        </w:rPr>
        <w:t xml:space="preserve"> </w:t>
      </w:r>
      <w:r w:rsidR="00ED4424">
        <w:rPr>
          <w:bCs/>
          <w:spacing w:val="-3"/>
        </w:rPr>
        <w:t xml:space="preserve"> three</w:t>
      </w:r>
      <w:proofErr w:type="gramEnd"/>
      <w:r w:rsidR="00ED4424">
        <w:rPr>
          <w:bCs/>
          <w:spacing w:val="-3"/>
        </w:rPr>
        <w:t xml:space="preserve"> </w:t>
      </w:r>
      <w:r w:rsidR="000D691C">
        <w:rPr>
          <w:bCs/>
          <w:spacing w:val="-3"/>
        </w:rPr>
        <w:t>reviews of the account during the 12</w:t>
      </w:r>
      <w:r w:rsidR="001869F1">
        <w:rPr>
          <w:bCs/>
          <w:spacing w:val="-3"/>
        </w:rPr>
        <w:noBreakHyphen/>
      </w:r>
      <w:r w:rsidR="000D691C">
        <w:rPr>
          <w:bCs/>
          <w:spacing w:val="-3"/>
        </w:rPr>
        <w:t xml:space="preserve">month period.  </w:t>
      </w:r>
      <w:r w:rsidR="000D691C">
        <w:rPr>
          <w:bCs/>
          <w:i/>
          <w:spacing w:val="-3"/>
        </w:rPr>
        <w:t>See</w:t>
      </w:r>
      <w:r w:rsidR="000D691C">
        <w:rPr>
          <w:bCs/>
          <w:spacing w:val="-3"/>
        </w:rPr>
        <w:t xml:space="preserve"> </w:t>
      </w:r>
      <w:r w:rsidR="000D691C">
        <w:t>52 Pa Code §56.12(7)</w:t>
      </w:r>
      <w:r w:rsidR="00ED4424">
        <w:t xml:space="preserve">.  It does not prohibit more than three reviews.  </w:t>
      </w:r>
    </w:p>
    <w:p w:rsidR="00ED4424" w:rsidRDefault="00ED4424" w:rsidP="006227B9">
      <w:pPr>
        <w:tabs>
          <w:tab w:val="left" w:pos="-720"/>
        </w:tabs>
        <w:suppressAutoHyphens/>
        <w:spacing w:line="360" w:lineRule="auto"/>
      </w:pPr>
    </w:p>
    <w:p w:rsidR="00193EED" w:rsidRDefault="00ED4424" w:rsidP="002B46E5">
      <w:pPr>
        <w:tabs>
          <w:tab w:val="left" w:pos="-720"/>
        </w:tabs>
        <w:suppressAutoHyphens/>
        <w:spacing w:line="360" w:lineRule="auto"/>
      </w:pPr>
      <w:r>
        <w:tab/>
      </w:r>
      <w:r>
        <w:tab/>
        <w:t xml:space="preserve">Columbia’s policy of reviewing budget billing accounts at least four times during the optional billing period is consistent with the Commission’s Final Interpretive Order addressing budget billing.  Periodic reviews and adjustments to the base budget billing amount will reduce the amount of the “true-up” </w:t>
      </w:r>
      <w:r w:rsidR="008978EF">
        <w:t>a</w:t>
      </w:r>
      <w:r>
        <w:t>t the conclusion of the optional billing period.  This benefits</w:t>
      </w:r>
      <w:r w:rsidR="00193EED">
        <w:t xml:space="preserve"> Columbia, Mr. Noll and </w:t>
      </w:r>
      <w:r>
        <w:t xml:space="preserve">all other ratepayers as well.  The fact that Columbia has adjusted Mr. Noll’s budget billing amount upward is not a violation of the Code, a Commission regulation or any Commission Order.  </w:t>
      </w:r>
      <w:r w:rsidR="000D691C">
        <w:t xml:space="preserve">     </w:t>
      </w:r>
    </w:p>
    <w:p w:rsidR="00193EED" w:rsidRDefault="00193EED" w:rsidP="002B46E5">
      <w:pPr>
        <w:tabs>
          <w:tab w:val="left" w:pos="-720"/>
        </w:tabs>
        <w:suppressAutoHyphens/>
        <w:spacing w:line="360" w:lineRule="auto"/>
      </w:pPr>
    </w:p>
    <w:p w:rsidR="003A1F27" w:rsidRDefault="00193EED" w:rsidP="002B46E5">
      <w:pPr>
        <w:tabs>
          <w:tab w:val="left" w:pos="-720"/>
        </w:tabs>
        <w:suppressAutoHyphens/>
        <w:spacing w:line="360" w:lineRule="auto"/>
        <w:rPr>
          <w:bCs/>
          <w:spacing w:val="-3"/>
        </w:rPr>
      </w:pPr>
      <w:r>
        <w:lastRenderedPageBreak/>
        <w:tab/>
      </w:r>
      <w:r>
        <w:tab/>
        <w:t xml:space="preserve">Columbia’s witness, </w:t>
      </w:r>
      <w:r w:rsidR="00CA1FF1">
        <w:rPr>
          <w:bCs/>
          <w:spacing w:val="-3"/>
        </w:rPr>
        <w:t xml:space="preserve">Kathy K. </w:t>
      </w:r>
      <w:proofErr w:type="spellStart"/>
      <w:r w:rsidR="00CA1FF1">
        <w:rPr>
          <w:bCs/>
          <w:spacing w:val="-3"/>
        </w:rPr>
        <w:t>Dittenhafer</w:t>
      </w:r>
      <w:proofErr w:type="spellEnd"/>
      <w:r w:rsidR="00CA1FF1">
        <w:t xml:space="preserve">, </w:t>
      </w:r>
      <w:r>
        <w:t>testified credibly</w:t>
      </w:r>
      <w:r w:rsidR="00CA1FF1">
        <w:t xml:space="preserve">.  She testified that </w:t>
      </w:r>
      <w:r>
        <w:t xml:space="preserve">when Columbia enters into a budget payment arrangement with a customer a letter is sent to the customer which advises the customer that the base budget amount </w:t>
      </w:r>
      <w:r>
        <w:rPr>
          <w:bCs/>
          <w:spacing w:val="-3"/>
        </w:rPr>
        <w:t xml:space="preserve">is subject to change.  </w:t>
      </w:r>
      <w:proofErr w:type="gramStart"/>
      <w:r>
        <w:rPr>
          <w:bCs/>
          <w:spacing w:val="-3"/>
        </w:rPr>
        <w:t>Tr. 22.</w:t>
      </w:r>
      <w:proofErr w:type="gramEnd"/>
      <w:r w:rsidR="003A1F27">
        <w:rPr>
          <w:bCs/>
          <w:spacing w:val="-3"/>
        </w:rPr>
        <w:t xml:space="preserve">  She further testified credibly that when a customer’s base budget amount is adjusted, a message is printed on the first page of the bill which provides, “the base budget amount on your payment plan has been revised.”  Tr. 21-22. </w:t>
      </w:r>
      <w:r>
        <w:rPr>
          <w:bCs/>
          <w:spacing w:val="-3"/>
        </w:rPr>
        <w:t xml:space="preserve">     </w:t>
      </w:r>
    </w:p>
    <w:p w:rsidR="003A1F27" w:rsidRDefault="003A1F27" w:rsidP="002B46E5">
      <w:pPr>
        <w:tabs>
          <w:tab w:val="left" w:pos="-720"/>
        </w:tabs>
        <w:suppressAutoHyphens/>
        <w:spacing w:line="360" w:lineRule="auto"/>
        <w:rPr>
          <w:bCs/>
          <w:spacing w:val="-3"/>
        </w:rPr>
      </w:pPr>
    </w:p>
    <w:p w:rsidR="003A1F27" w:rsidRDefault="003A1F27" w:rsidP="002B46E5">
      <w:pPr>
        <w:tabs>
          <w:tab w:val="left" w:pos="-720"/>
        </w:tabs>
        <w:suppressAutoHyphens/>
        <w:spacing w:line="360" w:lineRule="auto"/>
        <w:rPr>
          <w:bCs/>
          <w:spacing w:val="-3"/>
        </w:rPr>
      </w:pPr>
      <w:r>
        <w:rPr>
          <w:bCs/>
          <w:spacing w:val="-3"/>
        </w:rPr>
        <w:tab/>
      </w:r>
      <w:r>
        <w:rPr>
          <w:bCs/>
          <w:spacing w:val="-3"/>
        </w:rPr>
        <w:tab/>
      </w:r>
      <w:r w:rsidR="00936C8D">
        <w:rPr>
          <w:bCs/>
          <w:spacing w:val="-3"/>
        </w:rPr>
        <w:t>Accordingly, t</w:t>
      </w:r>
      <w:r>
        <w:rPr>
          <w:bCs/>
          <w:spacing w:val="-3"/>
        </w:rPr>
        <w:t xml:space="preserve">he Complaint is dismissed in the ordering paragraphs to follow for failure to meet the burden of proof.  </w:t>
      </w:r>
      <w:proofErr w:type="gramStart"/>
      <w:r>
        <w:rPr>
          <w:bCs/>
          <w:spacing w:val="-3"/>
        </w:rPr>
        <w:t xml:space="preserve">66 Pa. C.S. </w:t>
      </w:r>
      <w:r w:rsidRPr="00960D05">
        <w:t>§332(a).</w:t>
      </w:r>
      <w:proofErr w:type="gramEnd"/>
      <w:r w:rsidRPr="00960D05">
        <w:t xml:space="preserve"> </w:t>
      </w:r>
      <w:r>
        <w:t xml:space="preserve"> </w:t>
      </w:r>
    </w:p>
    <w:p w:rsidR="009D02CA" w:rsidRDefault="00193EED" w:rsidP="002B46E5">
      <w:pPr>
        <w:tabs>
          <w:tab w:val="left" w:pos="-720"/>
        </w:tabs>
        <w:suppressAutoHyphens/>
        <w:spacing w:line="360" w:lineRule="auto"/>
        <w:rPr>
          <w:u w:val="single"/>
        </w:rPr>
      </w:pPr>
      <w:r>
        <w:rPr>
          <w:bCs/>
          <w:spacing w:val="-3"/>
        </w:rPr>
        <w:t xml:space="preserve"> </w:t>
      </w:r>
      <w:r w:rsidRPr="00A64A91">
        <w:rPr>
          <w:bCs/>
          <w:spacing w:val="-3"/>
        </w:rPr>
        <w:t xml:space="preserve">  </w:t>
      </w:r>
      <w:r w:rsidRPr="00A64A91">
        <w:rPr>
          <w:b/>
          <w:bCs/>
          <w:spacing w:val="-3"/>
        </w:rPr>
        <w:t xml:space="preserve"> </w:t>
      </w:r>
      <w:r>
        <w:t xml:space="preserve"> </w:t>
      </w:r>
      <w:r w:rsidR="00C27688" w:rsidRPr="000D691C">
        <w:t xml:space="preserve">    </w:t>
      </w:r>
      <w:r w:rsidR="00C4437C" w:rsidRPr="000D691C">
        <w:t xml:space="preserve"> </w:t>
      </w:r>
      <w:r w:rsidR="006362CD" w:rsidRPr="000D691C">
        <w:t xml:space="preserve"> </w:t>
      </w:r>
      <w:r w:rsidR="00660843" w:rsidRPr="000D691C">
        <w:t xml:space="preserve">   </w:t>
      </w:r>
    </w:p>
    <w:p w:rsidR="002D6E1A" w:rsidRDefault="002D6E1A" w:rsidP="002D6E1A">
      <w:pPr>
        <w:spacing w:line="360" w:lineRule="auto"/>
        <w:jc w:val="center"/>
        <w:rPr>
          <w:u w:val="single"/>
        </w:rPr>
      </w:pPr>
      <w:r w:rsidRPr="008C4C7D">
        <w:rPr>
          <w:u w:val="single"/>
        </w:rPr>
        <w:t>CONCLUSIONS OF LAW</w:t>
      </w:r>
    </w:p>
    <w:p w:rsidR="002D6E1A" w:rsidRDefault="002D6E1A" w:rsidP="002D6E1A">
      <w:pPr>
        <w:spacing w:line="360" w:lineRule="auto"/>
        <w:jc w:val="center"/>
        <w:rPr>
          <w:u w:val="single"/>
        </w:rPr>
      </w:pPr>
    </w:p>
    <w:p w:rsidR="002D6E1A" w:rsidRDefault="002D6E1A" w:rsidP="002D6E1A">
      <w:pPr>
        <w:spacing w:line="360" w:lineRule="auto"/>
      </w:pPr>
      <w:r>
        <w:tab/>
      </w:r>
      <w:r>
        <w:tab/>
        <w:t>1.</w:t>
      </w:r>
      <w:r>
        <w:tab/>
        <w:t>The Commission has jurisdiction over the parties and the subject matter of this proceeding.  66 Pa. C.S. §§701, 1501.</w:t>
      </w:r>
    </w:p>
    <w:p w:rsidR="002D6E1A" w:rsidRDefault="002D6E1A" w:rsidP="002D6E1A">
      <w:pPr>
        <w:spacing w:line="360" w:lineRule="auto"/>
      </w:pPr>
    </w:p>
    <w:p w:rsidR="002D6E1A" w:rsidRDefault="002D6E1A" w:rsidP="002D6E1A">
      <w:pPr>
        <w:spacing w:line="360" w:lineRule="auto"/>
      </w:pPr>
      <w:r>
        <w:tab/>
      </w:r>
      <w:r>
        <w:tab/>
        <w:t>2.</w:t>
      </w:r>
      <w:r>
        <w:tab/>
        <w:t>Complainant bear</w:t>
      </w:r>
      <w:r w:rsidR="000633A5">
        <w:t>s</w:t>
      </w:r>
      <w:r>
        <w:t xml:space="preserve"> the burden of proving </w:t>
      </w:r>
      <w:r w:rsidR="000633A5">
        <w:t>his</w:t>
      </w:r>
      <w:r>
        <w:t xml:space="preserve"> entitlement to relief from the Commission.  66 Pa. C.S. §332(a).</w:t>
      </w:r>
    </w:p>
    <w:p w:rsidR="002D6E1A" w:rsidRDefault="002D6E1A" w:rsidP="002D6E1A">
      <w:pPr>
        <w:spacing w:line="360" w:lineRule="auto"/>
      </w:pPr>
    </w:p>
    <w:p w:rsidR="002D6E1A" w:rsidRDefault="002D6E1A" w:rsidP="002D6E1A">
      <w:pPr>
        <w:suppressAutoHyphens/>
        <w:spacing w:line="360" w:lineRule="auto"/>
      </w:pPr>
      <w:r>
        <w:tab/>
      </w:r>
      <w:r>
        <w:tab/>
      </w:r>
      <w:r w:rsidRPr="00960D05">
        <w:t>3.</w:t>
      </w:r>
      <w:r w:rsidRPr="00960D05">
        <w:tab/>
        <w:t xml:space="preserve">“Burden of proof” means the duty to establish one’s case by a preponderance of the evidence, which requires that the evidence be more convincing by even the smallest amount, than the evidence presented by the other side.  </w:t>
      </w:r>
      <w:r w:rsidRPr="00960D05">
        <w:rPr>
          <w:u w:val="single"/>
        </w:rPr>
        <w:t xml:space="preserve">Samuel J. </w:t>
      </w:r>
      <w:proofErr w:type="spellStart"/>
      <w:r w:rsidRPr="00960D05">
        <w:rPr>
          <w:u w:val="single"/>
        </w:rPr>
        <w:t>Lansberry</w:t>
      </w:r>
      <w:proofErr w:type="spellEnd"/>
      <w:r w:rsidRPr="00960D05">
        <w:rPr>
          <w:u w:val="single"/>
        </w:rPr>
        <w:t>, Inc. v. Pa. P.U.C.</w:t>
      </w:r>
      <w:r w:rsidRPr="00960D05">
        <w:t xml:space="preserve">, 578 A.2d 600, 602 (1990), </w:t>
      </w:r>
      <w:proofErr w:type="spellStart"/>
      <w:r w:rsidRPr="00960D05">
        <w:rPr>
          <w:u w:val="single"/>
        </w:rPr>
        <w:t>alloc</w:t>
      </w:r>
      <w:proofErr w:type="spellEnd"/>
      <w:r w:rsidRPr="00960D05">
        <w:rPr>
          <w:u w:val="single"/>
        </w:rPr>
        <w:t>. den.</w:t>
      </w:r>
      <w:r w:rsidRPr="00960D05">
        <w:t>, 602 A.2d 863 (1992).</w:t>
      </w:r>
    </w:p>
    <w:p w:rsidR="002D6E1A" w:rsidRDefault="002D6E1A" w:rsidP="002D6E1A">
      <w:pPr>
        <w:suppressAutoHyphens/>
        <w:spacing w:line="360" w:lineRule="auto"/>
      </w:pPr>
    </w:p>
    <w:p w:rsidR="002D6E1A" w:rsidRDefault="002D6E1A" w:rsidP="00DF1364">
      <w:pPr>
        <w:suppressAutoHyphens/>
        <w:spacing w:line="360" w:lineRule="auto"/>
      </w:pPr>
      <w:r>
        <w:tab/>
      </w:r>
      <w:r>
        <w:tab/>
        <w:t>4.</w:t>
      </w:r>
      <w:r>
        <w:tab/>
      </w:r>
      <w:r w:rsidR="00DF1364">
        <w:t>Complainant has</w:t>
      </w:r>
      <w:r w:rsidR="00494B9F">
        <w:t xml:space="preserve"> failed to</w:t>
      </w:r>
      <w:r w:rsidR="00DF1364">
        <w:t xml:space="preserve"> me</w:t>
      </w:r>
      <w:r w:rsidR="00494B9F">
        <w:t>e</w:t>
      </w:r>
      <w:r w:rsidR="00DF1364">
        <w:t>t his burden of pro</w:t>
      </w:r>
      <w:r w:rsidR="00494B9F">
        <w:t>of</w:t>
      </w:r>
      <w:r w:rsidR="00DF1364">
        <w:t xml:space="preserve">.  </w:t>
      </w:r>
      <w:proofErr w:type="gramStart"/>
      <w:r w:rsidR="00DF1364">
        <w:t>66 Pa. C.S. §332(a).</w:t>
      </w:r>
      <w:proofErr w:type="gramEnd"/>
    </w:p>
    <w:p w:rsidR="002D6E1A" w:rsidRDefault="002D6E1A" w:rsidP="002D6E1A">
      <w:pPr>
        <w:suppressAutoHyphens/>
        <w:spacing w:line="360" w:lineRule="auto"/>
      </w:pPr>
    </w:p>
    <w:p w:rsidR="009D02CA" w:rsidRDefault="00DF1364" w:rsidP="00EF164C">
      <w:pPr>
        <w:suppressAutoHyphens/>
        <w:spacing w:line="360" w:lineRule="auto"/>
      </w:pPr>
      <w:r>
        <w:tab/>
      </w:r>
      <w:r>
        <w:tab/>
        <w:t>5</w:t>
      </w:r>
      <w:r w:rsidR="002D6E1A">
        <w:t>.</w:t>
      </w:r>
      <w:r>
        <w:tab/>
      </w:r>
      <w:r w:rsidR="004E2FFD">
        <w:t xml:space="preserve">Public utilities are required to review budget billing accounts at least three times during the optional billing period.  </w:t>
      </w:r>
      <w:proofErr w:type="gramStart"/>
      <w:r w:rsidR="004E2FFD">
        <w:t>52 Pa Code §56.12(7).</w:t>
      </w:r>
      <w:proofErr w:type="gramEnd"/>
      <w:r w:rsidR="004E2FFD">
        <w:t xml:space="preserve"> </w:t>
      </w:r>
    </w:p>
    <w:p w:rsidR="00597AAB" w:rsidRDefault="00597AAB" w:rsidP="00EF164C">
      <w:pPr>
        <w:suppressAutoHyphens/>
        <w:spacing w:line="360" w:lineRule="auto"/>
        <w:rPr>
          <w:u w:val="single"/>
        </w:rPr>
      </w:pPr>
    </w:p>
    <w:p w:rsidR="008D4A5B" w:rsidRDefault="008D4A5B" w:rsidP="002D6E1A">
      <w:pPr>
        <w:suppressAutoHyphens/>
        <w:spacing w:line="360" w:lineRule="auto"/>
        <w:jc w:val="center"/>
        <w:rPr>
          <w:u w:val="single"/>
        </w:rPr>
      </w:pPr>
    </w:p>
    <w:p w:rsidR="008D4A5B" w:rsidRDefault="008D4A5B" w:rsidP="002D6E1A">
      <w:pPr>
        <w:suppressAutoHyphens/>
        <w:spacing w:line="360" w:lineRule="auto"/>
        <w:jc w:val="center"/>
        <w:rPr>
          <w:u w:val="single"/>
        </w:rPr>
      </w:pPr>
    </w:p>
    <w:p w:rsidR="00441166" w:rsidRDefault="00441166" w:rsidP="002D6E1A">
      <w:pPr>
        <w:suppressAutoHyphens/>
        <w:spacing w:line="360" w:lineRule="auto"/>
        <w:jc w:val="center"/>
        <w:rPr>
          <w:u w:val="single"/>
        </w:rPr>
      </w:pPr>
    </w:p>
    <w:p w:rsidR="002D6E1A" w:rsidRPr="00960B6B" w:rsidRDefault="002D6E1A" w:rsidP="002D6E1A">
      <w:pPr>
        <w:suppressAutoHyphens/>
        <w:spacing w:line="360" w:lineRule="auto"/>
        <w:jc w:val="center"/>
      </w:pPr>
      <w:r w:rsidRPr="00960D05">
        <w:rPr>
          <w:u w:val="single"/>
        </w:rPr>
        <w:lastRenderedPageBreak/>
        <w:t>ORDER</w:t>
      </w:r>
    </w:p>
    <w:p w:rsidR="002D6E1A" w:rsidRPr="00960D05" w:rsidRDefault="002D6E1A" w:rsidP="002D6E1A">
      <w:pPr>
        <w:suppressAutoHyphens/>
        <w:spacing w:line="360" w:lineRule="auto"/>
        <w:jc w:val="center"/>
        <w:rPr>
          <w:u w:val="single"/>
        </w:rPr>
      </w:pPr>
    </w:p>
    <w:p w:rsidR="002D6E1A" w:rsidRPr="00960D05" w:rsidRDefault="002D6E1A" w:rsidP="002D6E1A">
      <w:pPr>
        <w:suppressAutoHyphens/>
        <w:spacing w:line="360" w:lineRule="auto"/>
        <w:jc w:val="center"/>
        <w:rPr>
          <w:u w:val="single"/>
        </w:rPr>
      </w:pPr>
    </w:p>
    <w:p w:rsidR="002D6E1A" w:rsidRPr="00960D05" w:rsidRDefault="002D6E1A" w:rsidP="002D6E1A">
      <w:pPr>
        <w:suppressAutoHyphens/>
        <w:spacing w:line="360" w:lineRule="auto"/>
      </w:pPr>
      <w:r w:rsidRPr="00960D05">
        <w:tab/>
      </w:r>
      <w:r w:rsidRPr="00960D05">
        <w:tab/>
        <w:t>THEREFORE,</w:t>
      </w:r>
    </w:p>
    <w:p w:rsidR="002D6E1A" w:rsidRPr="00960D05" w:rsidRDefault="002D6E1A" w:rsidP="002D6E1A">
      <w:pPr>
        <w:suppressAutoHyphens/>
        <w:spacing w:line="360" w:lineRule="auto"/>
      </w:pPr>
    </w:p>
    <w:p w:rsidR="002D6E1A" w:rsidRPr="00960D05" w:rsidRDefault="002D6E1A" w:rsidP="002D6E1A">
      <w:pPr>
        <w:suppressAutoHyphens/>
        <w:spacing w:line="360" w:lineRule="auto"/>
      </w:pPr>
      <w:r w:rsidRPr="00960D05">
        <w:tab/>
      </w:r>
      <w:r w:rsidRPr="00960D05">
        <w:tab/>
        <w:t>IT IS ORDERED:</w:t>
      </w:r>
    </w:p>
    <w:p w:rsidR="002D6E1A" w:rsidRPr="00960D05" w:rsidRDefault="002D6E1A" w:rsidP="002D6E1A">
      <w:pPr>
        <w:suppressAutoHyphens/>
        <w:spacing w:line="360" w:lineRule="auto"/>
      </w:pPr>
    </w:p>
    <w:p w:rsidR="007D526C" w:rsidRDefault="002D6E1A" w:rsidP="0099753F">
      <w:pPr>
        <w:pStyle w:val="ListParagraph"/>
        <w:numPr>
          <w:ilvl w:val="0"/>
          <w:numId w:val="9"/>
        </w:numPr>
        <w:tabs>
          <w:tab w:val="center" w:pos="0"/>
        </w:tabs>
        <w:suppressAutoHyphens/>
        <w:spacing w:line="360" w:lineRule="auto"/>
        <w:ind w:left="0" w:firstLine="1440"/>
      </w:pPr>
      <w:r>
        <w:t xml:space="preserve">That the Formal Complaint of </w:t>
      </w:r>
      <w:r w:rsidR="00EF164C">
        <w:t xml:space="preserve">Stephen J. Noll filed </w:t>
      </w:r>
      <w:r w:rsidR="00EF164C" w:rsidRPr="0099753F">
        <w:rPr>
          <w:bCs/>
          <w:spacing w:val="-3"/>
        </w:rPr>
        <w:t>on March 11, 2013, at Docket No. C-2013-2353658</w:t>
      </w:r>
      <w:r>
        <w:t xml:space="preserve">, against </w:t>
      </w:r>
      <w:r w:rsidR="00EF164C">
        <w:t>Columbia Gas of Pennsylvania, Inc.</w:t>
      </w:r>
      <w:r w:rsidR="00DF1364">
        <w:t>, is dismissed.</w:t>
      </w:r>
    </w:p>
    <w:p w:rsidR="002D6E1A" w:rsidRDefault="00DF1364" w:rsidP="007D526C">
      <w:pPr>
        <w:pStyle w:val="ListParagraph"/>
        <w:suppressAutoHyphens/>
        <w:spacing w:line="360" w:lineRule="auto"/>
        <w:ind w:left="2160"/>
      </w:pPr>
      <w:r>
        <w:t xml:space="preserve"> </w:t>
      </w:r>
    </w:p>
    <w:p w:rsidR="00DF1364" w:rsidRPr="009D02CA" w:rsidRDefault="002D6E1A" w:rsidP="00DF1364">
      <w:pPr>
        <w:pStyle w:val="BodyText"/>
        <w:ind w:left="1440"/>
        <w:jc w:val="left"/>
        <w:rPr>
          <w:sz w:val="24"/>
          <w:szCs w:val="24"/>
        </w:rPr>
      </w:pPr>
      <w:r w:rsidRPr="009D02CA">
        <w:rPr>
          <w:sz w:val="24"/>
          <w:szCs w:val="24"/>
        </w:rPr>
        <w:t>2.</w:t>
      </w:r>
      <w:r w:rsidRPr="009D02CA">
        <w:rPr>
          <w:sz w:val="24"/>
          <w:szCs w:val="24"/>
        </w:rPr>
        <w:tab/>
      </w:r>
      <w:r w:rsidR="00DF1364" w:rsidRPr="009D02CA">
        <w:rPr>
          <w:sz w:val="24"/>
          <w:szCs w:val="24"/>
        </w:rPr>
        <w:t xml:space="preserve">That the Docket in this proceeding, Docket No. </w:t>
      </w:r>
      <w:r w:rsidR="00EF164C" w:rsidRPr="008B5CE4">
        <w:rPr>
          <w:bCs/>
          <w:spacing w:val="-3"/>
          <w:sz w:val="24"/>
          <w:szCs w:val="24"/>
        </w:rPr>
        <w:t>C-2013-2353658</w:t>
      </w:r>
      <w:r w:rsidR="00DF1364" w:rsidRPr="009D02CA">
        <w:rPr>
          <w:sz w:val="24"/>
          <w:szCs w:val="24"/>
        </w:rPr>
        <w:t>, be</w:t>
      </w:r>
    </w:p>
    <w:p w:rsidR="001E2E86" w:rsidRPr="009D02CA" w:rsidRDefault="00DF1364" w:rsidP="00215117">
      <w:pPr>
        <w:pStyle w:val="BodyText"/>
        <w:jc w:val="left"/>
        <w:rPr>
          <w:sz w:val="24"/>
          <w:szCs w:val="24"/>
        </w:rPr>
      </w:pPr>
      <w:r w:rsidRPr="009D02CA">
        <w:rPr>
          <w:sz w:val="24"/>
          <w:szCs w:val="24"/>
        </w:rPr>
        <w:t>marked closed.</w:t>
      </w:r>
    </w:p>
    <w:p w:rsidR="00716AAB" w:rsidRDefault="00716AAB" w:rsidP="00716AAB">
      <w:pPr>
        <w:spacing w:line="360" w:lineRule="auto"/>
      </w:pPr>
    </w:p>
    <w:p w:rsidR="006E31D9" w:rsidRDefault="00AC06A4" w:rsidP="00AC06A4">
      <w:r w:rsidRPr="00430224">
        <w:tab/>
      </w:r>
      <w:r w:rsidRPr="00430224">
        <w:tab/>
      </w:r>
      <w:r w:rsidRPr="00430224">
        <w:tab/>
      </w:r>
      <w:r w:rsidRPr="00430224">
        <w:tab/>
      </w:r>
      <w:r w:rsidRPr="00430224">
        <w:tab/>
      </w:r>
      <w:r w:rsidRPr="00430224">
        <w:tab/>
      </w:r>
      <w:r w:rsidRPr="00430224">
        <w:tab/>
      </w:r>
      <w:r w:rsidRPr="00430224">
        <w:tab/>
      </w:r>
    </w:p>
    <w:p w:rsidR="006E31D9" w:rsidRDefault="006E31D9" w:rsidP="00716AAB">
      <w:pPr>
        <w:spacing w:line="360" w:lineRule="auto"/>
      </w:pPr>
    </w:p>
    <w:p w:rsidR="00AC06A4" w:rsidRPr="00430224" w:rsidRDefault="00716AAB" w:rsidP="00AC06A4">
      <w:r>
        <w:t xml:space="preserve">Date:  </w:t>
      </w:r>
      <w:r w:rsidR="00407915">
        <w:rPr>
          <w:u w:val="single"/>
        </w:rPr>
        <w:t>A</w:t>
      </w:r>
      <w:r w:rsidR="00EF164C">
        <w:rPr>
          <w:u w:val="single"/>
        </w:rPr>
        <w:t>ugust 6, 2013</w:t>
      </w:r>
      <w:r w:rsidR="001E2E86">
        <w:tab/>
      </w:r>
      <w:r w:rsidR="00AC06A4">
        <w:tab/>
      </w:r>
      <w:r w:rsidR="00AC06A4">
        <w:tab/>
      </w:r>
      <w:r w:rsidR="00AC06A4">
        <w:tab/>
      </w:r>
      <w:r w:rsidR="00AC06A4">
        <w:tab/>
      </w:r>
      <w:r w:rsidR="00EF164C">
        <w:tab/>
      </w:r>
      <w:r w:rsidR="00AC06A4" w:rsidRPr="00430224">
        <w:rPr>
          <w:u w:val="single"/>
        </w:rPr>
        <w:tab/>
      </w:r>
      <w:r w:rsidR="00AC06A4" w:rsidRPr="00430224">
        <w:rPr>
          <w:u w:val="single"/>
        </w:rPr>
        <w:tab/>
        <w:t>/s/</w:t>
      </w:r>
      <w:r w:rsidR="00AC06A4" w:rsidRPr="00430224">
        <w:rPr>
          <w:u w:val="single"/>
        </w:rPr>
        <w:tab/>
      </w:r>
      <w:r w:rsidR="00AC06A4" w:rsidRPr="00430224">
        <w:rPr>
          <w:u w:val="single"/>
        </w:rPr>
        <w:tab/>
      </w:r>
      <w:r w:rsidR="00AC06A4" w:rsidRPr="00430224">
        <w:rPr>
          <w:u w:val="single"/>
        </w:rPr>
        <w:tab/>
      </w:r>
    </w:p>
    <w:p w:rsidR="009C6383" w:rsidRDefault="001E2E86" w:rsidP="009C6383">
      <w:pPr>
        <w:rPr>
          <w:rFonts w:ascii="Microsoft Sans Serif" w:hAnsi="Microsoft Sans Serif" w:cs="Microsoft Sans Serif"/>
          <w:b/>
          <w:caps/>
          <w:noProof/>
        </w:rPr>
      </w:pPr>
      <w:r>
        <w:tab/>
      </w:r>
      <w:r>
        <w:tab/>
      </w:r>
      <w:r w:rsidR="00AC06A4">
        <w:tab/>
      </w:r>
      <w:r w:rsidR="00AC06A4">
        <w:tab/>
      </w:r>
      <w:r w:rsidR="00AC06A4">
        <w:tab/>
      </w:r>
      <w:r w:rsidR="00AC06A4">
        <w:tab/>
      </w:r>
      <w:r w:rsidR="00AC06A4">
        <w:tab/>
      </w:r>
      <w:r w:rsidR="00AC06A4">
        <w:tab/>
        <w:t>Mark A. Hoyer</w:t>
      </w:r>
      <w:r w:rsidR="00AC06A4">
        <w:tab/>
      </w:r>
      <w:r w:rsidR="00F400CA">
        <w:tab/>
      </w:r>
      <w:r w:rsidR="006E31D9">
        <w:tab/>
      </w:r>
      <w:r>
        <w:tab/>
      </w:r>
      <w:r>
        <w:tab/>
      </w:r>
      <w:r>
        <w:tab/>
      </w:r>
      <w:r>
        <w:tab/>
      </w:r>
      <w:r>
        <w:tab/>
      </w:r>
      <w:r w:rsidR="002F56A9">
        <w:tab/>
      </w:r>
      <w:r w:rsidR="002F56A9">
        <w:tab/>
      </w:r>
      <w:r w:rsidR="00C17209">
        <w:tab/>
      </w:r>
      <w:r>
        <w:t>Administrative Law Judge</w:t>
      </w:r>
    </w:p>
    <w:p w:rsidR="009C6383" w:rsidRDefault="009C6383" w:rsidP="009C6383">
      <w:pPr>
        <w:rPr>
          <w:rFonts w:ascii="Microsoft Sans Serif" w:hAnsi="Microsoft Sans Serif" w:cs="Microsoft Sans Serif"/>
          <w:b/>
          <w:caps/>
          <w:noProof/>
        </w:rPr>
      </w:pPr>
    </w:p>
    <w:sectPr w:rsidR="009C6383" w:rsidSect="00DC0895">
      <w:footerReference w:type="even" r:id="rId9"/>
      <w:footerReference w:type="default" r:id="rId10"/>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D8D" w:rsidRDefault="00816D8D">
      <w:r>
        <w:separator/>
      </w:r>
    </w:p>
  </w:endnote>
  <w:endnote w:type="continuationSeparator" w:id="0">
    <w:p w:rsidR="00816D8D" w:rsidRDefault="0081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4AFB" w:rsidRDefault="00194A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B" w:rsidRPr="00DE456F" w:rsidRDefault="00194AFB" w:rsidP="00B67CCA">
    <w:pPr>
      <w:pStyle w:val="Footer"/>
      <w:framePr w:wrap="around" w:vAnchor="text" w:hAnchor="margin" w:xAlign="center" w:y="1"/>
      <w:rPr>
        <w:rStyle w:val="PageNumber"/>
        <w:sz w:val="20"/>
        <w:szCs w:val="20"/>
      </w:rPr>
    </w:pPr>
    <w:r w:rsidRPr="00DE456F">
      <w:rPr>
        <w:rStyle w:val="PageNumber"/>
        <w:sz w:val="20"/>
        <w:szCs w:val="20"/>
      </w:rPr>
      <w:fldChar w:fldCharType="begin"/>
    </w:r>
    <w:r w:rsidRPr="00DE456F">
      <w:rPr>
        <w:rStyle w:val="PageNumber"/>
        <w:sz w:val="20"/>
        <w:szCs w:val="20"/>
      </w:rPr>
      <w:instrText xml:space="preserve">PAGE  </w:instrText>
    </w:r>
    <w:r w:rsidRPr="00DE456F">
      <w:rPr>
        <w:rStyle w:val="PageNumber"/>
        <w:sz w:val="20"/>
        <w:szCs w:val="20"/>
      </w:rPr>
      <w:fldChar w:fldCharType="separate"/>
    </w:r>
    <w:r w:rsidR="00613C63">
      <w:rPr>
        <w:rStyle w:val="PageNumber"/>
        <w:noProof/>
        <w:sz w:val="20"/>
        <w:szCs w:val="20"/>
      </w:rPr>
      <w:t>5</w:t>
    </w:r>
    <w:r w:rsidRPr="00DE456F">
      <w:rPr>
        <w:rStyle w:val="PageNumber"/>
        <w:sz w:val="20"/>
        <w:szCs w:val="20"/>
      </w:rPr>
      <w:fldChar w:fldCharType="end"/>
    </w:r>
  </w:p>
  <w:p w:rsidR="00194AFB" w:rsidRDefault="00194A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D8D" w:rsidRDefault="00816D8D">
      <w:r>
        <w:separator/>
      </w:r>
    </w:p>
  </w:footnote>
  <w:footnote w:type="continuationSeparator" w:id="0">
    <w:p w:rsidR="00816D8D" w:rsidRDefault="00816D8D">
      <w:r>
        <w:continuationSeparator/>
      </w:r>
    </w:p>
  </w:footnote>
  <w:footnote w:id="1">
    <w:p w:rsidR="0048370A" w:rsidRDefault="0048370A">
      <w:pPr>
        <w:pStyle w:val="FootnoteText"/>
      </w:pPr>
      <w:r>
        <w:rPr>
          <w:rStyle w:val="FootnoteReference"/>
        </w:rPr>
        <w:footnoteRef/>
      </w:r>
      <w:r>
        <w:t xml:space="preserve"> In his Complaint, Mr. Noll did not specify what payment records were in dispute.  The dates and amounts of any disputed payments were not averred by him.  </w:t>
      </w:r>
      <w:r>
        <w:rPr>
          <w:bCs/>
          <w:i/>
          <w:spacing w:val="-3"/>
        </w:rPr>
        <w:t>See</w:t>
      </w:r>
      <w:r>
        <w:rPr>
          <w:bCs/>
          <w:spacing w:val="-3"/>
        </w:rPr>
        <w:t xml:space="preserve"> Formal Complaint Form, p. 3, ¶5.</w:t>
      </w:r>
      <w:r>
        <w:t xml:space="preserve">  </w:t>
      </w:r>
    </w:p>
  </w:footnote>
  <w:footnote w:id="2">
    <w:p w:rsidR="00A7107D" w:rsidRDefault="00A7107D">
      <w:pPr>
        <w:pStyle w:val="FootnoteText"/>
      </w:pPr>
      <w:r>
        <w:rPr>
          <w:rStyle w:val="FootnoteReference"/>
        </w:rPr>
        <w:footnoteRef/>
      </w:r>
      <w:r>
        <w:t xml:space="preserve"> The proposed exhibits I received included a cover letter dated April 26, 201</w:t>
      </w:r>
      <w:r w:rsidR="00965818">
        <w:t>3</w:t>
      </w:r>
      <w:r>
        <w:t>.  The cover letter advised that the proposed e</w:t>
      </w:r>
      <w:r w:rsidR="00521904">
        <w:t xml:space="preserve">xhibits were sent to Mr. Noll’s verified address.  </w:t>
      </w:r>
    </w:p>
  </w:footnote>
  <w:footnote w:id="3">
    <w:p w:rsidR="00C27688" w:rsidRDefault="00C27688">
      <w:pPr>
        <w:pStyle w:val="FootnoteText"/>
      </w:pPr>
      <w:r>
        <w:rPr>
          <w:rStyle w:val="FootnoteReference"/>
        </w:rPr>
        <w:footnoteRef/>
      </w:r>
      <w:r>
        <w:t xml:space="preserve"> The order is an interpretive rule which does not establish a binding standard of conduct, and need not be promulgated in accordance with the Commonwealth Documents Law.  </w:t>
      </w:r>
      <w:r>
        <w:rPr>
          <w:u w:val="single"/>
        </w:rPr>
        <w:t xml:space="preserve">Lowing v. Public School </w:t>
      </w:r>
      <w:proofErr w:type="spellStart"/>
      <w:r>
        <w:rPr>
          <w:u w:val="single"/>
        </w:rPr>
        <w:t>Employes</w:t>
      </w:r>
      <w:proofErr w:type="spellEnd"/>
      <w:r>
        <w:rPr>
          <w:u w:val="single"/>
        </w:rPr>
        <w:t xml:space="preserve">’ Retirement </w:t>
      </w:r>
      <w:proofErr w:type="gramStart"/>
      <w:r>
        <w:rPr>
          <w:u w:val="single"/>
        </w:rPr>
        <w:t>Board</w:t>
      </w:r>
      <w:r>
        <w:t xml:space="preserve"> ,</w:t>
      </w:r>
      <w:proofErr w:type="gramEnd"/>
      <w:r>
        <w:t xml:space="preserve"> 776 A. 2d 306, 309 (2001).  The Final Interpretive Rule was issued by the Commission to provide beneficial and necessary guidance to utilities and ratepayers.  </w:t>
      </w:r>
    </w:p>
  </w:footnote>
  <w:footnote w:id="4">
    <w:p w:rsidR="004345A8" w:rsidRDefault="004345A8">
      <w:pPr>
        <w:pStyle w:val="FootnoteText"/>
      </w:pPr>
      <w:r>
        <w:rPr>
          <w:rStyle w:val="FootnoteReference"/>
        </w:rPr>
        <w:footnoteRef/>
      </w:r>
      <w:r>
        <w:t xml:space="preserve"> A “true up” is a reconciliation of the account balance at the conclusion of the optional billing period.  The amount of </w:t>
      </w:r>
      <w:proofErr w:type="spellStart"/>
      <w:r>
        <w:t>over</w:t>
      </w:r>
      <w:r w:rsidR="007A4471">
        <w:t>collection</w:t>
      </w:r>
      <w:proofErr w:type="spellEnd"/>
      <w:r>
        <w:t xml:space="preserve"> or </w:t>
      </w:r>
      <w:proofErr w:type="spellStart"/>
      <w:r>
        <w:t>under</w:t>
      </w:r>
      <w:r w:rsidR="007A4471">
        <w:t>collection</w:t>
      </w:r>
      <w:proofErr w:type="spellEnd"/>
      <w:r>
        <w:t xml:space="preserve"> for the optional billing period is calculated.  </w:t>
      </w:r>
    </w:p>
    <w:p w:rsidR="0040629B" w:rsidRDefault="0040629B">
      <w:pPr>
        <w:pStyle w:val="FootnoteText"/>
      </w:pPr>
    </w:p>
  </w:footnote>
  <w:footnote w:id="5">
    <w:p w:rsidR="000D691C" w:rsidRDefault="000D691C">
      <w:pPr>
        <w:pStyle w:val="FootnoteText"/>
      </w:pPr>
      <w:r>
        <w:rPr>
          <w:rStyle w:val="FootnoteReference"/>
        </w:rPr>
        <w:footnoteRef/>
      </w:r>
      <w:r>
        <w:t xml:space="preserve"> Section 56.12(7) provides that the optional billing period can be 10 months, 11 months or 12 months.  </w:t>
      </w:r>
      <w:proofErr w:type="gramStart"/>
      <w:r>
        <w:t>52 Pa Code §56.12(7).</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BFB3F7B"/>
    <w:multiLevelType w:val="singleLevel"/>
    <w:tmpl w:val="2FAAD3F0"/>
    <w:lvl w:ilvl="0">
      <w:start w:val="1"/>
      <w:numFmt w:val="decimal"/>
      <w:lvlText w:val="%1."/>
      <w:lvlJc w:val="left"/>
      <w:pPr>
        <w:tabs>
          <w:tab w:val="num" w:pos="1440"/>
        </w:tabs>
        <w:ind w:left="1440" w:hanging="720"/>
      </w:pPr>
      <w:rPr>
        <w:rFonts w:hint="default"/>
      </w:rPr>
    </w:lvl>
  </w:abstractNum>
  <w:abstractNum w:abstractNumId="3">
    <w:nsid w:val="1C58165B"/>
    <w:multiLevelType w:val="hybridMultilevel"/>
    <w:tmpl w:val="E9D2C1A4"/>
    <w:lvl w:ilvl="0" w:tplc="B180E6F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9F6EB6"/>
    <w:multiLevelType w:val="singleLevel"/>
    <w:tmpl w:val="22267E04"/>
    <w:lvl w:ilvl="0">
      <w:start w:val="5"/>
      <w:numFmt w:val="decimal"/>
      <w:lvlText w:val="%1."/>
      <w:lvlJc w:val="left"/>
      <w:pPr>
        <w:tabs>
          <w:tab w:val="num" w:pos="1080"/>
        </w:tabs>
        <w:ind w:left="1080" w:hanging="360"/>
      </w:pPr>
      <w:rPr>
        <w:rFonts w:hint="default"/>
      </w:rPr>
    </w:lvl>
  </w:abstractNum>
  <w:abstractNum w:abstractNumId="5">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7">
    <w:nsid w:val="308D4BAA"/>
    <w:multiLevelType w:val="hybridMultilevel"/>
    <w:tmpl w:val="54967192"/>
    <w:lvl w:ilvl="0" w:tplc="BE122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0B00396"/>
    <w:multiLevelType w:val="hybridMultilevel"/>
    <w:tmpl w:val="918AC684"/>
    <w:lvl w:ilvl="0" w:tplc="6F5A51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DE"/>
    <w:rsid w:val="00040421"/>
    <w:rsid w:val="00050631"/>
    <w:rsid w:val="0005482B"/>
    <w:rsid w:val="0005531D"/>
    <w:rsid w:val="00061995"/>
    <w:rsid w:val="000633A5"/>
    <w:rsid w:val="00064EDE"/>
    <w:rsid w:val="00067F72"/>
    <w:rsid w:val="000712FC"/>
    <w:rsid w:val="00075B0B"/>
    <w:rsid w:val="0008222C"/>
    <w:rsid w:val="00097837"/>
    <w:rsid w:val="000A6BEF"/>
    <w:rsid w:val="000C2D7F"/>
    <w:rsid w:val="000D24B3"/>
    <w:rsid w:val="000D50A8"/>
    <w:rsid w:val="000D691C"/>
    <w:rsid w:val="000F65CE"/>
    <w:rsid w:val="00100825"/>
    <w:rsid w:val="00105FFF"/>
    <w:rsid w:val="001355C6"/>
    <w:rsid w:val="00142577"/>
    <w:rsid w:val="001630FD"/>
    <w:rsid w:val="00166968"/>
    <w:rsid w:val="001814F0"/>
    <w:rsid w:val="0018497A"/>
    <w:rsid w:val="001869F1"/>
    <w:rsid w:val="0019298D"/>
    <w:rsid w:val="00193EED"/>
    <w:rsid w:val="00194AFB"/>
    <w:rsid w:val="001C677E"/>
    <w:rsid w:val="001D1C1F"/>
    <w:rsid w:val="001E037A"/>
    <w:rsid w:val="001E2E86"/>
    <w:rsid w:val="001E5C17"/>
    <w:rsid w:val="001F0A10"/>
    <w:rsid w:val="001F15B0"/>
    <w:rsid w:val="00205198"/>
    <w:rsid w:val="00215117"/>
    <w:rsid w:val="00222BBB"/>
    <w:rsid w:val="0023359A"/>
    <w:rsid w:val="002360F8"/>
    <w:rsid w:val="0023796F"/>
    <w:rsid w:val="002455E0"/>
    <w:rsid w:val="00245CBE"/>
    <w:rsid w:val="00253591"/>
    <w:rsid w:val="00260415"/>
    <w:rsid w:val="00284C00"/>
    <w:rsid w:val="00292F6E"/>
    <w:rsid w:val="00295301"/>
    <w:rsid w:val="002B46E5"/>
    <w:rsid w:val="002C375E"/>
    <w:rsid w:val="002D6E1A"/>
    <w:rsid w:val="002F0A55"/>
    <w:rsid w:val="002F56A9"/>
    <w:rsid w:val="003039D2"/>
    <w:rsid w:val="00335CB6"/>
    <w:rsid w:val="00344861"/>
    <w:rsid w:val="00366BDD"/>
    <w:rsid w:val="00390295"/>
    <w:rsid w:val="003902BC"/>
    <w:rsid w:val="003A1F27"/>
    <w:rsid w:val="003A5378"/>
    <w:rsid w:val="003B5306"/>
    <w:rsid w:val="003C5575"/>
    <w:rsid w:val="003C557B"/>
    <w:rsid w:val="003C67F5"/>
    <w:rsid w:val="003F4D36"/>
    <w:rsid w:val="00402788"/>
    <w:rsid w:val="0040629B"/>
    <w:rsid w:val="00407915"/>
    <w:rsid w:val="004107F1"/>
    <w:rsid w:val="004345A8"/>
    <w:rsid w:val="00441166"/>
    <w:rsid w:val="0046084D"/>
    <w:rsid w:val="00480DDF"/>
    <w:rsid w:val="0048370A"/>
    <w:rsid w:val="00490973"/>
    <w:rsid w:val="00494B9F"/>
    <w:rsid w:val="004A4657"/>
    <w:rsid w:val="004A6EF7"/>
    <w:rsid w:val="004C73C5"/>
    <w:rsid w:val="004D0DAF"/>
    <w:rsid w:val="004E2FFD"/>
    <w:rsid w:val="004E5A32"/>
    <w:rsid w:val="004F1D40"/>
    <w:rsid w:val="00504085"/>
    <w:rsid w:val="00511FBF"/>
    <w:rsid w:val="00515EAA"/>
    <w:rsid w:val="00521904"/>
    <w:rsid w:val="0057175D"/>
    <w:rsid w:val="00587BC9"/>
    <w:rsid w:val="00597AAB"/>
    <w:rsid w:val="005A7FA4"/>
    <w:rsid w:val="005D6D91"/>
    <w:rsid w:val="005E3ACA"/>
    <w:rsid w:val="005E6288"/>
    <w:rsid w:val="005E69D4"/>
    <w:rsid w:val="005F5DDC"/>
    <w:rsid w:val="00613C63"/>
    <w:rsid w:val="006227B9"/>
    <w:rsid w:val="006362CD"/>
    <w:rsid w:val="00660843"/>
    <w:rsid w:val="006905D4"/>
    <w:rsid w:val="006A345E"/>
    <w:rsid w:val="006E2B37"/>
    <w:rsid w:val="006E31D9"/>
    <w:rsid w:val="006F7611"/>
    <w:rsid w:val="0070429F"/>
    <w:rsid w:val="00704CE7"/>
    <w:rsid w:val="00716AAB"/>
    <w:rsid w:val="00733021"/>
    <w:rsid w:val="00784F28"/>
    <w:rsid w:val="007A4471"/>
    <w:rsid w:val="007B04D7"/>
    <w:rsid w:val="007C53AF"/>
    <w:rsid w:val="007D526C"/>
    <w:rsid w:val="007E5DBB"/>
    <w:rsid w:val="007E7B14"/>
    <w:rsid w:val="007E7DBF"/>
    <w:rsid w:val="007F1061"/>
    <w:rsid w:val="00800539"/>
    <w:rsid w:val="00805438"/>
    <w:rsid w:val="00805C49"/>
    <w:rsid w:val="00805E74"/>
    <w:rsid w:val="00810510"/>
    <w:rsid w:val="00816280"/>
    <w:rsid w:val="00816D8D"/>
    <w:rsid w:val="0081750A"/>
    <w:rsid w:val="00820F5B"/>
    <w:rsid w:val="008275C8"/>
    <w:rsid w:val="0084463C"/>
    <w:rsid w:val="008978EF"/>
    <w:rsid w:val="008B2EBE"/>
    <w:rsid w:val="008B5CE4"/>
    <w:rsid w:val="008B729E"/>
    <w:rsid w:val="008D1943"/>
    <w:rsid w:val="008D4A5B"/>
    <w:rsid w:val="008F0368"/>
    <w:rsid w:val="00925D5E"/>
    <w:rsid w:val="0093120A"/>
    <w:rsid w:val="00936C8D"/>
    <w:rsid w:val="00942235"/>
    <w:rsid w:val="009635BE"/>
    <w:rsid w:val="00965818"/>
    <w:rsid w:val="00970ED0"/>
    <w:rsid w:val="00974B65"/>
    <w:rsid w:val="00980852"/>
    <w:rsid w:val="00991062"/>
    <w:rsid w:val="00992419"/>
    <w:rsid w:val="0099753F"/>
    <w:rsid w:val="009C0278"/>
    <w:rsid w:val="009C6383"/>
    <w:rsid w:val="009D02CA"/>
    <w:rsid w:val="009E0730"/>
    <w:rsid w:val="009F6778"/>
    <w:rsid w:val="00A06A3A"/>
    <w:rsid w:val="00A10D40"/>
    <w:rsid w:val="00A13B29"/>
    <w:rsid w:val="00A2588C"/>
    <w:rsid w:val="00A420EA"/>
    <w:rsid w:val="00A44FFE"/>
    <w:rsid w:val="00A64A91"/>
    <w:rsid w:val="00A7107D"/>
    <w:rsid w:val="00A730AC"/>
    <w:rsid w:val="00A814E9"/>
    <w:rsid w:val="00A9292E"/>
    <w:rsid w:val="00AC06A4"/>
    <w:rsid w:val="00AC198D"/>
    <w:rsid w:val="00AC6C96"/>
    <w:rsid w:val="00AE08A1"/>
    <w:rsid w:val="00AE7EB7"/>
    <w:rsid w:val="00B151EA"/>
    <w:rsid w:val="00B216AF"/>
    <w:rsid w:val="00B437E7"/>
    <w:rsid w:val="00B571E3"/>
    <w:rsid w:val="00B57879"/>
    <w:rsid w:val="00B63B40"/>
    <w:rsid w:val="00B65806"/>
    <w:rsid w:val="00B67CCA"/>
    <w:rsid w:val="00B81BF3"/>
    <w:rsid w:val="00B9058D"/>
    <w:rsid w:val="00BB050C"/>
    <w:rsid w:val="00BB6928"/>
    <w:rsid w:val="00BD1FA7"/>
    <w:rsid w:val="00C07927"/>
    <w:rsid w:val="00C13586"/>
    <w:rsid w:val="00C17209"/>
    <w:rsid w:val="00C273D7"/>
    <w:rsid w:val="00C27688"/>
    <w:rsid w:val="00C4437C"/>
    <w:rsid w:val="00C45B0E"/>
    <w:rsid w:val="00C74660"/>
    <w:rsid w:val="00C754AE"/>
    <w:rsid w:val="00CA1FF1"/>
    <w:rsid w:val="00CA270C"/>
    <w:rsid w:val="00CB1BC2"/>
    <w:rsid w:val="00CB22C4"/>
    <w:rsid w:val="00CB3BE0"/>
    <w:rsid w:val="00CC7C4F"/>
    <w:rsid w:val="00CD2433"/>
    <w:rsid w:val="00CE7973"/>
    <w:rsid w:val="00D13AB8"/>
    <w:rsid w:val="00D328F6"/>
    <w:rsid w:val="00D604D8"/>
    <w:rsid w:val="00D63374"/>
    <w:rsid w:val="00D90E32"/>
    <w:rsid w:val="00D90F70"/>
    <w:rsid w:val="00DA03EC"/>
    <w:rsid w:val="00DA27B0"/>
    <w:rsid w:val="00DA6C67"/>
    <w:rsid w:val="00DC0895"/>
    <w:rsid w:val="00DC1AD3"/>
    <w:rsid w:val="00DD7582"/>
    <w:rsid w:val="00DE456F"/>
    <w:rsid w:val="00DF1364"/>
    <w:rsid w:val="00DF7592"/>
    <w:rsid w:val="00E0225A"/>
    <w:rsid w:val="00E423B8"/>
    <w:rsid w:val="00E60632"/>
    <w:rsid w:val="00E72173"/>
    <w:rsid w:val="00E755A9"/>
    <w:rsid w:val="00E92094"/>
    <w:rsid w:val="00E95C99"/>
    <w:rsid w:val="00EA3A78"/>
    <w:rsid w:val="00EB5679"/>
    <w:rsid w:val="00EC3AFF"/>
    <w:rsid w:val="00EC525A"/>
    <w:rsid w:val="00EC6D62"/>
    <w:rsid w:val="00ED4424"/>
    <w:rsid w:val="00EF164C"/>
    <w:rsid w:val="00F008CB"/>
    <w:rsid w:val="00F172A9"/>
    <w:rsid w:val="00F270AE"/>
    <w:rsid w:val="00F35CDE"/>
    <w:rsid w:val="00F400CA"/>
    <w:rsid w:val="00F40D8C"/>
    <w:rsid w:val="00F866BD"/>
    <w:rsid w:val="00F94598"/>
    <w:rsid w:val="00FD192C"/>
    <w:rsid w:val="00FD44BA"/>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2D6E1A"/>
    <w:pPr>
      <w:tabs>
        <w:tab w:val="center" w:pos="4320"/>
        <w:tab w:val="right" w:pos="8640"/>
      </w:tabs>
      <w:autoSpaceDE w:val="0"/>
      <w:autoSpaceDN w:val="0"/>
    </w:pPr>
    <w:rPr>
      <w:rFonts w:ascii="CG Times (W1)" w:hAnsi="CG Times (W1)" w:cs="CG Times (W1)"/>
      <w:sz w:val="20"/>
      <w:szCs w:val="20"/>
    </w:rPr>
  </w:style>
  <w:style w:type="character" w:customStyle="1" w:styleId="HeaderChar">
    <w:name w:val="Header Char"/>
    <w:link w:val="Header"/>
    <w:rsid w:val="002D6E1A"/>
    <w:rPr>
      <w:rFonts w:ascii="CG Times (W1)" w:hAnsi="CG Times (W1)" w:cs="CG Times (W1)"/>
    </w:rPr>
  </w:style>
  <w:style w:type="paragraph" w:customStyle="1" w:styleId="ParaTab1">
    <w:name w:val="ParaTab 1"/>
    <w:rsid w:val="002D6E1A"/>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rsid w:val="002D6E1A"/>
    <w:pPr>
      <w:autoSpaceDE w:val="0"/>
      <w:autoSpaceDN w:val="0"/>
    </w:pPr>
    <w:rPr>
      <w:rFonts w:ascii="CG Times (W1)" w:hAnsi="CG Times (W1)" w:cs="CG Times (W1)"/>
      <w:sz w:val="20"/>
      <w:szCs w:val="20"/>
    </w:rPr>
  </w:style>
  <w:style w:type="character" w:customStyle="1" w:styleId="FootnoteTextChar">
    <w:name w:val="Footnote Text Char"/>
    <w:link w:val="FootnoteText"/>
    <w:rsid w:val="002D6E1A"/>
    <w:rPr>
      <w:rFonts w:ascii="CG Times (W1)" w:hAnsi="CG Times (W1)" w:cs="CG Times (W1)"/>
    </w:rPr>
  </w:style>
  <w:style w:type="character" w:styleId="FootnoteReference">
    <w:name w:val="footnote reference"/>
    <w:rsid w:val="002D6E1A"/>
    <w:rPr>
      <w:vertAlign w:val="superscript"/>
    </w:rPr>
  </w:style>
  <w:style w:type="paragraph" w:styleId="BlockText">
    <w:name w:val="Block Text"/>
    <w:basedOn w:val="Normal"/>
    <w:rsid w:val="002D6E1A"/>
    <w:pPr>
      <w:ind w:left="2160" w:right="1440" w:hanging="720"/>
    </w:pPr>
    <w:rPr>
      <w:rFonts w:ascii="Arial" w:hAnsi="Arial"/>
      <w:szCs w:val="20"/>
    </w:rPr>
  </w:style>
  <w:style w:type="paragraph" w:styleId="BodyText">
    <w:name w:val="Body Text"/>
    <w:basedOn w:val="Normal"/>
    <w:link w:val="BodyTextChar"/>
    <w:rsid w:val="00DF1364"/>
    <w:pPr>
      <w:spacing w:line="360" w:lineRule="auto"/>
      <w:jc w:val="both"/>
    </w:pPr>
    <w:rPr>
      <w:rFonts w:eastAsia="SimSun"/>
      <w:sz w:val="26"/>
      <w:szCs w:val="20"/>
    </w:rPr>
  </w:style>
  <w:style w:type="character" w:customStyle="1" w:styleId="BodyTextChar">
    <w:name w:val="Body Text Char"/>
    <w:link w:val="BodyText"/>
    <w:rsid w:val="00DF1364"/>
    <w:rPr>
      <w:rFonts w:eastAsia="SimSun"/>
      <w:sz w:val="26"/>
    </w:rPr>
  </w:style>
  <w:style w:type="paragraph" w:styleId="BalloonText">
    <w:name w:val="Balloon Text"/>
    <w:basedOn w:val="Normal"/>
    <w:link w:val="BalloonTextChar"/>
    <w:rsid w:val="00D90F70"/>
    <w:rPr>
      <w:rFonts w:ascii="Tahoma" w:hAnsi="Tahoma" w:cs="Tahoma"/>
      <w:sz w:val="16"/>
      <w:szCs w:val="16"/>
    </w:rPr>
  </w:style>
  <w:style w:type="character" w:customStyle="1" w:styleId="BalloonTextChar">
    <w:name w:val="Balloon Text Char"/>
    <w:basedOn w:val="DefaultParagraphFont"/>
    <w:link w:val="BalloonText"/>
    <w:rsid w:val="00D90F70"/>
    <w:rPr>
      <w:rFonts w:ascii="Tahoma" w:hAnsi="Tahoma" w:cs="Tahoma"/>
      <w:sz w:val="16"/>
      <w:szCs w:val="16"/>
    </w:rPr>
  </w:style>
  <w:style w:type="paragraph" w:styleId="ListParagraph">
    <w:name w:val="List Paragraph"/>
    <w:basedOn w:val="Normal"/>
    <w:uiPriority w:val="34"/>
    <w:qFormat/>
    <w:rsid w:val="007D52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2D6E1A"/>
    <w:pPr>
      <w:tabs>
        <w:tab w:val="center" w:pos="4320"/>
        <w:tab w:val="right" w:pos="8640"/>
      </w:tabs>
      <w:autoSpaceDE w:val="0"/>
      <w:autoSpaceDN w:val="0"/>
    </w:pPr>
    <w:rPr>
      <w:rFonts w:ascii="CG Times (W1)" w:hAnsi="CG Times (W1)" w:cs="CG Times (W1)"/>
      <w:sz w:val="20"/>
      <w:szCs w:val="20"/>
    </w:rPr>
  </w:style>
  <w:style w:type="character" w:customStyle="1" w:styleId="HeaderChar">
    <w:name w:val="Header Char"/>
    <w:link w:val="Header"/>
    <w:rsid w:val="002D6E1A"/>
    <w:rPr>
      <w:rFonts w:ascii="CG Times (W1)" w:hAnsi="CG Times (W1)" w:cs="CG Times (W1)"/>
    </w:rPr>
  </w:style>
  <w:style w:type="paragraph" w:customStyle="1" w:styleId="ParaTab1">
    <w:name w:val="ParaTab 1"/>
    <w:rsid w:val="002D6E1A"/>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rsid w:val="002D6E1A"/>
    <w:pPr>
      <w:autoSpaceDE w:val="0"/>
      <w:autoSpaceDN w:val="0"/>
    </w:pPr>
    <w:rPr>
      <w:rFonts w:ascii="CG Times (W1)" w:hAnsi="CG Times (W1)" w:cs="CG Times (W1)"/>
      <w:sz w:val="20"/>
      <w:szCs w:val="20"/>
    </w:rPr>
  </w:style>
  <w:style w:type="character" w:customStyle="1" w:styleId="FootnoteTextChar">
    <w:name w:val="Footnote Text Char"/>
    <w:link w:val="FootnoteText"/>
    <w:rsid w:val="002D6E1A"/>
    <w:rPr>
      <w:rFonts w:ascii="CG Times (W1)" w:hAnsi="CG Times (W1)" w:cs="CG Times (W1)"/>
    </w:rPr>
  </w:style>
  <w:style w:type="character" w:styleId="FootnoteReference">
    <w:name w:val="footnote reference"/>
    <w:rsid w:val="002D6E1A"/>
    <w:rPr>
      <w:vertAlign w:val="superscript"/>
    </w:rPr>
  </w:style>
  <w:style w:type="paragraph" w:styleId="BlockText">
    <w:name w:val="Block Text"/>
    <w:basedOn w:val="Normal"/>
    <w:rsid w:val="002D6E1A"/>
    <w:pPr>
      <w:ind w:left="2160" w:right="1440" w:hanging="720"/>
    </w:pPr>
    <w:rPr>
      <w:rFonts w:ascii="Arial" w:hAnsi="Arial"/>
      <w:szCs w:val="20"/>
    </w:rPr>
  </w:style>
  <w:style w:type="paragraph" w:styleId="BodyText">
    <w:name w:val="Body Text"/>
    <w:basedOn w:val="Normal"/>
    <w:link w:val="BodyTextChar"/>
    <w:rsid w:val="00DF1364"/>
    <w:pPr>
      <w:spacing w:line="360" w:lineRule="auto"/>
      <w:jc w:val="both"/>
    </w:pPr>
    <w:rPr>
      <w:rFonts w:eastAsia="SimSun"/>
      <w:sz w:val="26"/>
      <w:szCs w:val="20"/>
    </w:rPr>
  </w:style>
  <w:style w:type="character" w:customStyle="1" w:styleId="BodyTextChar">
    <w:name w:val="Body Text Char"/>
    <w:link w:val="BodyText"/>
    <w:rsid w:val="00DF1364"/>
    <w:rPr>
      <w:rFonts w:eastAsia="SimSun"/>
      <w:sz w:val="26"/>
    </w:rPr>
  </w:style>
  <w:style w:type="paragraph" w:styleId="BalloonText">
    <w:name w:val="Balloon Text"/>
    <w:basedOn w:val="Normal"/>
    <w:link w:val="BalloonTextChar"/>
    <w:rsid w:val="00D90F70"/>
    <w:rPr>
      <w:rFonts w:ascii="Tahoma" w:hAnsi="Tahoma" w:cs="Tahoma"/>
      <w:sz w:val="16"/>
      <w:szCs w:val="16"/>
    </w:rPr>
  </w:style>
  <w:style w:type="character" w:customStyle="1" w:styleId="BalloonTextChar">
    <w:name w:val="Balloon Text Char"/>
    <w:basedOn w:val="DefaultParagraphFont"/>
    <w:link w:val="BalloonText"/>
    <w:rsid w:val="00D90F70"/>
    <w:rPr>
      <w:rFonts w:ascii="Tahoma" w:hAnsi="Tahoma" w:cs="Tahoma"/>
      <w:sz w:val="16"/>
      <w:szCs w:val="16"/>
    </w:rPr>
  </w:style>
  <w:style w:type="paragraph" w:styleId="ListParagraph">
    <w:name w:val="List Paragraph"/>
    <w:basedOn w:val="Normal"/>
    <w:uiPriority w:val="34"/>
    <w:qFormat/>
    <w:rsid w:val="007D5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08D8E-DF8D-4783-9B4C-3E8212ED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sandra elizabeth oldynski</cp:lastModifiedBy>
  <cp:revision>36</cp:revision>
  <cp:lastPrinted>2013-08-06T18:39:00Z</cp:lastPrinted>
  <dcterms:created xsi:type="dcterms:W3CDTF">2013-08-06T15:31:00Z</dcterms:created>
  <dcterms:modified xsi:type="dcterms:W3CDTF">2013-08-07T19:21:00Z</dcterms:modified>
</cp:coreProperties>
</file>