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60580A" w:rsidRDefault="00F272ED" w:rsidP="00F00326">
      <w:pPr>
        <w:tabs>
          <w:tab w:val="left" w:pos="-720"/>
        </w:tabs>
        <w:suppressAutoHyphens/>
        <w:rPr>
          <w:sz w:val="24"/>
          <w:szCs w:val="24"/>
        </w:rPr>
      </w:pPr>
      <w:r w:rsidRPr="0060580A">
        <w:rPr>
          <w:sz w:val="24"/>
          <w:szCs w:val="24"/>
        </w:rPr>
        <w:t xml:space="preserve">Fred </w:t>
      </w:r>
      <w:r w:rsidR="001A1C48" w:rsidRPr="0060580A">
        <w:rPr>
          <w:sz w:val="24"/>
          <w:szCs w:val="24"/>
        </w:rPr>
        <w:t xml:space="preserve">D. </w:t>
      </w:r>
      <w:r w:rsidRPr="0060580A">
        <w:rPr>
          <w:sz w:val="24"/>
          <w:szCs w:val="24"/>
        </w:rPr>
        <w:t>Wilson</w:t>
      </w:r>
      <w:r w:rsidR="009A475D" w:rsidRPr="0060580A">
        <w:rPr>
          <w:sz w:val="24"/>
          <w:szCs w:val="24"/>
        </w:rPr>
        <w:tab/>
      </w:r>
      <w:r w:rsidR="009A475D" w:rsidRPr="0060580A">
        <w:rPr>
          <w:sz w:val="24"/>
          <w:szCs w:val="24"/>
        </w:rPr>
        <w:tab/>
      </w:r>
      <w:r w:rsidR="002E0985" w:rsidRPr="0060580A">
        <w:rPr>
          <w:sz w:val="24"/>
          <w:szCs w:val="24"/>
        </w:rPr>
        <w:tab/>
      </w:r>
      <w:r w:rsidR="002E0985" w:rsidRPr="0060580A">
        <w:rPr>
          <w:sz w:val="24"/>
          <w:szCs w:val="24"/>
        </w:rPr>
        <w:tab/>
      </w:r>
      <w:r w:rsidR="00F00326">
        <w:rPr>
          <w:sz w:val="24"/>
          <w:szCs w:val="24"/>
        </w:rPr>
        <w:tab/>
      </w:r>
      <w:r w:rsidR="007622B8">
        <w:rPr>
          <w:sz w:val="24"/>
          <w:szCs w:val="24"/>
        </w:rPr>
        <w:t>:</w:t>
      </w:r>
    </w:p>
    <w:p w:rsidR="002E0985" w:rsidRPr="0060580A" w:rsidRDefault="002E0985" w:rsidP="002E0985">
      <w:pPr>
        <w:tabs>
          <w:tab w:val="left" w:pos="-720"/>
        </w:tabs>
        <w:suppressAutoHyphens/>
        <w:rPr>
          <w:spacing w:val="-3"/>
          <w:sz w:val="24"/>
          <w:szCs w:val="24"/>
        </w:rPr>
      </w:pP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00F00326">
        <w:rPr>
          <w:spacing w:val="-3"/>
          <w:sz w:val="24"/>
          <w:szCs w:val="24"/>
        </w:rPr>
        <w:tab/>
      </w:r>
      <w:r w:rsidR="007622B8">
        <w:rPr>
          <w:spacing w:val="-3"/>
          <w:sz w:val="24"/>
          <w:szCs w:val="24"/>
        </w:rPr>
        <w:t xml:space="preserve">: </w:t>
      </w:r>
    </w:p>
    <w:p w:rsidR="002E0985" w:rsidRPr="0060580A" w:rsidRDefault="002E0985" w:rsidP="002E0985">
      <w:pPr>
        <w:tabs>
          <w:tab w:val="left" w:pos="-720"/>
        </w:tabs>
        <w:suppressAutoHyphens/>
        <w:rPr>
          <w:spacing w:val="-3"/>
          <w:sz w:val="24"/>
          <w:szCs w:val="24"/>
        </w:rPr>
      </w:pPr>
      <w:r w:rsidRPr="0060580A">
        <w:rPr>
          <w:spacing w:val="-3"/>
          <w:sz w:val="24"/>
          <w:szCs w:val="24"/>
        </w:rPr>
        <w:tab/>
        <w:t>v.</w:t>
      </w:r>
      <w:r w:rsidRPr="0060580A">
        <w:rPr>
          <w:spacing w:val="-3"/>
          <w:sz w:val="24"/>
          <w:szCs w:val="24"/>
        </w:rPr>
        <w:tab/>
      </w:r>
      <w:r w:rsidRPr="0060580A">
        <w:rPr>
          <w:spacing w:val="-3"/>
          <w:sz w:val="24"/>
          <w:szCs w:val="24"/>
        </w:rPr>
        <w:tab/>
      </w:r>
      <w:r w:rsidRPr="0060580A">
        <w:rPr>
          <w:spacing w:val="-3"/>
          <w:sz w:val="24"/>
          <w:szCs w:val="24"/>
        </w:rPr>
        <w:tab/>
      </w:r>
      <w:r w:rsidR="00F00326">
        <w:rPr>
          <w:spacing w:val="-3"/>
          <w:sz w:val="24"/>
          <w:szCs w:val="24"/>
        </w:rPr>
        <w:tab/>
      </w:r>
      <w:r w:rsidR="00F00326">
        <w:rPr>
          <w:spacing w:val="-3"/>
          <w:sz w:val="24"/>
          <w:szCs w:val="24"/>
        </w:rPr>
        <w:tab/>
      </w:r>
      <w:r w:rsidR="00F00326">
        <w:rPr>
          <w:spacing w:val="-3"/>
          <w:sz w:val="24"/>
          <w:szCs w:val="24"/>
        </w:rPr>
        <w:tab/>
      </w:r>
      <w:r w:rsidRPr="0060580A">
        <w:rPr>
          <w:spacing w:val="-3"/>
          <w:sz w:val="24"/>
          <w:szCs w:val="24"/>
        </w:rPr>
        <w:t>:</w:t>
      </w:r>
      <w:r w:rsidR="00F00326">
        <w:rPr>
          <w:spacing w:val="-3"/>
          <w:sz w:val="24"/>
          <w:szCs w:val="24"/>
        </w:rPr>
        <w:tab/>
      </w:r>
      <w:r w:rsidR="00F00326">
        <w:rPr>
          <w:spacing w:val="-3"/>
          <w:sz w:val="24"/>
          <w:szCs w:val="24"/>
        </w:rPr>
        <w:tab/>
      </w:r>
      <w:r w:rsidR="00F00326" w:rsidRPr="0060580A">
        <w:rPr>
          <w:spacing w:val="-3"/>
          <w:sz w:val="24"/>
          <w:szCs w:val="24"/>
        </w:rPr>
        <w:t>C-2013-2367375</w:t>
      </w:r>
    </w:p>
    <w:p w:rsidR="002E0985" w:rsidRPr="0060580A" w:rsidRDefault="002E0985" w:rsidP="002E0985">
      <w:pPr>
        <w:tabs>
          <w:tab w:val="left" w:pos="-720"/>
        </w:tabs>
        <w:suppressAutoHyphens/>
        <w:rPr>
          <w:spacing w:val="-3"/>
          <w:sz w:val="24"/>
          <w:szCs w:val="24"/>
        </w:rPr>
      </w:pP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Pr="0060580A">
        <w:rPr>
          <w:spacing w:val="-3"/>
          <w:sz w:val="24"/>
          <w:szCs w:val="24"/>
        </w:rPr>
        <w:tab/>
      </w:r>
      <w:r w:rsidR="00F00326">
        <w:rPr>
          <w:spacing w:val="-3"/>
          <w:sz w:val="24"/>
          <w:szCs w:val="24"/>
        </w:rPr>
        <w:tab/>
      </w:r>
      <w:r w:rsidRPr="0060580A">
        <w:rPr>
          <w:spacing w:val="-3"/>
          <w:sz w:val="24"/>
          <w:szCs w:val="24"/>
        </w:rPr>
        <w:t>:</w:t>
      </w:r>
    </w:p>
    <w:p w:rsidR="005E3007" w:rsidRDefault="00F272ED" w:rsidP="00CE43B4">
      <w:pPr>
        <w:tabs>
          <w:tab w:val="left" w:pos="-720"/>
        </w:tabs>
        <w:suppressAutoHyphens/>
        <w:rPr>
          <w:spacing w:val="-3"/>
          <w:sz w:val="24"/>
          <w:szCs w:val="24"/>
        </w:rPr>
      </w:pPr>
      <w:r w:rsidRPr="0060580A">
        <w:rPr>
          <w:spacing w:val="-3"/>
          <w:sz w:val="24"/>
          <w:szCs w:val="24"/>
        </w:rPr>
        <w:t>Columbia Gas of Pennsylvania, Inc.</w:t>
      </w:r>
      <w:r w:rsidR="002E0985" w:rsidRPr="0060580A">
        <w:rPr>
          <w:spacing w:val="-3"/>
          <w:sz w:val="24"/>
          <w:szCs w:val="24"/>
        </w:rPr>
        <w:tab/>
      </w:r>
      <w:r w:rsidR="002E0985" w:rsidRPr="0060580A">
        <w:rPr>
          <w:spacing w:val="-3"/>
          <w:sz w:val="24"/>
          <w:szCs w:val="24"/>
        </w:rPr>
        <w:tab/>
      </w:r>
      <w:r w:rsidR="00F00326">
        <w:rPr>
          <w:spacing w:val="-3"/>
          <w:sz w:val="24"/>
          <w:szCs w:val="24"/>
        </w:rPr>
        <w:tab/>
      </w:r>
      <w:r w:rsidR="002E0985" w:rsidRPr="0060580A">
        <w:rPr>
          <w:spacing w:val="-3"/>
          <w:sz w:val="24"/>
          <w:szCs w:val="24"/>
        </w:rPr>
        <w:t>:</w:t>
      </w:r>
    </w:p>
    <w:p w:rsidR="007622B8" w:rsidRDefault="007622B8" w:rsidP="00CE43B4">
      <w:pPr>
        <w:tabs>
          <w:tab w:val="left" w:pos="-720"/>
        </w:tabs>
        <w:suppressAutoHyphens/>
        <w:rPr>
          <w:spacing w:val="-3"/>
          <w:sz w:val="24"/>
          <w:szCs w:val="24"/>
        </w:rPr>
      </w:pPr>
      <w:bookmarkStart w:id="0" w:name="_GoBack"/>
      <w:bookmarkEnd w:id="0"/>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A8167A" w:rsidRDefault="009A475D" w:rsidP="0081696C">
      <w:pPr>
        <w:jc w:val="center"/>
        <w:outlineLvl w:val="0"/>
        <w:rPr>
          <w:b/>
          <w:caps/>
          <w:sz w:val="24"/>
          <w:szCs w:val="24"/>
          <w:u w:val="single"/>
        </w:rPr>
      </w:pPr>
      <w:r w:rsidRPr="00A8167A">
        <w:rPr>
          <w:b/>
          <w:caps/>
          <w:sz w:val="24"/>
          <w:szCs w:val="24"/>
          <w:u w:val="single"/>
        </w:rPr>
        <w:t>INITIAL</w:t>
      </w:r>
      <w:r w:rsidR="00C419F9" w:rsidRPr="00A8167A">
        <w:rPr>
          <w:b/>
          <w:caps/>
          <w:sz w:val="24"/>
          <w:szCs w:val="24"/>
          <w:u w:val="single"/>
        </w:rPr>
        <w:t xml:space="preserve"> Decision</w:t>
      </w:r>
    </w:p>
    <w:p w:rsidR="00F00326" w:rsidRDefault="00F272ED" w:rsidP="0081696C">
      <w:pPr>
        <w:jc w:val="center"/>
        <w:outlineLvl w:val="0"/>
        <w:rPr>
          <w:b/>
          <w:caps/>
          <w:sz w:val="24"/>
          <w:szCs w:val="24"/>
          <w:u w:val="single"/>
        </w:rPr>
      </w:pPr>
      <w:r w:rsidRPr="00F00326">
        <w:rPr>
          <w:b/>
          <w:caps/>
          <w:sz w:val="24"/>
          <w:szCs w:val="24"/>
        </w:rPr>
        <w:t>granting preliminary objections</w:t>
      </w:r>
      <w:r w:rsidR="00F00326" w:rsidRPr="00F00326">
        <w:rPr>
          <w:b/>
          <w:caps/>
          <w:sz w:val="24"/>
          <w:szCs w:val="24"/>
        </w:rPr>
        <w:t xml:space="preserve"> </w:t>
      </w:r>
      <w:r w:rsidRPr="00F00326">
        <w:rPr>
          <w:b/>
          <w:caps/>
          <w:sz w:val="24"/>
          <w:szCs w:val="24"/>
        </w:rPr>
        <w:t>and</w:t>
      </w:r>
      <w:r>
        <w:rPr>
          <w:b/>
          <w:caps/>
          <w:sz w:val="24"/>
          <w:szCs w:val="24"/>
          <w:u w:val="single"/>
        </w:rPr>
        <w:t xml:space="preserve"> </w:t>
      </w:r>
    </w:p>
    <w:p w:rsidR="00F272ED" w:rsidRPr="00A8167A" w:rsidRDefault="00F272ED" w:rsidP="0081696C">
      <w:pPr>
        <w:jc w:val="center"/>
        <w:outlineLvl w:val="0"/>
        <w:rPr>
          <w:caps/>
          <w:sz w:val="24"/>
          <w:szCs w:val="24"/>
        </w:rPr>
      </w:pPr>
      <w:r w:rsidRPr="00A8167A">
        <w:rPr>
          <w:b/>
          <w:caps/>
          <w:sz w:val="24"/>
          <w:szCs w:val="24"/>
        </w:rPr>
        <w:t>dismissing complaint</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622B8">
      <w:pPr>
        <w:tabs>
          <w:tab w:val="left" w:pos="-1440"/>
          <w:tab w:val="left" w:pos="-720"/>
        </w:tabs>
        <w:suppressAutoHyphens/>
        <w:spacing w:line="480" w:lineRule="auto"/>
        <w:ind w:firstLine="1440"/>
        <w:rPr>
          <w:sz w:val="24"/>
          <w:szCs w:val="24"/>
        </w:rPr>
      </w:pPr>
    </w:p>
    <w:p w:rsidR="007965B0" w:rsidRDefault="00DB1328" w:rsidP="007965B0">
      <w:pPr>
        <w:tabs>
          <w:tab w:val="left" w:pos="-1440"/>
          <w:tab w:val="left" w:pos="-720"/>
        </w:tabs>
        <w:suppressAutoHyphens/>
        <w:spacing w:line="360" w:lineRule="auto"/>
        <w:ind w:firstLine="1440"/>
        <w:rPr>
          <w:spacing w:val="-3"/>
          <w:sz w:val="24"/>
          <w:szCs w:val="24"/>
        </w:rPr>
      </w:pPr>
      <w:r>
        <w:rPr>
          <w:sz w:val="24"/>
          <w:szCs w:val="24"/>
        </w:rPr>
        <w:t>On</w:t>
      </w:r>
      <w:r w:rsidR="00312E1C">
        <w:rPr>
          <w:sz w:val="24"/>
          <w:szCs w:val="24"/>
        </w:rPr>
        <w:t xml:space="preserve"> </w:t>
      </w:r>
      <w:r w:rsidR="00F272ED">
        <w:rPr>
          <w:sz w:val="24"/>
          <w:szCs w:val="24"/>
        </w:rPr>
        <w:t>May 31, 2013</w:t>
      </w:r>
      <w:r w:rsidR="007965B0" w:rsidRPr="007965B0">
        <w:rPr>
          <w:sz w:val="24"/>
          <w:szCs w:val="24"/>
        </w:rPr>
        <w:t>,</w:t>
      </w:r>
      <w:r w:rsidR="00F272ED">
        <w:rPr>
          <w:sz w:val="24"/>
          <w:szCs w:val="24"/>
        </w:rPr>
        <w:t xml:space="preserve"> Fred D. Wilson</w:t>
      </w:r>
      <w:r w:rsidR="007965B0" w:rsidRPr="007965B0">
        <w:rPr>
          <w:sz w:val="24"/>
          <w:szCs w:val="24"/>
        </w:rPr>
        <w:t xml:space="preserve"> (Complainant) filed a Formal Complaint with the Pennsylvania Public Utility Commission against </w:t>
      </w:r>
      <w:r w:rsidR="00F272ED">
        <w:rPr>
          <w:sz w:val="24"/>
          <w:szCs w:val="24"/>
        </w:rPr>
        <w:t>Columbia Gas of Pennsylvania, Inc.</w:t>
      </w:r>
      <w:r w:rsidR="007965B0" w:rsidRPr="007965B0">
        <w:rPr>
          <w:sz w:val="24"/>
          <w:szCs w:val="24"/>
        </w:rPr>
        <w:t xml:space="preserve"> (Respondent) alleging </w:t>
      </w:r>
      <w:r w:rsidR="00F272ED">
        <w:rPr>
          <w:sz w:val="24"/>
          <w:szCs w:val="24"/>
        </w:rPr>
        <w:t>that without permission or permit</w:t>
      </w:r>
      <w:r w:rsidR="001A1C48">
        <w:rPr>
          <w:sz w:val="24"/>
          <w:szCs w:val="24"/>
        </w:rPr>
        <w:t xml:space="preserve"> the Respondent</w:t>
      </w:r>
      <w:r w:rsidR="00F272ED">
        <w:rPr>
          <w:sz w:val="24"/>
          <w:szCs w:val="24"/>
        </w:rPr>
        <w:t xml:space="preserve"> installed a gas line on his property.  He wants the gas line removed.</w:t>
      </w:r>
      <w:r w:rsidR="007965B0" w:rsidRPr="007965B0">
        <w:rPr>
          <w:sz w:val="24"/>
          <w:szCs w:val="24"/>
        </w:rPr>
        <w:t xml:space="preserve">  </w:t>
      </w:r>
      <w:r w:rsidR="00F272ED">
        <w:rPr>
          <w:sz w:val="24"/>
          <w:szCs w:val="24"/>
        </w:rPr>
        <w:t xml:space="preserve">On </w:t>
      </w:r>
      <w:r w:rsidR="00E573C1">
        <w:rPr>
          <w:sz w:val="24"/>
          <w:szCs w:val="24"/>
        </w:rPr>
        <w:t>June 26, 2013</w:t>
      </w:r>
      <w:r w:rsidR="007965B0" w:rsidRPr="007965B0">
        <w:rPr>
          <w:sz w:val="24"/>
          <w:szCs w:val="24"/>
        </w:rPr>
        <w:t>,</w:t>
      </w:r>
      <w:r w:rsidR="00E573C1">
        <w:rPr>
          <w:sz w:val="24"/>
          <w:szCs w:val="24"/>
        </w:rPr>
        <w:t xml:space="preserve"> the</w:t>
      </w:r>
      <w:r w:rsidR="007965B0" w:rsidRPr="007965B0">
        <w:rPr>
          <w:sz w:val="24"/>
          <w:szCs w:val="24"/>
        </w:rPr>
        <w:t xml:space="preserve"> Respondent filed an </w:t>
      </w:r>
      <w:r w:rsidR="007965B0" w:rsidRPr="007965B0">
        <w:rPr>
          <w:spacing w:val="-3"/>
          <w:sz w:val="24"/>
          <w:szCs w:val="24"/>
        </w:rPr>
        <w:t>Answer</w:t>
      </w:r>
      <w:r w:rsidR="00E573C1">
        <w:rPr>
          <w:spacing w:val="-3"/>
          <w:sz w:val="24"/>
          <w:szCs w:val="24"/>
        </w:rPr>
        <w:t xml:space="preserve"> an</w:t>
      </w:r>
      <w:r w:rsidR="001A1C48">
        <w:rPr>
          <w:spacing w:val="-3"/>
          <w:sz w:val="24"/>
          <w:szCs w:val="24"/>
        </w:rPr>
        <w:t>d New Matter.  The Answer denied</w:t>
      </w:r>
      <w:r w:rsidR="00E573C1">
        <w:rPr>
          <w:spacing w:val="-3"/>
          <w:sz w:val="24"/>
          <w:szCs w:val="24"/>
        </w:rPr>
        <w:t xml:space="preserve"> that the gas line is on the Complainant’s property.  The New Matter assert</w:t>
      </w:r>
      <w:r w:rsidR="001A1C48">
        <w:rPr>
          <w:spacing w:val="-3"/>
          <w:sz w:val="24"/>
          <w:szCs w:val="24"/>
        </w:rPr>
        <w:t>ed</w:t>
      </w:r>
      <w:r w:rsidR="00E573C1">
        <w:rPr>
          <w:spacing w:val="-3"/>
          <w:sz w:val="24"/>
          <w:szCs w:val="24"/>
        </w:rPr>
        <w:t xml:space="preserve"> that the Commission lacks jurisdiction over property disputes.  No Notice to Plead accompanied the New Matter</w:t>
      </w:r>
      <w:r w:rsidR="00E51D1F">
        <w:rPr>
          <w:spacing w:val="-3"/>
          <w:sz w:val="24"/>
          <w:szCs w:val="24"/>
        </w:rPr>
        <w:t>.</w:t>
      </w:r>
      <w:r w:rsidR="00E573C1">
        <w:rPr>
          <w:spacing w:val="-3"/>
          <w:sz w:val="24"/>
          <w:szCs w:val="24"/>
        </w:rPr>
        <w:t xml:space="preserve">  On July 15, 2013, the Complainant filed a response.    </w:t>
      </w:r>
    </w:p>
    <w:p w:rsidR="00E573C1" w:rsidRDefault="00E573C1" w:rsidP="007965B0">
      <w:pPr>
        <w:tabs>
          <w:tab w:val="left" w:pos="-1440"/>
          <w:tab w:val="left" w:pos="-720"/>
        </w:tabs>
        <w:suppressAutoHyphens/>
        <w:spacing w:line="360" w:lineRule="auto"/>
        <w:ind w:firstLine="1440"/>
        <w:rPr>
          <w:spacing w:val="-3"/>
          <w:sz w:val="24"/>
          <w:szCs w:val="24"/>
        </w:rPr>
      </w:pPr>
    </w:p>
    <w:p w:rsidR="00E573C1" w:rsidRPr="007965B0" w:rsidRDefault="00E573C1" w:rsidP="007965B0">
      <w:pPr>
        <w:tabs>
          <w:tab w:val="left" w:pos="-1440"/>
          <w:tab w:val="left" w:pos="-720"/>
        </w:tabs>
        <w:suppressAutoHyphens/>
        <w:spacing w:line="360" w:lineRule="auto"/>
        <w:ind w:firstLine="1440"/>
        <w:rPr>
          <w:sz w:val="24"/>
          <w:szCs w:val="24"/>
        </w:rPr>
      </w:pPr>
      <w:r>
        <w:rPr>
          <w:spacing w:val="-3"/>
          <w:sz w:val="24"/>
          <w:szCs w:val="24"/>
        </w:rPr>
        <w:t>On June 26, 2013, the Respondent filed Preliminary Objections.  A Notice to Plead accompanied the Preliminary Objections.  On July 15, 2013, the Complainant filed a response.</w:t>
      </w:r>
    </w:p>
    <w:p w:rsidR="007965B0" w:rsidRPr="007965B0" w:rsidRDefault="007965B0" w:rsidP="007965B0">
      <w:pPr>
        <w:tabs>
          <w:tab w:val="left" w:pos="2160"/>
        </w:tabs>
        <w:spacing w:line="360" w:lineRule="auto"/>
        <w:ind w:firstLine="1440"/>
        <w:rPr>
          <w:sz w:val="24"/>
          <w:szCs w:val="24"/>
        </w:rPr>
      </w:pPr>
    </w:p>
    <w:p w:rsidR="00223E7E" w:rsidRPr="007965B0" w:rsidRDefault="00223E7E" w:rsidP="007965B0">
      <w:pPr>
        <w:spacing w:line="360" w:lineRule="auto"/>
        <w:ind w:firstLine="1440"/>
        <w:rPr>
          <w:sz w:val="24"/>
          <w:szCs w:val="24"/>
        </w:rPr>
      </w:pPr>
    </w:p>
    <w:p w:rsidR="007622B8" w:rsidRDefault="007622B8" w:rsidP="00DE2348">
      <w:pPr>
        <w:spacing w:line="360" w:lineRule="auto"/>
        <w:jc w:val="center"/>
        <w:rPr>
          <w:sz w:val="24"/>
          <w:szCs w:val="24"/>
          <w:u w:val="single"/>
        </w:rPr>
        <w:sectPr w:rsidR="007622B8" w:rsidSect="005F452A">
          <w:footerReference w:type="even" r:id="rId9"/>
          <w:footerReference w:type="default" r:id="rId10"/>
          <w:footerReference w:type="first" r:id="rId11"/>
          <w:pgSz w:w="12240" w:h="15840" w:code="1"/>
          <w:pgMar w:top="1440" w:right="1440" w:bottom="1440" w:left="1440" w:header="720" w:footer="720" w:gutter="0"/>
          <w:cols w:space="720"/>
          <w:titlePg/>
          <w:docGrid w:linePitch="360"/>
        </w:sectPr>
      </w:pPr>
    </w:p>
    <w:p w:rsidR="00C419F9" w:rsidRDefault="00C419F9" w:rsidP="00DE2348">
      <w:pPr>
        <w:spacing w:line="360" w:lineRule="auto"/>
        <w:jc w:val="center"/>
        <w:rPr>
          <w:sz w:val="24"/>
          <w:szCs w:val="24"/>
          <w:u w:val="single"/>
        </w:rPr>
      </w:pPr>
      <w:r>
        <w:rPr>
          <w:sz w:val="24"/>
          <w:szCs w:val="24"/>
          <w:u w:val="single"/>
        </w:rPr>
        <w:lastRenderedPageBreak/>
        <w:t>FINDINGS OF FACT</w:t>
      </w:r>
    </w:p>
    <w:p w:rsidR="00C419F9" w:rsidRDefault="00C419F9" w:rsidP="00DE2348">
      <w:pPr>
        <w:spacing w:line="360" w:lineRule="auto"/>
        <w:jc w:val="center"/>
        <w:rPr>
          <w:sz w:val="24"/>
          <w:szCs w:val="24"/>
          <w:u w:val="single"/>
        </w:rPr>
      </w:pPr>
    </w:p>
    <w:p w:rsidR="00C419F9" w:rsidRDefault="00E51D1F" w:rsidP="00C419F9">
      <w:pPr>
        <w:numPr>
          <w:ilvl w:val="0"/>
          <w:numId w:val="18"/>
        </w:numPr>
        <w:tabs>
          <w:tab w:val="left" w:pos="2160"/>
        </w:tabs>
        <w:spacing w:line="360" w:lineRule="auto"/>
        <w:ind w:left="0" w:firstLine="1440"/>
        <w:rPr>
          <w:sz w:val="24"/>
          <w:szCs w:val="24"/>
        </w:rPr>
      </w:pPr>
      <w:r>
        <w:rPr>
          <w:sz w:val="24"/>
          <w:szCs w:val="24"/>
        </w:rPr>
        <w:t xml:space="preserve">The Complainant </w:t>
      </w:r>
      <w:r w:rsidR="00E573C1">
        <w:rPr>
          <w:sz w:val="24"/>
          <w:szCs w:val="24"/>
        </w:rPr>
        <w:t>alleges that the Respondent laid a gas line on his property without any legal right to do so.</w:t>
      </w:r>
    </w:p>
    <w:p w:rsidR="00E51D1F" w:rsidRDefault="00E51D1F" w:rsidP="00E51D1F">
      <w:pPr>
        <w:spacing w:line="360" w:lineRule="auto"/>
        <w:ind w:left="1440"/>
        <w:rPr>
          <w:sz w:val="24"/>
          <w:szCs w:val="24"/>
        </w:rPr>
      </w:pPr>
      <w:r>
        <w:rPr>
          <w:sz w:val="24"/>
          <w:szCs w:val="24"/>
        </w:rPr>
        <w:t xml:space="preserve"> </w:t>
      </w: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E573C1">
        <w:rPr>
          <w:sz w:val="24"/>
          <w:szCs w:val="24"/>
        </w:rPr>
        <w:t>gas</w:t>
      </w:r>
      <w:r>
        <w:rPr>
          <w:sz w:val="24"/>
          <w:szCs w:val="24"/>
        </w:rPr>
        <w:t xml:space="preserve"> service in Pennsylvania.</w:t>
      </w:r>
    </w:p>
    <w:p w:rsidR="00E51D1F" w:rsidRDefault="00E51D1F" w:rsidP="00E51D1F">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921FDB" w:rsidRDefault="00921FDB" w:rsidP="00921FDB">
      <w:pPr>
        <w:spacing w:line="360" w:lineRule="auto"/>
        <w:ind w:firstLine="1440"/>
        <w:rPr>
          <w:sz w:val="24"/>
          <w:szCs w:val="24"/>
        </w:rPr>
      </w:pPr>
      <w:r>
        <w:rPr>
          <w:sz w:val="24"/>
          <w:szCs w:val="24"/>
        </w:rPr>
        <w:t>The Commission’s regulations make preliminary objections available to parties and allow for those objections to be filed in response to any pleading except a motion or prior preliminary objections.  A party filing preliminary objections must include a notice to plead, must state specifically the legal and factual grounds relied upon and limit the objections to the following:</w:t>
      </w:r>
    </w:p>
    <w:p w:rsidR="00921FDB" w:rsidRDefault="00921FDB" w:rsidP="00C20D1A">
      <w:pPr>
        <w:numPr>
          <w:ilvl w:val="0"/>
          <w:numId w:val="20"/>
        </w:numPr>
        <w:tabs>
          <w:tab w:val="clear" w:pos="1440"/>
          <w:tab w:val="num" w:pos="2160"/>
        </w:tabs>
        <w:ind w:left="2160"/>
        <w:rPr>
          <w:sz w:val="24"/>
          <w:szCs w:val="24"/>
        </w:rPr>
      </w:pPr>
      <w:r>
        <w:rPr>
          <w:sz w:val="24"/>
          <w:szCs w:val="24"/>
        </w:rPr>
        <w:t>Lack of Commission jurisdiction or improper service of the pleading initiating the proceeding.</w:t>
      </w:r>
    </w:p>
    <w:p w:rsidR="00C20D1A" w:rsidRDefault="00C20D1A" w:rsidP="00C20D1A">
      <w:pPr>
        <w:ind w:left="1440"/>
        <w:rPr>
          <w:sz w:val="24"/>
          <w:szCs w:val="24"/>
        </w:rPr>
      </w:pPr>
    </w:p>
    <w:p w:rsidR="00921FDB" w:rsidRDefault="00921FDB" w:rsidP="00C20D1A">
      <w:pPr>
        <w:numPr>
          <w:ilvl w:val="0"/>
          <w:numId w:val="20"/>
        </w:numPr>
        <w:tabs>
          <w:tab w:val="clear" w:pos="1440"/>
        </w:tabs>
        <w:ind w:left="2160"/>
        <w:rPr>
          <w:sz w:val="24"/>
          <w:szCs w:val="24"/>
        </w:rPr>
      </w:pPr>
      <w:r>
        <w:rPr>
          <w:sz w:val="24"/>
          <w:szCs w:val="24"/>
        </w:rPr>
        <w:t>Failure of a pleading to conform to Chapter 5, Title 52 of the Pennsylvania Code, or include scandalous or impertinent matter.</w:t>
      </w:r>
    </w:p>
    <w:p w:rsidR="00C20D1A" w:rsidRDefault="00C20D1A" w:rsidP="00C20D1A">
      <w:pPr>
        <w:ind w:left="1440"/>
        <w:rPr>
          <w:sz w:val="24"/>
          <w:szCs w:val="24"/>
        </w:rPr>
      </w:pPr>
    </w:p>
    <w:p w:rsidR="00921FDB" w:rsidRDefault="00921FDB" w:rsidP="00C20D1A">
      <w:pPr>
        <w:numPr>
          <w:ilvl w:val="0"/>
          <w:numId w:val="20"/>
        </w:numPr>
        <w:ind w:firstLine="0"/>
        <w:rPr>
          <w:sz w:val="24"/>
          <w:szCs w:val="24"/>
        </w:rPr>
      </w:pPr>
      <w:r>
        <w:rPr>
          <w:sz w:val="24"/>
          <w:szCs w:val="24"/>
        </w:rPr>
        <w:t>Insufficient specificity of a pleading.</w:t>
      </w:r>
    </w:p>
    <w:p w:rsidR="00C20D1A" w:rsidRDefault="00C20D1A" w:rsidP="00C20D1A">
      <w:pPr>
        <w:ind w:left="1440"/>
        <w:rPr>
          <w:sz w:val="24"/>
          <w:szCs w:val="24"/>
        </w:rPr>
      </w:pPr>
    </w:p>
    <w:p w:rsidR="00921FDB" w:rsidRDefault="00921FDB" w:rsidP="00C20D1A">
      <w:pPr>
        <w:numPr>
          <w:ilvl w:val="0"/>
          <w:numId w:val="20"/>
        </w:numPr>
        <w:ind w:firstLine="0"/>
        <w:rPr>
          <w:sz w:val="24"/>
          <w:szCs w:val="24"/>
        </w:rPr>
      </w:pPr>
      <w:r>
        <w:rPr>
          <w:sz w:val="24"/>
          <w:szCs w:val="24"/>
        </w:rPr>
        <w:t>Legal insufficiency of a pleading.</w:t>
      </w:r>
    </w:p>
    <w:p w:rsidR="00C20D1A" w:rsidRDefault="00C20D1A" w:rsidP="00C20D1A">
      <w:pPr>
        <w:ind w:left="1440"/>
        <w:rPr>
          <w:sz w:val="24"/>
          <w:szCs w:val="24"/>
        </w:rPr>
      </w:pPr>
    </w:p>
    <w:p w:rsidR="00921FDB" w:rsidRDefault="00921FDB" w:rsidP="00C20D1A">
      <w:pPr>
        <w:numPr>
          <w:ilvl w:val="0"/>
          <w:numId w:val="20"/>
        </w:numPr>
        <w:ind w:left="2160"/>
        <w:rPr>
          <w:sz w:val="24"/>
          <w:szCs w:val="24"/>
        </w:rPr>
      </w:pPr>
      <w:r>
        <w:rPr>
          <w:sz w:val="24"/>
          <w:szCs w:val="24"/>
        </w:rPr>
        <w:t xml:space="preserve">Lack of capacity to sue, nonjoinder of a necessary party or misjoinder of a cause of action.  </w:t>
      </w:r>
    </w:p>
    <w:p w:rsidR="00C20D1A" w:rsidRDefault="00C20D1A" w:rsidP="00C20D1A">
      <w:pPr>
        <w:ind w:left="1440"/>
        <w:rPr>
          <w:sz w:val="24"/>
          <w:szCs w:val="24"/>
        </w:rPr>
      </w:pPr>
    </w:p>
    <w:p w:rsidR="00921FDB" w:rsidRDefault="00921FDB" w:rsidP="00C20D1A">
      <w:pPr>
        <w:numPr>
          <w:ilvl w:val="0"/>
          <w:numId w:val="20"/>
        </w:numPr>
        <w:ind w:left="2160"/>
        <w:rPr>
          <w:sz w:val="24"/>
          <w:szCs w:val="24"/>
        </w:rPr>
      </w:pPr>
      <w:r>
        <w:rPr>
          <w:sz w:val="24"/>
          <w:szCs w:val="24"/>
        </w:rPr>
        <w:t>Pendency of a prior proceeding or agreement for alternative dispute resolution.</w:t>
      </w:r>
    </w:p>
    <w:p w:rsidR="00C20D1A" w:rsidRDefault="00C20D1A" w:rsidP="00C20D1A">
      <w:pPr>
        <w:ind w:left="1440"/>
        <w:rPr>
          <w:sz w:val="24"/>
          <w:szCs w:val="24"/>
        </w:rPr>
      </w:pPr>
    </w:p>
    <w:p w:rsidR="00921FDB" w:rsidRDefault="00921FDB" w:rsidP="00921FDB">
      <w:pPr>
        <w:spacing w:line="360" w:lineRule="auto"/>
        <w:rPr>
          <w:sz w:val="24"/>
          <w:szCs w:val="24"/>
        </w:rPr>
      </w:pPr>
      <w:r>
        <w:rPr>
          <w:sz w:val="24"/>
          <w:szCs w:val="24"/>
        </w:rPr>
        <w:t>52 Pa. Code §</w:t>
      </w:r>
      <w:r w:rsidR="001E1F3B">
        <w:rPr>
          <w:sz w:val="24"/>
          <w:szCs w:val="24"/>
        </w:rPr>
        <w:t xml:space="preserve"> </w:t>
      </w:r>
      <w:r>
        <w:rPr>
          <w:sz w:val="24"/>
          <w:szCs w:val="24"/>
        </w:rPr>
        <w:t>5.101(a).</w:t>
      </w:r>
    </w:p>
    <w:p w:rsidR="00921FDB" w:rsidRDefault="00921FDB" w:rsidP="00921FDB">
      <w:pPr>
        <w:spacing w:line="360" w:lineRule="auto"/>
        <w:rPr>
          <w:sz w:val="24"/>
          <w:szCs w:val="24"/>
        </w:rPr>
      </w:pPr>
    </w:p>
    <w:p w:rsidR="00921FDB" w:rsidRDefault="00921FDB" w:rsidP="00921FDB">
      <w:pPr>
        <w:spacing w:line="360" w:lineRule="auto"/>
        <w:rPr>
          <w:sz w:val="24"/>
          <w:szCs w:val="24"/>
        </w:rPr>
      </w:pPr>
      <w:r>
        <w:rPr>
          <w:sz w:val="24"/>
          <w:szCs w:val="24"/>
        </w:rPr>
        <w:tab/>
      </w:r>
      <w:r>
        <w:rPr>
          <w:sz w:val="24"/>
          <w:szCs w:val="24"/>
        </w:rPr>
        <w:tab/>
        <w:t xml:space="preserve">The party against whom preliminary objections are filed may file an answer to the preliminary objections but the answer must be filed within ten days of the date of service (of the preliminary objections).  52 </w:t>
      </w:r>
      <w:smartTag w:uri="urn:schemas-microsoft-com:office:smarttags" w:element="place">
        <w:smartTag w:uri="urn:schemas-microsoft-com:office:smarttags" w:element="State">
          <w:r>
            <w:rPr>
              <w:sz w:val="24"/>
              <w:szCs w:val="24"/>
            </w:rPr>
            <w:t>Pa.</w:t>
          </w:r>
        </w:smartTag>
      </w:smartTag>
      <w:r>
        <w:rPr>
          <w:sz w:val="24"/>
          <w:szCs w:val="24"/>
        </w:rPr>
        <w:t xml:space="preserve"> Code §</w:t>
      </w:r>
      <w:r w:rsidR="001E1F3B">
        <w:rPr>
          <w:sz w:val="24"/>
          <w:szCs w:val="24"/>
        </w:rPr>
        <w:t xml:space="preserve"> </w:t>
      </w:r>
      <w:r>
        <w:rPr>
          <w:sz w:val="24"/>
          <w:szCs w:val="24"/>
        </w:rPr>
        <w:t>5.101(f)(1).</w:t>
      </w:r>
    </w:p>
    <w:p w:rsidR="007622B8" w:rsidRDefault="007622B8" w:rsidP="00921FDB">
      <w:pPr>
        <w:spacing w:line="360" w:lineRule="auto"/>
        <w:rPr>
          <w:sz w:val="24"/>
          <w:szCs w:val="24"/>
        </w:rPr>
        <w:sectPr w:rsidR="007622B8" w:rsidSect="005F452A">
          <w:footerReference w:type="first" r:id="rId12"/>
          <w:pgSz w:w="12240" w:h="15840" w:code="1"/>
          <w:pgMar w:top="1440" w:right="1440" w:bottom="1440" w:left="1440" w:header="720" w:footer="720" w:gutter="0"/>
          <w:cols w:space="720"/>
          <w:titlePg/>
          <w:docGrid w:linePitch="360"/>
        </w:sectPr>
      </w:pPr>
    </w:p>
    <w:p w:rsidR="00921FDB" w:rsidRDefault="00921FDB" w:rsidP="00921FDB">
      <w:pPr>
        <w:spacing w:line="360" w:lineRule="auto"/>
        <w:rPr>
          <w:sz w:val="24"/>
          <w:szCs w:val="24"/>
        </w:rPr>
      </w:pPr>
      <w:r>
        <w:rPr>
          <w:sz w:val="24"/>
          <w:szCs w:val="24"/>
        </w:rPr>
        <w:tab/>
      </w:r>
      <w:r>
        <w:rPr>
          <w:sz w:val="24"/>
          <w:szCs w:val="24"/>
        </w:rPr>
        <w:tab/>
        <w:t>The presiding officer will decide the preliminary objections within thirty days of the date the preliminary objection is assigned to the presiding officer.  52 Pa. Code §</w:t>
      </w:r>
      <w:r w:rsidR="001A1C48">
        <w:rPr>
          <w:sz w:val="24"/>
          <w:szCs w:val="24"/>
        </w:rPr>
        <w:t xml:space="preserve"> </w:t>
      </w:r>
      <w:r>
        <w:rPr>
          <w:sz w:val="24"/>
          <w:szCs w:val="24"/>
        </w:rPr>
        <w:t>5.101(g).</w:t>
      </w:r>
    </w:p>
    <w:p w:rsidR="00921FDB" w:rsidRDefault="00921FDB" w:rsidP="00921FDB">
      <w:pPr>
        <w:spacing w:line="360" w:lineRule="auto"/>
        <w:rPr>
          <w:sz w:val="24"/>
          <w:szCs w:val="24"/>
        </w:rPr>
      </w:pPr>
    </w:p>
    <w:p w:rsidR="00921FDB" w:rsidRDefault="00921FDB" w:rsidP="00921FDB">
      <w:pPr>
        <w:spacing w:line="360" w:lineRule="auto"/>
        <w:rPr>
          <w:sz w:val="24"/>
          <w:szCs w:val="24"/>
        </w:rPr>
      </w:pPr>
      <w:r>
        <w:rPr>
          <w:sz w:val="24"/>
          <w:szCs w:val="24"/>
        </w:rPr>
        <w:tab/>
      </w:r>
      <w:r>
        <w:rPr>
          <w:sz w:val="24"/>
          <w:szCs w:val="24"/>
        </w:rPr>
        <w:tab/>
        <w:t>The Commission has the discretion to “dismiss any complaint without hearing if, in its opinion, a hearing is not necessary in the public interest.”  66 Pa. C.S.A. §</w:t>
      </w:r>
      <w:r w:rsidR="001A1C48">
        <w:rPr>
          <w:sz w:val="24"/>
          <w:szCs w:val="24"/>
        </w:rPr>
        <w:t xml:space="preserve"> </w:t>
      </w:r>
      <w:r>
        <w:rPr>
          <w:sz w:val="24"/>
          <w:szCs w:val="24"/>
        </w:rPr>
        <w:t>703(b).  A hearing is necessary only to resolve disputed questions of fact, and when the question presented is solely one of law, the Commission need not hold a hearing.</w:t>
      </w:r>
      <w:r w:rsidR="001A1C48" w:rsidRPr="001A1C48">
        <w:t xml:space="preserve"> </w:t>
      </w:r>
      <w:r w:rsidR="004D4C3F">
        <w:t xml:space="preserve"> </w:t>
      </w:r>
      <w:r w:rsidR="001A1C48" w:rsidRPr="001A1C48">
        <w:rPr>
          <w:sz w:val="24"/>
          <w:szCs w:val="24"/>
          <w:u w:val="single"/>
        </w:rPr>
        <w:t>Lehigh Valley Power Committee</w:t>
      </w:r>
      <w:r w:rsidR="00A8167A">
        <w:rPr>
          <w:sz w:val="24"/>
          <w:szCs w:val="24"/>
          <w:u w:val="single"/>
        </w:rPr>
        <w:t xml:space="preserve"> </w:t>
      </w:r>
      <w:r w:rsidR="001A1C48" w:rsidRPr="001A1C48">
        <w:rPr>
          <w:sz w:val="24"/>
          <w:szCs w:val="24"/>
          <w:u w:val="single"/>
        </w:rPr>
        <w:t>v. PA P.U.C.</w:t>
      </w:r>
      <w:r w:rsidR="001A1C48" w:rsidRPr="001A1C48">
        <w:rPr>
          <w:sz w:val="24"/>
          <w:szCs w:val="24"/>
        </w:rPr>
        <w:t xml:space="preserve">, 128 Pa. Commw. 259, 563 A.2d 548 (1989).  Also </w:t>
      </w:r>
      <w:r w:rsidR="001A1C48" w:rsidRPr="001A1C48">
        <w:rPr>
          <w:sz w:val="24"/>
          <w:szCs w:val="24"/>
          <w:u w:val="single"/>
        </w:rPr>
        <w:t>Edan Transportation Corp. v. PA P.U.C.</w:t>
      </w:r>
      <w:r w:rsidR="001A1C48" w:rsidRPr="001A1C48">
        <w:rPr>
          <w:sz w:val="24"/>
          <w:szCs w:val="24"/>
        </w:rPr>
        <w:t>, 154 Pa. Commw. 21, 623 A.2d 6 (199</w:t>
      </w:r>
      <w:r w:rsidR="001A1C48">
        <w:t>3).</w:t>
      </w:r>
    </w:p>
    <w:p w:rsidR="00921FDB" w:rsidRDefault="00921FDB" w:rsidP="00921FDB">
      <w:pPr>
        <w:spacing w:line="360" w:lineRule="auto"/>
        <w:rPr>
          <w:sz w:val="24"/>
          <w:szCs w:val="24"/>
        </w:rPr>
      </w:pPr>
    </w:p>
    <w:p w:rsidR="00921FDB" w:rsidRDefault="00921FDB" w:rsidP="00921FDB">
      <w:pPr>
        <w:spacing w:line="360" w:lineRule="auto"/>
        <w:ind w:firstLine="1440"/>
        <w:rPr>
          <w:sz w:val="24"/>
          <w:szCs w:val="24"/>
        </w:rPr>
      </w:pPr>
      <w:r>
        <w:rPr>
          <w:sz w:val="24"/>
          <w:szCs w:val="24"/>
        </w:rPr>
        <w:t>The Complainant alleges that the Respondent entered his property and installed a gas line without the appropriate permits, permission or easements in place.  He wants the gas line removed, fines assessed if appropriate, and individuals referred to the Attorney General’s office.</w:t>
      </w:r>
    </w:p>
    <w:p w:rsidR="00921FDB" w:rsidRDefault="00921FDB" w:rsidP="00921FDB">
      <w:pPr>
        <w:spacing w:line="360" w:lineRule="auto"/>
        <w:ind w:firstLine="1440"/>
        <w:rPr>
          <w:sz w:val="24"/>
          <w:szCs w:val="24"/>
        </w:rPr>
      </w:pPr>
    </w:p>
    <w:p w:rsidR="00921FDB" w:rsidRDefault="004C4DCF" w:rsidP="00921FDB">
      <w:pPr>
        <w:spacing w:line="360" w:lineRule="auto"/>
        <w:ind w:firstLine="1440"/>
        <w:rPr>
          <w:sz w:val="24"/>
          <w:szCs w:val="24"/>
        </w:rPr>
      </w:pPr>
      <w:r>
        <w:rPr>
          <w:sz w:val="24"/>
          <w:szCs w:val="24"/>
        </w:rPr>
        <w:t>As argued by the Respondent, t</w:t>
      </w:r>
      <w:r w:rsidR="00921FDB">
        <w:rPr>
          <w:sz w:val="24"/>
          <w:szCs w:val="24"/>
        </w:rPr>
        <w:t xml:space="preserve">he Commission lacks jurisdiction to adjudicate personal property issues.  </w:t>
      </w:r>
    </w:p>
    <w:p w:rsidR="002B6414" w:rsidRDefault="002B6414" w:rsidP="00921FDB">
      <w:pPr>
        <w:spacing w:line="360" w:lineRule="auto"/>
        <w:ind w:firstLine="1440"/>
        <w:rPr>
          <w:sz w:val="24"/>
          <w:szCs w:val="24"/>
        </w:rPr>
      </w:pPr>
    </w:p>
    <w:p w:rsidR="002B6414" w:rsidRDefault="004C4DCF" w:rsidP="002B6414">
      <w:pPr>
        <w:spacing w:line="360" w:lineRule="auto"/>
        <w:ind w:firstLine="1440"/>
        <w:rPr>
          <w:sz w:val="24"/>
          <w:szCs w:val="24"/>
        </w:rPr>
      </w:pPr>
      <w:r>
        <w:rPr>
          <w:sz w:val="24"/>
          <w:szCs w:val="24"/>
        </w:rPr>
        <w:t>As noted by the Respondent, t</w:t>
      </w:r>
      <w:r w:rsidR="002B6414" w:rsidRPr="00C6625A">
        <w:rPr>
          <w:sz w:val="24"/>
          <w:szCs w:val="24"/>
        </w:rPr>
        <w:t>he PUC is a creature of statute, it has only those powers, which are expressly conferred upon it by the legislature and those powers, which arise by necessary implication.</w:t>
      </w:r>
      <w:r w:rsidR="002B6414">
        <w:rPr>
          <w:sz w:val="24"/>
          <w:szCs w:val="24"/>
        </w:rPr>
        <w:t xml:space="preserve">  </w:t>
      </w:r>
      <w:r w:rsidR="002B6414" w:rsidRPr="00C6625A">
        <w:rPr>
          <w:sz w:val="24"/>
          <w:szCs w:val="24"/>
          <w:u w:val="single"/>
        </w:rPr>
        <w:t>Feingold v. Bell of Pennsylvania</w:t>
      </w:r>
      <w:r w:rsidR="002B6414">
        <w:rPr>
          <w:sz w:val="24"/>
          <w:szCs w:val="24"/>
        </w:rPr>
        <w:t>, 477 Pa.</w:t>
      </w:r>
      <w:r w:rsidR="000A5D4E">
        <w:rPr>
          <w:sz w:val="24"/>
          <w:szCs w:val="24"/>
        </w:rPr>
        <w:t xml:space="preserve"> </w:t>
      </w:r>
      <w:r w:rsidR="002B6414">
        <w:rPr>
          <w:sz w:val="24"/>
          <w:szCs w:val="24"/>
        </w:rPr>
        <w:t>1, 383 A 2d 791 (1978).  T</w:t>
      </w:r>
      <w:r w:rsidR="002B6414" w:rsidRPr="005B1CBB">
        <w:rPr>
          <w:sz w:val="24"/>
          <w:szCs w:val="24"/>
        </w:rPr>
        <w:t xml:space="preserve">he Commission must act within and cannot exceed its jurisdiction.  </w:t>
      </w:r>
      <w:r w:rsidR="002B6414" w:rsidRPr="005B1CBB">
        <w:rPr>
          <w:sz w:val="24"/>
          <w:szCs w:val="24"/>
          <w:u w:val="single"/>
        </w:rPr>
        <w:t xml:space="preserve">City of </w:t>
      </w:r>
      <w:smartTag w:uri="urn:schemas-microsoft-com:office:smarttags" w:element="City">
        <w:smartTag w:uri="urn:schemas-microsoft-com:office:smarttags" w:element="place">
          <w:r w:rsidR="002B6414" w:rsidRPr="005B1CBB">
            <w:rPr>
              <w:sz w:val="24"/>
              <w:szCs w:val="24"/>
              <w:u w:val="single"/>
            </w:rPr>
            <w:t>Pittsburgh</w:t>
          </w:r>
        </w:smartTag>
      </w:smartTag>
      <w:r w:rsidR="002B6414" w:rsidRPr="005B1CBB">
        <w:rPr>
          <w:sz w:val="24"/>
          <w:szCs w:val="24"/>
          <w:u w:val="single"/>
        </w:rPr>
        <w:t xml:space="preserve"> v. </w:t>
      </w:r>
      <w:smartTag w:uri="urn:schemas-microsoft-com:office:smarttags" w:element="State">
        <w:smartTag w:uri="urn:schemas-microsoft-com:office:smarttags" w:element="place">
          <w:r w:rsidR="002B6414" w:rsidRPr="005B1CBB">
            <w:rPr>
              <w:sz w:val="24"/>
              <w:szCs w:val="24"/>
              <w:u w:val="single"/>
            </w:rPr>
            <w:t>Pa.</w:t>
          </w:r>
        </w:smartTag>
      </w:smartTag>
      <w:r w:rsidR="002B6414" w:rsidRPr="005B1CBB">
        <w:rPr>
          <w:sz w:val="24"/>
          <w:szCs w:val="24"/>
          <w:u w:val="single"/>
        </w:rPr>
        <w:t xml:space="preserve"> Public Utility Commission</w:t>
      </w:r>
      <w:r w:rsidR="002B6414" w:rsidRPr="005B1CBB">
        <w:rPr>
          <w:sz w:val="24"/>
          <w:szCs w:val="24"/>
        </w:rPr>
        <w:t>, 43 A.2d 348 (Pa.</w:t>
      </w:r>
      <w:r w:rsidR="000A5D4E">
        <w:rPr>
          <w:sz w:val="24"/>
          <w:szCs w:val="24"/>
        </w:rPr>
        <w:t xml:space="preserve"> </w:t>
      </w:r>
      <w:r w:rsidR="002B6414" w:rsidRPr="005B1CBB">
        <w:rPr>
          <w:sz w:val="24"/>
          <w:szCs w:val="24"/>
        </w:rPr>
        <w:t xml:space="preserve">Super. 1945); </w:t>
      </w:r>
      <w:r w:rsidR="002B6414" w:rsidRPr="005B1CBB">
        <w:rPr>
          <w:sz w:val="24"/>
          <w:szCs w:val="24"/>
          <w:u w:val="single"/>
        </w:rPr>
        <w:t>Hart v. AT&amp;T Communications of Pennsylvania, Inc.</w:t>
      </w:r>
      <w:r w:rsidR="002B6414" w:rsidRPr="005B1CBB">
        <w:rPr>
          <w:sz w:val="24"/>
          <w:szCs w:val="24"/>
        </w:rPr>
        <w:t xml:space="preserve">, Docket No. C-00003769, Commission Final Order entered </w:t>
      </w:r>
      <w:smartTag w:uri="urn:schemas-microsoft-com:office:smarttags" w:element="date">
        <w:smartTagPr>
          <w:attr w:name="Year" w:val="2000"/>
          <w:attr w:name="Day" w:val="29"/>
          <w:attr w:name="Month" w:val="8"/>
        </w:smartTagPr>
        <w:r w:rsidR="002B6414" w:rsidRPr="005B1CBB">
          <w:rPr>
            <w:sz w:val="24"/>
            <w:szCs w:val="24"/>
          </w:rPr>
          <w:t>August 29, 2000</w:t>
        </w:r>
      </w:smartTag>
      <w:r w:rsidR="002B6414" w:rsidRPr="005B1CBB">
        <w:rPr>
          <w:sz w:val="24"/>
          <w:szCs w:val="24"/>
        </w:rPr>
        <w:t xml:space="preserve"> (</w:t>
      </w:r>
      <w:r w:rsidR="002B6414" w:rsidRPr="005B1CBB">
        <w:rPr>
          <w:sz w:val="24"/>
          <w:szCs w:val="24"/>
          <w:u w:val="single"/>
        </w:rPr>
        <w:t>Hart</w:t>
      </w:r>
      <w:r w:rsidR="002B6414" w:rsidRPr="005B1CBB">
        <w:rPr>
          <w:sz w:val="24"/>
          <w:szCs w:val="24"/>
        </w:rPr>
        <w:t xml:space="preserve">); </w:t>
      </w:r>
      <w:r w:rsidR="002B6414" w:rsidRPr="005B1CBB">
        <w:rPr>
          <w:sz w:val="24"/>
          <w:szCs w:val="24"/>
          <w:u w:val="single"/>
        </w:rPr>
        <w:t>Wilkie v. AT&amp;T Communications of Pennsylvania, Inc.</w:t>
      </w:r>
      <w:r w:rsidR="002B6414" w:rsidRPr="005B1CBB">
        <w:rPr>
          <w:sz w:val="24"/>
          <w:szCs w:val="24"/>
        </w:rPr>
        <w:t xml:space="preserve">, Docket No. C-20016085, Commission Final Order entered </w:t>
      </w:r>
      <w:smartTag w:uri="urn:schemas-microsoft-com:office:smarttags" w:element="date">
        <w:smartTagPr>
          <w:attr w:name="Month" w:val="12"/>
          <w:attr w:name="Day" w:val="28"/>
          <w:attr w:name="Year" w:val="2001"/>
        </w:smartTagPr>
        <w:r w:rsidR="002B6414" w:rsidRPr="005B1CBB">
          <w:rPr>
            <w:sz w:val="24"/>
            <w:szCs w:val="24"/>
          </w:rPr>
          <w:t>December 28, 2001</w:t>
        </w:r>
      </w:smartTag>
      <w:r w:rsidR="002B6414" w:rsidRPr="005B1CBB">
        <w:rPr>
          <w:sz w:val="24"/>
          <w:szCs w:val="24"/>
        </w:rPr>
        <w:t xml:space="preserve"> (</w:t>
      </w:r>
      <w:r w:rsidR="002B6414" w:rsidRPr="005B1CBB">
        <w:rPr>
          <w:sz w:val="24"/>
          <w:szCs w:val="24"/>
          <w:u w:val="single"/>
        </w:rPr>
        <w:t>Wilkie</w:t>
      </w:r>
      <w:r w:rsidR="002B6414" w:rsidRPr="005B1CBB">
        <w:rPr>
          <w:sz w:val="24"/>
          <w:szCs w:val="24"/>
        </w:rPr>
        <w:t>).</w:t>
      </w:r>
    </w:p>
    <w:p w:rsidR="002B6414" w:rsidRDefault="002B6414" w:rsidP="002B6414">
      <w:pPr>
        <w:spacing w:line="360" w:lineRule="auto"/>
        <w:ind w:firstLine="1440"/>
        <w:rPr>
          <w:sz w:val="24"/>
          <w:szCs w:val="24"/>
        </w:rPr>
      </w:pPr>
    </w:p>
    <w:p w:rsidR="002B6414" w:rsidRDefault="004C4DCF" w:rsidP="002B6414">
      <w:pPr>
        <w:spacing w:line="360" w:lineRule="auto"/>
        <w:ind w:firstLine="1440"/>
        <w:rPr>
          <w:sz w:val="24"/>
          <w:szCs w:val="24"/>
        </w:rPr>
      </w:pPr>
      <w:r>
        <w:rPr>
          <w:sz w:val="24"/>
          <w:szCs w:val="24"/>
        </w:rPr>
        <w:t>As correctly argued by the Respondent, t</w:t>
      </w:r>
      <w:r w:rsidR="002B6414">
        <w:rPr>
          <w:sz w:val="24"/>
          <w:szCs w:val="24"/>
        </w:rPr>
        <w:t xml:space="preserve">he Court of Common Pleas has jurisdiction over substantive property disputes.  </w:t>
      </w:r>
      <w:r w:rsidR="002B6414" w:rsidRPr="002B6414">
        <w:rPr>
          <w:sz w:val="24"/>
          <w:szCs w:val="24"/>
          <w:u w:val="single"/>
        </w:rPr>
        <w:t>Fiorillo v. PECO Energy Co.</w:t>
      </w:r>
      <w:r w:rsidR="007622B8">
        <w:rPr>
          <w:sz w:val="24"/>
          <w:szCs w:val="24"/>
        </w:rPr>
        <w:t>, Docket No. C</w:t>
      </w:r>
      <w:r w:rsidR="007622B8">
        <w:rPr>
          <w:sz w:val="24"/>
          <w:szCs w:val="24"/>
        </w:rPr>
        <w:noBreakHyphen/>
      </w:r>
      <w:r w:rsidR="002B6414">
        <w:rPr>
          <w:sz w:val="24"/>
          <w:szCs w:val="24"/>
        </w:rPr>
        <w:t>00971088 (Order entered September 14, 1999).  The Commissi</w:t>
      </w:r>
      <w:r w:rsidR="007622B8">
        <w:rPr>
          <w:sz w:val="24"/>
          <w:szCs w:val="24"/>
        </w:rPr>
        <w:t>on does not have subject matter </w:t>
      </w:r>
      <w:r w:rsidR="002B6414">
        <w:rPr>
          <w:sz w:val="24"/>
          <w:szCs w:val="24"/>
        </w:rPr>
        <w:t xml:space="preserve">jurisdiction over questions of trespass and the scope and validity of a utility’s right of way.  </w:t>
      </w:r>
      <w:r w:rsidR="002B6414" w:rsidRPr="007A67CC">
        <w:rPr>
          <w:sz w:val="24"/>
          <w:szCs w:val="24"/>
          <w:u w:val="single"/>
        </w:rPr>
        <w:t>Lou Amati/Amati Service S</w:t>
      </w:r>
      <w:r w:rsidR="00A8167A">
        <w:rPr>
          <w:sz w:val="24"/>
          <w:szCs w:val="24"/>
          <w:u w:val="single"/>
        </w:rPr>
        <w:t>t</w:t>
      </w:r>
      <w:r w:rsidR="002B6414" w:rsidRPr="007A67CC">
        <w:rPr>
          <w:sz w:val="24"/>
          <w:szCs w:val="24"/>
          <w:u w:val="single"/>
        </w:rPr>
        <w:t>ation v</w:t>
      </w:r>
      <w:r w:rsidR="00B90326">
        <w:rPr>
          <w:sz w:val="24"/>
          <w:szCs w:val="24"/>
          <w:u w:val="single"/>
        </w:rPr>
        <w:t>.</w:t>
      </w:r>
      <w:r w:rsidR="002B6414" w:rsidRPr="007A67CC">
        <w:rPr>
          <w:sz w:val="24"/>
          <w:szCs w:val="24"/>
          <w:u w:val="single"/>
        </w:rPr>
        <w:t xml:space="preserve"> West Penn Power</w:t>
      </w:r>
      <w:r w:rsidR="00675A49">
        <w:rPr>
          <w:sz w:val="24"/>
          <w:szCs w:val="24"/>
          <w:u w:val="single"/>
        </w:rPr>
        <w:t> </w:t>
      </w:r>
      <w:r w:rsidR="002B6414" w:rsidRPr="007A67CC">
        <w:rPr>
          <w:sz w:val="24"/>
          <w:szCs w:val="24"/>
          <w:u w:val="single"/>
        </w:rPr>
        <w:t>Co.</w:t>
      </w:r>
      <w:r w:rsidR="007622B8">
        <w:rPr>
          <w:sz w:val="24"/>
          <w:szCs w:val="24"/>
        </w:rPr>
        <w:t>, Docket No. C-00945872 (Order </w:t>
      </w:r>
      <w:r w:rsidR="002B6414">
        <w:rPr>
          <w:sz w:val="24"/>
          <w:szCs w:val="24"/>
        </w:rPr>
        <w:t xml:space="preserve">entered October 24, 1996.  The Commission does not have jurisdiction to determine if a utility’s facilities are situated within a valid right of way, such matters are within the exclusive jurisdiction of the court of common pleas.  </w:t>
      </w:r>
      <w:r w:rsidR="002B6414" w:rsidRPr="00FD697B">
        <w:rPr>
          <w:sz w:val="24"/>
          <w:szCs w:val="24"/>
          <w:u w:val="single"/>
        </w:rPr>
        <w:t>Edward Boczar</w:t>
      </w:r>
      <w:r w:rsidR="00A260AF">
        <w:rPr>
          <w:sz w:val="24"/>
          <w:szCs w:val="24"/>
          <w:u w:val="single"/>
        </w:rPr>
        <w:t> </w:t>
      </w:r>
      <w:r w:rsidR="002B6414" w:rsidRPr="00FD697B">
        <w:rPr>
          <w:sz w:val="24"/>
          <w:szCs w:val="24"/>
          <w:u w:val="single"/>
        </w:rPr>
        <w:t>v. PPL Electric Utilities Corporation</w:t>
      </w:r>
      <w:r w:rsidR="00FD697B">
        <w:rPr>
          <w:sz w:val="24"/>
          <w:szCs w:val="24"/>
        </w:rPr>
        <w:t xml:space="preserve">, Docket </w:t>
      </w:r>
      <w:r w:rsidR="00CD0453">
        <w:rPr>
          <w:sz w:val="24"/>
          <w:szCs w:val="24"/>
        </w:rPr>
        <w:t>N</w:t>
      </w:r>
      <w:r w:rsidR="00FD697B">
        <w:rPr>
          <w:sz w:val="24"/>
          <w:szCs w:val="24"/>
        </w:rPr>
        <w:t>o. C-20016332 (Order entered February</w:t>
      </w:r>
      <w:r w:rsidR="00A260AF">
        <w:rPr>
          <w:sz w:val="24"/>
          <w:szCs w:val="24"/>
        </w:rPr>
        <w:t> </w:t>
      </w:r>
      <w:r w:rsidR="00FD697B">
        <w:rPr>
          <w:sz w:val="24"/>
          <w:szCs w:val="24"/>
        </w:rPr>
        <w:t>10, 2003).</w:t>
      </w:r>
      <w:r w:rsidR="002B6414">
        <w:rPr>
          <w:sz w:val="24"/>
          <w:szCs w:val="24"/>
        </w:rPr>
        <w:t xml:space="preserve"> </w:t>
      </w:r>
    </w:p>
    <w:p w:rsidR="00FD697B" w:rsidRDefault="00FD697B" w:rsidP="002B6414">
      <w:pPr>
        <w:spacing w:line="360" w:lineRule="auto"/>
        <w:ind w:firstLine="1440"/>
        <w:rPr>
          <w:sz w:val="24"/>
          <w:szCs w:val="24"/>
        </w:rPr>
      </w:pPr>
    </w:p>
    <w:p w:rsidR="00FD697B" w:rsidRPr="005B1CBB" w:rsidRDefault="00FD697B" w:rsidP="002B6414">
      <w:pPr>
        <w:spacing w:line="360" w:lineRule="auto"/>
        <w:ind w:firstLine="1440"/>
        <w:rPr>
          <w:sz w:val="24"/>
          <w:szCs w:val="24"/>
        </w:rPr>
      </w:pPr>
      <w:r>
        <w:rPr>
          <w:sz w:val="24"/>
          <w:szCs w:val="24"/>
        </w:rPr>
        <w:t>As is made clear by these cases, the Complainant needs to bring this action in a court of common pleas, and not with the Commission, therefore, the preliminary objection will be granted in the ordering paragraphs below.</w:t>
      </w:r>
    </w:p>
    <w:p w:rsidR="002B6414" w:rsidRPr="00921FDB" w:rsidRDefault="002B6414" w:rsidP="00921FDB">
      <w:pPr>
        <w:spacing w:line="360"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FD697B">
      <w:pPr>
        <w:tabs>
          <w:tab w:val="left" w:pos="2160"/>
        </w:tabs>
        <w:spacing w:line="360" w:lineRule="auto"/>
        <w:ind w:firstLine="1440"/>
        <w:jc w:val="center"/>
        <w:rPr>
          <w:sz w:val="24"/>
          <w:szCs w:val="24"/>
          <w:u w:val="single"/>
        </w:rPr>
      </w:pPr>
    </w:p>
    <w:p w:rsidR="00382B1A" w:rsidRPr="00FD697B" w:rsidRDefault="00382B1A" w:rsidP="005251EE">
      <w:pPr>
        <w:pStyle w:val="ListParagraph"/>
        <w:tabs>
          <w:tab w:val="left" w:pos="2160"/>
        </w:tabs>
        <w:spacing w:line="360" w:lineRule="auto"/>
        <w:ind w:left="0" w:firstLine="1440"/>
        <w:rPr>
          <w:sz w:val="24"/>
          <w:szCs w:val="24"/>
        </w:rPr>
      </w:pPr>
      <w:r w:rsidRPr="00FD697B">
        <w:rPr>
          <w:sz w:val="24"/>
          <w:szCs w:val="24"/>
        </w:rPr>
        <w:t>The Commission has</w:t>
      </w:r>
      <w:r w:rsidR="00FD697B" w:rsidRPr="00FD697B">
        <w:rPr>
          <w:sz w:val="24"/>
          <w:szCs w:val="24"/>
        </w:rPr>
        <w:t xml:space="preserve"> no </w:t>
      </w:r>
      <w:r w:rsidRPr="00FD697B">
        <w:rPr>
          <w:sz w:val="24"/>
          <w:szCs w:val="24"/>
        </w:rPr>
        <w:t xml:space="preserve">jurisdiction over the subject matter </w:t>
      </w:r>
      <w:r w:rsidR="00FD697B" w:rsidRPr="00FD697B">
        <w:rPr>
          <w:sz w:val="24"/>
          <w:szCs w:val="24"/>
        </w:rPr>
        <w:t>in this formal complaint</w:t>
      </w:r>
      <w:r w:rsidRPr="00FD697B">
        <w:rPr>
          <w:sz w:val="24"/>
          <w:szCs w:val="24"/>
        </w:rPr>
        <w:t>.</w:t>
      </w:r>
    </w:p>
    <w:p w:rsidR="00FD697B" w:rsidRPr="00FD697B" w:rsidRDefault="00FD697B" w:rsidP="00D6035C">
      <w:pPr>
        <w:pStyle w:val="ListParagraph"/>
        <w:tabs>
          <w:tab w:val="left" w:pos="2160"/>
        </w:tabs>
        <w:ind w:left="0"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7622B8">
      <w:pPr>
        <w:spacing w:line="480" w:lineRule="auto"/>
        <w:jc w:val="center"/>
        <w:rPr>
          <w:sz w:val="24"/>
          <w:szCs w:val="24"/>
          <w:u w:val="single"/>
        </w:rPr>
      </w:pPr>
    </w:p>
    <w:p w:rsidR="00DE562E" w:rsidRDefault="00DE562E" w:rsidP="009329F7">
      <w:pPr>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FD697B">
        <w:rPr>
          <w:sz w:val="24"/>
          <w:szCs w:val="24"/>
        </w:rPr>
        <w:t>IT IS ORDERED:</w:t>
      </w:r>
      <w:r w:rsidR="006D4BB7" w:rsidRPr="00FD697B">
        <w:rPr>
          <w:sz w:val="24"/>
          <w:szCs w:val="24"/>
        </w:rPr>
        <w:t xml:space="preserve"> </w:t>
      </w:r>
    </w:p>
    <w:p w:rsidR="00FD697B" w:rsidRPr="00FD697B" w:rsidRDefault="00FD697B" w:rsidP="0081696C">
      <w:pPr>
        <w:spacing w:line="360" w:lineRule="auto"/>
        <w:ind w:firstLine="1440"/>
        <w:outlineLvl w:val="0"/>
        <w:rPr>
          <w:sz w:val="24"/>
          <w:szCs w:val="24"/>
        </w:rPr>
      </w:pPr>
    </w:p>
    <w:p w:rsidR="00FD697B" w:rsidRDefault="00FD697B" w:rsidP="00FD697B">
      <w:pPr>
        <w:pStyle w:val="ListParagraph"/>
        <w:numPr>
          <w:ilvl w:val="0"/>
          <w:numId w:val="22"/>
        </w:numPr>
        <w:tabs>
          <w:tab w:val="left" w:pos="2160"/>
        </w:tabs>
        <w:spacing w:line="360" w:lineRule="auto"/>
        <w:ind w:left="0" w:firstLine="1440"/>
        <w:rPr>
          <w:sz w:val="24"/>
          <w:szCs w:val="24"/>
        </w:rPr>
      </w:pPr>
      <w:r w:rsidRPr="00FD697B">
        <w:rPr>
          <w:sz w:val="24"/>
          <w:szCs w:val="24"/>
        </w:rPr>
        <w:t>That the Preliminary Objection of Columbia Gas of Pennsylvania, Inc. is granted.</w:t>
      </w:r>
    </w:p>
    <w:p w:rsidR="007002B9" w:rsidRPr="00FD697B" w:rsidRDefault="007002B9" w:rsidP="007002B9">
      <w:pPr>
        <w:pStyle w:val="ListParagraph"/>
        <w:tabs>
          <w:tab w:val="left" w:pos="2160"/>
        </w:tabs>
        <w:spacing w:line="360" w:lineRule="auto"/>
        <w:ind w:left="1440"/>
        <w:rPr>
          <w:sz w:val="24"/>
          <w:szCs w:val="24"/>
        </w:rPr>
      </w:pPr>
    </w:p>
    <w:p w:rsidR="00FE6157" w:rsidRDefault="00FD697B" w:rsidP="00FD697B">
      <w:pPr>
        <w:pStyle w:val="ListParagraph"/>
        <w:numPr>
          <w:ilvl w:val="0"/>
          <w:numId w:val="22"/>
        </w:numPr>
        <w:tabs>
          <w:tab w:val="left" w:pos="2160"/>
        </w:tabs>
        <w:spacing w:line="360" w:lineRule="auto"/>
        <w:ind w:left="0" w:firstLine="1440"/>
        <w:rPr>
          <w:sz w:val="24"/>
          <w:szCs w:val="24"/>
        </w:rPr>
      </w:pPr>
      <w:r w:rsidRPr="00FD697B">
        <w:rPr>
          <w:sz w:val="24"/>
          <w:szCs w:val="24"/>
        </w:rPr>
        <w:t>That the formal complaint of Fred D. Wilson at Docket No. C-2013-2367375 is dismissed.</w:t>
      </w:r>
    </w:p>
    <w:p w:rsidR="007002B9" w:rsidRPr="00FD697B" w:rsidRDefault="007002B9" w:rsidP="007002B9">
      <w:pPr>
        <w:pStyle w:val="ListParagraph"/>
        <w:tabs>
          <w:tab w:val="left" w:pos="2160"/>
        </w:tabs>
        <w:spacing w:line="360" w:lineRule="auto"/>
        <w:ind w:left="1440"/>
        <w:rPr>
          <w:sz w:val="24"/>
          <w:szCs w:val="24"/>
        </w:rPr>
      </w:pPr>
    </w:p>
    <w:p w:rsidR="00FD697B" w:rsidRPr="00FD697B" w:rsidRDefault="00FD697B" w:rsidP="00FD697B">
      <w:pPr>
        <w:pStyle w:val="ListParagraph"/>
        <w:numPr>
          <w:ilvl w:val="0"/>
          <w:numId w:val="22"/>
        </w:numPr>
        <w:tabs>
          <w:tab w:val="left" w:pos="2160"/>
        </w:tabs>
        <w:spacing w:line="360" w:lineRule="auto"/>
        <w:ind w:left="0" w:firstLine="1440"/>
        <w:rPr>
          <w:sz w:val="24"/>
          <w:szCs w:val="24"/>
        </w:rPr>
      </w:pPr>
      <w:r w:rsidRPr="00FD697B">
        <w:rPr>
          <w:sz w:val="24"/>
          <w:szCs w:val="24"/>
        </w:rPr>
        <w:t xml:space="preserve">That the </w:t>
      </w:r>
      <w:r w:rsidR="001A1C48">
        <w:rPr>
          <w:sz w:val="24"/>
          <w:szCs w:val="24"/>
        </w:rPr>
        <w:t>S</w:t>
      </w:r>
      <w:r w:rsidRPr="00FD697B">
        <w:rPr>
          <w:sz w:val="24"/>
          <w:szCs w:val="24"/>
        </w:rPr>
        <w:t>ecretary’s Bureau shall mark Docket No. C-2013-2367375 closed.</w:t>
      </w:r>
    </w:p>
    <w:p w:rsidR="00D6035C" w:rsidRDefault="00D6035C" w:rsidP="009329F7">
      <w:pPr>
        <w:rPr>
          <w:sz w:val="24"/>
          <w:szCs w:val="24"/>
        </w:rPr>
      </w:pPr>
    </w:p>
    <w:p w:rsidR="009329F7" w:rsidRDefault="009329F7" w:rsidP="00D6035C">
      <w:pPr>
        <w:rPr>
          <w:sz w:val="24"/>
          <w:szCs w:val="24"/>
        </w:rPr>
      </w:pPr>
    </w:p>
    <w:p w:rsidR="002A0B05" w:rsidRPr="002A0B05" w:rsidRDefault="002A0B05" w:rsidP="002A0B05">
      <w:pPr>
        <w:rPr>
          <w:sz w:val="24"/>
          <w:szCs w:val="24"/>
        </w:rPr>
      </w:pPr>
      <w:r w:rsidRPr="00DE562E">
        <w:rPr>
          <w:sz w:val="24"/>
          <w:szCs w:val="24"/>
        </w:rPr>
        <w:t>Date:</w:t>
      </w:r>
      <w:r>
        <w:rPr>
          <w:sz w:val="24"/>
          <w:szCs w:val="24"/>
        </w:rPr>
        <w:t xml:space="preserve">  </w:t>
      </w:r>
      <w:r>
        <w:rPr>
          <w:sz w:val="24"/>
          <w:szCs w:val="24"/>
          <w:u w:val="single"/>
        </w:rPr>
        <w:t>July 2</w:t>
      </w:r>
      <w:r w:rsidR="00D00DD1">
        <w:rPr>
          <w:sz w:val="24"/>
          <w:szCs w:val="24"/>
          <w:u w:val="single"/>
        </w:rPr>
        <w:t>4</w:t>
      </w:r>
      <w:r>
        <w:rPr>
          <w:sz w:val="24"/>
          <w:szCs w:val="24"/>
          <w:u w:val="single"/>
        </w:rPr>
        <w:t>, 2013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A0B05">
        <w:rPr>
          <w:sz w:val="24"/>
          <w:szCs w:val="24"/>
          <w:u w:val="single"/>
        </w:rPr>
        <w:tab/>
      </w:r>
      <w:r w:rsidRPr="002A0B05">
        <w:rPr>
          <w:sz w:val="24"/>
          <w:szCs w:val="24"/>
          <w:u w:val="single"/>
        </w:rPr>
        <w:tab/>
        <w:t>/s/</w:t>
      </w:r>
      <w:r w:rsidRPr="002A0B05">
        <w:rPr>
          <w:sz w:val="24"/>
          <w:szCs w:val="24"/>
          <w:u w:val="single"/>
        </w:rPr>
        <w:tab/>
      </w:r>
      <w:r w:rsidRPr="002A0B05">
        <w:rPr>
          <w:sz w:val="24"/>
          <w:szCs w:val="24"/>
          <w:u w:val="single"/>
        </w:rPr>
        <w:tab/>
      </w:r>
      <w:r w:rsidRPr="002A0B05">
        <w:rPr>
          <w:sz w:val="24"/>
          <w:szCs w:val="24"/>
          <w:u w:val="single"/>
        </w:rPr>
        <w:tab/>
      </w:r>
    </w:p>
    <w:p w:rsidR="002A0B05" w:rsidRPr="002A0B05" w:rsidRDefault="002A0B05" w:rsidP="002A0B05">
      <w:pPr>
        <w:rPr>
          <w:sz w:val="24"/>
          <w:szCs w:val="24"/>
        </w:rPr>
      </w:pP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Pr>
          <w:sz w:val="24"/>
          <w:szCs w:val="24"/>
        </w:rPr>
        <w:t>Ember S. Jandebeur</w:t>
      </w:r>
    </w:p>
    <w:p w:rsidR="002A0B05" w:rsidRDefault="002A0B05" w:rsidP="002A0B05">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r>
      <w:r w:rsidRPr="002A0B05">
        <w:rPr>
          <w:sz w:val="24"/>
          <w:szCs w:val="24"/>
        </w:rPr>
        <w:tab/>
        <w:t>Administrative Law Judge</w:t>
      </w:r>
    </w:p>
    <w:sectPr w:rsidR="002A0B05" w:rsidSect="007622B8">
      <w:pgSz w:w="12240" w:h="15840" w:code="1"/>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CC" w:rsidRDefault="00360FCC">
      <w:r>
        <w:separator/>
      </w:r>
    </w:p>
  </w:endnote>
  <w:endnote w:type="continuationSeparator" w:id="0">
    <w:p w:rsidR="00360FCC" w:rsidRDefault="0036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A8167A">
      <w:rPr>
        <w:rStyle w:val="PageNumber"/>
        <w:noProof/>
        <w:sz w:val="20"/>
        <w:szCs w:val="20"/>
      </w:rPr>
      <w:t>4</w:t>
    </w:r>
    <w:r w:rsidRPr="0028114B">
      <w:rPr>
        <w:rStyle w:val="PageNumber"/>
        <w:sz w:val="20"/>
        <w:szCs w:val="20"/>
      </w:rPr>
      <w:fldChar w:fldCharType="end"/>
    </w:r>
  </w:p>
  <w:p w:rsidR="00223E7E" w:rsidRDefault="00223E7E" w:rsidP="00260ADE">
    <w:pPr>
      <w:pStyle w:val="Footer"/>
      <w:jc w:val="right"/>
      <w:rPr>
        <w:rStyle w:val="PageNumbe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B8" w:rsidRPr="007622B8" w:rsidRDefault="007622B8">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28239342"/>
      <w:docPartObj>
        <w:docPartGallery w:val="Page Numbers (Bottom of Page)"/>
        <w:docPartUnique/>
      </w:docPartObj>
    </w:sdtPr>
    <w:sdtEndPr>
      <w:rPr>
        <w:noProof/>
      </w:rPr>
    </w:sdtEndPr>
    <w:sdtContent>
      <w:p w:rsidR="007622B8" w:rsidRPr="007622B8" w:rsidRDefault="007622B8">
        <w:pPr>
          <w:pStyle w:val="Footer"/>
          <w:jc w:val="center"/>
          <w:rPr>
            <w:sz w:val="20"/>
            <w:szCs w:val="20"/>
          </w:rPr>
        </w:pPr>
        <w:r w:rsidRPr="007622B8">
          <w:rPr>
            <w:sz w:val="20"/>
            <w:szCs w:val="20"/>
          </w:rPr>
          <w:fldChar w:fldCharType="begin"/>
        </w:r>
        <w:r w:rsidRPr="007622B8">
          <w:rPr>
            <w:sz w:val="20"/>
            <w:szCs w:val="20"/>
          </w:rPr>
          <w:instrText xml:space="preserve"> PAGE   \* MERGEFORMAT </w:instrText>
        </w:r>
        <w:r w:rsidRPr="007622B8">
          <w:rPr>
            <w:sz w:val="20"/>
            <w:szCs w:val="20"/>
          </w:rPr>
          <w:fldChar w:fldCharType="separate"/>
        </w:r>
        <w:r w:rsidR="00A8167A">
          <w:rPr>
            <w:noProof/>
            <w:sz w:val="20"/>
            <w:szCs w:val="20"/>
          </w:rPr>
          <w:t>2</w:t>
        </w:r>
        <w:r w:rsidRPr="007622B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CC" w:rsidRDefault="00360FCC">
      <w:r>
        <w:separator/>
      </w:r>
    </w:p>
  </w:footnote>
  <w:footnote w:type="continuationSeparator" w:id="0">
    <w:p w:rsidR="00360FCC" w:rsidRDefault="00360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2F2C05"/>
    <w:multiLevelType w:val="hybridMultilevel"/>
    <w:tmpl w:val="FA924DFC"/>
    <w:lvl w:ilvl="0" w:tplc="059EFF7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0B521BC"/>
    <w:multiLevelType w:val="hybridMultilevel"/>
    <w:tmpl w:val="E402BF6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7"/>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21"/>
  </w:num>
  <w:num w:numId="13">
    <w:abstractNumId w:val="1"/>
  </w:num>
  <w:num w:numId="14">
    <w:abstractNumId w:val="5"/>
  </w:num>
  <w:num w:numId="15">
    <w:abstractNumId w:val="18"/>
  </w:num>
  <w:num w:numId="16">
    <w:abstractNumId w:val="20"/>
  </w:num>
  <w:num w:numId="17">
    <w:abstractNumId w:val="7"/>
  </w:num>
  <w:num w:numId="18">
    <w:abstractNumId w:val="3"/>
  </w:num>
  <w:num w:numId="19">
    <w:abstractNumId w:val="16"/>
  </w:num>
  <w:num w:numId="20">
    <w:abstractNumId w:val="15"/>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A5D4E"/>
    <w:rsid w:val="000B2B68"/>
    <w:rsid w:val="000B5F6A"/>
    <w:rsid w:val="000C5385"/>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A1C48"/>
    <w:rsid w:val="001A4CC0"/>
    <w:rsid w:val="001A5C1C"/>
    <w:rsid w:val="001A721E"/>
    <w:rsid w:val="001B123C"/>
    <w:rsid w:val="001B3235"/>
    <w:rsid w:val="001C20B7"/>
    <w:rsid w:val="001C715B"/>
    <w:rsid w:val="001D3206"/>
    <w:rsid w:val="001D6FCF"/>
    <w:rsid w:val="001E1F3B"/>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ADE"/>
    <w:rsid w:val="00260D19"/>
    <w:rsid w:val="002732DC"/>
    <w:rsid w:val="0028114B"/>
    <w:rsid w:val="0028185A"/>
    <w:rsid w:val="00290918"/>
    <w:rsid w:val="002919C6"/>
    <w:rsid w:val="00293557"/>
    <w:rsid w:val="002959E3"/>
    <w:rsid w:val="002A0B05"/>
    <w:rsid w:val="002A7C1C"/>
    <w:rsid w:val="002B19D4"/>
    <w:rsid w:val="002B3489"/>
    <w:rsid w:val="002B4EAE"/>
    <w:rsid w:val="002B6414"/>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0FCC"/>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69BF"/>
    <w:rsid w:val="00402359"/>
    <w:rsid w:val="004064A8"/>
    <w:rsid w:val="0041194F"/>
    <w:rsid w:val="00417087"/>
    <w:rsid w:val="0042160A"/>
    <w:rsid w:val="00422E29"/>
    <w:rsid w:val="00424A76"/>
    <w:rsid w:val="00427E73"/>
    <w:rsid w:val="004312BE"/>
    <w:rsid w:val="00431BEF"/>
    <w:rsid w:val="00442854"/>
    <w:rsid w:val="0046339D"/>
    <w:rsid w:val="00476C8A"/>
    <w:rsid w:val="00486535"/>
    <w:rsid w:val="00490174"/>
    <w:rsid w:val="004917C1"/>
    <w:rsid w:val="00491C99"/>
    <w:rsid w:val="00495450"/>
    <w:rsid w:val="004A1805"/>
    <w:rsid w:val="004A5AD6"/>
    <w:rsid w:val="004C3EFA"/>
    <w:rsid w:val="004C4DCF"/>
    <w:rsid w:val="004D1B54"/>
    <w:rsid w:val="004D3108"/>
    <w:rsid w:val="004D341F"/>
    <w:rsid w:val="004D46FD"/>
    <w:rsid w:val="004D4C3F"/>
    <w:rsid w:val="004E20CB"/>
    <w:rsid w:val="004E2912"/>
    <w:rsid w:val="004E533F"/>
    <w:rsid w:val="004F2D3D"/>
    <w:rsid w:val="005032B5"/>
    <w:rsid w:val="00515937"/>
    <w:rsid w:val="00517AD1"/>
    <w:rsid w:val="00523780"/>
    <w:rsid w:val="005251EE"/>
    <w:rsid w:val="00530D1B"/>
    <w:rsid w:val="00531226"/>
    <w:rsid w:val="00531409"/>
    <w:rsid w:val="00535DF7"/>
    <w:rsid w:val="00542107"/>
    <w:rsid w:val="00553EEB"/>
    <w:rsid w:val="00564C41"/>
    <w:rsid w:val="0056706A"/>
    <w:rsid w:val="00582896"/>
    <w:rsid w:val="00584798"/>
    <w:rsid w:val="0059070D"/>
    <w:rsid w:val="00592C86"/>
    <w:rsid w:val="005A33D0"/>
    <w:rsid w:val="005B250B"/>
    <w:rsid w:val="005B3C00"/>
    <w:rsid w:val="005B6749"/>
    <w:rsid w:val="005B7834"/>
    <w:rsid w:val="005C05D3"/>
    <w:rsid w:val="005C28EC"/>
    <w:rsid w:val="005D19C4"/>
    <w:rsid w:val="005D2DEE"/>
    <w:rsid w:val="005D4D0C"/>
    <w:rsid w:val="005E1F82"/>
    <w:rsid w:val="005E2068"/>
    <w:rsid w:val="005E3007"/>
    <w:rsid w:val="005E6321"/>
    <w:rsid w:val="005E6C27"/>
    <w:rsid w:val="005F17F5"/>
    <w:rsid w:val="005F38EC"/>
    <w:rsid w:val="005F3B50"/>
    <w:rsid w:val="005F452A"/>
    <w:rsid w:val="006034D3"/>
    <w:rsid w:val="0060580A"/>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75A49"/>
    <w:rsid w:val="00695694"/>
    <w:rsid w:val="006A21C2"/>
    <w:rsid w:val="006A3B47"/>
    <w:rsid w:val="006A7A0A"/>
    <w:rsid w:val="006C1047"/>
    <w:rsid w:val="006C3226"/>
    <w:rsid w:val="006D4BB7"/>
    <w:rsid w:val="006D75BD"/>
    <w:rsid w:val="006E4407"/>
    <w:rsid w:val="006F44F9"/>
    <w:rsid w:val="007002B9"/>
    <w:rsid w:val="007015FC"/>
    <w:rsid w:val="007114E7"/>
    <w:rsid w:val="0071588F"/>
    <w:rsid w:val="0073239A"/>
    <w:rsid w:val="0073727C"/>
    <w:rsid w:val="00744AF3"/>
    <w:rsid w:val="00747E56"/>
    <w:rsid w:val="00751672"/>
    <w:rsid w:val="0075510C"/>
    <w:rsid w:val="007622B8"/>
    <w:rsid w:val="00766C8E"/>
    <w:rsid w:val="00775593"/>
    <w:rsid w:val="0078016F"/>
    <w:rsid w:val="00782A08"/>
    <w:rsid w:val="00786153"/>
    <w:rsid w:val="00792C70"/>
    <w:rsid w:val="007965B0"/>
    <w:rsid w:val="007A49B5"/>
    <w:rsid w:val="007A67CC"/>
    <w:rsid w:val="007B1672"/>
    <w:rsid w:val="007B1D2D"/>
    <w:rsid w:val="007B46F9"/>
    <w:rsid w:val="007B6CFE"/>
    <w:rsid w:val="007C36CE"/>
    <w:rsid w:val="007C74E3"/>
    <w:rsid w:val="007D3E3E"/>
    <w:rsid w:val="007D532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1FDB"/>
    <w:rsid w:val="00922FE6"/>
    <w:rsid w:val="009329F7"/>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22653"/>
    <w:rsid w:val="00A23BC5"/>
    <w:rsid w:val="00A24F45"/>
    <w:rsid w:val="00A260AF"/>
    <w:rsid w:val="00A345AE"/>
    <w:rsid w:val="00A409B8"/>
    <w:rsid w:val="00A4383B"/>
    <w:rsid w:val="00A475EE"/>
    <w:rsid w:val="00A523A9"/>
    <w:rsid w:val="00A52E9C"/>
    <w:rsid w:val="00A67786"/>
    <w:rsid w:val="00A67C1E"/>
    <w:rsid w:val="00A761ED"/>
    <w:rsid w:val="00A76B1D"/>
    <w:rsid w:val="00A8167A"/>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7994"/>
    <w:rsid w:val="00B90326"/>
    <w:rsid w:val="00B922CF"/>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0D1A"/>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49DA"/>
    <w:rsid w:val="00CC5E96"/>
    <w:rsid w:val="00CD0453"/>
    <w:rsid w:val="00CD4A78"/>
    <w:rsid w:val="00CD6B6A"/>
    <w:rsid w:val="00CE43B4"/>
    <w:rsid w:val="00CE68C6"/>
    <w:rsid w:val="00CF3BB0"/>
    <w:rsid w:val="00CF7138"/>
    <w:rsid w:val="00D00DD1"/>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035C"/>
    <w:rsid w:val="00D6261D"/>
    <w:rsid w:val="00D6598A"/>
    <w:rsid w:val="00D65F4B"/>
    <w:rsid w:val="00D71653"/>
    <w:rsid w:val="00D72436"/>
    <w:rsid w:val="00D8063C"/>
    <w:rsid w:val="00D926F9"/>
    <w:rsid w:val="00D93182"/>
    <w:rsid w:val="00D961B5"/>
    <w:rsid w:val="00DA7FD6"/>
    <w:rsid w:val="00DB1328"/>
    <w:rsid w:val="00DB7EE0"/>
    <w:rsid w:val="00DD3E7F"/>
    <w:rsid w:val="00DE0ECC"/>
    <w:rsid w:val="00DE2348"/>
    <w:rsid w:val="00DE3943"/>
    <w:rsid w:val="00DE46BA"/>
    <w:rsid w:val="00DE562E"/>
    <w:rsid w:val="00DE6FB0"/>
    <w:rsid w:val="00DE77F8"/>
    <w:rsid w:val="00DF0138"/>
    <w:rsid w:val="00DF294A"/>
    <w:rsid w:val="00E00EAF"/>
    <w:rsid w:val="00E0236A"/>
    <w:rsid w:val="00E11739"/>
    <w:rsid w:val="00E12F72"/>
    <w:rsid w:val="00E15A2D"/>
    <w:rsid w:val="00E15B2B"/>
    <w:rsid w:val="00E267A5"/>
    <w:rsid w:val="00E30173"/>
    <w:rsid w:val="00E32DA2"/>
    <w:rsid w:val="00E35AC9"/>
    <w:rsid w:val="00E413A9"/>
    <w:rsid w:val="00E5003A"/>
    <w:rsid w:val="00E514FA"/>
    <w:rsid w:val="00E51D1F"/>
    <w:rsid w:val="00E536DC"/>
    <w:rsid w:val="00E56529"/>
    <w:rsid w:val="00E573C1"/>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00326"/>
    <w:rsid w:val="00F2180F"/>
    <w:rsid w:val="00F272ED"/>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D697B"/>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basedOn w:val="DefaultParagraphFont"/>
    <w:link w:val="FootnoteText"/>
    <w:semiHidden/>
    <w:rsid w:val="00921FDB"/>
  </w:style>
  <w:style w:type="character" w:customStyle="1" w:styleId="FooterChar">
    <w:name w:val="Footer Char"/>
    <w:basedOn w:val="DefaultParagraphFont"/>
    <w:link w:val="Footer"/>
    <w:uiPriority w:val="99"/>
    <w:rsid w:val="007622B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link w:val="FootnoteTextChar"/>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customStyle="1" w:styleId="FootnoteTextChar">
    <w:name w:val="Footnote Text Char"/>
    <w:basedOn w:val="DefaultParagraphFont"/>
    <w:link w:val="FootnoteText"/>
    <w:semiHidden/>
    <w:rsid w:val="00921FDB"/>
  </w:style>
  <w:style w:type="character" w:customStyle="1" w:styleId="FooterChar">
    <w:name w:val="Footer Char"/>
    <w:basedOn w:val="DefaultParagraphFont"/>
    <w:link w:val="Footer"/>
    <w:uiPriority w:val="99"/>
    <w:rsid w:val="007622B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3586-1F72-48B8-B2F3-1531D506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2013-07-24T19:18:00Z</cp:lastPrinted>
  <dcterms:created xsi:type="dcterms:W3CDTF">2013-08-08T19:14:00Z</dcterms:created>
  <dcterms:modified xsi:type="dcterms:W3CDTF">2013-08-08T19:14:00Z</dcterms:modified>
</cp:coreProperties>
</file>