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06B" w:rsidRDefault="007A206B">
      <w:pPr>
        <w:rPr>
          <w:rFonts w:ascii="Arial" w:hAnsi="Arial" w:cs="Arial"/>
          <w:b/>
        </w:rPr>
      </w:pPr>
    </w:p>
    <w:p w:rsidR="00F3650D" w:rsidRDefault="00F3650D">
      <w:pPr>
        <w:rPr>
          <w:rFonts w:ascii="Arial" w:hAnsi="Arial" w:cs="Arial"/>
          <w:b/>
        </w:rPr>
      </w:pPr>
    </w:p>
    <w:p w:rsidR="00F3650D" w:rsidRDefault="00F3650D">
      <w:pPr>
        <w:rPr>
          <w:rFonts w:ascii="Arial" w:hAnsi="Arial" w:cs="Arial"/>
          <w:b/>
        </w:rPr>
      </w:pPr>
    </w:p>
    <w:p w:rsidR="00F3650D" w:rsidRDefault="00F3650D">
      <w:pPr>
        <w:rPr>
          <w:rFonts w:ascii="Arial" w:hAnsi="Arial" w:cs="Arial"/>
          <w:b/>
        </w:rPr>
      </w:pPr>
    </w:p>
    <w:p w:rsidR="00F3650D" w:rsidRPr="00CE6637" w:rsidRDefault="00F3650D">
      <w:pPr>
        <w:rPr>
          <w:rFonts w:ascii="Arial" w:hAnsi="Arial" w:cs="Arial"/>
          <w:b/>
        </w:rPr>
      </w:pPr>
    </w:p>
    <w:p w:rsidR="00DF7DC3" w:rsidRPr="00CE6637" w:rsidRDefault="00DF7DC3">
      <w:pPr>
        <w:rPr>
          <w:rFonts w:ascii="Arial" w:hAnsi="Arial" w:cs="Arial"/>
          <w:b/>
        </w:rPr>
      </w:pPr>
    </w:p>
    <w:p w:rsidR="00DF7DC3" w:rsidRPr="00CE6637" w:rsidRDefault="00DF7DC3">
      <w:pPr>
        <w:rPr>
          <w:rFonts w:ascii="Arial" w:hAnsi="Arial" w:cs="Arial"/>
          <w:b/>
        </w:rPr>
      </w:pPr>
    </w:p>
    <w:p w:rsidR="007A206B" w:rsidRPr="00CE6637" w:rsidRDefault="007A206B">
      <w:pPr>
        <w:rPr>
          <w:rFonts w:ascii="Arial" w:hAnsi="Arial" w:cs="Arial"/>
          <w:b/>
        </w:rPr>
      </w:pPr>
    </w:p>
    <w:p w:rsidR="001032C8" w:rsidRPr="00A1597B" w:rsidRDefault="00E56A7B" w:rsidP="00905409">
      <w:pPr>
        <w:pStyle w:val="Title"/>
        <w:rPr>
          <w:rFonts w:ascii="Arial" w:hAnsi="Arial" w:cs="Arial"/>
          <w:sz w:val="36"/>
          <w:szCs w:val="36"/>
          <w:u w:val="none"/>
        </w:rPr>
      </w:pPr>
      <w:r w:rsidRPr="00A1597B">
        <w:rPr>
          <w:rFonts w:ascii="Arial" w:hAnsi="Arial" w:cs="Arial"/>
          <w:sz w:val="36"/>
          <w:szCs w:val="36"/>
          <w:u w:val="none"/>
        </w:rPr>
        <w:t>PPL ELECTRIC UTILITIES CORPORATION</w:t>
      </w:r>
    </w:p>
    <w:p w:rsidR="001032C8" w:rsidRPr="00F3650D" w:rsidRDefault="001032C8" w:rsidP="00905409">
      <w:pPr>
        <w:jc w:val="center"/>
        <w:rPr>
          <w:rFonts w:ascii="Arial" w:hAnsi="Arial" w:cs="Arial"/>
          <w:b/>
          <w:sz w:val="36"/>
          <w:szCs w:val="36"/>
        </w:rPr>
      </w:pPr>
    </w:p>
    <w:p w:rsidR="001032C8" w:rsidRPr="00BE651C" w:rsidRDefault="001032C8" w:rsidP="00905409">
      <w:pPr>
        <w:jc w:val="center"/>
        <w:rPr>
          <w:rFonts w:ascii="Arial" w:hAnsi="Arial" w:cs="Arial"/>
          <w:b/>
          <w:sz w:val="36"/>
          <w:szCs w:val="36"/>
        </w:rPr>
      </w:pPr>
    </w:p>
    <w:p w:rsidR="005D711E" w:rsidRPr="00991BAA" w:rsidRDefault="005D711E" w:rsidP="00905409">
      <w:pPr>
        <w:pStyle w:val="BodyText2"/>
        <w:rPr>
          <w:rFonts w:ascii="Arial" w:hAnsi="Arial" w:cs="Arial"/>
          <w:szCs w:val="36"/>
        </w:rPr>
      </w:pPr>
    </w:p>
    <w:p w:rsidR="007A206B" w:rsidRPr="00D15A91" w:rsidRDefault="007A206B" w:rsidP="00905409">
      <w:pPr>
        <w:pStyle w:val="BodyText2"/>
        <w:tabs>
          <w:tab w:val="clear" w:pos="4680"/>
        </w:tabs>
        <w:rPr>
          <w:rFonts w:ascii="Arial" w:hAnsi="Arial" w:cs="Arial"/>
          <w:szCs w:val="36"/>
        </w:rPr>
      </w:pPr>
    </w:p>
    <w:p w:rsidR="007A206B" w:rsidRPr="00B8535D" w:rsidRDefault="007A206B" w:rsidP="00905409">
      <w:pPr>
        <w:pStyle w:val="BodyText2"/>
        <w:tabs>
          <w:tab w:val="clear" w:pos="4680"/>
        </w:tabs>
        <w:rPr>
          <w:rFonts w:ascii="Arial" w:hAnsi="Arial" w:cs="Arial"/>
          <w:szCs w:val="36"/>
        </w:rPr>
      </w:pPr>
    </w:p>
    <w:p w:rsidR="004B4861" w:rsidRPr="00D45E0E" w:rsidRDefault="004B4861" w:rsidP="00905409">
      <w:pPr>
        <w:pStyle w:val="BodyText2"/>
        <w:tabs>
          <w:tab w:val="clear" w:pos="4680"/>
        </w:tabs>
        <w:rPr>
          <w:rFonts w:ascii="Arial" w:hAnsi="Arial" w:cs="Arial"/>
          <w:szCs w:val="36"/>
        </w:rPr>
      </w:pPr>
    </w:p>
    <w:p w:rsidR="00F4717D" w:rsidRPr="00A1597B" w:rsidRDefault="00554B9B" w:rsidP="00905409">
      <w:pPr>
        <w:suppressAutoHyphens/>
        <w:jc w:val="center"/>
        <w:rPr>
          <w:rFonts w:ascii="Arial" w:hAnsi="Arial" w:cs="Arial"/>
          <w:b/>
          <w:sz w:val="28"/>
          <w:szCs w:val="28"/>
        </w:rPr>
      </w:pPr>
      <w:r w:rsidRPr="00A1597B">
        <w:rPr>
          <w:rFonts w:ascii="Arial" w:hAnsi="Arial" w:cs="Arial"/>
          <w:b/>
          <w:sz w:val="28"/>
          <w:szCs w:val="28"/>
        </w:rPr>
        <w:t xml:space="preserve">A REPORT ON THE </w:t>
      </w:r>
    </w:p>
    <w:p w:rsidR="00216F99" w:rsidRPr="00A1597B" w:rsidRDefault="00216F99" w:rsidP="00905409">
      <w:pPr>
        <w:suppressAutoHyphens/>
        <w:jc w:val="center"/>
        <w:rPr>
          <w:rFonts w:ascii="Arial" w:hAnsi="Arial" w:cs="Arial"/>
          <w:b/>
          <w:sz w:val="28"/>
          <w:szCs w:val="28"/>
        </w:rPr>
      </w:pPr>
    </w:p>
    <w:p w:rsidR="00216F99" w:rsidRPr="00A1597B" w:rsidRDefault="00E56A7B" w:rsidP="00905409">
      <w:pPr>
        <w:suppressAutoHyphens/>
        <w:jc w:val="center"/>
        <w:rPr>
          <w:rFonts w:ascii="Arial" w:hAnsi="Arial" w:cs="Arial"/>
          <w:b/>
          <w:sz w:val="28"/>
          <w:szCs w:val="28"/>
        </w:rPr>
      </w:pPr>
      <w:r w:rsidRPr="00A1597B">
        <w:rPr>
          <w:rFonts w:ascii="Arial" w:hAnsi="Arial" w:cs="Arial"/>
          <w:b/>
          <w:sz w:val="28"/>
          <w:szCs w:val="28"/>
        </w:rPr>
        <w:t xml:space="preserve">GENERATION </w:t>
      </w:r>
      <w:r w:rsidR="00991813" w:rsidRPr="00A1597B">
        <w:rPr>
          <w:rFonts w:ascii="Arial" w:hAnsi="Arial" w:cs="Arial"/>
          <w:b/>
          <w:sz w:val="28"/>
          <w:szCs w:val="28"/>
        </w:rPr>
        <w:t>SUPPLY</w:t>
      </w:r>
      <w:r w:rsidRPr="00A1597B">
        <w:rPr>
          <w:rFonts w:ascii="Arial" w:hAnsi="Arial" w:cs="Arial"/>
          <w:b/>
          <w:sz w:val="28"/>
          <w:szCs w:val="28"/>
        </w:rPr>
        <w:t xml:space="preserve"> CHARGE</w:t>
      </w:r>
      <w:r w:rsidR="006831C8" w:rsidRPr="00A1597B">
        <w:rPr>
          <w:rFonts w:ascii="Arial" w:hAnsi="Arial" w:cs="Arial"/>
          <w:b/>
          <w:sz w:val="28"/>
          <w:szCs w:val="28"/>
        </w:rPr>
        <w:t xml:space="preserve"> </w:t>
      </w:r>
    </w:p>
    <w:p w:rsidR="00061843" w:rsidRPr="00A1597B" w:rsidRDefault="00554B9B" w:rsidP="00905409">
      <w:pPr>
        <w:suppressAutoHyphens/>
        <w:jc w:val="center"/>
        <w:rPr>
          <w:rFonts w:ascii="Arial" w:hAnsi="Arial" w:cs="Arial"/>
          <w:sz w:val="28"/>
          <w:szCs w:val="28"/>
        </w:rPr>
      </w:pPr>
      <w:r w:rsidRPr="00A1597B">
        <w:rPr>
          <w:rFonts w:ascii="Arial" w:hAnsi="Arial" w:cs="Arial"/>
          <w:sz w:val="28"/>
          <w:szCs w:val="28"/>
        </w:rPr>
        <w:t xml:space="preserve"> </w:t>
      </w:r>
    </w:p>
    <w:p w:rsidR="00DC4DD6" w:rsidRPr="00A1597B" w:rsidRDefault="00554B9B" w:rsidP="00216F99">
      <w:pPr>
        <w:suppressAutoHyphens/>
        <w:jc w:val="center"/>
        <w:rPr>
          <w:rFonts w:ascii="Arial" w:hAnsi="Arial" w:cs="Arial"/>
          <w:b/>
          <w:sz w:val="28"/>
          <w:szCs w:val="28"/>
        </w:rPr>
      </w:pPr>
      <w:r w:rsidRPr="00A1597B">
        <w:rPr>
          <w:rFonts w:ascii="Arial" w:hAnsi="Arial" w:cs="Arial"/>
          <w:b/>
          <w:sz w:val="28"/>
          <w:szCs w:val="28"/>
        </w:rPr>
        <w:t xml:space="preserve">FOR THE </w:t>
      </w:r>
      <w:r w:rsidR="00053070" w:rsidRPr="00A1597B">
        <w:rPr>
          <w:rFonts w:ascii="Arial" w:hAnsi="Arial" w:cs="Arial"/>
          <w:b/>
          <w:sz w:val="28"/>
          <w:szCs w:val="28"/>
        </w:rPr>
        <w:t>FIVE</w:t>
      </w:r>
      <w:r w:rsidR="00991813" w:rsidRPr="00A1597B">
        <w:rPr>
          <w:rFonts w:ascii="Arial" w:hAnsi="Arial" w:cs="Arial"/>
          <w:b/>
          <w:sz w:val="28"/>
          <w:szCs w:val="28"/>
        </w:rPr>
        <w:t xml:space="preserve"> MONTHS ENDED </w:t>
      </w:r>
      <w:r w:rsidR="00A143F7" w:rsidRPr="00A1597B">
        <w:rPr>
          <w:rFonts w:ascii="Arial" w:hAnsi="Arial" w:cs="Arial"/>
          <w:b/>
          <w:sz w:val="28"/>
          <w:szCs w:val="28"/>
        </w:rPr>
        <w:t>MAY 31</w:t>
      </w:r>
      <w:r w:rsidR="00991813" w:rsidRPr="00A1597B">
        <w:rPr>
          <w:rFonts w:ascii="Arial" w:hAnsi="Arial" w:cs="Arial"/>
          <w:b/>
          <w:sz w:val="28"/>
          <w:szCs w:val="28"/>
        </w:rPr>
        <w:t xml:space="preserve">, 2011 </w:t>
      </w:r>
    </w:p>
    <w:p w:rsidR="00DC4DD6" w:rsidRPr="00A1597B" w:rsidRDefault="00DC4DD6" w:rsidP="00216F99">
      <w:pPr>
        <w:suppressAutoHyphens/>
        <w:jc w:val="center"/>
        <w:rPr>
          <w:rFonts w:ascii="Arial" w:hAnsi="Arial" w:cs="Arial"/>
          <w:b/>
          <w:sz w:val="28"/>
          <w:szCs w:val="28"/>
        </w:rPr>
      </w:pPr>
    </w:p>
    <w:p w:rsidR="00DC4DD6" w:rsidRPr="00A1597B" w:rsidRDefault="00991813" w:rsidP="00216F99">
      <w:pPr>
        <w:suppressAutoHyphens/>
        <w:jc w:val="center"/>
        <w:rPr>
          <w:rFonts w:ascii="Arial" w:hAnsi="Arial" w:cs="Arial"/>
          <w:b/>
          <w:sz w:val="28"/>
          <w:szCs w:val="28"/>
        </w:rPr>
      </w:pPr>
      <w:r w:rsidRPr="00A1597B">
        <w:rPr>
          <w:rFonts w:ascii="Arial" w:hAnsi="Arial" w:cs="Arial"/>
          <w:b/>
          <w:sz w:val="28"/>
          <w:szCs w:val="28"/>
        </w:rPr>
        <w:t xml:space="preserve">AND </w:t>
      </w:r>
    </w:p>
    <w:p w:rsidR="00DC4DD6" w:rsidRPr="00A1597B" w:rsidRDefault="00DC4DD6" w:rsidP="00216F99">
      <w:pPr>
        <w:suppressAutoHyphens/>
        <w:jc w:val="center"/>
        <w:rPr>
          <w:rFonts w:ascii="Arial" w:hAnsi="Arial" w:cs="Arial"/>
          <w:b/>
          <w:sz w:val="28"/>
          <w:szCs w:val="28"/>
        </w:rPr>
      </w:pPr>
    </w:p>
    <w:p w:rsidR="001E14C1" w:rsidRPr="00A1597B" w:rsidRDefault="00991813" w:rsidP="00216F99">
      <w:pPr>
        <w:suppressAutoHyphens/>
        <w:jc w:val="center"/>
        <w:rPr>
          <w:rFonts w:ascii="Arial" w:hAnsi="Arial" w:cs="Arial"/>
          <w:sz w:val="28"/>
          <w:szCs w:val="28"/>
        </w:rPr>
      </w:pPr>
      <w:r w:rsidRPr="00A1597B">
        <w:rPr>
          <w:rFonts w:ascii="Arial" w:hAnsi="Arial" w:cs="Arial"/>
          <w:b/>
          <w:sz w:val="28"/>
          <w:szCs w:val="28"/>
        </w:rPr>
        <w:t xml:space="preserve">THE </w:t>
      </w:r>
      <w:r w:rsidR="00472039">
        <w:rPr>
          <w:rFonts w:ascii="Arial" w:hAnsi="Arial" w:cs="Arial"/>
          <w:b/>
          <w:sz w:val="28"/>
          <w:szCs w:val="28"/>
        </w:rPr>
        <w:t>TWELVE</w:t>
      </w:r>
      <w:r w:rsidR="00472039" w:rsidRPr="00A1597B">
        <w:rPr>
          <w:rFonts w:ascii="Arial" w:hAnsi="Arial" w:cs="Arial"/>
          <w:b/>
          <w:sz w:val="28"/>
          <w:szCs w:val="28"/>
        </w:rPr>
        <w:t xml:space="preserve"> </w:t>
      </w:r>
      <w:r w:rsidRPr="00A1597B">
        <w:rPr>
          <w:rFonts w:ascii="Arial" w:hAnsi="Arial" w:cs="Arial"/>
          <w:b/>
          <w:sz w:val="28"/>
          <w:szCs w:val="28"/>
        </w:rPr>
        <w:t xml:space="preserve">MONTHS ENDED </w:t>
      </w:r>
      <w:r w:rsidR="00A143F7" w:rsidRPr="00A1597B">
        <w:rPr>
          <w:rFonts w:ascii="Arial" w:hAnsi="Arial" w:cs="Arial"/>
          <w:b/>
          <w:sz w:val="28"/>
          <w:szCs w:val="28"/>
        </w:rPr>
        <w:t>DECEMBER 31</w:t>
      </w:r>
      <w:r w:rsidRPr="00A1597B">
        <w:rPr>
          <w:rFonts w:ascii="Arial" w:hAnsi="Arial" w:cs="Arial"/>
          <w:b/>
          <w:sz w:val="28"/>
          <w:szCs w:val="28"/>
        </w:rPr>
        <w:t>, 2010</w:t>
      </w:r>
      <w:r w:rsidR="00061843" w:rsidRPr="00A1597B">
        <w:rPr>
          <w:rFonts w:ascii="Arial" w:hAnsi="Arial" w:cs="Arial"/>
          <w:b/>
          <w:sz w:val="28"/>
          <w:szCs w:val="28"/>
        </w:rPr>
        <w:t xml:space="preserve"> </w:t>
      </w:r>
    </w:p>
    <w:p w:rsidR="001E14C1" w:rsidRPr="00A1597B" w:rsidRDefault="001E14C1" w:rsidP="00905409">
      <w:pPr>
        <w:pStyle w:val="BodyText2"/>
        <w:rPr>
          <w:rFonts w:ascii="Arial" w:hAnsi="Arial" w:cs="Arial"/>
          <w:sz w:val="28"/>
          <w:szCs w:val="28"/>
        </w:rPr>
      </w:pPr>
    </w:p>
    <w:p w:rsidR="005D711E" w:rsidRPr="00A1597B" w:rsidRDefault="005D711E" w:rsidP="00905409">
      <w:pPr>
        <w:tabs>
          <w:tab w:val="left" w:pos="-720"/>
        </w:tabs>
        <w:suppressAutoHyphens/>
        <w:jc w:val="center"/>
        <w:rPr>
          <w:rFonts w:ascii="Arial" w:hAnsi="Arial" w:cs="Arial"/>
          <w:b/>
          <w:sz w:val="28"/>
          <w:szCs w:val="28"/>
        </w:rPr>
      </w:pPr>
    </w:p>
    <w:p w:rsidR="00DE1518" w:rsidRPr="00A1597B" w:rsidRDefault="00DE1518" w:rsidP="00905409">
      <w:pPr>
        <w:tabs>
          <w:tab w:val="center" w:pos="4680"/>
        </w:tabs>
        <w:suppressAutoHyphens/>
        <w:jc w:val="center"/>
        <w:rPr>
          <w:rFonts w:ascii="Arial" w:hAnsi="Arial" w:cs="Arial"/>
          <w:b/>
          <w:sz w:val="28"/>
          <w:szCs w:val="28"/>
        </w:rPr>
      </w:pPr>
    </w:p>
    <w:p w:rsidR="00DE1518" w:rsidRDefault="00DE1518" w:rsidP="00905409">
      <w:pPr>
        <w:tabs>
          <w:tab w:val="center" w:pos="4680"/>
        </w:tabs>
        <w:suppressAutoHyphens/>
        <w:jc w:val="center"/>
        <w:rPr>
          <w:rFonts w:ascii="Arial" w:hAnsi="Arial" w:cs="Arial"/>
          <w:b/>
          <w:sz w:val="28"/>
          <w:szCs w:val="28"/>
        </w:rPr>
      </w:pPr>
    </w:p>
    <w:p w:rsidR="00BE651C" w:rsidRDefault="00BE651C" w:rsidP="00905409">
      <w:pPr>
        <w:tabs>
          <w:tab w:val="center" w:pos="4680"/>
        </w:tabs>
        <w:suppressAutoHyphens/>
        <w:jc w:val="center"/>
        <w:rPr>
          <w:rFonts w:ascii="Arial" w:hAnsi="Arial" w:cs="Arial"/>
          <w:b/>
          <w:sz w:val="28"/>
          <w:szCs w:val="28"/>
        </w:rPr>
      </w:pPr>
    </w:p>
    <w:p w:rsidR="00BE651C" w:rsidRPr="00A1597B" w:rsidRDefault="00BE651C" w:rsidP="00905409">
      <w:pPr>
        <w:tabs>
          <w:tab w:val="center" w:pos="4680"/>
        </w:tabs>
        <w:suppressAutoHyphens/>
        <w:jc w:val="center"/>
        <w:rPr>
          <w:rFonts w:ascii="Arial" w:hAnsi="Arial" w:cs="Arial"/>
          <w:b/>
          <w:sz w:val="28"/>
          <w:szCs w:val="28"/>
        </w:rPr>
      </w:pPr>
    </w:p>
    <w:p w:rsidR="00DE1518" w:rsidRPr="00A1597B" w:rsidRDefault="00DE1518" w:rsidP="00905409">
      <w:pPr>
        <w:tabs>
          <w:tab w:val="center" w:pos="4680"/>
        </w:tabs>
        <w:suppressAutoHyphens/>
        <w:jc w:val="center"/>
        <w:rPr>
          <w:rFonts w:ascii="Arial" w:hAnsi="Arial" w:cs="Arial"/>
          <w:b/>
          <w:sz w:val="28"/>
          <w:szCs w:val="28"/>
        </w:rPr>
      </w:pPr>
    </w:p>
    <w:p w:rsidR="005D711E" w:rsidRPr="00A1597B" w:rsidRDefault="005D711E" w:rsidP="00905409">
      <w:pPr>
        <w:tabs>
          <w:tab w:val="center" w:pos="4680"/>
        </w:tabs>
        <w:suppressAutoHyphens/>
        <w:jc w:val="center"/>
        <w:rPr>
          <w:rFonts w:ascii="Arial" w:hAnsi="Arial" w:cs="Arial"/>
          <w:b/>
          <w:sz w:val="28"/>
          <w:szCs w:val="28"/>
        </w:rPr>
      </w:pPr>
    </w:p>
    <w:p w:rsidR="009F6861" w:rsidRPr="00F3650D" w:rsidRDefault="005D711E" w:rsidP="00905409">
      <w:pPr>
        <w:tabs>
          <w:tab w:val="center" w:pos="4680"/>
        </w:tabs>
        <w:suppressAutoHyphens/>
        <w:jc w:val="center"/>
        <w:outlineLvl w:val="0"/>
        <w:rPr>
          <w:rFonts w:ascii="Arial" w:hAnsi="Arial" w:cs="Arial"/>
          <w:b/>
          <w:sz w:val="28"/>
          <w:szCs w:val="28"/>
        </w:rPr>
      </w:pPr>
      <w:r w:rsidRPr="00F3650D">
        <w:rPr>
          <w:rFonts w:ascii="Arial" w:hAnsi="Arial" w:cs="Arial"/>
          <w:b/>
          <w:sz w:val="28"/>
          <w:szCs w:val="28"/>
        </w:rPr>
        <w:t xml:space="preserve">Prepared </w:t>
      </w:r>
      <w:r w:rsidR="00C06521" w:rsidRPr="00F3650D">
        <w:rPr>
          <w:rFonts w:ascii="Arial" w:hAnsi="Arial" w:cs="Arial"/>
          <w:b/>
          <w:sz w:val="28"/>
          <w:szCs w:val="28"/>
        </w:rPr>
        <w:t xml:space="preserve">By </w:t>
      </w:r>
      <w:r w:rsidRPr="00F3650D">
        <w:rPr>
          <w:rFonts w:ascii="Arial" w:hAnsi="Arial" w:cs="Arial"/>
          <w:b/>
          <w:sz w:val="28"/>
          <w:szCs w:val="28"/>
        </w:rPr>
        <w:t>The</w:t>
      </w:r>
    </w:p>
    <w:p w:rsidR="005D711E" w:rsidRPr="00BE651C" w:rsidRDefault="005D711E" w:rsidP="00905409">
      <w:pPr>
        <w:tabs>
          <w:tab w:val="center" w:pos="4680"/>
        </w:tabs>
        <w:suppressAutoHyphens/>
        <w:jc w:val="center"/>
        <w:outlineLvl w:val="0"/>
        <w:rPr>
          <w:rFonts w:ascii="Arial" w:hAnsi="Arial" w:cs="Arial"/>
          <w:b/>
          <w:sz w:val="28"/>
          <w:szCs w:val="28"/>
        </w:rPr>
      </w:pPr>
      <w:r w:rsidRPr="00BE651C">
        <w:rPr>
          <w:rFonts w:ascii="Arial" w:hAnsi="Arial" w:cs="Arial"/>
          <w:b/>
          <w:sz w:val="28"/>
          <w:szCs w:val="28"/>
        </w:rPr>
        <w:t>Pennsylvania Public Utility Commission</w:t>
      </w:r>
    </w:p>
    <w:p w:rsidR="005D711E" w:rsidRPr="00002E7F" w:rsidRDefault="00C06521" w:rsidP="00905409">
      <w:pPr>
        <w:tabs>
          <w:tab w:val="center" w:pos="4680"/>
        </w:tabs>
        <w:suppressAutoHyphens/>
        <w:rPr>
          <w:rFonts w:ascii="Arial" w:hAnsi="Arial" w:cs="Arial"/>
          <w:b/>
          <w:sz w:val="28"/>
          <w:szCs w:val="28"/>
        </w:rPr>
      </w:pPr>
      <w:r w:rsidRPr="00991BAA">
        <w:rPr>
          <w:rFonts w:ascii="Arial" w:hAnsi="Arial" w:cs="Arial"/>
          <w:b/>
          <w:sz w:val="28"/>
          <w:szCs w:val="28"/>
        </w:rPr>
        <w:tab/>
      </w:r>
      <w:r w:rsidR="005D711E" w:rsidRPr="00991BAA">
        <w:rPr>
          <w:rFonts w:ascii="Arial" w:hAnsi="Arial" w:cs="Arial"/>
          <w:b/>
          <w:sz w:val="28"/>
          <w:szCs w:val="28"/>
        </w:rPr>
        <w:t>Bureau Of</w:t>
      </w:r>
      <w:r w:rsidR="005D711E" w:rsidRPr="00002E7F">
        <w:rPr>
          <w:rFonts w:ascii="Arial" w:hAnsi="Arial" w:cs="Arial"/>
          <w:b/>
          <w:sz w:val="28"/>
          <w:szCs w:val="28"/>
        </w:rPr>
        <w:t xml:space="preserve"> Audits</w:t>
      </w:r>
    </w:p>
    <w:p w:rsidR="009F6861" w:rsidRPr="00991BAA" w:rsidRDefault="00C06521" w:rsidP="00905409">
      <w:pPr>
        <w:tabs>
          <w:tab w:val="center" w:pos="4680"/>
        </w:tabs>
        <w:suppressAutoHyphens/>
        <w:rPr>
          <w:rFonts w:ascii="Arial" w:hAnsi="Arial" w:cs="Arial"/>
          <w:b/>
          <w:sz w:val="28"/>
          <w:szCs w:val="28"/>
        </w:rPr>
      </w:pPr>
      <w:r w:rsidRPr="00531203">
        <w:rPr>
          <w:rFonts w:ascii="Arial" w:hAnsi="Arial" w:cs="Arial"/>
          <w:b/>
          <w:sz w:val="28"/>
          <w:szCs w:val="28"/>
        </w:rPr>
        <w:tab/>
      </w:r>
      <w:r w:rsidR="00DC4DD6" w:rsidRPr="00531203">
        <w:rPr>
          <w:rFonts w:ascii="Arial" w:hAnsi="Arial" w:cs="Arial"/>
          <w:b/>
          <w:sz w:val="28"/>
          <w:szCs w:val="28"/>
        </w:rPr>
        <w:t>Report Date:</w:t>
      </w:r>
      <w:r w:rsidR="00116AA0">
        <w:rPr>
          <w:rFonts w:ascii="Arial" w:hAnsi="Arial" w:cs="Arial"/>
          <w:b/>
          <w:sz w:val="28"/>
          <w:szCs w:val="28"/>
        </w:rPr>
        <w:t xml:space="preserve"> April 12, 2012</w:t>
      </w:r>
    </w:p>
    <w:p w:rsidR="00DF7DC3" w:rsidRPr="00A1597B" w:rsidRDefault="00C06521" w:rsidP="00905409">
      <w:pPr>
        <w:tabs>
          <w:tab w:val="center" w:pos="4680"/>
        </w:tabs>
        <w:suppressAutoHyphens/>
        <w:rPr>
          <w:rFonts w:ascii="Arial" w:hAnsi="Arial" w:cs="Arial"/>
          <w:b/>
          <w:sz w:val="28"/>
          <w:szCs w:val="28"/>
        </w:rPr>
      </w:pPr>
      <w:r w:rsidRPr="00991BAA">
        <w:rPr>
          <w:rFonts w:ascii="Arial" w:hAnsi="Arial" w:cs="Arial"/>
          <w:b/>
          <w:sz w:val="28"/>
          <w:szCs w:val="28"/>
        </w:rPr>
        <w:tab/>
        <w:t>Docket D-</w:t>
      </w:r>
      <w:r w:rsidR="00E56A7B" w:rsidRPr="00002E7F">
        <w:rPr>
          <w:rFonts w:ascii="Arial" w:hAnsi="Arial" w:cs="Arial"/>
          <w:b/>
          <w:sz w:val="28"/>
          <w:szCs w:val="28"/>
        </w:rPr>
        <w:t>2011-2238985</w:t>
      </w:r>
    </w:p>
    <w:p w:rsidR="00DF7DC3" w:rsidRPr="00905409" w:rsidRDefault="00DF7DC3" w:rsidP="00905409">
      <w:pPr>
        <w:tabs>
          <w:tab w:val="center" w:pos="4680"/>
        </w:tabs>
        <w:suppressAutoHyphens/>
        <w:rPr>
          <w:rFonts w:ascii="Arial" w:hAnsi="Arial" w:cs="Arial"/>
          <w:b/>
          <w:sz w:val="36"/>
          <w:szCs w:val="36"/>
        </w:rPr>
        <w:sectPr w:rsidR="00DF7DC3" w:rsidRPr="00905409" w:rsidSect="0047509D">
          <w:footerReference w:type="even" r:id="rId9"/>
          <w:footerReference w:type="default" r:id="rId10"/>
          <w:endnotePr>
            <w:numFmt w:val="decimal"/>
          </w:endnotePr>
          <w:pgSz w:w="12240" w:h="15840" w:code="1"/>
          <w:pgMar w:top="1440" w:right="1440" w:bottom="1440" w:left="1440" w:header="0" w:footer="720" w:gutter="0"/>
          <w:pgNumType w:start="1"/>
          <w:cols w:space="720"/>
          <w:noEndnote/>
        </w:sectPr>
      </w:pPr>
    </w:p>
    <w:p w:rsidR="005D711E" w:rsidRPr="00905409" w:rsidRDefault="00E56A7B" w:rsidP="00905409">
      <w:pPr>
        <w:pStyle w:val="Heading1"/>
        <w:tabs>
          <w:tab w:val="left" w:pos="180"/>
          <w:tab w:val="left" w:pos="270"/>
        </w:tabs>
        <w:rPr>
          <w:rFonts w:ascii="Arial" w:hAnsi="Arial" w:cs="Arial"/>
          <w:sz w:val="26"/>
          <w:szCs w:val="26"/>
        </w:rPr>
      </w:pPr>
      <w:r>
        <w:rPr>
          <w:rFonts w:ascii="Arial" w:hAnsi="Arial" w:cs="Arial"/>
          <w:sz w:val="26"/>
          <w:szCs w:val="26"/>
        </w:rPr>
        <w:lastRenderedPageBreak/>
        <w:t>PPL ELECTRIC UTILITIES CORPORATION</w:t>
      </w:r>
    </w:p>
    <w:p w:rsidR="005D711E" w:rsidRPr="00905409" w:rsidRDefault="005D711E" w:rsidP="00905409">
      <w:pPr>
        <w:tabs>
          <w:tab w:val="left" w:pos="180"/>
          <w:tab w:val="left" w:pos="270"/>
        </w:tabs>
        <w:suppressAutoHyphens/>
        <w:rPr>
          <w:rFonts w:ascii="Arial" w:hAnsi="Arial" w:cs="Arial"/>
          <w:szCs w:val="24"/>
        </w:rPr>
      </w:pPr>
    </w:p>
    <w:p w:rsidR="005D711E" w:rsidRPr="00905409" w:rsidRDefault="005D711E" w:rsidP="00905409">
      <w:pPr>
        <w:jc w:val="center"/>
        <w:rPr>
          <w:rFonts w:ascii="Arial" w:hAnsi="Arial" w:cs="Arial"/>
          <w:b/>
          <w:szCs w:val="26"/>
          <w:u w:val="single"/>
        </w:rPr>
      </w:pPr>
      <w:r w:rsidRPr="00905409">
        <w:rPr>
          <w:rFonts w:ascii="Arial" w:hAnsi="Arial" w:cs="Arial"/>
          <w:b/>
          <w:szCs w:val="26"/>
          <w:u w:val="single"/>
        </w:rPr>
        <w:t>Contents</w:t>
      </w:r>
    </w:p>
    <w:p w:rsidR="00101D15" w:rsidRPr="00905409" w:rsidRDefault="00101D15" w:rsidP="00905409">
      <w:pPr>
        <w:tabs>
          <w:tab w:val="left" w:pos="-720"/>
          <w:tab w:val="left" w:pos="180"/>
          <w:tab w:val="left" w:pos="270"/>
        </w:tabs>
        <w:suppressAutoHyphens/>
        <w:ind w:right="-90"/>
        <w:rPr>
          <w:rFonts w:ascii="Arial" w:hAnsi="Arial" w:cs="Arial"/>
          <w:b/>
          <w:szCs w:val="24"/>
          <w:u w:val="single"/>
        </w:rPr>
      </w:pPr>
    </w:p>
    <w:tbl>
      <w:tblPr>
        <w:tblW w:w="0" w:type="auto"/>
        <w:tblLayout w:type="fixed"/>
        <w:tblLook w:val="0000" w:firstRow="0" w:lastRow="0" w:firstColumn="0" w:lastColumn="0" w:noHBand="0" w:noVBand="0"/>
      </w:tblPr>
      <w:tblGrid>
        <w:gridCol w:w="8478"/>
        <w:gridCol w:w="1098"/>
      </w:tblGrid>
      <w:tr w:rsidR="005D711E" w:rsidRPr="00905409" w:rsidTr="001657F8">
        <w:tc>
          <w:tcPr>
            <w:tcW w:w="8478" w:type="dxa"/>
            <w:tcBorders>
              <w:top w:val="nil"/>
              <w:left w:val="nil"/>
              <w:bottom w:val="nil"/>
              <w:right w:val="nil"/>
            </w:tcBorders>
          </w:tcPr>
          <w:p w:rsidR="005D711E" w:rsidRPr="00905409" w:rsidRDefault="005D711E" w:rsidP="00905409">
            <w:pPr>
              <w:tabs>
                <w:tab w:val="left" w:pos="-720"/>
                <w:tab w:val="left" w:pos="180"/>
                <w:tab w:val="left" w:pos="270"/>
              </w:tabs>
              <w:suppressAutoHyphens/>
              <w:rPr>
                <w:rFonts w:ascii="Arial" w:hAnsi="Arial" w:cs="Arial"/>
                <w:b/>
                <w:szCs w:val="24"/>
                <w:u w:val="single"/>
              </w:rPr>
            </w:pPr>
          </w:p>
        </w:tc>
        <w:tc>
          <w:tcPr>
            <w:tcW w:w="1098" w:type="dxa"/>
            <w:tcBorders>
              <w:top w:val="nil"/>
              <w:left w:val="nil"/>
              <w:bottom w:val="nil"/>
              <w:right w:val="nil"/>
            </w:tcBorders>
          </w:tcPr>
          <w:p w:rsidR="005D711E" w:rsidRPr="009502AF" w:rsidRDefault="005D711E" w:rsidP="00905409">
            <w:pPr>
              <w:pStyle w:val="EndnoteText"/>
              <w:tabs>
                <w:tab w:val="left" w:pos="-720"/>
                <w:tab w:val="left" w:pos="180"/>
                <w:tab w:val="left" w:pos="270"/>
              </w:tabs>
              <w:suppressAutoHyphens/>
              <w:jc w:val="center"/>
              <w:rPr>
                <w:rFonts w:ascii="Arial" w:hAnsi="Arial" w:cs="Arial"/>
                <w:b/>
                <w:szCs w:val="24"/>
                <w:u w:val="single"/>
                <w:lang w:val="en-US" w:eastAsia="en-US"/>
              </w:rPr>
            </w:pPr>
            <w:r w:rsidRPr="009502AF">
              <w:rPr>
                <w:rFonts w:ascii="Arial" w:hAnsi="Arial" w:cs="Arial"/>
                <w:b/>
                <w:szCs w:val="24"/>
                <w:u w:val="single"/>
                <w:lang w:val="en-US" w:eastAsia="en-US"/>
              </w:rPr>
              <w:t>Page</w:t>
            </w:r>
          </w:p>
        </w:tc>
      </w:tr>
      <w:tr w:rsidR="00423EEA" w:rsidRPr="00905409" w:rsidTr="001657F8">
        <w:tc>
          <w:tcPr>
            <w:tcW w:w="8478" w:type="dxa"/>
            <w:tcBorders>
              <w:top w:val="nil"/>
              <w:left w:val="nil"/>
              <w:bottom w:val="nil"/>
              <w:right w:val="nil"/>
            </w:tcBorders>
          </w:tcPr>
          <w:p w:rsidR="00423EEA" w:rsidRPr="00905409" w:rsidRDefault="00423EEA" w:rsidP="00905409">
            <w:pPr>
              <w:tabs>
                <w:tab w:val="left" w:pos="-720"/>
                <w:tab w:val="left" w:pos="180"/>
                <w:tab w:val="left" w:pos="270"/>
              </w:tabs>
              <w:suppressAutoHyphens/>
              <w:rPr>
                <w:rFonts w:ascii="Arial" w:hAnsi="Arial" w:cs="Arial"/>
                <w:b/>
                <w:szCs w:val="24"/>
                <w:u w:val="single"/>
              </w:rPr>
            </w:pPr>
          </w:p>
        </w:tc>
        <w:tc>
          <w:tcPr>
            <w:tcW w:w="1098" w:type="dxa"/>
            <w:tcBorders>
              <w:top w:val="nil"/>
              <w:left w:val="nil"/>
              <w:bottom w:val="nil"/>
              <w:right w:val="nil"/>
            </w:tcBorders>
          </w:tcPr>
          <w:p w:rsidR="00423EEA" w:rsidRPr="009502AF" w:rsidRDefault="00423EEA" w:rsidP="00905409">
            <w:pPr>
              <w:pStyle w:val="EndnoteText"/>
              <w:tabs>
                <w:tab w:val="right" w:pos="562"/>
              </w:tabs>
              <w:suppressAutoHyphens/>
              <w:rPr>
                <w:rFonts w:ascii="Arial" w:hAnsi="Arial" w:cs="Arial"/>
                <w:szCs w:val="24"/>
                <w:lang w:val="en-US" w:eastAsia="en-US"/>
              </w:rPr>
            </w:pPr>
          </w:p>
        </w:tc>
      </w:tr>
      <w:tr w:rsidR="005D711E" w:rsidRPr="00905409" w:rsidTr="001657F8">
        <w:tc>
          <w:tcPr>
            <w:tcW w:w="8478" w:type="dxa"/>
            <w:tcBorders>
              <w:top w:val="nil"/>
              <w:left w:val="nil"/>
              <w:bottom w:val="nil"/>
              <w:right w:val="nil"/>
            </w:tcBorders>
          </w:tcPr>
          <w:p w:rsidR="005D711E" w:rsidRPr="00905409" w:rsidRDefault="005D711E" w:rsidP="00905409">
            <w:pPr>
              <w:tabs>
                <w:tab w:val="left" w:pos="-720"/>
                <w:tab w:val="left" w:pos="180"/>
                <w:tab w:val="left" w:pos="270"/>
              </w:tabs>
              <w:suppressAutoHyphens/>
              <w:rPr>
                <w:rFonts w:ascii="Arial" w:hAnsi="Arial" w:cs="Arial"/>
                <w:b/>
                <w:szCs w:val="24"/>
              </w:rPr>
            </w:pPr>
            <w:r w:rsidRPr="00905409">
              <w:rPr>
                <w:rFonts w:ascii="Arial" w:hAnsi="Arial" w:cs="Arial"/>
                <w:b/>
                <w:szCs w:val="24"/>
                <w:u w:val="single"/>
              </w:rPr>
              <w:t>FINANCIAL REVIEW</w:t>
            </w:r>
            <w:r w:rsidRPr="00905409">
              <w:rPr>
                <w:rFonts w:ascii="Arial" w:hAnsi="Arial" w:cs="Arial"/>
                <w:b/>
                <w:szCs w:val="24"/>
              </w:rPr>
              <w:t xml:space="preserve"> </w:t>
            </w:r>
          </w:p>
        </w:tc>
        <w:tc>
          <w:tcPr>
            <w:tcW w:w="1098" w:type="dxa"/>
            <w:tcBorders>
              <w:top w:val="nil"/>
              <w:left w:val="nil"/>
              <w:bottom w:val="nil"/>
              <w:right w:val="nil"/>
            </w:tcBorders>
          </w:tcPr>
          <w:p w:rsidR="005D711E" w:rsidRPr="009502AF" w:rsidRDefault="005D711E" w:rsidP="00905409">
            <w:pPr>
              <w:pStyle w:val="EndnoteText"/>
              <w:tabs>
                <w:tab w:val="right" w:pos="562"/>
              </w:tabs>
              <w:suppressAutoHyphens/>
              <w:rPr>
                <w:rFonts w:ascii="Arial" w:hAnsi="Arial" w:cs="Arial"/>
                <w:szCs w:val="24"/>
                <w:lang w:val="en-US" w:eastAsia="en-US"/>
              </w:rPr>
            </w:pPr>
          </w:p>
        </w:tc>
      </w:tr>
      <w:tr w:rsidR="00101D15" w:rsidRPr="00905409" w:rsidTr="001657F8">
        <w:tc>
          <w:tcPr>
            <w:tcW w:w="8478" w:type="dxa"/>
            <w:tcBorders>
              <w:top w:val="nil"/>
              <w:left w:val="nil"/>
              <w:bottom w:val="nil"/>
              <w:right w:val="nil"/>
            </w:tcBorders>
          </w:tcPr>
          <w:p w:rsidR="00101D15" w:rsidRPr="009502AF" w:rsidRDefault="00101D15" w:rsidP="00905409">
            <w:pPr>
              <w:pStyle w:val="EndnoteText"/>
              <w:tabs>
                <w:tab w:val="left" w:pos="-720"/>
                <w:tab w:val="left" w:pos="360"/>
                <w:tab w:val="left" w:pos="540"/>
                <w:tab w:val="left" w:pos="810"/>
                <w:tab w:val="left" w:pos="9180"/>
              </w:tabs>
              <w:suppressAutoHyphens/>
              <w:rPr>
                <w:rFonts w:ascii="Arial" w:hAnsi="Arial" w:cs="Arial"/>
                <w:szCs w:val="24"/>
                <w:lang w:val="en-US" w:eastAsia="en-US"/>
              </w:rPr>
            </w:pPr>
          </w:p>
        </w:tc>
        <w:tc>
          <w:tcPr>
            <w:tcW w:w="1098" w:type="dxa"/>
            <w:tcBorders>
              <w:top w:val="nil"/>
              <w:left w:val="nil"/>
              <w:bottom w:val="nil"/>
              <w:right w:val="nil"/>
            </w:tcBorders>
          </w:tcPr>
          <w:p w:rsidR="00101D15" w:rsidRPr="009502AF" w:rsidRDefault="00101D15" w:rsidP="00905409">
            <w:pPr>
              <w:pStyle w:val="EndnoteText"/>
              <w:tabs>
                <w:tab w:val="right" w:pos="562"/>
              </w:tabs>
              <w:suppressAutoHyphens/>
              <w:rPr>
                <w:rFonts w:ascii="Arial" w:hAnsi="Arial" w:cs="Arial"/>
                <w:szCs w:val="24"/>
                <w:lang w:val="en-US" w:eastAsia="en-US"/>
              </w:rPr>
            </w:pPr>
          </w:p>
        </w:tc>
      </w:tr>
      <w:tr w:rsidR="005D711E" w:rsidRPr="00905409" w:rsidTr="001657F8">
        <w:tc>
          <w:tcPr>
            <w:tcW w:w="8478" w:type="dxa"/>
            <w:tcBorders>
              <w:top w:val="nil"/>
              <w:left w:val="nil"/>
              <w:bottom w:val="nil"/>
              <w:right w:val="nil"/>
            </w:tcBorders>
          </w:tcPr>
          <w:p w:rsidR="005D711E" w:rsidRPr="009502AF" w:rsidRDefault="005D711E" w:rsidP="00905409">
            <w:pPr>
              <w:pStyle w:val="EndnoteText"/>
              <w:tabs>
                <w:tab w:val="left" w:pos="-720"/>
                <w:tab w:val="left" w:pos="360"/>
                <w:tab w:val="left" w:pos="540"/>
                <w:tab w:val="left" w:pos="810"/>
                <w:tab w:val="left" w:pos="9180"/>
              </w:tabs>
              <w:suppressAutoHyphens/>
              <w:rPr>
                <w:rFonts w:ascii="Arial" w:hAnsi="Arial" w:cs="Arial"/>
                <w:szCs w:val="24"/>
                <w:lang w:val="en-US" w:eastAsia="en-US"/>
              </w:rPr>
            </w:pPr>
            <w:r w:rsidRPr="009502AF">
              <w:rPr>
                <w:rFonts w:ascii="Arial" w:hAnsi="Arial" w:cs="Arial"/>
                <w:szCs w:val="24"/>
                <w:lang w:val="en-US" w:eastAsia="en-US"/>
              </w:rPr>
              <w:tab/>
            </w:r>
            <w:r w:rsidR="00C06521" w:rsidRPr="009502AF">
              <w:rPr>
                <w:rFonts w:ascii="Arial" w:hAnsi="Arial" w:cs="Arial"/>
                <w:szCs w:val="24"/>
                <w:lang w:val="en-US" w:eastAsia="en-US"/>
              </w:rPr>
              <w:t xml:space="preserve">Independent </w:t>
            </w:r>
            <w:r w:rsidRPr="009502AF">
              <w:rPr>
                <w:rFonts w:ascii="Arial" w:hAnsi="Arial" w:cs="Arial"/>
                <w:szCs w:val="24"/>
                <w:lang w:val="en-US" w:eastAsia="en-US"/>
              </w:rPr>
              <w:t>Auditor's Report</w:t>
            </w:r>
          </w:p>
        </w:tc>
        <w:tc>
          <w:tcPr>
            <w:tcW w:w="1098" w:type="dxa"/>
            <w:tcBorders>
              <w:top w:val="nil"/>
              <w:left w:val="nil"/>
              <w:bottom w:val="nil"/>
              <w:right w:val="nil"/>
            </w:tcBorders>
          </w:tcPr>
          <w:p w:rsidR="005D711E" w:rsidRPr="009502AF" w:rsidRDefault="0067451B" w:rsidP="00905409">
            <w:pPr>
              <w:pStyle w:val="EndnoteText"/>
              <w:tabs>
                <w:tab w:val="right" w:pos="562"/>
              </w:tabs>
              <w:suppressAutoHyphens/>
              <w:jc w:val="center"/>
              <w:rPr>
                <w:rFonts w:ascii="Arial" w:hAnsi="Arial" w:cs="Arial"/>
                <w:szCs w:val="24"/>
                <w:lang w:val="en-US" w:eastAsia="en-US"/>
              </w:rPr>
            </w:pPr>
            <w:r w:rsidRPr="009502AF">
              <w:rPr>
                <w:rFonts w:ascii="Arial" w:hAnsi="Arial" w:cs="Arial"/>
                <w:szCs w:val="24"/>
                <w:lang w:val="en-US" w:eastAsia="en-US"/>
              </w:rPr>
              <w:t>1</w:t>
            </w:r>
          </w:p>
        </w:tc>
      </w:tr>
      <w:tr w:rsidR="004755F0" w:rsidRPr="00905409" w:rsidTr="006C420E">
        <w:tc>
          <w:tcPr>
            <w:tcW w:w="8478" w:type="dxa"/>
            <w:tcBorders>
              <w:top w:val="nil"/>
              <w:left w:val="nil"/>
              <w:bottom w:val="nil"/>
              <w:right w:val="nil"/>
            </w:tcBorders>
          </w:tcPr>
          <w:p w:rsidR="00991813" w:rsidRPr="009502AF" w:rsidRDefault="00991813" w:rsidP="00991813">
            <w:pPr>
              <w:pStyle w:val="EndnoteText"/>
              <w:tabs>
                <w:tab w:val="left" w:pos="9180"/>
              </w:tabs>
              <w:suppressAutoHyphens/>
              <w:ind w:left="360"/>
              <w:rPr>
                <w:rFonts w:ascii="Arial" w:hAnsi="Arial" w:cs="Arial"/>
                <w:szCs w:val="24"/>
                <w:lang w:val="en-US" w:eastAsia="en-US"/>
              </w:rPr>
            </w:pPr>
          </w:p>
          <w:p w:rsidR="004755F0" w:rsidRPr="009502AF" w:rsidRDefault="00E56A7B" w:rsidP="00BB2BCC">
            <w:pPr>
              <w:pStyle w:val="EndnoteText"/>
              <w:tabs>
                <w:tab w:val="left" w:pos="9180"/>
              </w:tabs>
              <w:suppressAutoHyphens/>
              <w:ind w:left="360"/>
              <w:rPr>
                <w:rFonts w:ascii="Arial" w:hAnsi="Arial" w:cs="Arial"/>
                <w:szCs w:val="24"/>
                <w:lang w:val="en-US" w:eastAsia="en-US"/>
              </w:rPr>
            </w:pPr>
            <w:r w:rsidRPr="009502AF">
              <w:rPr>
                <w:rFonts w:ascii="Arial" w:hAnsi="Arial" w:cs="Arial"/>
                <w:szCs w:val="24"/>
                <w:lang w:val="en-US" w:eastAsia="en-US"/>
              </w:rPr>
              <w:t>Statement of Generation S</w:t>
            </w:r>
            <w:r w:rsidR="00991813" w:rsidRPr="009502AF">
              <w:rPr>
                <w:rFonts w:ascii="Arial" w:hAnsi="Arial" w:cs="Arial"/>
                <w:szCs w:val="24"/>
                <w:lang w:val="en-US" w:eastAsia="en-US"/>
              </w:rPr>
              <w:t>upply</w:t>
            </w:r>
            <w:r w:rsidRPr="009502AF">
              <w:rPr>
                <w:rFonts w:ascii="Arial" w:hAnsi="Arial" w:cs="Arial"/>
                <w:szCs w:val="24"/>
                <w:lang w:val="en-US" w:eastAsia="en-US"/>
              </w:rPr>
              <w:t xml:space="preserve"> Charge</w:t>
            </w:r>
            <w:r w:rsidR="00BB2BCC">
              <w:rPr>
                <w:rFonts w:ascii="Arial" w:hAnsi="Arial" w:cs="Arial"/>
                <w:szCs w:val="24"/>
                <w:lang w:val="en-US" w:eastAsia="en-US"/>
              </w:rPr>
              <w:t xml:space="preserve"> - 1 (GSC - 1)</w:t>
            </w:r>
            <w:r w:rsidRPr="009502AF">
              <w:rPr>
                <w:rFonts w:ascii="Arial" w:hAnsi="Arial" w:cs="Arial"/>
                <w:szCs w:val="24"/>
                <w:lang w:val="en-US" w:eastAsia="en-US"/>
              </w:rPr>
              <w:t xml:space="preserve"> Over/(Under) </w:t>
            </w:r>
            <w:r w:rsidR="00BF3FC7">
              <w:rPr>
                <w:rFonts w:ascii="Arial" w:hAnsi="Arial" w:cs="Arial"/>
                <w:szCs w:val="24"/>
                <w:lang w:val="en-US" w:eastAsia="en-US"/>
              </w:rPr>
              <w:t>Collection</w:t>
            </w:r>
            <w:r w:rsidR="00991BAA">
              <w:rPr>
                <w:rFonts w:ascii="Arial" w:hAnsi="Arial" w:cs="Arial"/>
                <w:szCs w:val="24"/>
                <w:lang w:val="en-US" w:eastAsia="en-US"/>
              </w:rPr>
              <w:t>s</w:t>
            </w:r>
            <w:r w:rsidR="00BF3FC7">
              <w:rPr>
                <w:rFonts w:ascii="Arial" w:hAnsi="Arial" w:cs="Arial"/>
                <w:szCs w:val="24"/>
                <w:lang w:val="en-US" w:eastAsia="en-US"/>
              </w:rPr>
              <w:t xml:space="preserve"> (Section 1307(e)</w:t>
            </w:r>
            <w:r w:rsidR="00344493">
              <w:rPr>
                <w:rFonts w:ascii="Arial" w:hAnsi="Arial" w:cs="Arial"/>
                <w:szCs w:val="24"/>
                <w:lang w:val="en-US" w:eastAsia="en-US"/>
              </w:rPr>
              <w:t>)</w:t>
            </w:r>
            <w:r w:rsidR="00BF3FC7">
              <w:rPr>
                <w:rFonts w:ascii="Arial" w:hAnsi="Arial" w:cs="Arial"/>
                <w:szCs w:val="24"/>
                <w:lang w:val="en-US" w:eastAsia="en-US"/>
              </w:rPr>
              <w:t xml:space="preserve"> </w:t>
            </w:r>
            <w:r w:rsidRPr="009502AF">
              <w:rPr>
                <w:rFonts w:ascii="Arial" w:hAnsi="Arial" w:cs="Arial"/>
                <w:szCs w:val="24"/>
                <w:lang w:val="en-US" w:eastAsia="en-US"/>
              </w:rPr>
              <w:t>For The F</w:t>
            </w:r>
            <w:r w:rsidR="00053070" w:rsidRPr="009502AF">
              <w:rPr>
                <w:rFonts w:ascii="Arial" w:hAnsi="Arial" w:cs="Arial"/>
                <w:szCs w:val="24"/>
                <w:lang w:val="en-US" w:eastAsia="en-US"/>
              </w:rPr>
              <w:t>ive</w:t>
            </w:r>
            <w:r w:rsidRPr="009502AF">
              <w:rPr>
                <w:rFonts w:ascii="Arial" w:hAnsi="Arial" w:cs="Arial"/>
                <w:szCs w:val="24"/>
                <w:lang w:val="en-US" w:eastAsia="en-US"/>
              </w:rPr>
              <w:t xml:space="preserve"> Months Ended </w:t>
            </w:r>
            <w:r w:rsidR="00A143F7" w:rsidRPr="009502AF">
              <w:rPr>
                <w:rFonts w:ascii="Arial" w:hAnsi="Arial" w:cs="Arial"/>
                <w:szCs w:val="24"/>
                <w:lang w:val="en-US" w:eastAsia="en-US"/>
              </w:rPr>
              <w:t>May 31</w:t>
            </w:r>
            <w:r w:rsidRPr="009502AF">
              <w:rPr>
                <w:rFonts w:ascii="Arial" w:hAnsi="Arial" w:cs="Arial"/>
                <w:szCs w:val="24"/>
                <w:lang w:val="en-US" w:eastAsia="en-US"/>
              </w:rPr>
              <w:t>, 2011</w:t>
            </w:r>
          </w:p>
        </w:tc>
        <w:tc>
          <w:tcPr>
            <w:tcW w:w="1098" w:type="dxa"/>
            <w:tcBorders>
              <w:top w:val="nil"/>
              <w:left w:val="nil"/>
              <w:bottom w:val="nil"/>
              <w:right w:val="nil"/>
            </w:tcBorders>
          </w:tcPr>
          <w:p w:rsidR="004755F0" w:rsidRDefault="004755F0" w:rsidP="006C420E">
            <w:pPr>
              <w:tabs>
                <w:tab w:val="right" w:pos="562"/>
              </w:tabs>
              <w:suppressAutoHyphens/>
              <w:rPr>
                <w:rFonts w:ascii="Arial" w:hAnsi="Arial" w:cs="Arial"/>
                <w:szCs w:val="24"/>
              </w:rPr>
            </w:pPr>
          </w:p>
          <w:p w:rsidR="004755F0" w:rsidRDefault="004755F0" w:rsidP="006C420E">
            <w:pPr>
              <w:rPr>
                <w:rFonts w:ascii="Arial" w:hAnsi="Arial" w:cs="Arial"/>
                <w:szCs w:val="24"/>
              </w:rPr>
            </w:pPr>
          </w:p>
          <w:p w:rsidR="004755F0" w:rsidRPr="00564043" w:rsidRDefault="004755F0" w:rsidP="004755F0">
            <w:pPr>
              <w:rPr>
                <w:rFonts w:ascii="Arial" w:hAnsi="Arial" w:cs="Arial"/>
                <w:szCs w:val="24"/>
              </w:rPr>
            </w:pPr>
            <w:r>
              <w:rPr>
                <w:rFonts w:ascii="Arial" w:hAnsi="Arial" w:cs="Arial"/>
                <w:szCs w:val="24"/>
              </w:rPr>
              <w:t xml:space="preserve">      2</w:t>
            </w:r>
          </w:p>
        </w:tc>
      </w:tr>
      <w:tr w:rsidR="00991813" w:rsidRPr="00905409" w:rsidTr="001657F8">
        <w:tc>
          <w:tcPr>
            <w:tcW w:w="8478" w:type="dxa"/>
            <w:tcBorders>
              <w:top w:val="nil"/>
              <w:left w:val="nil"/>
              <w:bottom w:val="nil"/>
              <w:right w:val="nil"/>
            </w:tcBorders>
          </w:tcPr>
          <w:p w:rsidR="00991813" w:rsidRPr="009502AF" w:rsidRDefault="00991813" w:rsidP="00991813">
            <w:pPr>
              <w:pStyle w:val="EndnoteText"/>
              <w:tabs>
                <w:tab w:val="left" w:pos="9180"/>
              </w:tabs>
              <w:suppressAutoHyphens/>
              <w:ind w:left="360"/>
              <w:rPr>
                <w:rFonts w:ascii="Arial" w:hAnsi="Arial" w:cs="Arial"/>
                <w:szCs w:val="24"/>
                <w:lang w:val="en-US" w:eastAsia="en-US"/>
              </w:rPr>
            </w:pPr>
          </w:p>
          <w:p w:rsidR="00991813" w:rsidRPr="009502AF" w:rsidRDefault="00991813" w:rsidP="00BB2BCC">
            <w:pPr>
              <w:pStyle w:val="EndnoteText"/>
              <w:tabs>
                <w:tab w:val="left" w:pos="9180"/>
              </w:tabs>
              <w:suppressAutoHyphens/>
              <w:ind w:left="360"/>
              <w:rPr>
                <w:rFonts w:ascii="Arial" w:hAnsi="Arial" w:cs="Arial"/>
                <w:szCs w:val="24"/>
                <w:lang w:val="en-US" w:eastAsia="en-US"/>
              </w:rPr>
            </w:pPr>
            <w:r w:rsidRPr="009502AF">
              <w:rPr>
                <w:rFonts w:ascii="Arial" w:hAnsi="Arial" w:cs="Arial"/>
                <w:szCs w:val="24"/>
                <w:lang w:val="en-US" w:eastAsia="en-US"/>
              </w:rPr>
              <w:t>Statement of Generation Supply Charge</w:t>
            </w:r>
            <w:r w:rsidR="00BB2BCC">
              <w:rPr>
                <w:rFonts w:ascii="Arial" w:hAnsi="Arial" w:cs="Arial"/>
                <w:szCs w:val="24"/>
                <w:lang w:val="en-US" w:eastAsia="en-US"/>
              </w:rPr>
              <w:t xml:space="preserve"> - </w:t>
            </w:r>
            <w:r w:rsidRPr="009502AF">
              <w:rPr>
                <w:rFonts w:ascii="Arial" w:hAnsi="Arial" w:cs="Arial"/>
                <w:szCs w:val="24"/>
                <w:lang w:val="en-US" w:eastAsia="en-US"/>
              </w:rPr>
              <w:t xml:space="preserve">2 </w:t>
            </w:r>
            <w:r w:rsidR="00BB2BCC">
              <w:rPr>
                <w:rFonts w:ascii="Arial" w:hAnsi="Arial" w:cs="Arial"/>
                <w:szCs w:val="24"/>
                <w:lang w:val="en-US" w:eastAsia="en-US"/>
              </w:rPr>
              <w:t xml:space="preserve">(GSC - 2) </w:t>
            </w:r>
            <w:r w:rsidRPr="009502AF">
              <w:rPr>
                <w:rFonts w:ascii="Arial" w:hAnsi="Arial" w:cs="Arial"/>
                <w:szCs w:val="24"/>
                <w:lang w:val="en-US" w:eastAsia="en-US"/>
              </w:rPr>
              <w:t xml:space="preserve">Over/(Under) Collections </w:t>
            </w:r>
            <w:r w:rsidR="00BF3FC7">
              <w:rPr>
                <w:rFonts w:ascii="Arial" w:hAnsi="Arial" w:cs="Arial"/>
                <w:szCs w:val="24"/>
                <w:lang w:val="en-US" w:eastAsia="en-US"/>
              </w:rPr>
              <w:t>(Section 1307(e</w:t>
            </w:r>
            <w:r w:rsidR="00344493">
              <w:rPr>
                <w:rFonts w:ascii="Arial" w:hAnsi="Arial" w:cs="Arial"/>
                <w:szCs w:val="24"/>
                <w:lang w:val="en-US" w:eastAsia="en-US"/>
              </w:rPr>
              <w:t>)</w:t>
            </w:r>
            <w:r w:rsidR="00BF3FC7">
              <w:rPr>
                <w:rFonts w:ascii="Arial" w:hAnsi="Arial" w:cs="Arial"/>
                <w:szCs w:val="24"/>
                <w:lang w:val="en-US" w:eastAsia="en-US"/>
              </w:rPr>
              <w:t xml:space="preserve">) </w:t>
            </w:r>
            <w:r w:rsidRPr="009502AF">
              <w:rPr>
                <w:rFonts w:ascii="Arial" w:hAnsi="Arial" w:cs="Arial"/>
                <w:szCs w:val="24"/>
                <w:lang w:val="en-US" w:eastAsia="en-US"/>
              </w:rPr>
              <w:t>For The F</w:t>
            </w:r>
            <w:r w:rsidR="00053070" w:rsidRPr="009502AF">
              <w:rPr>
                <w:rFonts w:ascii="Arial" w:hAnsi="Arial" w:cs="Arial"/>
                <w:szCs w:val="24"/>
                <w:lang w:val="en-US" w:eastAsia="en-US"/>
              </w:rPr>
              <w:t>ive</w:t>
            </w:r>
            <w:r w:rsidRPr="009502AF">
              <w:rPr>
                <w:rFonts w:ascii="Arial" w:hAnsi="Arial" w:cs="Arial"/>
                <w:szCs w:val="24"/>
                <w:lang w:val="en-US" w:eastAsia="en-US"/>
              </w:rPr>
              <w:t xml:space="preserve"> Months Ended </w:t>
            </w:r>
            <w:r w:rsidR="00A143F7" w:rsidRPr="009502AF">
              <w:rPr>
                <w:rFonts w:ascii="Arial" w:hAnsi="Arial" w:cs="Arial"/>
                <w:szCs w:val="24"/>
                <w:lang w:val="en-US" w:eastAsia="en-US"/>
              </w:rPr>
              <w:t>May 31</w:t>
            </w:r>
            <w:r w:rsidRPr="009502AF">
              <w:rPr>
                <w:rFonts w:ascii="Arial" w:hAnsi="Arial" w:cs="Arial"/>
                <w:szCs w:val="24"/>
                <w:lang w:val="en-US" w:eastAsia="en-US"/>
              </w:rPr>
              <w:t>, 2011</w:t>
            </w:r>
          </w:p>
        </w:tc>
        <w:tc>
          <w:tcPr>
            <w:tcW w:w="1098" w:type="dxa"/>
            <w:tcBorders>
              <w:top w:val="nil"/>
              <w:left w:val="nil"/>
              <w:bottom w:val="nil"/>
              <w:right w:val="nil"/>
            </w:tcBorders>
          </w:tcPr>
          <w:p w:rsidR="00991813" w:rsidRPr="00905409" w:rsidRDefault="00991813" w:rsidP="00905409">
            <w:pPr>
              <w:tabs>
                <w:tab w:val="right" w:pos="562"/>
              </w:tabs>
              <w:suppressAutoHyphens/>
              <w:rPr>
                <w:rFonts w:ascii="Arial" w:hAnsi="Arial" w:cs="Arial"/>
                <w:szCs w:val="24"/>
              </w:rPr>
            </w:pPr>
          </w:p>
          <w:p w:rsidR="00991813" w:rsidRDefault="00991813" w:rsidP="00905409">
            <w:pPr>
              <w:tabs>
                <w:tab w:val="right" w:pos="562"/>
              </w:tabs>
              <w:suppressAutoHyphens/>
              <w:jc w:val="center"/>
              <w:rPr>
                <w:rFonts w:ascii="Arial" w:hAnsi="Arial" w:cs="Arial"/>
                <w:szCs w:val="24"/>
              </w:rPr>
            </w:pPr>
          </w:p>
          <w:p w:rsidR="00991813" w:rsidRPr="00564043" w:rsidRDefault="00991813" w:rsidP="004755F0">
            <w:pPr>
              <w:rPr>
                <w:rFonts w:ascii="Arial" w:hAnsi="Arial" w:cs="Arial"/>
                <w:szCs w:val="24"/>
              </w:rPr>
            </w:pPr>
            <w:r>
              <w:rPr>
                <w:rFonts w:ascii="Arial" w:hAnsi="Arial" w:cs="Arial"/>
                <w:szCs w:val="24"/>
              </w:rPr>
              <w:t xml:space="preserve">      3</w:t>
            </w:r>
          </w:p>
        </w:tc>
      </w:tr>
      <w:tr w:rsidR="00991813" w:rsidRPr="00905409" w:rsidTr="001657F8">
        <w:tc>
          <w:tcPr>
            <w:tcW w:w="8478" w:type="dxa"/>
            <w:tcBorders>
              <w:top w:val="nil"/>
              <w:left w:val="nil"/>
              <w:bottom w:val="nil"/>
              <w:right w:val="nil"/>
            </w:tcBorders>
          </w:tcPr>
          <w:p w:rsidR="00991813" w:rsidRPr="009502AF" w:rsidRDefault="00991813" w:rsidP="00991813">
            <w:pPr>
              <w:pStyle w:val="EndnoteText"/>
              <w:tabs>
                <w:tab w:val="left" w:pos="9180"/>
              </w:tabs>
              <w:suppressAutoHyphens/>
              <w:ind w:left="360"/>
              <w:rPr>
                <w:rFonts w:ascii="Arial" w:hAnsi="Arial" w:cs="Arial"/>
                <w:szCs w:val="24"/>
                <w:lang w:val="en-US" w:eastAsia="en-US"/>
              </w:rPr>
            </w:pPr>
          </w:p>
          <w:p w:rsidR="00991813" w:rsidRPr="009502AF" w:rsidRDefault="00991813" w:rsidP="003505DA">
            <w:pPr>
              <w:pStyle w:val="EndnoteText"/>
              <w:tabs>
                <w:tab w:val="left" w:pos="9180"/>
              </w:tabs>
              <w:suppressAutoHyphens/>
              <w:ind w:left="360"/>
              <w:rPr>
                <w:rFonts w:ascii="Arial" w:hAnsi="Arial" w:cs="Arial"/>
                <w:szCs w:val="24"/>
                <w:lang w:val="en-US" w:eastAsia="en-US"/>
              </w:rPr>
            </w:pPr>
            <w:r w:rsidRPr="009502AF">
              <w:rPr>
                <w:rFonts w:ascii="Arial" w:hAnsi="Arial" w:cs="Arial"/>
                <w:szCs w:val="24"/>
                <w:lang w:val="en-US" w:eastAsia="en-US"/>
              </w:rPr>
              <w:t>Statem</w:t>
            </w:r>
            <w:r w:rsidR="00BB2BCC">
              <w:rPr>
                <w:rFonts w:ascii="Arial" w:hAnsi="Arial" w:cs="Arial"/>
                <w:szCs w:val="24"/>
                <w:lang w:val="en-US" w:eastAsia="en-US"/>
              </w:rPr>
              <w:t xml:space="preserve">ent of Generation Supply Charge (GSC) </w:t>
            </w:r>
            <w:r w:rsidRPr="009502AF">
              <w:rPr>
                <w:rFonts w:ascii="Arial" w:hAnsi="Arial" w:cs="Arial"/>
                <w:szCs w:val="24"/>
                <w:lang w:val="en-US" w:eastAsia="en-US"/>
              </w:rPr>
              <w:t xml:space="preserve">Over/(Under) Collections </w:t>
            </w:r>
            <w:r w:rsidR="00BF3FC7">
              <w:rPr>
                <w:rFonts w:ascii="Arial" w:hAnsi="Arial" w:cs="Arial"/>
                <w:szCs w:val="24"/>
                <w:lang w:val="en-US" w:eastAsia="en-US"/>
              </w:rPr>
              <w:t>(Section 1307(e)</w:t>
            </w:r>
            <w:r w:rsidR="00344493">
              <w:rPr>
                <w:rFonts w:ascii="Arial" w:hAnsi="Arial" w:cs="Arial"/>
                <w:szCs w:val="24"/>
                <w:lang w:val="en-US" w:eastAsia="en-US"/>
              </w:rPr>
              <w:t>)</w:t>
            </w:r>
            <w:r w:rsidR="00BF3FC7">
              <w:rPr>
                <w:rFonts w:ascii="Arial" w:hAnsi="Arial" w:cs="Arial"/>
                <w:szCs w:val="24"/>
                <w:lang w:val="en-US" w:eastAsia="en-US"/>
              </w:rPr>
              <w:t xml:space="preserve"> </w:t>
            </w:r>
            <w:r w:rsidRPr="009502AF">
              <w:rPr>
                <w:rFonts w:ascii="Arial" w:hAnsi="Arial" w:cs="Arial"/>
                <w:szCs w:val="24"/>
                <w:lang w:val="en-US" w:eastAsia="en-US"/>
              </w:rPr>
              <w:t xml:space="preserve">For The </w:t>
            </w:r>
            <w:r w:rsidR="00A143F7" w:rsidRPr="009502AF">
              <w:rPr>
                <w:rFonts w:ascii="Arial" w:hAnsi="Arial" w:cs="Arial"/>
                <w:szCs w:val="24"/>
                <w:lang w:val="en-US" w:eastAsia="en-US"/>
              </w:rPr>
              <w:t>Twelve</w:t>
            </w:r>
            <w:r w:rsidRPr="009502AF">
              <w:rPr>
                <w:rFonts w:ascii="Arial" w:hAnsi="Arial" w:cs="Arial"/>
                <w:szCs w:val="24"/>
                <w:lang w:val="en-US" w:eastAsia="en-US"/>
              </w:rPr>
              <w:t xml:space="preserve"> Months Ended </w:t>
            </w:r>
            <w:r w:rsidR="00A143F7" w:rsidRPr="009502AF">
              <w:rPr>
                <w:rFonts w:ascii="Arial" w:hAnsi="Arial" w:cs="Arial"/>
                <w:szCs w:val="24"/>
                <w:lang w:val="en-US" w:eastAsia="en-US"/>
              </w:rPr>
              <w:t>December 31</w:t>
            </w:r>
            <w:r w:rsidRPr="009502AF">
              <w:rPr>
                <w:rFonts w:ascii="Arial" w:hAnsi="Arial" w:cs="Arial"/>
                <w:szCs w:val="24"/>
                <w:lang w:val="en-US" w:eastAsia="en-US"/>
              </w:rPr>
              <w:t>, 201</w:t>
            </w:r>
            <w:r w:rsidR="003505DA">
              <w:rPr>
                <w:rFonts w:ascii="Arial" w:hAnsi="Arial" w:cs="Arial"/>
                <w:szCs w:val="24"/>
                <w:lang w:val="en-US" w:eastAsia="en-US"/>
              </w:rPr>
              <w:t>0</w:t>
            </w:r>
          </w:p>
        </w:tc>
        <w:tc>
          <w:tcPr>
            <w:tcW w:w="1098" w:type="dxa"/>
            <w:tcBorders>
              <w:top w:val="nil"/>
              <w:left w:val="nil"/>
              <w:bottom w:val="nil"/>
              <w:right w:val="nil"/>
            </w:tcBorders>
          </w:tcPr>
          <w:p w:rsidR="00991813" w:rsidRDefault="00991813" w:rsidP="00905409">
            <w:pPr>
              <w:tabs>
                <w:tab w:val="right" w:pos="562"/>
              </w:tabs>
              <w:suppressAutoHyphens/>
              <w:rPr>
                <w:rFonts w:ascii="Arial" w:hAnsi="Arial" w:cs="Arial"/>
                <w:szCs w:val="24"/>
              </w:rPr>
            </w:pPr>
          </w:p>
          <w:p w:rsidR="00991813" w:rsidRDefault="00991813" w:rsidP="00564043">
            <w:pPr>
              <w:rPr>
                <w:rFonts w:ascii="Arial" w:hAnsi="Arial" w:cs="Arial"/>
                <w:szCs w:val="24"/>
              </w:rPr>
            </w:pPr>
          </w:p>
          <w:p w:rsidR="00991813" w:rsidRPr="00564043" w:rsidRDefault="00991813" w:rsidP="004755F0">
            <w:pPr>
              <w:rPr>
                <w:rFonts w:ascii="Arial" w:hAnsi="Arial" w:cs="Arial"/>
                <w:szCs w:val="24"/>
              </w:rPr>
            </w:pPr>
            <w:r>
              <w:rPr>
                <w:rFonts w:ascii="Arial" w:hAnsi="Arial" w:cs="Arial"/>
                <w:szCs w:val="24"/>
              </w:rPr>
              <w:t xml:space="preserve">      4</w:t>
            </w:r>
          </w:p>
        </w:tc>
      </w:tr>
      <w:tr w:rsidR="00991813" w:rsidRPr="00905409" w:rsidTr="001657F8">
        <w:tc>
          <w:tcPr>
            <w:tcW w:w="8478" w:type="dxa"/>
            <w:tcBorders>
              <w:top w:val="nil"/>
              <w:left w:val="nil"/>
              <w:bottom w:val="nil"/>
              <w:right w:val="nil"/>
            </w:tcBorders>
          </w:tcPr>
          <w:p w:rsidR="00991813" w:rsidRPr="009502AF" w:rsidRDefault="00991813" w:rsidP="00905409">
            <w:pPr>
              <w:pStyle w:val="EndnoteText"/>
              <w:tabs>
                <w:tab w:val="left" w:pos="9180"/>
              </w:tabs>
              <w:suppressAutoHyphens/>
              <w:ind w:left="360"/>
              <w:rPr>
                <w:rFonts w:ascii="Arial" w:hAnsi="Arial" w:cs="Arial"/>
                <w:szCs w:val="24"/>
                <w:lang w:val="en-US" w:eastAsia="en-US"/>
              </w:rPr>
            </w:pPr>
          </w:p>
        </w:tc>
        <w:tc>
          <w:tcPr>
            <w:tcW w:w="1098" w:type="dxa"/>
            <w:tcBorders>
              <w:top w:val="nil"/>
              <w:left w:val="nil"/>
              <w:bottom w:val="nil"/>
              <w:right w:val="nil"/>
            </w:tcBorders>
          </w:tcPr>
          <w:p w:rsidR="00991813" w:rsidRPr="00905409" w:rsidRDefault="00991813" w:rsidP="00905409">
            <w:pPr>
              <w:tabs>
                <w:tab w:val="right" w:pos="562"/>
              </w:tabs>
              <w:suppressAutoHyphens/>
              <w:rPr>
                <w:rFonts w:ascii="Arial" w:hAnsi="Arial" w:cs="Arial"/>
                <w:szCs w:val="24"/>
              </w:rPr>
            </w:pPr>
          </w:p>
        </w:tc>
      </w:tr>
      <w:tr w:rsidR="00991813" w:rsidRPr="00905409" w:rsidTr="001657F8">
        <w:tc>
          <w:tcPr>
            <w:tcW w:w="8478" w:type="dxa"/>
            <w:tcBorders>
              <w:top w:val="nil"/>
              <w:left w:val="nil"/>
              <w:bottom w:val="nil"/>
              <w:right w:val="nil"/>
            </w:tcBorders>
          </w:tcPr>
          <w:p w:rsidR="00991813" w:rsidRPr="00905409" w:rsidRDefault="00991813" w:rsidP="00905409">
            <w:pPr>
              <w:tabs>
                <w:tab w:val="left" w:pos="390"/>
                <w:tab w:val="left" w:pos="9180"/>
              </w:tabs>
              <w:suppressAutoHyphens/>
              <w:ind w:left="360"/>
              <w:rPr>
                <w:rFonts w:ascii="Arial" w:hAnsi="Arial" w:cs="Arial"/>
                <w:szCs w:val="24"/>
              </w:rPr>
            </w:pPr>
            <w:r w:rsidRPr="00905409">
              <w:rPr>
                <w:rFonts w:ascii="Arial" w:hAnsi="Arial" w:cs="Arial"/>
                <w:szCs w:val="24"/>
              </w:rPr>
              <w:t>Notes To The Financial Statements</w:t>
            </w:r>
          </w:p>
        </w:tc>
        <w:tc>
          <w:tcPr>
            <w:tcW w:w="1098" w:type="dxa"/>
            <w:tcBorders>
              <w:top w:val="nil"/>
              <w:left w:val="nil"/>
              <w:bottom w:val="nil"/>
              <w:right w:val="nil"/>
            </w:tcBorders>
          </w:tcPr>
          <w:p w:rsidR="00991813" w:rsidRPr="00905409" w:rsidRDefault="00991813" w:rsidP="00564043">
            <w:pPr>
              <w:tabs>
                <w:tab w:val="right" w:pos="562"/>
              </w:tabs>
              <w:suppressAutoHyphens/>
              <w:jc w:val="center"/>
              <w:rPr>
                <w:rFonts w:ascii="Arial" w:hAnsi="Arial" w:cs="Arial"/>
                <w:szCs w:val="24"/>
              </w:rPr>
            </w:pPr>
            <w:r>
              <w:rPr>
                <w:rFonts w:ascii="Arial" w:hAnsi="Arial" w:cs="Arial"/>
                <w:szCs w:val="24"/>
              </w:rPr>
              <w:t xml:space="preserve"> 5</w:t>
            </w:r>
          </w:p>
        </w:tc>
      </w:tr>
      <w:tr w:rsidR="00991813" w:rsidRPr="00905409" w:rsidTr="001657F8">
        <w:tc>
          <w:tcPr>
            <w:tcW w:w="8478" w:type="dxa"/>
            <w:tcBorders>
              <w:top w:val="nil"/>
              <w:left w:val="nil"/>
              <w:bottom w:val="nil"/>
              <w:right w:val="nil"/>
            </w:tcBorders>
          </w:tcPr>
          <w:p w:rsidR="00991813" w:rsidRPr="00905409" w:rsidRDefault="00991813" w:rsidP="00905409">
            <w:pPr>
              <w:tabs>
                <w:tab w:val="left" w:pos="390"/>
                <w:tab w:val="left" w:pos="9180"/>
              </w:tabs>
              <w:suppressAutoHyphens/>
              <w:ind w:left="360"/>
              <w:rPr>
                <w:rFonts w:ascii="Arial" w:hAnsi="Arial" w:cs="Arial"/>
                <w:szCs w:val="24"/>
              </w:rPr>
            </w:pPr>
          </w:p>
        </w:tc>
        <w:tc>
          <w:tcPr>
            <w:tcW w:w="1098" w:type="dxa"/>
            <w:tcBorders>
              <w:top w:val="nil"/>
              <w:left w:val="nil"/>
              <w:bottom w:val="nil"/>
              <w:right w:val="nil"/>
            </w:tcBorders>
          </w:tcPr>
          <w:p w:rsidR="00991813" w:rsidRPr="00905409" w:rsidRDefault="00991813" w:rsidP="00905409">
            <w:pPr>
              <w:tabs>
                <w:tab w:val="right" w:pos="562"/>
              </w:tabs>
              <w:suppressAutoHyphens/>
              <w:rPr>
                <w:rFonts w:ascii="Arial" w:hAnsi="Arial" w:cs="Arial"/>
                <w:szCs w:val="24"/>
              </w:rPr>
            </w:pPr>
          </w:p>
        </w:tc>
      </w:tr>
      <w:tr w:rsidR="00991813" w:rsidRPr="00905409" w:rsidTr="00A8202D">
        <w:trPr>
          <w:trHeight w:val="252"/>
        </w:trPr>
        <w:tc>
          <w:tcPr>
            <w:tcW w:w="8478" w:type="dxa"/>
            <w:tcBorders>
              <w:top w:val="nil"/>
              <w:left w:val="nil"/>
              <w:bottom w:val="nil"/>
              <w:right w:val="nil"/>
            </w:tcBorders>
          </w:tcPr>
          <w:p w:rsidR="00991813" w:rsidRDefault="00991813" w:rsidP="00905409">
            <w:pPr>
              <w:tabs>
                <w:tab w:val="left" w:pos="-720"/>
                <w:tab w:val="left" w:pos="360"/>
                <w:tab w:val="left" w:pos="1440"/>
                <w:tab w:val="left" w:pos="9180"/>
              </w:tabs>
              <w:suppressAutoHyphens/>
              <w:rPr>
                <w:rFonts w:ascii="Arial" w:hAnsi="Arial" w:cs="Arial"/>
                <w:b/>
                <w:szCs w:val="24"/>
                <w:u w:val="single"/>
              </w:rPr>
            </w:pPr>
          </w:p>
          <w:p w:rsidR="00991813" w:rsidRPr="00905409" w:rsidRDefault="00991813" w:rsidP="00905409">
            <w:pPr>
              <w:tabs>
                <w:tab w:val="left" w:pos="-720"/>
                <w:tab w:val="left" w:pos="360"/>
                <w:tab w:val="left" w:pos="1440"/>
                <w:tab w:val="left" w:pos="9180"/>
              </w:tabs>
              <w:suppressAutoHyphens/>
              <w:rPr>
                <w:rFonts w:ascii="Arial" w:hAnsi="Arial" w:cs="Arial"/>
                <w:b/>
                <w:szCs w:val="24"/>
                <w:u w:val="single"/>
              </w:rPr>
            </w:pPr>
            <w:r w:rsidRPr="00905409">
              <w:rPr>
                <w:rFonts w:ascii="Arial" w:hAnsi="Arial" w:cs="Arial"/>
                <w:b/>
                <w:szCs w:val="24"/>
                <w:u w:val="single"/>
              </w:rPr>
              <w:t>BACKGROUND AND OPERATIONAL REVIEW</w:t>
            </w:r>
          </w:p>
        </w:tc>
        <w:tc>
          <w:tcPr>
            <w:tcW w:w="1098" w:type="dxa"/>
            <w:tcBorders>
              <w:top w:val="nil"/>
              <w:left w:val="nil"/>
              <w:bottom w:val="nil"/>
              <w:right w:val="nil"/>
            </w:tcBorders>
          </w:tcPr>
          <w:p w:rsidR="00991813" w:rsidRPr="00905409" w:rsidRDefault="00991813" w:rsidP="00905409">
            <w:pPr>
              <w:tabs>
                <w:tab w:val="right" w:pos="562"/>
              </w:tabs>
              <w:suppressAutoHyphens/>
              <w:rPr>
                <w:rFonts w:ascii="Arial" w:hAnsi="Arial" w:cs="Arial"/>
                <w:szCs w:val="24"/>
              </w:rPr>
            </w:pPr>
          </w:p>
        </w:tc>
      </w:tr>
      <w:tr w:rsidR="00991813" w:rsidRPr="00905409" w:rsidTr="00A8202D">
        <w:trPr>
          <w:trHeight w:val="252"/>
        </w:trPr>
        <w:tc>
          <w:tcPr>
            <w:tcW w:w="8478" w:type="dxa"/>
            <w:tcBorders>
              <w:top w:val="nil"/>
              <w:left w:val="nil"/>
              <w:bottom w:val="nil"/>
              <w:right w:val="nil"/>
            </w:tcBorders>
          </w:tcPr>
          <w:p w:rsidR="00991813" w:rsidRPr="00905409" w:rsidRDefault="00991813" w:rsidP="00905409">
            <w:pPr>
              <w:tabs>
                <w:tab w:val="left" w:pos="-720"/>
                <w:tab w:val="left" w:pos="360"/>
                <w:tab w:val="left" w:pos="1440"/>
                <w:tab w:val="left" w:pos="9180"/>
              </w:tabs>
              <w:suppressAutoHyphens/>
              <w:rPr>
                <w:rFonts w:ascii="Arial" w:hAnsi="Arial" w:cs="Arial"/>
                <w:b/>
                <w:szCs w:val="24"/>
                <w:u w:val="single"/>
              </w:rPr>
            </w:pPr>
          </w:p>
        </w:tc>
        <w:tc>
          <w:tcPr>
            <w:tcW w:w="1098" w:type="dxa"/>
            <w:tcBorders>
              <w:top w:val="nil"/>
              <w:left w:val="nil"/>
              <w:bottom w:val="nil"/>
              <w:right w:val="nil"/>
            </w:tcBorders>
          </w:tcPr>
          <w:p w:rsidR="00991813" w:rsidRPr="00905409" w:rsidRDefault="00991813" w:rsidP="00905409">
            <w:pPr>
              <w:tabs>
                <w:tab w:val="right" w:pos="562"/>
              </w:tabs>
              <w:suppressAutoHyphens/>
              <w:rPr>
                <w:rFonts w:ascii="Arial" w:hAnsi="Arial" w:cs="Arial"/>
                <w:szCs w:val="24"/>
              </w:rPr>
            </w:pPr>
          </w:p>
        </w:tc>
      </w:tr>
      <w:tr w:rsidR="00991813" w:rsidRPr="00905409" w:rsidTr="001657F8">
        <w:tc>
          <w:tcPr>
            <w:tcW w:w="8478" w:type="dxa"/>
            <w:tcBorders>
              <w:top w:val="nil"/>
              <w:left w:val="nil"/>
              <w:bottom w:val="nil"/>
              <w:right w:val="nil"/>
            </w:tcBorders>
          </w:tcPr>
          <w:p w:rsidR="00991813" w:rsidRPr="00905409" w:rsidRDefault="00991813" w:rsidP="00905409">
            <w:pPr>
              <w:tabs>
                <w:tab w:val="left" w:pos="-720"/>
                <w:tab w:val="left" w:pos="360"/>
                <w:tab w:val="left" w:pos="1440"/>
                <w:tab w:val="left" w:pos="9180"/>
              </w:tabs>
              <w:suppressAutoHyphens/>
              <w:ind w:left="360"/>
              <w:rPr>
                <w:rFonts w:ascii="Arial" w:hAnsi="Arial" w:cs="Arial"/>
                <w:szCs w:val="24"/>
              </w:rPr>
            </w:pPr>
            <w:r w:rsidRPr="00905409">
              <w:rPr>
                <w:rFonts w:ascii="Arial" w:hAnsi="Arial" w:cs="Arial"/>
                <w:szCs w:val="24"/>
              </w:rPr>
              <w:t>Background</w:t>
            </w:r>
          </w:p>
          <w:p w:rsidR="00991813" w:rsidRDefault="00991813" w:rsidP="00905409">
            <w:pPr>
              <w:tabs>
                <w:tab w:val="left" w:pos="-720"/>
                <w:tab w:val="left" w:pos="360"/>
                <w:tab w:val="left" w:pos="1440"/>
                <w:tab w:val="left" w:pos="9180"/>
              </w:tabs>
              <w:suppressAutoHyphens/>
              <w:rPr>
                <w:rFonts w:ascii="Arial" w:hAnsi="Arial" w:cs="Arial"/>
                <w:b/>
                <w:szCs w:val="24"/>
                <w:u w:val="single"/>
              </w:rPr>
            </w:pPr>
          </w:p>
          <w:p w:rsidR="007D31BC" w:rsidRPr="00A1597B" w:rsidRDefault="00BB2BCC" w:rsidP="00905409">
            <w:pPr>
              <w:tabs>
                <w:tab w:val="left" w:pos="-720"/>
                <w:tab w:val="left" w:pos="360"/>
                <w:tab w:val="left" w:pos="1440"/>
                <w:tab w:val="left" w:pos="9180"/>
              </w:tabs>
              <w:suppressAutoHyphens/>
              <w:rPr>
                <w:rFonts w:ascii="Arial" w:hAnsi="Arial" w:cs="Arial"/>
                <w:szCs w:val="24"/>
              </w:rPr>
            </w:pPr>
            <w:r>
              <w:rPr>
                <w:rFonts w:ascii="Arial" w:hAnsi="Arial" w:cs="Arial"/>
                <w:szCs w:val="24"/>
              </w:rPr>
              <w:t xml:space="preserve">     Current Periods’ </w:t>
            </w:r>
            <w:r w:rsidR="007D31BC" w:rsidRPr="00A1597B">
              <w:rPr>
                <w:rFonts w:ascii="Arial" w:hAnsi="Arial" w:cs="Arial"/>
                <w:szCs w:val="24"/>
              </w:rPr>
              <w:t>Audit Finding and Observation</w:t>
            </w:r>
            <w:r w:rsidR="00350731">
              <w:rPr>
                <w:rFonts w:ascii="Arial" w:hAnsi="Arial" w:cs="Arial"/>
                <w:szCs w:val="24"/>
              </w:rPr>
              <w:t>s</w:t>
            </w:r>
          </w:p>
          <w:p w:rsidR="007D31BC" w:rsidRDefault="007D31BC" w:rsidP="00905409">
            <w:pPr>
              <w:tabs>
                <w:tab w:val="left" w:pos="-720"/>
                <w:tab w:val="left" w:pos="360"/>
                <w:tab w:val="left" w:pos="1440"/>
                <w:tab w:val="left" w:pos="9180"/>
              </w:tabs>
              <w:suppressAutoHyphens/>
              <w:rPr>
                <w:rFonts w:ascii="Arial" w:hAnsi="Arial" w:cs="Arial"/>
                <w:b/>
                <w:szCs w:val="24"/>
                <w:u w:val="single"/>
              </w:rPr>
            </w:pPr>
          </w:p>
          <w:p w:rsidR="007D31BC" w:rsidRDefault="002F639C" w:rsidP="00F3650D">
            <w:pPr>
              <w:pStyle w:val="Heading1"/>
              <w:tabs>
                <w:tab w:val="clear" w:pos="4680"/>
                <w:tab w:val="left" w:pos="-2880"/>
                <w:tab w:val="left" w:pos="1080"/>
              </w:tabs>
              <w:ind w:left="720"/>
              <w:jc w:val="left"/>
              <w:rPr>
                <w:rFonts w:ascii="Arial" w:hAnsi="Arial" w:cs="Arial"/>
                <w:szCs w:val="24"/>
              </w:rPr>
            </w:pPr>
            <w:r w:rsidRPr="00E25FDB">
              <w:rPr>
                <w:rFonts w:ascii="Arial" w:hAnsi="Arial" w:cs="Arial"/>
                <w:szCs w:val="24"/>
              </w:rPr>
              <w:t>Finding – Historical Data For Outdoor Lighting Service</w:t>
            </w:r>
          </w:p>
          <w:p w:rsidR="002F639C" w:rsidRPr="00E25FDB" w:rsidRDefault="002F639C" w:rsidP="00A1597B">
            <w:pPr>
              <w:pStyle w:val="Heading1"/>
              <w:tabs>
                <w:tab w:val="clear" w:pos="4680"/>
                <w:tab w:val="left" w:pos="-2880"/>
                <w:tab w:val="left" w:pos="1080"/>
              </w:tabs>
              <w:ind w:left="1890"/>
              <w:jc w:val="left"/>
              <w:rPr>
                <w:rFonts w:ascii="Arial" w:hAnsi="Arial" w:cs="Arial"/>
                <w:szCs w:val="24"/>
              </w:rPr>
            </w:pPr>
            <w:r w:rsidRPr="00E25FDB">
              <w:rPr>
                <w:rFonts w:ascii="Arial" w:hAnsi="Arial" w:cs="Arial"/>
                <w:szCs w:val="24"/>
              </w:rPr>
              <w:t>Customers Is</w:t>
            </w:r>
            <w:r>
              <w:rPr>
                <w:rFonts w:ascii="Arial" w:hAnsi="Arial" w:cs="Arial"/>
                <w:szCs w:val="24"/>
              </w:rPr>
              <w:t xml:space="preserve"> N</w:t>
            </w:r>
            <w:r w:rsidRPr="002F639C">
              <w:rPr>
                <w:rFonts w:ascii="Arial" w:hAnsi="Arial" w:cs="Arial"/>
                <w:szCs w:val="24"/>
              </w:rPr>
              <w:t>ot Maintained</w:t>
            </w:r>
          </w:p>
          <w:p w:rsidR="002F639C" w:rsidRDefault="002F639C" w:rsidP="009933AE">
            <w:pPr>
              <w:tabs>
                <w:tab w:val="left" w:pos="-720"/>
                <w:tab w:val="left" w:pos="360"/>
                <w:tab w:val="left" w:pos="1440"/>
                <w:tab w:val="left" w:pos="9180"/>
              </w:tabs>
              <w:suppressAutoHyphens/>
              <w:ind w:left="360"/>
              <w:rPr>
                <w:rFonts w:ascii="Arial" w:hAnsi="Arial" w:cs="Arial"/>
                <w:b/>
                <w:szCs w:val="26"/>
                <w:u w:val="single"/>
              </w:rPr>
            </w:pPr>
          </w:p>
          <w:p w:rsidR="00C17F49" w:rsidRDefault="009933AE" w:rsidP="00350731">
            <w:pPr>
              <w:tabs>
                <w:tab w:val="left" w:pos="-720"/>
                <w:tab w:val="left" w:pos="360"/>
                <w:tab w:val="left" w:pos="1440"/>
                <w:tab w:val="left" w:pos="9180"/>
              </w:tabs>
              <w:suppressAutoHyphens/>
              <w:ind w:left="3060" w:hanging="2340"/>
              <w:rPr>
                <w:rFonts w:ascii="Arial" w:hAnsi="Arial" w:cs="Arial"/>
                <w:b/>
                <w:szCs w:val="26"/>
                <w:u w:val="single"/>
              </w:rPr>
            </w:pPr>
            <w:r w:rsidRPr="00C44F14">
              <w:rPr>
                <w:rFonts w:ascii="Arial" w:hAnsi="Arial" w:cs="Arial"/>
                <w:b/>
                <w:szCs w:val="26"/>
                <w:u w:val="single"/>
              </w:rPr>
              <w:t>Observation</w:t>
            </w:r>
            <w:r w:rsidR="00350731">
              <w:rPr>
                <w:rFonts w:ascii="Arial" w:hAnsi="Arial" w:cs="Arial"/>
                <w:b/>
                <w:szCs w:val="26"/>
                <w:u w:val="single"/>
              </w:rPr>
              <w:t xml:space="preserve"> No. 1</w:t>
            </w:r>
            <w:r>
              <w:rPr>
                <w:rFonts w:ascii="Arial" w:hAnsi="Arial" w:cs="Arial"/>
                <w:b/>
                <w:szCs w:val="26"/>
                <w:u w:val="single"/>
              </w:rPr>
              <w:t xml:space="preserve"> – </w:t>
            </w:r>
            <w:r w:rsidRPr="00E73EF8">
              <w:rPr>
                <w:rFonts w:ascii="Arial" w:hAnsi="Arial" w:cs="Arial"/>
                <w:b/>
                <w:szCs w:val="26"/>
                <w:u w:val="single"/>
              </w:rPr>
              <w:t>PPL</w:t>
            </w:r>
            <w:r>
              <w:rPr>
                <w:rFonts w:ascii="Arial" w:hAnsi="Arial" w:cs="Arial"/>
                <w:b/>
                <w:szCs w:val="26"/>
                <w:u w:val="single"/>
              </w:rPr>
              <w:t xml:space="preserve"> Electric</w:t>
            </w:r>
            <w:r w:rsidRPr="00E73EF8">
              <w:rPr>
                <w:rFonts w:ascii="Arial" w:hAnsi="Arial" w:cs="Arial"/>
                <w:b/>
                <w:szCs w:val="26"/>
                <w:u w:val="single"/>
              </w:rPr>
              <w:t>’s Rate Stabilization Plan</w:t>
            </w:r>
            <w:r w:rsidR="00C17F49">
              <w:rPr>
                <w:rFonts w:ascii="Arial" w:hAnsi="Arial" w:cs="Arial"/>
                <w:b/>
                <w:szCs w:val="26"/>
                <w:u w:val="single"/>
              </w:rPr>
              <w:t xml:space="preserve"> </w:t>
            </w:r>
            <w:r w:rsidRPr="00E73EF8">
              <w:rPr>
                <w:rFonts w:ascii="Arial" w:hAnsi="Arial" w:cs="Arial"/>
                <w:b/>
                <w:szCs w:val="26"/>
                <w:u w:val="single"/>
              </w:rPr>
              <w:t xml:space="preserve">Has Been Conducted In Accordance </w:t>
            </w:r>
            <w:r w:rsidR="00C17F49" w:rsidRPr="00E73EF8">
              <w:rPr>
                <w:rFonts w:ascii="Arial" w:hAnsi="Arial" w:cs="Arial"/>
                <w:b/>
                <w:szCs w:val="26"/>
                <w:u w:val="single"/>
              </w:rPr>
              <w:t>With The</w:t>
            </w:r>
            <w:r w:rsidRPr="00E73EF8">
              <w:rPr>
                <w:rFonts w:ascii="Arial" w:hAnsi="Arial" w:cs="Arial"/>
                <w:b/>
                <w:szCs w:val="26"/>
                <w:u w:val="single"/>
              </w:rPr>
              <w:t xml:space="preserve"> </w:t>
            </w:r>
          </w:p>
          <w:p w:rsidR="009933AE" w:rsidRDefault="009933AE" w:rsidP="00350731">
            <w:pPr>
              <w:tabs>
                <w:tab w:val="left" w:pos="-720"/>
                <w:tab w:val="left" w:pos="360"/>
                <w:tab w:val="left" w:pos="1440"/>
                <w:tab w:val="left" w:pos="9180"/>
              </w:tabs>
              <w:suppressAutoHyphens/>
              <w:ind w:left="630" w:firstLine="2430"/>
              <w:rPr>
                <w:rFonts w:ascii="Arial" w:hAnsi="Arial" w:cs="Arial"/>
                <w:b/>
                <w:szCs w:val="26"/>
                <w:u w:val="single"/>
              </w:rPr>
            </w:pPr>
            <w:r w:rsidRPr="00E73EF8">
              <w:rPr>
                <w:rFonts w:ascii="Arial" w:hAnsi="Arial" w:cs="Arial"/>
                <w:b/>
                <w:szCs w:val="26"/>
                <w:u w:val="single"/>
              </w:rPr>
              <w:t>Approved Rider</w:t>
            </w:r>
          </w:p>
          <w:p w:rsidR="00350731" w:rsidRDefault="00350731" w:rsidP="00350731">
            <w:pPr>
              <w:tabs>
                <w:tab w:val="left" w:pos="-720"/>
                <w:tab w:val="left" w:pos="360"/>
                <w:tab w:val="left" w:pos="1440"/>
                <w:tab w:val="left" w:pos="9180"/>
              </w:tabs>
              <w:suppressAutoHyphens/>
              <w:ind w:left="630" w:firstLine="2430"/>
              <w:rPr>
                <w:rFonts w:ascii="Arial" w:hAnsi="Arial" w:cs="Arial"/>
                <w:b/>
                <w:szCs w:val="26"/>
                <w:u w:val="single"/>
              </w:rPr>
            </w:pPr>
          </w:p>
          <w:p w:rsidR="00350731" w:rsidRDefault="00350731" w:rsidP="00350731">
            <w:pPr>
              <w:tabs>
                <w:tab w:val="left" w:pos="-720"/>
                <w:tab w:val="left" w:pos="360"/>
                <w:tab w:val="left" w:pos="1440"/>
                <w:tab w:val="left" w:pos="9180"/>
              </w:tabs>
              <w:suppressAutoHyphens/>
              <w:ind w:left="630" w:firstLine="90"/>
              <w:rPr>
                <w:rFonts w:ascii="Arial" w:hAnsi="Arial" w:cs="Arial"/>
                <w:b/>
                <w:szCs w:val="26"/>
                <w:u w:val="single"/>
              </w:rPr>
            </w:pPr>
            <w:r>
              <w:rPr>
                <w:rFonts w:ascii="Arial" w:hAnsi="Arial" w:cs="Arial"/>
                <w:b/>
                <w:szCs w:val="26"/>
                <w:u w:val="single"/>
              </w:rPr>
              <w:t>Observation No. 2 – PPL Electric’s GSC Reported Revenues</w:t>
            </w:r>
          </w:p>
          <w:p w:rsidR="00350731" w:rsidRPr="00350731" w:rsidRDefault="00350731" w:rsidP="00350731">
            <w:pPr>
              <w:tabs>
                <w:tab w:val="left" w:pos="-720"/>
                <w:tab w:val="left" w:pos="360"/>
                <w:tab w:val="left" w:pos="1440"/>
                <w:tab w:val="left" w:pos="9180"/>
              </w:tabs>
              <w:suppressAutoHyphens/>
              <w:ind w:left="3060"/>
              <w:rPr>
                <w:rFonts w:ascii="Arial" w:hAnsi="Arial" w:cs="Arial"/>
                <w:szCs w:val="26"/>
              </w:rPr>
            </w:pPr>
            <w:r>
              <w:rPr>
                <w:rFonts w:ascii="Arial" w:hAnsi="Arial" w:cs="Arial"/>
                <w:b/>
                <w:szCs w:val="26"/>
                <w:u w:val="single"/>
              </w:rPr>
              <w:t xml:space="preserve">Agree With Their Accounting Records </w:t>
            </w:r>
          </w:p>
          <w:p w:rsidR="00350731" w:rsidRPr="00350731" w:rsidRDefault="00350731" w:rsidP="00350731">
            <w:pPr>
              <w:tabs>
                <w:tab w:val="left" w:pos="-720"/>
                <w:tab w:val="left" w:pos="360"/>
                <w:tab w:val="left" w:pos="1440"/>
                <w:tab w:val="left" w:pos="9180"/>
              </w:tabs>
              <w:suppressAutoHyphens/>
              <w:ind w:left="630" w:firstLine="90"/>
              <w:rPr>
                <w:rFonts w:ascii="Arial" w:hAnsi="Arial" w:cs="Arial"/>
                <w:b/>
                <w:szCs w:val="24"/>
                <w:u w:val="single"/>
              </w:rPr>
            </w:pPr>
          </w:p>
          <w:p w:rsidR="009933AE" w:rsidRPr="00905409" w:rsidRDefault="009933AE" w:rsidP="00905409">
            <w:pPr>
              <w:tabs>
                <w:tab w:val="left" w:pos="-720"/>
                <w:tab w:val="left" w:pos="360"/>
                <w:tab w:val="left" w:pos="1440"/>
                <w:tab w:val="left" w:pos="9180"/>
              </w:tabs>
              <w:suppressAutoHyphens/>
              <w:rPr>
                <w:rFonts w:ascii="Arial" w:hAnsi="Arial" w:cs="Arial"/>
                <w:b/>
                <w:szCs w:val="24"/>
                <w:u w:val="single"/>
              </w:rPr>
            </w:pPr>
          </w:p>
        </w:tc>
        <w:tc>
          <w:tcPr>
            <w:tcW w:w="1098" w:type="dxa"/>
            <w:tcBorders>
              <w:top w:val="nil"/>
              <w:left w:val="nil"/>
              <w:bottom w:val="nil"/>
              <w:right w:val="nil"/>
            </w:tcBorders>
          </w:tcPr>
          <w:p w:rsidR="00991813" w:rsidRDefault="00991813" w:rsidP="006C0231">
            <w:pPr>
              <w:tabs>
                <w:tab w:val="right" w:pos="562"/>
              </w:tabs>
              <w:suppressAutoHyphens/>
              <w:jc w:val="center"/>
              <w:rPr>
                <w:rFonts w:ascii="Arial" w:hAnsi="Arial" w:cs="Arial"/>
                <w:szCs w:val="24"/>
              </w:rPr>
            </w:pPr>
            <w:r>
              <w:rPr>
                <w:rFonts w:ascii="Arial" w:hAnsi="Arial" w:cs="Arial"/>
                <w:szCs w:val="24"/>
              </w:rPr>
              <w:t xml:space="preserve"> 7</w:t>
            </w:r>
          </w:p>
          <w:p w:rsidR="009933AE" w:rsidRDefault="009933AE" w:rsidP="006C0231">
            <w:pPr>
              <w:tabs>
                <w:tab w:val="right" w:pos="562"/>
              </w:tabs>
              <w:suppressAutoHyphens/>
              <w:jc w:val="center"/>
              <w:rPr>
                <w:rFonts w:ascii="Arial" w:hAnsi="Arial" w:cs="Arial"/>
                <w:szCs w:val="24"/>
              </w:rPr>
            </w:pPr>
          </w:p>
          <w:p w:rsidR="002F639C" w:rsidRDefault="002F639C" w:rsidP="006C0231">
            <w:pPr>
              <w:tabs>
                <w:tab w:val="right" w:pos="562"/>
              </w:tabs>
              <w:suppressAutoHyphens/>
              <w:jc w:val="center"/>
              <w:rPr>
                <w:rFonts w:ascii="Arial" w:hAnsi="Arial" w:cs="Arial"/>
                <w:szCs w:val="24"/>
              </w:rPr>
            </w:pPr>
          </w:p>
          <w:p w:rsidR="007D31BC" w:rsidRDefault="007D31BC" w:rsidP="006C0231">
            <w:pPr>
              <w:tabs>
                <w:tab w:val="right" w:pos="562"/>
              </w:tabs>
              <w:suppressAutoHyphens/>
              <w:jc w:val="center"/>
              <w:rPr>
                <w:rFonts w:ascii="Arial" w:hAnsi="Arial" w:cs="Arial"/>
                <w:szCs w:val="24"/>
              </w:rPr>
            </w:pPr>
          </w:p>
          <w:p w:rsidR="007D31BC" w:rsidRDefault="007D31BC" w:rsidP="006C0231">
            <w:pPr>
              <w:tabs>
                <w:tab w:val="right" w:pos="562"/>
              </w:tabs>
              <w:suppressAutoHyphens/>
              <w:jc w:val="center"/>
              <w:rPr>
                <w:rFonts w:ascii="Arial" w:hAnsi="Arial" w:cs="Arial"/>
                <w:szCs w:val="24"/>
              </w:rPr>
            </w:pPr>
          </w:p>
          <w:p w:rsidR="009933AE" w:rsidRDefault="002F5D20" w:rsidP="006C0231">
            <w:pPr>
              <w:tabs>
                <w:tab w:val="right" w:pos="562"/>
              </w:tabs>
              <w:suppressAutoHyphens/>
              <w:jc w:val="center"/>
              <w:rPr>
                <w:rFonts w:ascii="Arial" w:hAnsi="Arial" w:cs="Arial"/>
                <w:szCs w:val="24"/>
              </w:rPr>
            </w:pPr>
            <w:r>
              <w:rPr>
                <w:rFonts w:ascii="Arial" w:hAnsi="Arial" w:cs="Arial"/>
                <w:szCs w:val="24"/>
              </w:rPr>
              <w:t>9</w:t>
            </w:r>
          </w:p>
          <w:p w:rsidR="002F639C" w:rsidRDefault="002F639C" w:rsidP="006C0231">
            <w:pPr>
              <w:tabs>
                <w:tab w:val="right" w:pos="562"/>
              </w:tabs>
              <w:suppressAutoHyphens/>
              <w:jc w:val="center"/>
              <w:rPr>
                <w:rFonts w:ascii="Arial" w:hAnsi="Arial" w:cs="Arial"/>
                <w:szCs w:val="24"/>
              </w:rPr>
            </w:pPr>
          </w:p>
          <w:p w:rsidR="002F639C" w:rsidRDefault="002F639C" w:rsidP="006C0231">
            <w:pPr>
              <w:tabs>
                <w:tab w:val="right" w:pos="562"/>
              </w:tabs>
              <w:suppressAutoHyphens/>
              <w:jc w:val="center"/>
              <w:rPr>
                <w:rFonts w:ascii="Arial" w:hAnsi="Arial" w:cs="Arial"/>
                <w:szCs w:val="24"/>
              </w:rPr>
            </w:pPr>
          </w:p>
          <w:p w:rsidR="007D31BC" w:rsidRDefault="007D31BC" w:rsidP="006C0231">
            <w:pPr>
              <w:tabs>
                <w:tab w:val="right" w:pos="562"/>
              </w:tabs>
              <w:suppressAutoHyphens/>
              <w:jc w:val="center"/>
              <w:rPr>
                <w:rFonts w:ascii="Arial" w:hAnsi="Arial" w:cs="Arial"/>
                <w:szCs w:val="24"/>
              </w:rPr>
            </w:pPr>
          </w:p>
          <w:p w:rsidR="002F639C" w:rsidRDefault="002F5D20" w:rsidP="006C0231">
            <w:pPr>
              <w:tabs>
                <w:tab w:val="right" w:pos="562"/>
              </w:tabs>
              <w:suppressAutoHyphens/>
              <w:jc w:val="center"/>
              <w:rPr>
                <w:rFonts w:ascii="Arial" w:hAnsi="Arial" w:cs="Arial"/>
                <w:szCs w:val="24"/>
              </w:rPr>
            </w:pPr>
            <w:r>
              <w:rPr>
                <w:rFonts w:ascii="Arial" w:hAnsi="Arial" w:cs="Arial"/>
                <w:szCs w:val="24"/>
              </w:rPr>
              <w:t xml:space="preserve">10 </w:t>
            </w:r>
          </w:p>
          <w:p w:rsidR="00350731" w:rsidRDefault="00350731" w:rsidP="006C0231">
            <w:pPr>
              <w:tabs>
                <w:tab w:val="right" w:pos="562"/>
              </w:tabs>
              <w:suppressAutoHyphens/>
              <w:jc w:val="center"/>
              <w:rPr>
                <w:rFonts w:ascii="Arial" w:hAnsi="Arial" w:cs="Arial"/>
                <w:szCs w:val="24"/>
              </w:rPr>
            </w:pPr>
          </w:p>
          <w:p w:rsidR="00350731" w:rsidRDefault="00350731" w:rsidP="00350731">
            <w:pPr>
              <w:rPr>
                <w:rFonts w:ascii="Arial" w:hAnsi="Arial" w:cs="Arial"/>
                <w:szCs w:val="24"/>
              </w:rPr>
            </w:pPr>
          </w:p>
          <w:p w:rsidR="002F639C" w:rsidRPr="00350731" w:rsidRDefault="00350731" w:rsidP="00350731">
            <w:pPr>
              <w:rPr>
                <w:rFonts w:ascii="Arial" w:hAnsi="Arial" w:cs="Arial"/>
                <w:szCs w:val="24"/>
              </w:rPr>
            </w:pPr>
            <w:r>
              <w:rPr>
                <w:rFonts w:ascii="Arial" w:hAnsi="Arial" w:cs="Arial"/>
                <w:szCs w:val="24"/>
              </w:rPr>
              <w:t xml:space="preserve">     12</w:t>
            </w:r>
          </w:p>
        </w:tc>
      </w:tr>
      <w:tr w:rsidR="009933AE" w:rsidRPr="00905409" w:rsidTr="001657F8">
        <w:tc>
          <w:tcPr>
            <w:tcW w:w="8478" w:type="dxa"/>
            <w:tcBorders>
              <w:top w:val="nil"/>
              <w:left w:val="nil"/>
              <w:bottom w:val="nil"/>
              <w:right w:val="nil"/>
            </w:tcBorders>
          </w:tcPr>
          <w:p w:rsidR="009933AE" w:rsidRPr="00905409" w:rsidRDefault="009933AE" w:rsidP="00350731">
            <w:pPr>
              <w:tabs>
                <w:tab w:val="left" w:pos="-720"/>
                <w:tab w:val="left" w:pos="1440"/>
                <w:tab w:val="left" w:pos="9180"/>
              </w:tabs>
              <w:suppressAutoHyphens/>
              <w:ind w:left="3060"/>
              <w:rPr>
                <w:rFonts w:ascii="Arial" w:hAnsi="Arial" w:cs="Arial"/>
                <w:szCs w:val="24"/>
              </w:rPr>
            </w:pPr>
          </w:p>
        </w:tc>
        <w:tc>
          <w:tcPr>
            <w:tcW w:w="1098" w:type="dxa"/>
            <w:tcBorders>
              <w:top w:val="nil"/>
              <w:left w:val="nil"/>
              <w:bottom w:val="nil"/>
              <w:right w:val="nil"/>
            </w:tcBorders>
          </w:tcPr>
          <w:p w:rsidR="009933AE" w:rsidRDefault="009933AE" w:rsidP="006C0231">
            <w:pPr>
              <w:tabs>
                <w:tab w:val="right" w:pos="562"/>
              </w:tabs>
              <w:suppressAutoHyphens/>
              <w:jc w:val="center"/>
              <w:rPr>
                <w:rFonts w:ascii="Arial" w:hAnsi="Arial" w:cs="Arial"/>
                <w:szCs w:val="24"/>
              </w:rPr>
            </w:pPr>
          </w:p>
        </w:tc>
      </w:tr>
    </w:tbl>
    <w:p w:rsidR="00FB1D8B" w:rsidRPr="00905409" w:rsidRDefault="0067451B" w:rsidP="00905409">
      <w:pPr>
        <w:tabs>
          <w:tab w:val="center" w:pos="4680"/>
        </w:tabs>
        <w:suppressAutoHyphens/>
        <w:rPr>
          <w:rFonts w:ascii="Arial" w:hAnsi="Arial" w:cs="Arial"/>
          <w:szCs w:val="24"/>
        </w:rPr>
      </w:pPr>
      <w:r w:rsidRPr="00905409">
        <w:rPr>
          <w:rFonts w:ascii="Arial" w:hAnsi="Arial" w:cs="Arial"/>
          <w:b/>
          <w:szCs w:val="24"/>
          <w:u w:val="single"/>
        </w:rPr>
        <w:t xml:space="preserve">ACKNOWLEDGEMENTS </w:t>
      </w:r>
      <w:r w:rsidRPr="00905409">
        <w:rPr>
          <w:rFonts w:ascii="Arial" w:hAnsi="Arial" w:cs="Arial"/>
          <w:szCs w:val="24"/>
        </w:rPr>
        <w:tab/>
      </w:r>
      <w:r w:rsidRPr="00905409">
        <w:rPr>
          <w:rFonts w:ascii="Arial" w:hAnsi="Arial" w:cs="Arial"/>
          <w:szCs w:val="24"/>
        </w:rPr>
        <w:tab/>
      </w:r>
      <w:r w:rsidRPr="00905409">
        <w:rPr>
          <w:rFonts w:ascii="Arial" w:hAnsi="Arial" w:cs="Arial"/>
          <w:szCs w:val="24"/>
        </w:rPr>
        <w:tab/>
      </w:r>
      <w:r w:rsidRPr="00905409">
        <w:rPr>
          <w:rFonts w:ascii="Arial" w:hAnsi="Arial" w:cs="Arial"/>
          <w:szCs w:val="24"/>
        </w:rPr>
        <w:tab/>
      </w:r>
      <w:r w:rsidRPr="00905409">
        <w:rPr>
          <w:rFonts w:ascii="Arial" w:hAnsi="Arial" w:cs="Arial"/>
          <w:szCs w:val="24"/>
        </w:rPr>
        <w:tab/>
      </w:r>
      <w:r w:rsidRPr="00905409">
        <w:rPr>
          <w:rFonts w:ascii="Arial" w:hAnsi="Arial" w:cs="Arial"/>
          <w:szCs w:val="24"/>
        </w:rPr>
        <w:tab/>
      </w:r>
      <w:r w:rsidRPr="00905409">
        <w:rPr>
          <w:rFonts w:ascii="Arial" w:hAnsi="Arial" w:cs="Arial"/>
          <w:szCs w:val="24"/>
        </w:rPr>
        <w:tab/>
        <w:t xml:space="preserve">  </w:t>
      </w:r>
      <w:r w:rsidR="00350731">
        <w:rPr>
          <w:rFonts w:ascii="Arial" w:hAnsi="Arial" w:cs="Arial"/>
          <w:szCs w:val="24"/>
        </w:rPr>
        <w:t>15</w:t>
      </w:r>
    </w:p>
    <w:p w:rsidR="00FB1D8B" w:rsidRPr="00905409" w:rsidRDefault="00FB1D8B" w:rsidP="00905409">
      <w:pPr>
        <w:tabs>
          <w:tab w:val="center" w:pos="4680"/>
        </w:tabs>
        <w:suppressAutoHyphens/>
        <w:rPr>
          <w:rFonts w:ascii="Arial" w:hAnsi="Arial" w:cs="Arial"/>
          <w:szCs w:val="24"/>
        </w:rPr>
      </w:pPr>
    </w:p>
    <w:p w:rsidR="005D711E" w:rsidRPr="00905409" w:rsidRDefault="005D711E" w:rsidP="00905409">
      <w:pPr>
        <w:tabs>
          <w:tab w:val="center" w:pos="4680"/>
        </w:tabs>
        <w:suppressAutoHyphens/>
        <w:rPr>
          <w:rFonts w:ascii="Arial" w:hAnsi="Arial" w:cs="Arial"/>
          <w:szCs w:val="24"/>
        </w:rPr>
      </w:pPr>
    </w:p>
    <w:p w:rsidR="00592663" w:rsidRPr="00905409" w:rsidRDefault="00592663" w:rsidP="00905409">
      <w:pPr>
        <w:tabs>
          <w:tab w:val="center" w:pos="4680"/>
        </w:tabs>
        <w:suppressAutoHyphens/>
        <w:rPr>
          <w:rFonts w:ascii="Arial" w:hAnsi="Arial" w:cs="Arial"/>
          <w:szCs w:val="24"/>
        </w:rPr>
      </w:pPr>
    </w:p>
    <w:p w:rsidR="00B8416D" w:rsidRPr="00905409" w:rsidRDefault="00B8416D" w:rsidP="00905409">
      <w:pPr>
        <w:tabs>
          <w:tab w:val="center" w:pos="4680"/>
        </w:tabs>
        <w:suppressAutoHyphens/>
        <w:rPr>
          <w:rFonts w:ascii="Arial" w:hAnsi="Arial" w:cs="Arial"/>
          <w:szCs w:val="24"/>
        </w:rPr>
      </w:pPr>
    </w:p>
    <w:p w:rsidR="0067451B" w:rsidRPr="00905409" w:rsidRDefault="0067451B" w:rsidP="00905409">
      <w:pPr>
        <w:tabs>
          <w:tab w:val="center" w:pos="4680"/>
        </w:tabs>
        <w:suppressAutoHyphens/>
        <w:jc w:val="center"/>
        <w:rPr>
          <w:rFonts w:ascii="Arial" w:hAnsi="Arial" w:cs="Arial"/>
          <w:szCs w:val="24"/>
        </w:rPr>
      </w:pPr>
    </w:p>
    <w:p w:rsidR="00901A3F" w:rsidRPr="00905409" w:rsidRDefault="00901A3F" w:rsidP="00905409">
      <w:pPr>
        <w:tabs>
          <w:tab w:val="left" w:pos="-1440"/>
          <w:tab w:val="left" w:pos="-720"/>
        </w:tabs>
        <w:suppressAutoHyphens/>
        <w:rPr>
          <w:rFonts w:ascii="Arial" w:hAnsi="Arial" w:cs="Arial"/>
          <w:szCs w:val="24"/>
        </w:rPr>
      </w:pPr>
    </w:p>
    <w:p w:rsidR="00B613F2" w:rsidRPr="00905409" w:rsidRDefault="00B613F2" w:rsidP="00905409">
      <w:pPr>
        <w:tabs>
          <w:tab w:val="center" w:pos="4680"/>
        </w:tabs>
        <w:suppressAutoHyphens/>
        <w:jc w:val="center"/>
        <w:rPr>
          <w:rFonts w:ascii="Arial" w:hAnsi="Arial" w:cs="Arial"/>
          <w:szCs w:val="24"/>
        </w:rPr>
        <w:sectPr w:rsidR="00B613F2" w:rsidRPr="00905409" w:rsidSect="00B613F2">
          <w:headerReference w:type="even" r:id="rId11"/>
          <w:headerReference w:type="default" r:id="rId12"/>
          <w:footerReference w:type="default" r:id="rId13"/>
          <w:headerReference w:type="first" r:id="rId14"/>
          <w:endnotePr>
            <w:numFmt w:val="decimal"/>
          </w:endnotePr>
          <w:pgSz w:w="12240" w:h="15840" w:code="1"/>
          <w:pgMar w:top="1440" w:right="1440" w:bottom="1152" w:left="1440" w:header="0" w:footer="720" w:gutter="0"/>
          <w:pgNumType w:start="1"/>
          <w:cols w:space="720"/>
          <w:noEndnote/>
        </w:sectPr>
      </w:pPr>
    </w:p>
    <w:p w:rsidR="005D711E" w:rsidRPr="00905409" w:rsidRDefault="005D711E" w:rsidP="00905409">
      <w:pPr>
        <w:pStyle w:val="Heading4"/>
        <w:tabs>
          <w:tab w:val="clear" w:pos="4680"/>
        </w:tabs>
        <w:rPr>
          <w:rFonts w:ascii="Arial" w:hAnsi="Arial" w:cs="Arial"/>
          <w:sz w:val="36"/>
          <w:szCs w:val="36"/>
          <w:u w:val="none"/>
        </w:rPr>
      </w:pPr>
      <w:r w:rsidRPr="00905409">
        <w:rPr>
          <w:rFonts w:ascii="Arial" w:hAnsi="Arial" w:cs="Arial"/>
          <w:sz w:val="36"/>
          <w:szCs w:val="36"/>
          <w:u w:val="none"/>
        </w:rPr>
        <w:lastRenderedPageBreak/>
        <w:t>FINANCIAL REVIEW</w:t>
      </w:r>
    </w:p>
    <w:p w:rsidR="005D711E" w:rsidRPr="00905409" w:rsidRDefault="005D711E" w:rsidP="00905409">
      <w:pPr>
        <w:tabs>
          <w:tab w:val="left" w:pos="-1440"/>
          <w:tab w:val="left" w:pos="-720"/>
        </w:tabs>
        <w:suppressAutoHyphens/>
        <w:jc w:val="center"/>
        <w:rPr>
          <w:rFonts w:ascii="Arial" w:hAnsi="Arial" w:cs="Arial"/>
          <w:szCs w:val="24"/>
        </w:rPr>
      </w:pPr>
    </w:p>
    <w:p w:rsidR="005D711E" w:rsidRPr="00905409" w:rsidRDefault="005D711E" w:rsidP="00905409">
      <w:pPr>
        <w:tabs>
          <w:tab w:val="left" w:pos="1440"/>
          <w:tab w:val="center" w:pos="4464"/>
        </w:tabs>
        <w:suppressAutoHyphens/>
        <w:rPr>
          <w:rFonts w:ascii="Arial" w:hAnsi="Arial" w:cs="Arial"/>
          <w:szCs w:val="24"/>
        </w:rPr>
        <w:sectPr w:rsidR="005D711E" w:rsidRPr="00905409" w:rsidSect="00B613F2">
          <w:endnotePr>
            <w:numFmt w:val="decimal"/>
          </w:endnotePr>
          <w:pgSz w:w="12240" w:h="15840" w:code="1"/>
          <w:pgMar w:top="1440" w:right="1440" w:bottom="1152" w:left="1440" w:header="0" w:footer="720" w:gutter="0"/>
          <w:pgNumType w:start="1"/>
          <w:cols w:space="720"/>
          <w:vAlign w:val="center"/>
          <w:noEndnote/>
        </w:sectPr>
      </w:pPr>
    </w:p>
    <w:tbl>
      <w:tblPr>
        <w:tblW w:w="0" w:type="auto"/>
        <w:tblInd w:w="-702" w:type="dxa"/>
        <w:tblLayout w:type="fixed"/>
        <w:tblLook w:val="0000" w:firstRow="0" w:lastRow="0" w:firstColumn="0" w:lastColumn="0" w:noHBand="0" w:noVBand="0"/>
      </w:tblPr>
      <w:tblGrid>
        <w:gridCol w:w="1363"/>
        <w:gridCol w:w="8075"/>
        <w:gridCol w:w="1452"/>
      </w:tblGrid>
      <w:tr w:rsidR="005D711E" w:rsidRPr="00905409">
        <w:trPr>
          <w:trHeight w:val="990"/>
        </w:trPr>
        <w:tc>
          <w:tcPr>
            <w:tcW w:w="1363" w:type="dxa"/>
          </w:tcPr>
          <w:p w:rsidR="005D711E" w:rsidRPr="00905409" w:rsidRDefault="0095013E" w:rsidP="00905409">
            <w:pPr>
              <w:rPr>
                <w:rFonts w:ascii="Arial" w:hAnsi="Arial" w:cs="Arial"/>
                <w:szCs w:val="24"/>
              </w:rPr>
            </w:pPr>
            <w:r>
              <w:rPr>
                <w:rFonts w:ascii="Arial" w:hAnsi="Arial" w:cs="Arial"/>
                <w:noProof/>
                <w:spacing w:val="-2"/>
                <w:szCs w:val="24"/>
              </w:rPr>
              <w:lastRenderedPageBreak/>
              <w:drawing>
                <wp:inline distT="0" distB="0" distL="0" distR="0" wp14:anchorId="7279C0AC" wp14:editId="43E17228">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D711E" w:rsidRPr="00905409" w:rsidRDefault="005D711E" w:rsidP="00905409">
            <w:pPr>
              <w:suppressAutoHyphens/>
              <w:spacing w:line="204" w:lineRule="auto"/>
              <w:jc w:val="center"/>
              <w:rPr>
                <w:rFonts w:ascii="Arial" w:hAnsi="Arial" w:cs="Arial"/>
                <w:color w:val="000080"/>
                <w:spacing w:val="-3"/>
                <w:szCs w:val="24"/>
              </w:rPr>
            </w:pPr>
          </w:p>
          <w:p w:rsidR="005D711E" w:rsidRPr="00905409" w:rsidRDefault="005D711E" w:rsidP="00905409">
            <w:pPr>
              <w:suppressAutoHyphens/>
              <w:spacing w:line="204" w:lineRule="auto"/>
              <w:jc w:val="center"/>
              <w:rPr>
                <w:rFonts w:ascii="Arial" w:hAnsi="Arial" w:cs="Arial"/>
                <w:color w:val="000080"/>
                <w:spacing w:val="-3"/>
                <w:szCs w:val="24"/>
              </w:rPr>
            </w:pPr>
            <w:r w:rsidRPr="00905409">
              <w:rPr>
                <w:rFonts w:ascii="Arial" w:hAnsi="Arial" w:cs="Arial"/>
                <w:color w:val="000080"/>
                <w:spacing w:val="-3"/>
                <w:szCs w:val="24"/>
              </w:rPr>
              <w:t>COMMONWEALTH OF PENNSYLVANIA</w:t>
            </w:r>
          </w:p>
          <w:p w:rsidR="005D711E" w:rsidRPr="00905409" w:rsidRDefault="005D711E" w:rsidP="00905409">
            <w:pPr>
              <w:suppressAutoHyphens/>
              <w:spacing w:line="204" w:lineRule="auto"/>
              <w:jc w:val="center"/>
              <w:rPr>
                <w:rFonts w:ascii="Arial" w:hAnsi="Arial" w:cs="Arial"/>
                <w:color w:val="000080"/>
                <w:spacing w:val="-3"/>
                <w:szCs w:val="24"/>
              </w:rPr>
            </w:pPr>
            <w:r w:rsidRPr="00905409">
              <w:rPr>
                <w:rFonts w:ascii="Arial" w:hAnsi="Arial" w:cs="Arial"/>
                <w:color w:val="000080"/>
                <w:spacing w:val="-3"/>
                <w:szCs w:val="24"/>
              </w:rPr>
              <w:t>PENNSYLVANIA PUBLIC UTILITY COMMISSION</w:t>
            </w:r>
          </w:p>
          <w:p w:rsidR="005D711E" w:rsidRPr="00905409" w:rsidRDefault="005D711E" w:rsidP="00905409">
            <w:pPr>
              <w:jc w:val="center"/>
              <w:rPr>
                <w:rFonts w:ascii="Arial" w:hAnsi="Arial" w:cs="Arial"/>
                <w:szCs w:val="24"/>
              </w:rPr>
            </w:pPr>
            <w:r w:rsidRPr="00905409">
              <w:rPr>
                <w:rFonts w:ascii="Arial" w:hAnsi="Arial" w:cs="Arial"/>
                <w:color w:val="000080"/>
                <w:spacing w:val="-3"/>
                <w:szCs w:val="24"/>
              </w:rPr>
              <w:t>P.O. BOX 3265, HARRISBURG, PA 17105-3265</w:t>
            </w:r>
          </w:p>
        </w:tc>
        <w:tc>
          <w:tcPr>
            <w:tcW w:w="1452" w:type="dxa"/>
          </w:tcPr>
          <w:p w:rsidR="005D711E" w:rsidRPr="00905409" w:rsidRDefault="005D711E" w:rsidP="00905409">
            <w:pPr>
              <w:rPr>
                <w:rFonts w:ascii="Arial" w:hAnsi="Arial" w:cs="Arial"/>
                <w:szCs w:val="24"/>
              </w:rPr>
            </w:pPr>
          </w:p>
          <w:p w:rsidR="005D711E" w:rsidRPr="00905409" w:rsidRDefault="005D711E" w:rsidP="00905409">
            <w:pPr>
              <w:rPr>
                <w:rFonts w:ascii="Arial" w:hAnsi="Arial" w:cs="Arial"/>
                <w:szCs w:val="24"/>
              </w:rPr>
            </w:pPr>
          </w:p>
          <w:p w:rsidR="005D711E" w:rsidRPr="00905409" w:rsidRDefault="005D711E" w:rsidP="00905409">
            <w:pPr>
              <w:jc w:val="center"/>
              <w:rPr>
                <w:rFonts w:ascii="Arial" w:hAnsi="Arial" w:cs="Arial"/>
                <w:szCs w:val="24"/>
              </w:rPr>
            </w:pPr>
            <w:r w:rsidRPr="00905409">
              <w:rPr>
                <w:rFonts w:ascii="Arial" w:hAnsi="Arial" w:cs="Arial"/>
                <w:b/>
                <w:spacing w:val="-1"/>
                <w:sz w:val="16"/>
                <w:szCs w:val="24"/>
              </w:rPr>
              <w:t>IN REPLY PLEASE REFER TO OUR FILE</w:t>
            </w:r>
          </w:p>
        </w:tc>
      </w:tr>
    </w:tbl>
    <w:p w:rsidR="005D711E" w:rsidRPr="00905409" w:rsidRDefault="005D711E" w:rsidP="00905409">
      <w:pPr>
        <w:pStyle w:val="Heading1"/>
        <w:tabs>
          <w:tab w:val="clear" w:pos="4680"/>
        </w:tabs>
        <w:jc w:val="left"/>
        <w:rPr>
          <w:rFonts w:ascii="Arial" w:hAnsi="Arial" w:cs="Arial"/>
          <w:szCs w:val="24"/>
        </w:rPr>
      </w:pPr>
    </w:p>
    <w:p w:rsidR="005D711E" w:rsidRPr="00905409" w:rsidRDefault="007D31BC" w:rsidP="00905409">
      <w:pPr>
        <w:pStyle w:val="Heading1"/>
        <w:tabs>
          <w:tab w:val="clear" w:pos="4680"/>
        </w:tabs>
        <w:rPr>
          <w:rFonts w:ascii="Arial" w:hAnsi="Arial" w:cs="Arial"/>
          <w:sz w:val="26"/>
          <w:szCs w:val="26"/>
        </w:rPr>
      </w:pPr>
      <w:r>
        <w:rPr>
          <w:rFonts w:ascii="Arial" w:hAnsi="Arial" w:cs="Arial"/>
          <w:sz w:val="26"/>
          <w:szCs w:val="26"/>
        </w:rPr>
        <w:t xml:space="preserve">INDEPENDENT </w:t>
      </w:r>
      <w:r w:rsidR="005D711E" w:rsidRPr="00905409">
        <w:rPr>
          <w:rFonts w:ascii="Arial" w:hAnsi="Arial" w:cs="Arial"/>
          <w:sz w:val="26"/>
          <w:szCs w:val="26"/>
        </w:rPr>
        <w:t>AUDITOR'S REPORT</w:t>
      </w:r>
    </w:p>
    <w:p w:rsidR="005D711E" w:rsidRPr="00905409" w:rsidRDefault="005D711E" w:rsidP="00905409">
      <w:pPr>
        <w:suppressAutoHyphens/>
        <w:rPr>
          <w:rFonts w:ascii="Arial" w:hAnsi="Arial" w:cs="Arial"/>
          <w:b/>
          <w:sz w:val="26"/>
          <w:szCs w:val="26"/>
        </w:rPr>
      </w:pPr>
    </w:p>
    <w:p w:rsidR="005D711E" w:rsidRPr="00905409" w:rsidRDefault="005D711E" w:rsidP="00905409">
      <w:pPr>
        <w:pStyle w:val="Heading1"/>
        <w:tabs>
          <w:tab w:val="clear" w:pos="4680"/>
        </w:tabs>
        <w:rPr>
          <w:rFonts w:ascii="Arial" w:hAnsi="Arial" w:cs="Arial"/>
          <w:szCs w:val="26"/>
        </w:rPr>
      </w:pPr>
      <w:r w:rsidRPr="00905409">
        <w:rPr>
          <w:rFonts w:ascii="Arial" w:hAnsi="Arial" w:cs="Arial"/>
          <w:szCs w:val="26"/>
        </w:rPr>
        <w:t xml:space="preserve">To The </w:t>
      </w:r>
      <w:r w:rsidR="00E14185">
        <w:rPr>
          <w:rFonts w:ascii="Arial" w:hAnsi="Arial" w:cs="Arial"/>
          <w:szCs w:val="26"/>
        </w:rPr>
        <w:t xml:space="preserve">Pennsylvania </w:t>
      </w:r>
      <w:r w:rsidRPr="00905409">
        <w:rPr>
          <w:rFonts w:ascii="Arial" w:hAnsi="Arial" w:cs="Arial"/>
          <w:szCs w:val="26"/>
        </w:rPr>
        <w:t>Public Utility Commission</w:t>
      </w:r>
    </w:p>
    <w:p w:rsidR="005D711E" w:rsidRPr="00905409" w:rsidRDefault="005D711E" w:rsidP="00905409">
      <w:pPr>
        <w:suppressAutoHyphens/>
        <w:rPr>
          <w:rFonts w:ascii="Arial" w:hAnsi="Arial" w:cs="Arial"/>
          <w:szCs w:val="24"/>
        </w:rPr>
      </w:pPr>
    </w:p>
    <w:p w:rsidR="00CF2F5B" w:rsidRPr="00905409" w:rsidRDefault="00CF2F5B" w:rsidP="00905409">
      <w:pPr>
        <w:suppressAutoHyphens/>
        <w:rPr>
          <w:rFonts w:ascii="Arial" w:hAnsi="Arial" w:cs="Arial"/>
          <w:szCs w:val="24"/>
        </w:rPr>
      </w:pPr>
    </w:p>
    <w:p w:rsidR="005D711E" w:rsidRPr="00905409" w:rsidRDefault="005D711E" w:rsidP="00905409">
      <w:pPr>
        <w:suppressAutoHyphens/>
        <w:ind w:firstLine="720"/>
        <w:rPr>
          <w:rFonts w:ascii="Arial" w:hAnsi="Arial" w:cs="Arial"/>
          <w:szCs w:val="24"/>
        </w:rPr>
      </w:pPr>
      <w:r w:rsidRPr="00905409">
        <w:rPr>
          <w:rFonts w:ascii="Arial" w:hAnsi="Arial" w:cs="Arial"/>
          <w:szCs w:val="24"/>
        </w:rPr>
        <w:t xml:space="preserve">We have audited </w:t>
      </w:r>
      <w:r w:rsidR="00E56A7B">
        <w:rPr>
          <w:rFonts w:ascii="Arial" w:hAnsi="Arial" w:cs="Arial"/>
          <w:szCs w:val="24"/>
        </w:rPr>
        <w:t>PPL Electric Utilities Corporation</w:t>
      </w:r>
      <w:r w:rsidR="00515CD6">
        <w:rPr>
          <w:rFonts w:ascii="Arial" w:hAnsi="Arial" w:cs="Arial"/>
          <w:szCs w:val="24"/>
        </w:rPr>
        <w:t>’s</w:t>
      </w:r>
      <w:r w:rsidR="000577C0">
        <w:rPr>
          <w:rFonts w:ascii="Arial" w:hAnsi="Arial" w:cs="Arial"/>
          <w:szCs w:val="24"/>
        </w:rPr>
        <w:t xml:space="preserve"> </w:t>
      </w:r>
      <w:bookmarkStart w:id="0" w:name="_GoBack"/>
      <w:bookmarkEnd w:id="0"/>
      <w:r w:rsidR="00702104">
        <w:rPr>
          <w:rFonts w:ascii="Arial" w:hAnsi="Arial" w:cs="Arial"/>
          <w:szCs w:val="24"/>
        </w:rPr>
        <w:t xml:space="preserve">Statements of </w:t>
      </w:r>
      <w:r w:rsidR="00E56A7B">
        <w:rPr>
          <w:rFonts w:ascii="Arial" w:hAnsi="Arial" w:cs="Arial"/>
          <w:szCs w:val="24"/>
        </w:rPr>
        <w:t xml:space="preserve">Generation </w:t>
      </w:r>
      <w:r w:rsidR="00991813">
        <w:rPr>
          <w:rFonts w:ascii="Arial" w:hAnsi="Arial" w:cs="Arial"/>
          <w:szCs w:val="24"/>
        </w:rPr>
        <w:t>Supply</w:t>
      </w:r>
      <w:r w:rsidR="00702104">
        <w:rPr>
          <w:rFonts w:ascii="Arial" w:hAnsi="Arial" w:cs="Arial"/>
          <w:szCs w:val="24"/>
        </w:rPr>
        <w:t xml:space="preserve"> </w:t>
      </w:r>
      <w:r w:rsidR="00E56A7B">
        <w:rPr>
          <w:rFonts w:ascii="Arial" w:hAnsi="Arial" w:cs="Arial"/>
          <w:szCs w:val="24"/>
        </w:rPr>
        <w:t>Charge</w:t>
      </w:r>
      <w:r w:rsidR="00BB2BCC">
        <w:rPr>
          <w:rFonts w:ascii="Arial" w:hAnsi="Arial" w:cs="Arial"/>
          <w:szCs w:val="24"/>
        </w:rPr>
        <w:t xml:space="preserve"> - </w:t>
      </w:r>
      <w:r w:rsidR="00344493">
        <w:rPr>
          <w:rFonts w:ascii="Arial" w:hAnsi="Arial" w:cs="Arial"/>
          <w:szCs w:val="24"/>
        </w:rPr>
        <w:t>1</w:t>
      </w:r>
      <w:r w:rsidR="00E56A7B">
        <w:rPr>
          <w:rFonts w:ascii="Arial" w:hAnsi="Arial" w:cs="Arial"/>
          <w:szCs w:val="24"/>
        </w:rPr>
        <w:t xml:space="preserve"> </w:t>
      </w:r>
      <w:r w:rsidR="00AE1829">
        <w:rPr>
          <w:rFonts w:ascii="Arial" w:hAnsi="Arial" w:cs="Arial"/>
          <w:szCs w:val="24"/>
        </w:rPr>
        <w:t>(GSC</w:t>
      </w:r>
      <w:r w:rsidR="00BB2BCC">
        <w:rPr>
          <w:rFonts w:ascii="Arial" w:hAnsi="Arial" w:cs="Arial"/>
          <w:szCs w:val="24"/>
        </w:rPr>
        <w:t xml:space="preserve"> - </w:t>
      </w:r>
      <w:r w:rsidR="00344493">
        <w:rPr>
          <w:rFonts w:ascii="Arial" w:hAnsi="Arial" w:cs="Arial"/>
          <w:szCs w:val="24"/>
        </w:rPr>
        <w:t>1</w:t>
      </w:r>
      <w:r w:rsidR="00AE1829">
        <w:rPr>
          <w:rFonts w:ascii="Arial" w:hAnsi="Arial" w:cs="Arial"/>
          <w:szCs w:val="24"/>
        </w:rPr>
        <w:t xml:space="preserve">) </w:t>
      </w:r>
      <w:r w:rsidR="00BB2BCC">
        <w:rPr>
          <w:rFonts w:ascii="Arial" w:hAnsi="Arial" w:cs="Arial"/>
          <w:szCs w:val="24"/>
        </w:rPr>
        <w:t xml:space="preserve">and Generation Supply Charge - </w:t>
      </w:r>
      <w:r w:rsidR="00344493">
        <w:rPr>
          <w:rFonts w:ascii="Arial" w:hAnsi="Arial" w:cs="Arial"/>
          <w:szCs w:val="24"/>
        </w:rPr>
        <w:t>2 (GSC</w:t>
      </w:r>
      <w:r w:rsidR="00BB2BCC">
        <w:rPr>
          <w:rFonts w:ascii="Arial" w:hAnsi="Arial" w:cs="Arial"/>
          <w:szCs w:val="24"/>
        </w:rPr>
        <w:t xml:space="preserve"> - </w:t>
      </w:r>
      <w:r w:rsidR="00344493">
        <w:rPr>
          <w:rFonts w:ascii="Arial" w:hAnsi="Arial" w:cs="Arial"/>
          <w:szCs w:val="24"/>
        </w:rPr>
        <w:t xml:space="preserve">2) </w:t>
      </w:r>
      <w:r w:rsidR="00A27F48" w:rsidRPr="00905409">
        <w:rPr>
          <w:rFonts w:ascii="Arial" w:hAnsi="Arial" w:cs="Arial"/>
          <w:szCs w:val="24"/>
        </w:rPr>
        <w:t>Over</w:t>
      </w:r>
      <w:r w:rsidR="00872000" w:rsidRPr="00905409">
        <w:rPr>
          <w:rFonts w:ascii="Arial" w:hAnsi="Arial" w:cs="Arial"/>
          <w:szCs w:val="24"/>
        </w:rPr>
        <w:t>/</w:t>
      </w:r>
      <w:r w:rsidR="00A27F48" w:rsidRPr="00905409">
        <w:rPr>
          <w:rFonts w:ascii="Arial" w:hAnsi="Arial" w:cs="Arial"/>
          <w:szCs w:val="24"/>
        </w:rPr>
        <w:t xml:space="preserve">Under Collections </w:t>
      </w:r>
      <w:r w:rsidR="00702104">
        <w:rPr>
          <w:rFonts w:ascii="Arial" w:hAnsi="Arial" w:cs="Arial"/>
          <w:szCs w:val="24"/>
        </w:rPr>
        <w:t xml:space="preserve">(Section 1307(e)) </w:t>
      </w:r>
      <w:r w:rsidR="00A27F48" w:rsidRPr="00905409">
        <w:rPr>
          <w:rFonts w:ascii="Arial" w:hAnsi="Arial" w:cs="Arial"/>
          <w:szCs w:val="24"/>
        </w:rPr>
        <w:t xml:space="preserve">for </w:t>
      </w:r>
      <w:r w:rsidR="001C5737" w:rsidRPr="00905409">
        <w:rPr>
          <w:rFonts w:ascii="Arial" w:hAnsi="Arial" w:cs="Arial"/>
          <w:szCs w:val="24"/>
        </w:rPr>
        <w:t xml:space="preserve">the </w:t>
      </w:r>
      <w:r w:rsidR="00991813">
        <w:rPr>
          <w:rFonts w:ascii="Arial" w:hAnsi="Arial" w:cs="Arial"/>
          <w:szCs w:val="24"/>
        </w:rPr>
        <w:t>f</w:t>
      </w:r>
      <w:r w:rsidR="00053070">
        <w:rPr>
          <w:rFonts w:ascii="Arial" w:hAnsi="Arial" w:cs="Arial"/>
          <w:szCs w:val="24"/>
        </w:rPr>
        <w:t>ive</w:t>
      </w:r>
      <w:r w:rsidR="00A27F48" w:rsidRPr="00905409">
        <w:rPr>
          <w:rFonts w:ascii="Arial" w:hAnsi="Arial" w:cs="Arial"/>
          <w:szCs w:val="24"/>
        </w:rPr>
        <w:t xml:space="preserve"> months </w:t>
      </w:r>
      <w:r w:rsidR="00B62271" w:rsidRPr="00905409">
        <w:rPr>
          <w:rFonts w:ascii="Arial" w:hAnsi="Arial" w:cs="Arial"/>
          <w:szCs w:val="24"/>
        </w:rPr>
        <w:t>e</w:t>
      </w:r>
      <w:r w:rsidRPr="00905409">
        <w:rPr>
          <w:rFonts w:ascii="Arial" w:hAnsi="Arial" w:cs="Arial"/>
          <w:szCs w:val="24"/>
        </w:rPr>
        <w:t xml:space="preserve">nded </w:t>
      </w:r>
      <w:r w:rsidR="00AE1829">
        <w:rPr>
          <w:rFonts w:ascii="Arial" w:hAnsi="Arial" w:cs="Arial"/>
          <w:szCs w:val="24"/>
        </w:rPr>
        <w:t>May</w:t>
      </w:r>
      <w:r w:rsidR="00E56A7B">
        <w:rPr>
          <w:rFonts w:ascii="Arial" w:hAnsi="Arial" w:cs="Arial"/>
          <w:szCs w:val="24"/>
        </w:rPr>
        <w:t xml:space="preserve"> 3</w:t>
      </w:r>
      <w:r w:rsidR="00AE1829">
        <w:rPr>
          <w:rFonts w:ascii="Arial" w:hAnsi="Arial" w:cs="Arial"/>
          <w:szCs w:val="24"/>
        </w:rPr>
        <w:t>1</w:t>
      </w:r>
      <w:r w:rsidR="00822ADF" w:rsidRPr="00905409">
        <w:rPr>
          <w:rFonts w:ascii="Arial" w:hAnsi="Arial" w:cs="Arial"/>
          <w:szCs w:val="24"/>
        </w:rPr>
        <w:t>,</w:t>
      </w:r>
      <w:r w:rsidR="00E56A7B">
        <w:rPr>
          <w:rFonts w:ascii="Arial" w:hAnsi="Arial" w:cs="Arial"/>
          <w:szCs w:val="24"/>
        </w:rPr>
        <w:t xml:space="preserve"> 2011</w:t>
      </w:r>
      <w:r w:rsidR="00991813">
        <w:rPr>
          <w:rFonts w:ascii="Arial" w:hAnsi="Arial" w:cs="Arial"/>
          <w:szCs w:val="24"/>
        </w:rPr>
        <w:t xml:space="preserve"> and the</w:t>
      </w:r>
      <w:r w:rsidR="00344493" w:rsidRPr="00344493">
        <w:rPr>
          <w:rFonts w:ascii="Arial" w:hAnsi="Arial" w:cs="Arial"/>
          <w:szCs w:val="24"/>
        </w:rPr>
        <w:t xml:space="preserve"> </w:t>
      </w:r>
      <w:r w:rsidR="00702104">
        <w:rPr>
          <w:rFonts w:ascii="Arial" w:hAnsi="Arial" w:cs="Arial"/>
          <w:szCs w:val="24"/>
        </w:rPr>
        <w:t xml:space="preserve">Statement of </w:t>
      </w:r>
      <w:r w:rsidR="00344493">
        <w:rPr>
          <w:rFonts w:ascii="Arial" w:hAnsi="Arial" w:cs="Arial"/>
          <w:szCs w:val="24"/>
        </w:rPr>
        <w:t>Generation Supply Charge</w:t>
      </w:r>
      <w:r w:rsidR="00344493" w:rsidRPr="00344493">
        <w:rPr>
          <w:rFonts w:ascii="Arial" w:hAnsi="Arial" w:cs="Arial"/>
          <w:szCs w:val="24"/>
        </w:rPr>
        <w:t xml:space="preserve"> </w:t>
      </w:r>
      <w:r w:rsidR="00BB2BCC">
        <w:rPr>
          <w:rFonts w:ascii="Arial" w:hAnsi="Arial" w:cs="Arial"/>
          <w:szCs w:val="24"/>
        </w:rPr>
        <w:t xml:space="preserve">(GSC) </w:t>
      </w:r>
      <w:r w:rsidR="00344493" w:rsidRPr="00905409">
        <w:rPr>
          <w:rFonts w:ascii="Arial" w:hAnsi="Arial" w:cs="Arial"/>
          <w:szCs w:val="24"/>
        </w:rPr>
        <w:t xml:space="preserve">Over/Under Collections </w:t>
      </w:r>
      <w:r w:rsidR="00702104">
        <w:rPr>
          <w:rFonts w:ascii="Arial" w:hAnsi="Arial" w:cs="Arial"/>
          <w:szCs w:val="24"/>
        </w:rPr>
        <w:t xml:space="preserve">(Section 1307(e)) </w:t>
      </w:r>
      <w:r w:rsidR="00344493" w:rsidRPr="00905409">
        <w:rPr>
          <w:rFonts w:ascii="Arial" w:hAnsi="Arial" w:cs="Arial"/>
          <w:szCs w:val="24"/>
        </w:rPr>
        <w:t>for the</w:t>
      </w:r>
      <w:r w:rsidR="00991813">
        <w:rPr>
          <w:rFonts w:ascii="Arial" w:hAnsi="Arial" w:cs="Arial"/>
          <w:szCs w:val="24"/>
        </w:rPr>
        <w:t xml:space="preserve"> </w:t>
      </w:r>
      <w:r w:rsidR="00AE1829">
        <w:rPr>
          <w:rFonts w:ascii="Arial" w:hAnsi="Arial" w:cs="Arial"/>
          <w:szCs w:val="24"/>
        </w:rPr>
        <w:t>twelve</w:t>
      </w:r>
      <w:r w:rsidR="00991813">
        <w:rPr>
          <w:rFonts w:ascii="Arial" w:hAnsi="Arial" w:cs="Arial"/>
          <w:szCs w:val="24"/>
        </w:rPr>
        <w:t xml:space="preserve"> months ended </w:t>
      </w:r>
      <w:r w:rsidR="00AE1829">
        <w:rPr>
          <w:rFonts w:ascii="Arial" w:hAnsi="Arial" w:cs="Arial"/>
          <w:szCs w:val="24"/>
        </w:rPr>
        <w:t>December</w:t>
      </w:r>
      <w:r w:rsidR="00053070">
        <w:rPr>
          <w:rFonts w:ascii="Arial" w:hAnsi="Arial" w:cs="Arial"/>
          <w:szCs w:val="24"/>
        </w:rPr>
        <w:t xml:space="preserve"> 3</w:t>
      </w:r>
      <w:r w:rsidR="00AE1829">
        <w:rPr>
          <w:rFonts w:ascii="Arial" w:hAnsi="Arial" w:cs="Arial"/>
          <w:szCs w:val="24"/>
        </w:rPr>
        <w:t>1</w:t>
      </w:r>
      <w:r w:rsidR="00991813">
        <w:rPr>
          <w:rFonts w:ascii="Arial" w:hAnsi="Arial" w:cs="Arial"/>
          <w:szCs w:val="24"/>
        </w:rPr>
        <w:t>, 2010</w:t>
      </w:r>
      <w:r w:rsidRPr="00905409">
        <w:rPr>
          <w:rFonts w:ascii="Arial" w:hAnsi="Arial" w:cs="Arial"/>
          <w:szCs w:val="24"/>
        </w:rPr>
        <w:t>.  Th</w:t>
      </w:r>
      <w:r w:rsidR="00FD75D9">
        <w:rPr>
          <w:rFonts w:ascii="Arial" w:hAnsi="Arial" w:cs="Arial"/>
          <w:szCs w:val="24"/>
        </w:rPr>
        <w:t>e</w:t>
      </w:r>
      <w:r w:rsidR="00B62271" w:rsidRPr="00905409">
        <w:rPr>
          <w:rFonts w:ascii="Arial" w:hAnsi="Arial" w:cs="Arial"/>
          <w:szCs w:val="24"/>
        </w:rPr>
        <w:t>s</w:t>
      </w:r>
      <w:r w:rsidR="00FD75D9">
        <w:rPr>
          <w:rFonts w:ascii="Arial" w:hAnsi="Arial" w:cs="Arial"/>
          <w:szCs w:val="24"/>
        </w:rPr>
        <w:t>e</w:t>
      </w:r>
      <w:r w:rsidRPr="00905409">
        <w:rPr>
          <w:rFonts w:ascii="Arial" w:hAnsi="Arial" w:cs="Arial"/>
          <w:szCs w:val="24"/>
        </w:rPr>
        <w:t xml:space="preserve"> statement</w:t>
      </w:r>
      <w:r w:rsidR="00FD75D9">
        <w:rPr>
          <w:rFonts w:ascii="Arial" w:hAnsi="Arial" w:cs="Arial"/>
          <w:szCs w:val="24"/>
        </w:rPr>
        <w:t>s</w:t>
      </w:r>
      <w:r w:rsidR="00060885" w:rsidRPr="00905409">
        <w:rPr>
          <w:rFonts w:ascii="Arial" w:hAnsi="Arial" w:cs="Arial"/>
          <w:szCs w:val="24"/>
        </w:rPr>
        <w:t xml:space="preserve"> </w:t>
      </w:r>
      <w:r w:rsidR="00FD75D9">
        <w:rPr>
          <w:rFonts w:ascii="Arial" w:hAnsi="Arial" w:cs="Arial"/>
          <w:szCs w:val="24"/>
        </w:rPr>
        <w:t>are</w:t>
      </w:r>
      <w:r w:rsidRPr="00905409">
        <w:rPr>
          <w:rFonts w:ascii="Arial" w:hAnsi="Arial" w:cs="Arial"/>
          <w:szCs w:val="24"/>
        </w:rPr>
        <w:t xml:space="preserve"> the responsibility of the Company's management.  Our responsibility is to express an opinion on the statement</w:t>
      </w:r>
      <w:r w:rsidR="00FD75D9">
        <w:rPr>
          <w:rFonts w:ascii="Arial" w:hAnsi="Arial" w:cs="Arial"/>
          <w:szCs w:val="24"/>
        </w:rPr>
        <w:t>s</w:t>
      </w:r>
      <w:r w:rsidRPr="00905409">
        <w:rPr>
          <w:rFonts w:ascii="Arial" w:hAnsi="Arial" w:cs="Arial"/>
          <w:szCs w:val="24"/>
        </w:rPr>
        <w:t xml:space="preserve"> based on our audit.</w:t>
      </w:r>
    </w:p>
    <w:p w:rsidR="005D711E" w:rsidRPr="00905409" w:rsidRDefault="005D711E" w:rsidP="00905409">
      <w:pPr>
        <w:suppressAutoHyphens/>
        <w:rPr>
          <w:rFonts w:ascii="Arial" w:hAnsi="Arial" w:cs="Arial"/>
          <w:szCs w:val="24"/>
        </w:rPr>
      </w:pPr>
    </w:p>
    <w:p w:rsidR="005D711E" w:rsidRPr="00905409" w:rsidRDefault="005D711E" w:rsidP="00905409">
      <w:pPr>
        <w:suppressAutoHyphens/>
        <w:rPr>
          <w:rFonts w:ascii="Arial" w:hAnsi="Arial" w:cs="Arial"/>
          <w:szCs w:val="24"/>
        </w:rPr>
      </w:pPr>
      <w:r w:rsidRPr="00905409">
        <w:rPr>
          <w:rFonts w:ascii="Arial" w:hAnsi="Arial" w:cs="Arial"/>
          <w:szCs w:val="24"/>
        </w:rPr>
        <w:tab/>
        <w:t>We conducted our audit in accordance with auditing standards</w:t>
      </w:r>
      <w:r w:rsidR="00F45DAA" w:rsidRPr="00905409">
        <w:rPr>
          <w:rFonts w:ascii="Arial" w:hAnsi="Arial" w:cs="Arial"/>
          <w:szCs w:val="24"/>
        </w:rPr>
        <w:t xml:space="preserve"> </w:t>
      </w:r>
      <w:r w:rsidR="00991BAA" w:rsidRPr="00905409">
        <w:rPr>
          <w:rFonts w:ascii="Arial" w:hAnsi="Arial" w:cs="Arial"/>
          <w:szCs w:val="24"/>
        </w:rPr>
        <w:t xml:space="preserve">generally </w:t>
      </w:r>
      <w:r w:rsidR="00F45DAA" w:rsidRPr="00905409">
        <w:rPr>
          <w:rFonts w:ascii="Arial" w:hAnsi="Arial" w:cs="Arial"/>
          <w:szCs w:val="24"/>
        </w:rPr>
        <w:t>accepted in the United States of America</w:t>
      </w:r>
      <w:r w:rsidRPr="00905409">
        <w:rPr>
          <w:rFonts w:ascii="Arial" w:hAnsi="Arial" w:cs="Arial"/>
          <w:szCs w:val="24"/>
        </w:rPr>
        <w:t xml:space="preserve">. </w:t>
      </w:r>
      <w:r w:rsidR="00792451" w:rsidRPr="00905409">
        <w:rPr>
          <w:rFonts w:ascii="Arial" w:hAnsi="Arial" w:cs="Arial"/>
          <w:szCs w:val="24"/>
        </w:rPr>
        <w:t xml:space="preserve"> </w:t>
      </w:r>
      <w:r w:rsidRPr="00905409">
        <w:rPr>
          <w:rFonts w:ascii="Arial" w:hAnsi="Arial" w:cs="Arial"/>
          <w:szCs w:val="24"/>
        </w:rPr>
        <w:t xml:space="preserve">These standards require that we plan and perform the audit to obtain reasonable assurance about whether the specified statements are free of material misstatement.  </w:t>
      </w:r>
      <w:r w:rsidR="00E56A7B">
        <w:rPr>
          <w:rFonts w:ascii="Arial" w:hAnsi="Arial" w:cs="Arial"/>
          <w:szCs w:val="24"/>
        </w:rPr>
        <w:t xml:space="preserve">Our audit included consideration of internal control over financial reporting as a basis for designing audit procedures that are appropriate for the circumstances, but not for the purpose of expressing an opinion on the effectiveness of the Company’s internal control over financial reporting.  </w:t>
      </w:r>
      <w:r w:rsidRPr="00905409">
        <w:rPr>
          <w:rFonts w:ascii="Arial" w:hAnsi="Arial" w:cs="Arial"/>
          <w:szCs w:val="24"/>
        </w:rPr>
        <w:t>An audit includes examining, on a test basis, evidence supporting the amounts and disclosures in the statements referred to above.  An audit also includes assessing the accounting principles used and significant estimates made by management, as well as evaluating the overall statement presentation.  We believe that our audit provides a reasonable basis for our opinion.</w:t>
      </w:r>
    </w:p>
    <w:p w:rsidR="005D711E" w:rsidRPr="00905409" w:rsidRDefault="005D711E" w:rsidP="00905409">
      <w:pPr>
        <w:suppressAutoHyphens/>
        <w:rPr>
          <w:rFonts w:ascii="Arial" w:hAnsi="Arial" w:cs="Arial"/>
          <w:szCs w:val="24"/>
        </w:rPr>
      </w:pPr>
    </w:p>
    <w:p w:rsidR="005D711E" w:rsidRPr="00905409" w:rsidRDefault="005D711E" w:rsidP="00905409">
      <w:pPr>
        <w:suppressAutoHyphens/>
        <w:rPr>
          <w:rFonts w:ascii="Arial" w:hAnsi="Arial" w:cs="Arial"/>
          <w:szCs w:val="24"/>
        </w:rPr>
      </w:pPr>
      <w:r w:rsidRPr="00905409">
        <w:rPr>
          <w:rFonts w:ascii="Arial" w:hAnsi="Arial" w:cs="Arial"/>
          <w:szCs w:val="24"/>
        </w:rPr>
        <w:tab/>
        <w:t>The accompanying statement</w:t>
      </w:r>
      <w:r w:rsidR="00667A9A">
        <w:rPr>
          <w:rFonts w:ascii="Arial" w:hAnsi="Arial" w:cs="Arial"/>
          <w:szCs w:val="24"/>
        </w:rPr>
        <w:t>s</w:t>
      </w:r>
      <w:r w:rsidRPr="00905409">
        <w:rPr>
          <w:rFonts w:ascii="Arial" w:hAnsi="Arial" w:cs="Arial"/>
          <w:szCs w:val="24"/>
        </w:rPr>
        <w:t xml:space="preserve"> w</w:t>
      </w:r>
      <w:r w:rsidR="00667A9A">
        <w:rPr>
          <w:rFonts w:ascii="Arial" w:hAnsi="Arial" w:cs="Arial"/>
          <w:szCs w:val="24"/>
        </w:rPr>
        <w:t>ere</w:t>
      </w:r>
      <w:r w:rsidRPr="00905409">
        <w:rPr>
          <w:rFonts w:ascii="Arial" w:hAnsi="Arial" w:cs="Arial"/>
          <w:szCs w:val="24"/>
        </w:rPr>
        <w:t xml:space="preserve"> prepared for the purpose of complying with the rules and regulations of the Pennsylvania Public Utility Commission and </w:t>
      </w:r>
      <w:r w:rsidR="00667A9A">
        <w:rPr>
          <w:rFonts w:ascii="Arial" w:hAnsi="Arial" w:cs="Arial"/>
          <w:szCs w:val="24"/>
        </w:rPr>
        <w:t>are</w:t>
      </w:r>
      <w:r w:rsidRPr="00905409">
        <w:rPr>
          <w:rFonts w:ascii="Arial" w:hAnsi="Arial" w:cs="Arial"/>
          <w:szCs w:val="24"/>
        </w:rPr>
        <w:t xml:space="preserve"> not intended to be a complete presentation of the Company's revenues</w:t>
      </w:r>
      <w:r w:rsidR="00060885" w:rsidRPr="00905409">
        <w:rPr>
          <w:rFonts w:ascii="Arial" w:hAnsi="Arial" w:cs="Arial"/>
          <w:szCs w:val="24"/>
        </w:rPr>
        <w:t xml:space="preserve"> and expenses</w:t>
      </w:r>
      <w:r w:rsidRPr="00905409">
        <w:rPr>
          <w:rFonts w:ascii="Arial" w:hAnsi="Arial" w:cs="Arial"/>
          <w:szCs w:val="24"/>
        </w:rPr>
        <w:t>.</w:t>
      </w:r>
    </w:p>
    <w:p w:rsidR="005D711E" w:rsidRPr="00905409" w:rsidRDefault="005D711E" w:rsidP="00905409">
      <w:pPr>
        <w:suppressAutoHyphens/>
        <w:rPr>
          <w:rFonts w:ascii="Arial" w:hAnsi="Arial" w:cs="Arial"/>
          <w:szCs w:val="24"/>
        </w:rPr>
      </w:pPr>
    </w:p>
    <w:p w:rsidR="005D711E" w:rsidRPr="00905409" w:rsidRDefault="005D711E" w:rsidP="00905409">
      <w:pPr>
        <w:suppressAutoHyphens/>
        <w:rPr>
          <w:rFonts w:ascii="Arial" w:hAnsi="Arial" w:cs="Arial"/>
          <w:szCs w:val="24"/>
        </w:rPr>
      </w:pPr>
      <w:r w:rsidRPr="00905409">
        <w:rPr>
          <w:rFonts w:ascii="Arial" w:hAnsi="Arial" w:cs="Arial"/>
          <w:szCs w:val="24"/>
        </w:rPr>
        <w:tab/>
        <w:t>In our opinion, the accompanying statement</w:t>
      </w:r>
      <w:r w:rsidR="00667A9A">
        <w:rPr>
          <w:rFonts w:ascii="Arial" w:hAnsi="Arial" w:cs="Arial"/>
          <w:szCs w:val="24"/>
        </w:rPr>
        <w:t>s</w:t>
      </w:r>
      <w:r w:rsidRPr="00905409">
        <w:rPr>
          <w:rFonts w:ascii="Arial" w:hAnsi="Arial" w:cs="Arial"/>
          <w:szCs w:val="24"/>
        </w:rPr>
        <w:t xml:space="preserve"> of </w:t>
      </w:r>
      <w:r w:rsidR="00103CB4">
        <w:rPr>
          <w:rFonts w:ascii="Arial" w:hAnsi="Arial" w:cs="Arial"/>
          <w:szCs w:val="24"/>
        </w:rPr>
        <w:t>PPL Electric Utilities Corporation</w:t>
      </w:r>
      <w:r w:rsidRPr="00905409">
        <w:rPr>
          <w:rFonts w:ascii="Arial" w:hAnsi="Arial" w:cs="Arial"/>
          <w:szCs w:val="24"/>
        </w:rPr>
        <w:t xml:space="preserve"> present fairly, in all material respects, the over/under collections resulting from the </w:t>
      </w:r>
      <w:r w:rsidR="00501A6C" w:rsidRPr="00905409">
        <w:rPr>
          <w:rFonts w:ascii="Arial" w:hAnsi="Arial" w:cs="Arial"/>
          <w:szCs w:val="24"/>
        </w:rPr>
        <w:t>Company’s a</w:t>
      </w:r>
      <w:r w:rsidRPr="00905409">
        <w:rPr>
          <w:rFonts w:ascii="Arial" w:hAnsi="Arial" w:cs="Arial"/>
          <w:szCs w:val="24"/>
        </w:rPr>
        <w:t xml:space="preserve">pplication of the </w:t>
      </w:r>
      <w:r w:rsidR="00103CB4">
        <w:rPr>
          <w:rFonts w:ascii="Arial" w:hAnsi="Arial" w:cs="Arial"/>
          <w:szCs w:val="24"/>
        </w:rPr>
        <w:t>GSC</w:t>
      </w:r>
      <w:r w:rsidR="00F564F2">
        <w:rPr>
          <w:rFonts w:ascii="Arial" w:hAnsi="Arial" w:cs="Arial"/>
          <w:szCs w:val="24"/>
        </w:rPr>
        <w:t xml:space="preserve"> </w:t>
      </w:r>
      <w:r w:rsidR="00344493">
        <w:rPr>
          <w:rFonts w:ascii="Arial" w:hAnsi="Arial" w:cs="Arial"/>
          <w:szCs w:val="24"/>
        </w:rPr>
        <w:t>-</w:t>
      </w:r>
      <w:r w:rsidR="00F564F2">
        <w:rPr>
          <w:rFonts w:ascii="Arial" w:hAnsi="Arial" w:cs="Arial"/>
          <w:szCs w:val="24"/>
        </w:rPr>
        <w:t xml:space="preserve"> </w:t>
      </w:r>
      <w:r w:rsidR="00344493">
        <w:rPr>
          <w:rFonts w:ascii="Arial" w:hAnsi="Arial" w:cs="Arial"/>
          <w:szCs w:val="24"/>
        </w:rPr>
        <w:t>1</w:t>
      </w:r>
      <w:r w:rsidR="00103CB4">
        <w:rPr>
          <w:rFonts w:ascii="Arial" w:hAnsi="Arial" w:cs="Arial"/>
          <w:szCs w:val="24"/>
        </w:rPr>
        <w:t>, GSC</w:t>
      </w:r>
      <w:r w:rsidR="00F564F2">
        <w:rPr>
          <w:rFonts w:ascii="Arial" w:hAnsi="Arial" w:cs="Arial"/>
          <w:szCs w:val="24"/>
        </w:rPr>
        <w:t xml:space="preserve"> </w:t>
      </w:r>
      <w:r w:rsidR="00103CB4">
        <w:rPr>
          <w:rFonts w:ascii="Arial" w:hAnsi="Arial" w:cs="Arial"/>
          <w:szCs w:val="24"/>
        </w:rPr>
        <w:t>-</w:t>
      </w:r>
      <w:r w:rsidR="00F564F2">
        <w:rPr>
          <w:rFonts w:ascii="Arial" w:hAnsi="Arial" w:cs="Arial"/>
          <w:szCs w:val="24"/>
        </w:rPr>
        <w:t xml:space="preserve"> </w:t>
      </w:r>
      <w:r w:rsidR="00344493">
        <w:rPr>
          <w:rFonts w:ascii="Arial" w:hAnsi="Arial" w:cs="Arial"/>
          <w:szCs w:val="24"/>
        </w:rPr>
        <w:t>2</w:t>
      </w:r>
      <w:r w:rsidR="00103CB4">
        <w:rPr>
          <w:rFonts w:ascii="Arial" w:hAnsi="Arial" w:cs="Arial"/>
          <w:szCs w:val="24"/>
        </w:rPr>
        <w:t xml:space="preserve"> and GSC</w:t>
      </w:r>
      <w:r w:rsidRPr="00905409">
        <w:rPr>
          <w:rFonts w:ascii="Arial" w:hAnsi="Arial" w:cs="Arial"/>
          <w:szCs w:val="24"/>
        </w:rPr>
        <w:t xml:space="preserve"> in accordance with the provision</w:t>
      </w:r>
      <w:r w:rsidR="006C2439" w:rsidRPr="00905409">
        <w:rPr>
          <w:rFonts w:ascii="Arial" w:hAnsi="Arial" w:cs="Arial"/>
          <w:szCs w:val="24"/>
        </w:rPr>
        <w:t>s</w:t>
      </w:r>
      <w:r w:rsidRPr="00905409">
        <w:rPr>
          <w:rFonts w:ascii="Arial" w:hAnsi="Arial" w:cs="Arial"/>
          <w:szCs w:val="24"/>
        </w:rPr>
        <w:t xml:space="preserve"> of its Schedule of Rates </w:t>
      </w:r>
      <w:r w:rsidR="006C2439" w:rsidRPr="00905409">
        <w:rPr>
          <w:rFonts w:ascii="Arial" w:hAnsi="Arial" w:cs="Arial"/>
          <w:szCs w:val="24"/>
        </w:rPr>
        <w:t xml:space="preserve">as </w:t>
      </w:r>
      <w:r w:rsidRPr="00905409">
        <w:rPr>
          <w:rFonts w:ascii="Arial" w:hAnsi="Arial" w:cs="Arial"/>
          <w:szCs w:val="24"/>
        </w:rPr>
        <w:t>approved by the Pennsylvania Public Utility Commission.</w:t>
      </w:r>
    </w:p>
    <w:p w:rsidR="005D711E" w:rsidRPr="00905409" w:rsidRDefault="005D711E" w:rsidP="00905409">
      <w:pPr>
        <w:suppressAutoHyphens/>
        <w:rPr>
          <w:rFonts w:ascii="Arial" w:hAnsi="Arial" w:cs="Arial"/>
          <w:szCs w:val="24"/>
        </w:rPr>
      </w:pPr>
    </w:p>
    <w:p w:rsidR="005D711E" w:rsidRPr="00905409" w:rsidRDefault="005D711E" w:rsidP="00905409">
      <w:pPr>
        <w:suppressAutoHyphens/>
        <w:rPr>
          <w:rFonts w:ascii="Arial" w:hAnsi="Arial" w:cs="Arial"/>
          <w:szCs w:val="24"/>
        </w:rPr>
      </w:pPr>
    </w:p>
    <w:p w:rsidR="005D711E" w:rsidRPr="00905409" w:rsidRDefault="005D711E" w:rsidP="00905409">
      <w:pPr>
        <w:suppressAutoHyphens/>
        <w:rPr>
          <w:rFonts w:ascii="Arial" w:hAnsi="Arial" w:cs="Arial"/>
          <w:szCs w:val="24"/>
        </w:rPr>
      </w:pPr>
    </w:p>
    <w:p w:rsidR="005A15AA" w:rsidRPr="00905409" w:rsidRDefault="005A15AA" w:rsidP="00905409">
      <w:pPr>
        <w:suppressAutoHyphens/>
        <w:rPr>
          <w:rFonts w:ascii="Arial" w:hAnsi="Arial" w:cs="Arial"/>
          <w:szCs w:val="24"/>
        </w:rPr>
      </w:pPr>
    </w:p>
    <w:p w:rsidR="005D711E" w:rsidRPr="00905409" w:rsidRDefault="005D711E" w:rsidP="00905409">
      <w:pPr>
        <w:suppressAutoHyphens/>
        <w:outlineLvl w:val="0"/>
        <w:rPr>
          <w:rFonts w:ascii="Arial" w:hAnsi="Arial" w:cs="Arial"/>
          <w:szCs w:val="24"/>
        </w:rPr>
      </w:pPr>
      <w:r w:rsidRPr="00905409">
        <w:rPr>
          <w:rFonts w:ascii="Arial" w:hAnsi="Arial" w:cs="Arial"/>
          <w:szCs w:val="24"/>
        </w:rPr>
        <w:tab/>
      </w:r>
      <w:r w:rsidRPr="00905409">
        <w:rPr>
          <w:rFonts w:ascii="Arial" w:hAnsi="Arial" w:cs="Arial"/>
          <w:szCs w:val="24"/>
        </w:rPr>
        <w:tab/>
      </w:r>
      <w:r w:rsidRPr="00905409">
        <w:rPr>
          <w:rFonts w:ascii="Arial" w:hAnsi="Arial" w:cs="Arial"/>
          <w:szCs w:val="24"/>
        </w:rPr>
        <w:tab/>
      </w:r>
      <w:r w:rsidRPr="00905409">
        <w:rPr>
          <w:rFonts w:ascii="Arial" w:hAnsi="Arial" w:cs="Arial"/>
          <w:szCs w:val="24"/>
        </w:rPr>
        <w:tab/>
      </w:r>
      <w:r w:rsidRPr="00905409">
        <w:rPr>
          <w:rFonts w:ascii="Arial" w:hAnsi="Arial" w:cs="Arial"/>
          <w:szCs w:val="24"/>
        </w:rPr>
        <w:tab/>
      </w:r>
      <w:r w:rsidRPr="00905409">
        <w:rPr>
          <w:rFonts w:ascii="Arial" w:hAnsi="Arial" w:cs="Arial"/>
          <w:szCs w:val="24"/>
        </w:rPr>
        <w:tab/>
      </w:r>
      <w:r w:rsidRPr="00905409">
        <w:rPr>
          <w:rFonts w:ascii="Arial" w:hAnsi="Arial" w:cs="Arial"/>
          <w:szCs w:val="24"/>
        </w:rPr>
        <w:tab/>
      </w:r>
      <w:r w:rsidR="00835C89" w:rsidRPr="00905409">
        <w:rPr>
          <w:rFonts w:ascii="Arial" w:hAnsi="Arial" w:cs="Arial"/>
          <w:szCs w:val="24"/>
        </w:rPr>
        <w:t>M. Carl Lesney</w:t>
      </w:r>
      <w:r w:rsidRPr="00905409">
        <w:rPr>
          <w:rFonts w:ascii="Arial" w:hAnsi="Arial" w:cs="Arial"/>
          <w:szCs w:val="24"/>
        </w:rPr>
        <w:t>, CPA</w:t>
      </w:r>
    </w:p>
    <w:p w:rsidR="005D711E" w:rsidRPr="00905409" w:rsidRDefault="005D711E" w:rsidP="00905409">
      <w:pPr>
        <w:suppressAutoHyphens/>
        <w:outlineLvl w:val="0"/>
        <w:rPr>
          <w:rFonts w:ascii="Arial" w:hAnsi="Arial" w:cs="Arial"/>
          <w:szCs w:val="24"/>
        </w:rPr>
      </w:pPr>
      <w:r w:rsidRPr="00905409">
        <w:rPr>
          <w:rFonts w:ascii="Arial" w:hAnsi="Arial" w:cs="Arial"/>
          <w:szCs w:val="24"/>
        </w:rPr>
        <w:tab/>
      </w:r>
      <w:r w:rsidRPr="00905409">
        <w:rPr>
          <w:rFonts w:ascii="Arial" w:hAnsi="Arial" w:cs="Arial"/>
          <w:szCs w:val="24"/>
        </w:rPr>
        <w:tab/>
      </w:r>
      <w:r w:rsidRPr="00905409">
        <w:rPr>
          <w:rFonts w:ascii="Arial" w:hAnsi="Arial" w:cs="Arial"/>
          <w:szCs w:val="24"/>
        </w:rPr>
        <w:tab/>
      </w:r>
      <w:r w:rsidRPr="00905409">
        <w:rPr>
          <w:rFonts w:ascii="Arial" w:hAnsi="Arial" w:cs="Arial"/>
          <w:szCs w:val="24"/>
        </w:rPr>
        <w:tab/>
      </w:r>
      <w:r w:rsidRPr="00905409">
        <w:rPr>
          <w:rFonts w:ascii="Arial" w:hAnsi="Arial" w:cs="Arial"/>
          <w:szCs w:val="24"/>
        </w:rPr>
        <w:tab/>
      </w:r>
      <w:r w:rsidRPr="00905409">
        <w:rPr>
          <w:rFonts w:ascii="Arial" w:hAnsi="Arial" w:cs="Arial"/>
          <w:szCs w:val="24"/>
        </w:rPr>
        <w:tab/>
      </w:r>
      <w:r w:rsidRPr="00905409">
        <w:rPr>
          <w:rFonts w:ascii="Arial" w:hAnsi="Arial" w:cs="Arial"/>
          <w:szCs w:val="24"/>
        </w:rPr>
        <w:tab/>
        <w:t xml:space="preserve">Director </w:t>
      </w:r>
    </w:p>
    <w:p w:rsidR="005D711E" w:rsidRPr="00905409" w:rsidRDefault="005D711E" w:rsidP="00905409">
      <w:pPr>
        <w:suppressAutoHyphens/>
        <w:rPr>
          <w:rFonts w:ascii="Arial" w:hAnsi="Arial" w:cs="Arial"/>
          <w:szCs w:val="24"/>
        </w:rPr>
      </w:pPr>
      <w:r w:rsidRPr="00905409">
        <w:rPr>
          <w:rFonts w:ascii="Arial" w:hAnsi="Arial" w:cs="Arial"/>
          <w:szCs w:val="24"/>
        </w:rPr>
        <w:tab/>
      </w:r>
      <w:r w:rsidRPr="00905409">
        <w:rPr>
          <w:rFonts w:ascii="Arial" w:hAnsi="Arial" w:cs="Arial"/>
          <w:szCs w:val="24"/>
        </w:rPr>
        <w:tab/>
      </w:r>
      <w:r w:rsidRPr="00905409">
        <w:rPr>
          <w:rFonts w:ascii="Arial" w:hAnsi="Arial" w:cs="Arial"/>
          <w:szCs w:val="24"/>
        </w:rPr>
        <w:tab/>
      </w:r>
      <w:r w:rsidRPr="00905409">
        <w:rPr>
          <w:rFonts w:ascii="Arial" w:hAnsi="Arial" w:cs="Arial"/>
          <w:szCs w:val="24"/>
        </w:rPr>
        <w:tab/>
      </w:r>
      <w:r w:rsidRPr="00905409">
        <w:rPr>
          <w:rFonts w:ascii="Arial" w:hAnsi="Arial" w:cs="Arial"/>
          <w:szCs w:val="24"/>
        </w:rPr>
        <w:tab/>
      </w:r>
      <w:r w:rsidRPr="00905409">
        <w:rPr>
          <w:rFonts w:ascii="Arial" w:hAnsi="Arial" w:cs="Arial"/>
          <w:szCs w:val="24"/>
        </w:rPr>
        <w:tab/>
      </w:r>
      <w:r w:rsidRPr="00905409">
        <w:rPr>
          <w:rFonts w:ascii="Arial" w:hAnsi="Arial" w:cs="Arial"/>
          <w:szCs w:val="24"/>
        </w:rPr>
        <w:tab/>
        <w:t>Bureau of Audits</w:t>
      </w:r>
    </w:p>
    <w:p w:rsidR="005D711E" w:rsidRPr="00905409" w:rsidRDefault="005D711E" w:rsidP="00905409">
      <w:pPr>
        <w:suppressAutoHyphens/>
        <w:rPr>
          <w:rFonts w:ascii="Arial" w:hAnsi="Arial" w:cs="Arial"/>
          <w:szCs w:val="24"/>
        </w:rPr>
      </w:pPr>
    </w:p>
    <w:p w:rsidR="0047509D" w:rsidRPr="00905409" w:rsidRDefault="0047509D" w:rsidP="00905409">
      <w:pPr>
        <w:suppressAutoHyphens/>
        <w:rPr>
          <w:rFonts w:ascii="Arial" w:hAnsi="Arial" w:cs="Arial"/>
          <w:szCs w:val="24"/>
        </w:rPr>
        <w:sectPr w:rsidR="0047509D" w:rsidRPr="00905409" w:rsidSect="0016639F">
          <w:headerReference w:type="even" r:id="rId16"/>
          <w:headerReference w:type="default" r:id="rId17"/>
          <w:footerReference w:type="default" r:id="rId18"/>
          <w:headerReference w:type="first" r:id="rId19"/>
          <w:endnotePr>
            <w:numFmt w:val="decimal"/>
          </w:endnotePr>
          <w:pgSz w:w="12240" w:h="15840" w:code="1"/>
          <w:pgMar w:top="432" w:right="1440" w:bottom="1440" w:left="1440" w:header="0" w:footer="720" w:gutter="0"/>
          <w:pgNumType w:start="1"/>
          <w:cols w:space="720"/>
          <w:noEndnote/>
        </w:sectPr>
      </w:pPr>
    </w:p>
    <w:p w:rsidR="000577C0" w:rsidRPr="006F5A5E" w:rsidRDefault="00235BB8" w:rsidP="000577C0">
      <w:pPr>
        <w:tabs>
          <w:tab w:val="center" w:pos="4680"/>
        </w:tabs>
        <w:suppressAutoHyphens/>
        <w:jc w:val="center"/>
        <w:rPr>
          <w:rFonts w:ascii="Arial" w:hAnsi="Arial" w:cs="Arial"/>
          <w:b/>
          <w:sz w:val="26"/>
          <w:szCs w:val="26"/>
          <w:u w:val="single"/>
        </w:rPr>
      </w:pPr>
      <w:r>
        <w:rPr>
          <w:rFonts w:ascii="Arial" w:hAnsi="Arial" w:cs="Arial"/>
          <w:b/>
          <w:sz w:val="26"/>
          <w:szCs w:val="26"/>
          <w:u w:val="single"/>
        </w:rPr>
        <w:lastRenderedPageBreak/>
        <w:t>PPL ELECTRIC UTILITIES CORPORATION</w:t>
      </w:r>
    </w:p>
    <w:p w:rsidR="000577C0" w:rsidRPr="006F5A5E" w:rsidRDefault="000577C0" w:rsidP="000577C0">
      <w:pPr>
        <w:tabs>
          <w:tab w:val="left" w:pos="-1440"/>
          <w:tab w:val="left" w:pos="-720"/>
          <w:tab w:val="left" w:pos="864"/>
          <w:tab w:val="left" w:pos="5040"/>
          <w:tab w:val="left" w:pos="7056"/>
        </w:tabs>
        <w:suppressAutoHyphens/>
        <w:rPr>
          <w:rFonts w:ascii="Arial" w:hAnsi="Arial" w:cs="Arial"/>
          <w:szCs w:val="24"/>
          <w:u w:val="single"/>
        </w:rPr>
      </w:pPr>
    </w:p>
    <w:p w:rsidR="00235BB8" w:rsidRPr="00A1597B" w:rsidRDefault="00235BB8" w:rsidP="00235BB8">
      <w:pPr>
        <w:tabs>
          <w:tab w:val="center" w:pos="4680"/>
        </w:tabs>
        <w:suppressAutoHyphens/>
        <w:jc w:val="center"/>
        <w:rPr>
          <w:rFonts w:ascii="Arial" w:hAnsi="Arial" w:cs="Arial"/>
          <w:b/>
          <w:szCs w:val="24"/>
          <w:u w:val="single"/>
        </w:rPr>
      </w:pPr>
      <w:r w:rsidRPr="00A1597B">
        <w:rPr>
          <w:rFonts w:ascii="Arial" w:hAnsi="Arial" w:cs="Arial"/>
          <w:b/>
          <w:szCs w:val="24"/>
          <w:u w:val="single"/>
        </w:rPr>
        <w:t>Generation S</w:t>
      </w:r>
      <w:r w:rsidR="00991813" w:rsidRPr="00A1597B">
        <w:rPr>
          <w:rFonts w:ascii="Arial" w:hAnsi="Arial" w:cs="Arial"/>
          <w:b/>
          <w:szCs w:val="24"/>
          <w:u w:val="single"/>
        </w:rPr>
        <w:t>upply</w:t>
      </w:r>
      <w:r w:rsidRPr="00A1597B">
        <w:rPr>
          <w:rFonts w:ascii="Arial" w:hAnsi="Arial" w:cs="Arial"/>
          <w:b/>
          <w:szCs w:val="24"/>
          <w:u w:val="single"/>
        </w:rPr>
        <w:t xml:space="preserve"> Charge</w:t>
      </w:r>
      <w:r w:rsidR="00BB2BCC">
        <w:rPr>
          <w:rFonts w:ascii="Arial" w:hAnsi="Arial" w:cs="Arial"/>
          <w:b/>
          <w:szCs w:val="24"/>
          <w:u w:val="single"/>
        </w:rPr>
        <w:t xml:space="preserve"> </w:t>
      </w:r>
      <w:r w:rsidRPr="00A1597B">
        <w:rPr>
          <w:rFonts w:ascii="Arial" w:hAnsi="Arial" w:cs="Arial"/>
          <w:b/>
          <w:szCs w:val="24"/>
          <w:u w:val="single"/>
        </w:rPr>
        <w:t>-</w:t>
      </w:r>
      <w:r w:rsidR="00BB2BCC">
        <w:rPr>
          <w:rFonts w:ascii="Arial" w:hAnsi="Arial" w:cs="Arial"/>
          <w:b/>
          <w:szCs w:val="24"/>
          <w:u w:val="single"/>
        </w:rPr>
        <w:t xml:space="preserve"> </w:t>
      </w:r>
      <w:r w:rsidRPr="00A1597B">
        <w:rPr>
          <w:rFonts w:ascii="Arial" w:hAnsi="Arial" w:cs="Arial"/>
          <w:b/>
          <w:szCs w:val="24"/>
          <w:u w:val="single"/>
        </w:rPr>
        <w:t>1</w:t>
      </w:r>
      <w:r w:rsidR="00991813" w:rsidRPr="00A1597B">
        <w:rPr>
          <w:rFonts w:ascii="Arial" w:hAnsi="Arial" w:cs="Arial"/>
          <w:b/>
          <w:szCs w:val="24"/>
          <w:u w:val="single"/>
        </w:rPr>
        <w:t xml:space="preserve"> </w:t>
      </w:r>
      <w:r w:rsidR="00BB2BCC">
        <w:rPr>
          <w:rFonts w:ascii="Arial" w:hAnsi="Arial" w:cs="Arial"/>
          <w:b/>
          <w:szCs w:val="24"/>
          <w:u w:val="single"/>
        </w:rPr>
        <w:t>(GSC</w:t>
      </w:r>
      <w:r w:rsidR="005A3481">
        <w:rPr>
          <w:rFonts w:ascii="Arial" w:hAnsi="Arial" w:cs="Arial"/>
          <w:b/>
          <w:szCs w:val="24"/>
          <w:u w:val="single"/>
        </w:rPr>
        <w:t xml:space="preserve"> - </w:t>
      </w:r>
      <w:r w:rsidR="00BB2BCC">
        <w:rPr>
          <w:rFonts w:ascii="Arial" w:hAnsi="Arial" w:cs="Arial"/>
          <w:b/>
          <w:szCs w:val="24"/>
          <w:u w:val="single"/>
        </w:rPr>
        <w:t>1)</w:t>
      </w:r>
      <w:r w:rsidR="0030137D">
        <w:rPr>
          <w:rFonts w:ascii="Arial" w:hAnsi="Arial" w:cs="Arial"/>
          <w:b/>
          <w:szCs w:val="24"/>
          <w:u w:val="single"/>
        </w:rPr>
        <w:t xml:space="preserve"> </w:t>
      </w:r>
      <w:r w:rsidRPr="00A1597B">
        <w:rPr>
          <w:rFonts w:ascii="Arial" w:hAnsi="Arial" w:cs="Arial"/>
          <w:b/>
          <w:szCs w:val="24"/>
          <w:u w:val="single"/>
        </w:rPr>
        <w:t>Over/(Under) Collections</w:t>
      </w:r>
    </w:p>
    <w:p w:rsidR="00235BB8" w:rsidRPr="00A1597B" w:rsidRDefault="00580574" w:rsidP="00235BB8">
      <w:pPr>
        <w:tabs>
          <w:tab w:val="center" w:pos="4680"/>
        </w:tabs>
        <w:suppressAutoHyphens/>
        <w:jc w:val="center"/>
        <w:rPr>
          <w:rFonts w:ascii="Arial" w:hAnsi="Arial" w:cs="Arial"/>
          <w:b/>
          <w:szCs w:val="24"/>
          <w:u w:val="single"/>
        </w:rPr>
      </w:pPr>
      <w:r>
        <w:rPr>
          <w:rFonts w:ascii="Arial" w:hAnsi="Arial" w:cs="Arial"/>
          <w:b/>
          <w:szCs w:val="24"/>
          <w:u w:val="single"/>
        </w:rPr>
        <w:t xml:space="preserve">(Section 1307(e)) </w:t>
      </w:r>
      <w:r w:rsidR="00235BB8" w:rsidRPr="00A1597B">
        <w:rPr>
          <w:rFonts w:ascii="Arial" w:hAnsi="Arial" w:cs="Arial"/>
          <w:b/>
          <w:szCs w:val="24"/>
          <w:u w:val="single"/>
        </w:rPr>
        <w:t xml:space="preserve">For The </w:t>
      </w:r>
      <w:r w:rsidR="0058722F" w:rsidRPr="00A1597B">
        <w:rPr>
          <w:rFonts w:ascii="Arial" w:hAnsi="Arial" w:cs="Arial"/>
          <w:b/>
          <w:szCs w:val="24"/>
          <w:u w:val="single"/>
        </w:rPr>
        <w:t>Five</w:t>
      </w:r>
      <w:r w:rsidR="00235BB8" w:rsidRPr="00A1597B">
        <w:rPr>
          <w:rFonts w:ascii="Arial" w:hAnsi="Arial" w:cs="Arial"/>
          <w:b/>
          <w:szCs w:val="24"/>
          <w:u w:val="single"/>
        </w:rPr>
        <w:t xml:space="preserve"> Months Ended </w:t>
      </w:r>
      <w:r w:rsidR="0058722F" w:rsidRPr="00A1597B">
        <w:rPr>
          <w:rFonts w:ascii="Arial" w:hAnsi="Arial" w:cs="Arial"/>
          <w:b/>
          <w:szCs w:val="24"/>
          <w:u w:val="single"/>
        </w:rPr>
        <w:t>May</w:t>
      </w:r>
      <w:r w:rsidR="00235BB8" w:rsidRPr="00A1597B">
        <w:rPr>
          <w:rFonts w:ascii="Arial" w:hAnsi="Arial" w:cs="Arial"/>
          <w:b/>
          <w:szCs w:val="24"/>
          <w:u w:val="single"/>
        </w:rPr>
        <w:t xml:space="preserve"> 3</w:t>
      </w:r>
      <w:r w:rsidR="0058722F" w:rsidRPr="00A1597B">
        <w:rPr>
          <w:rFonts w:ascii="Arial" w:hAnsi="Arial" w:cs="Arial"/>
          <w:b/>
          <w:szCs w:val="24"/>
          <w:u w:val="single"/>
        </w:rPr>
        <w:t>1</w:t>
      </w:r>
      <w:r w:rsidR="00235BB8" w:rsidRPr="00A1597B">
        <w:rPr>
          <w:rFonts w:ascii="Arial" w:hAnsi="Arial" w:cs="Arial"/>
          <w:b/>
          <w:szCs w:val="24"/>
          <w:u w:val="single"/>
        </w:rPr>
        <w:t>, 2011</w:t>
      </w:r>
      <w:r w:rsidR="0058722F" w:rsidRPr="00A1597B">
        <w:rPr>
          <w:rFonts w:ascii="Arial" w:hAnsi="Arial" w:cs="Arial"/>
          <w:b/>
          <w:szCs w:val="24"/>
          <w:u w:val="single"/>
        </w:rPr>
        <w:t>*</w:t>
      </w:r>
    </w:p>
    <w:p w:rsidR="00D27E49" w:rsidRPr="00BE651C" w:rsidRDefault="00D27E49" w:rsidP="00235BB8">
      <w:pPr>
        <w:tabs>
          <w:tab w:val="center" w:pos="4680"/>
        </w:tabs>
        <w:suppressAutoHyphens/>
        <w:rPr>
          <w:rFonts w:ascii="Arial" w:hAnsi="Arial" w:cs="Arial"/>
          <w:szCs w:val="24"/>
        </w:rPr>
      </w:pPr>
    </w:p>
    <w:p w:rsidR="00D27E49" w:rsidRDefault="00D27E49" w:rsidP="00235BB8">
      <w:pPr>
        <w:tabs>
          <w:tab w:val="center" w:pos="4680"/>
        </w:tabs>
        <w:suppressAutoHyphens/>
        <w:rPr>
          <w:rFonts w:ascii="Arial" w:hAnsi="Arial" w:cs="Arial"/>
          <w:szCs w:val="24"/>
        </w:rPr>
      </w:pPr>
    </w:p>
    <w:tbl>
      <w:tblPr>
        <w:tblpPr w:leftFromText="180" w:rightFromText="180" w:vertAnchor="page" w:horzAnchor="margin" w:tblpXSpec="center" w:tblpY="3166"/>
        <w:tblW w:w="8237" w:type="dxa"/>
        <w:tblLook w:val="0000" w:firstRow="0" w:lastRow="0" w:firstColumn="0" w:lastColumn="0" w:noHBand="0" w:noVBand="0"/>
      </w:tblPr>
      <w:tblGrid>
        <w:gridCol w:w="2376"/>
        <w:gridCol w:w="1980"/>
        <w:gridCol w:w="1980"/>
        <w:gridCol w:w="1901"/>
      </w:tblGrid>
      <w:tr w:rsidR="00FA4C51" w:rsidRPr="001D73AB" w:rsidTr="00A1597B">
        <w:trPr>
          <w:trHeight w:val="255"/>
        </w:trPr>
        <w:tc>
          <w:tcPr>
            <w:tcW w:w="2376" w:type="dxa"/>
            <w:noWrap/>
            <w:vAlign w:val="bottom"/>
          </w:tcPr>
          <w:p w:rsidR="00FA4C51" w:rsidRDefault="00FA4C51" w:rsidP="00A1597B">
            <w:pPr>
              <w:overflowPunct/>
              <w:autoSpaceDE/>
              <w:autoSpaceDN/>
              <w:adjustRightInd/>
              <w:jc w:val="center"/>
              <w:textAlignment w:val="auto"/>
              <w:rPr>
                <w:rFonts w:ascii="Arial" w:hAnsi="Arial" w:cs="Arial"/>
                <w:b/>
                <w:szCs w:val="24"/>
                <w:u w:val="single"/>
              </w:rPr>
            </w:pPr>
            <w:r w:rsidRPr="00A1597B">
              <w:rPr>
                <w:rFonts w:ascii="Arial" w:hAnsi="Arial" w:cs="Arial"/>
                <w:b/>
                <w:szCs w:val="24"/>
                <w:u w:val="single"/>
              </w:rPr>
              <w:t>Rate Class</w:t>
            </w:r>
          </w:p>
          <w:p w:rsidR="00FA4C51" w:rsidRDefault="00FA4C51" w:rsidP="00A1597B">
            <w:pPr>
              <w:overflowPunct/>
              <w:autoSpaceDE/>
              <w:autoSpaceDN/>
              <w:adjustRightInd/>
              <w:jc w:val="center"/>
              <w:textAlignment w:val="auto"/>
              <w:rPr>
                <w:rFonts w:ascii="Arial" w:hAnsi="Arial" w:cs="Arial"/>
                <w:szCs w:val="24"/>
              </w:rPr>
            </w:pPr>
          </w:p>
        </w:tc>
        <w:tc>
          <w:tcPr>
            <w:tcW w:w="1980" w:type="dxa"/>
            <w:noWrap/>
            <w:vAlign w:val="bottom"/>
          </w:tcPr>
          <w:p w:rsidR="00FA4C51" w:rsidRDefault="00BB2BCC">
            <w:pPr>
              <w:overflowPunct/>
              <w:autoSpaceDE/>
              <w:autoSpaceDN/>
              <w:adjustRightInd/>
              <w:jc w:val="center"/>
              <w:textAlignment w:val="auto"/>
              <w:rPr>
                <w:rFonts w:ascii="Arial" w:hAnsi="Arial" w:cs="Arial"/>
                <w:b/>
                <w:szCs w:val="24"/>
                <w:u w:val="single"/>
              </w:rPr>
            </w:pPr>
            <w:r>
              <w:rPr>
                <w:rFonts w:ascii="Arial" w:hAnsi="Arial" w:cs="Arial"/>
                <w:b/>
                <w:szCs w:val="24"/>
                <w:u w:val="single"/>
              </w:rPr>
              <w:t>GSC - 1</w:t>
            </w:r>
            <w:r w:rsidR="00FA4C51">
              <w:rPr>
                <w:rFonts w:ascii="Arial" w:hAnsi="Arial" w:cs="Arial"/>
                <w:b/>
                <w:szCs w:val="24"/>
                <w:u w:val="single"/>
              </w:rPr>
              <w:t xml:space="preserve"> Revenues</w:t>
            </w:r>
          </w:p>
          <w:p w:rsidR="00FA4C51" w:rsidRDefault="00FA4C51">
            <w:pPr>
              <w:overflowPunct/>
              <w:autoSpaceDE/>
              <w:autoSpaceDN/>
              <w:adjustRightInd/>
              <w:jc w:val="center"/>
              <w:textAlignment w:val="auto"/>
              <w:rPr>
                <w:rFonts w:ascii="Arial" w:hAnsi="Arial" w:cs="Arial"/>
                <w:b/>
                <w:szCs w:val="24"/>
                <w:u w:val="single"/>
              </w:rPr>
            </w:pPr>
            <w:r>
              <w:rPr>
                <w:rFonts w:ascii="Arial" w:hAnsi="Arial" w:cs="Arial"/>
                <w:b/>
                <w:szCs w:val="24"/>
                <w:u w:val="single"/>
              </w:rPr>
              <w:t>(Note 1)</w:t>
            </w:r>
          </w:p>
          <w:p w:rsidR="00FA4C51" w:rsidRDefault="00FA4C51" w:rsidP="00A1597B">
            <w:pPr>
              <w:tabs>
                <w:tab w:val="decimal" w:pos="1524"/>
              </w:tabs>
              <w:overflowPunct/>
              <w:autoSpaceDE/>
              <w:autoSpaceDN/>
              <w:adjustRightInd/>
              <w:jc w:val="center"/>
              <w:textAlignment w:val="auto"/>
              <w:rPr>
                <w:rFonts w:ascii="Arial" w:hAnsi="Arial" w:cs="Arial"/>
                <w:szCs w:val="24"/>
              </w:rPr>
            </w:pPr>
          </w:p>
        </w:tc>
        <w:tc>
          <w:tcPr>
            <w:tcW w:w="1980" w:type="dxa"/>
            <w:noWrap/>
            <w:vAlign w:val="bottom"/>
          </w:tcPr>
          <w:p w:rsidR="00FA4C51" w:rsidRDefault="00BB2BCC">
            <w:pPr>
              <w:overflowPunct/>
              <w:autoSpaceDE/>
              <w:autoSpaceDN/>
              <w:adjustRightInd/>
              <w:jc w:val="center"/>
              <w:textAlignment w:val="auto"/>
              <w:rPr>
                <w:rFonts w:ascii="Arial" w:hAnsi="Arial" w:cs="Arial"/>
                <w:b/>
                <w:szCs w:val="24"/>
                <w:u w:val="single"/>
              </w:rPr>
            </w:pPr>
            <w:r>
              <w:rPr>
                <w:rFonts w:ascii="Arial" w:hAnsi="Arial" w:cs="Arial"/>
                <w:b/>
                <w:szCs w:val="24"/>
                <w:u w:val="single"/>
              </w:rPr>
              <w:t>GSC</w:t>
            </w:r>
            <w:r w:rsidR="00F564F2">
              <w:rPr>
                <w:rFonts w:ascii="Arial" w:hAnsi="Arial" w:cs="Arial"/>
                <w:b/>
                <w:szCs w:val="24"/>
                <w:u w:val="single"/>
              </w:rPr>
              <w:t xml:space="preserve"> - </w:t>
            </w:r>
            <w:r>
              <w:rPr>
                <w:rFonts w:ascii="Arial" w:hAnsi="Arial" w:cs="Arial"/>
                <w:b/>
                <w:szCs w:val="24"/>
                <w:u w:val="single"/>
              </w:rPr>
              <w:t xml:space="preserve">1 </w:t>
            </w:r>
            <w:r w:rsidR="00FA4C51">
              <w:rPr>
                <w:rFonts w:ascii="Arial" w:hAnsi="Arial" w:cs="Arial"/>
                <w:b/>
                <w:szCs w:val="24"/>
                <w:u w:val="single"/>
              </w:rPr>
              <w:t>Expenses</w:t>
            </w:r>
          </w:p>
          <w:p w:rsidR="00FA4C51" w:rsidRDefault="00FA4C51">
            <w:pPr>
              <w:overflowPunct/>
              <w:autoSpaceDE/>
              <w:autoSpaceDN/>
              <w:adjustRightInd/>
              <w:jc w:val="center"/>
              <w:textAlignment w:val="auto"/>
              <w:rPr>
                <w:rFonts w:ascii="Arial" w:hAnsi="Arial" w:cs="Arial"/>
                <w:b/>
                <w:szCs w:val="24"/>
                <w:u w:val="single"/>
              </w:rPr>
            </w:pPr>
            <w:r>
              <w:rPr>
                <w:rFonts w:ascii="Arial" w:hAnsi="Arial" w:cs="Arial"/>
                <w:b/>
                <w:szCs w:val="24"/>
                <w:u w:val="single"/>
              </w:rPr>
              <w:t>(Note 2)</w:t>
            </w:r>
          </w:p>
          <w:p w:rsidR="00FA4C51" w:rsidRPr="00216442" w:rsidRDefault="00FA4C51" w:rsidP="00A1597B">
            <w:pPr>
              <w:tabs>
                <w:tab w:val="decimal" w:pos="1605"/>
              </w:tabs>
              <w:overflowPunct/>
              <w:autoSpaceDE/>
              <w:autoSpaceDN/>
              <w:adjustRightInd/>
              <w:jc w:val="center"/>
              <w:textAlignment w:val="auto"/>
              <w:rPr>
                <w:rFonts w:ascii="Arial" w:hAnsi="Arial" w:cs="Arial"/>
                <w:szCs w:val="24"/>
              </w:rPr>
            </w:pPr>
          </w:p>
        </w:tc>
        <w:tc>
          <w:tcPr>
            <w:tcW w:w="1901" w:type="dxa"/>
            <w:noWrap/>
            <w:vAlign w:val="bottom"/>
          </w:tcPr>
          <w:p w:rsidR="00FA4C51" w:rsidRDefault="00FA4C51">
            <w:pPr>
              <w:overflowPunct/>
              <w:autoSpaceDE/>
              <w:autoSpaceDN/>
              <w:adjustRightInd/>
              <w:jc w:val="center"/>
              <w:textAlignment w:val="auto"/>
              <w:rPr>
                <w:rFonts w:ascii="Arial" w:hAnsi="Arial" w:cs="Arial"/>
                <w:b/>
                <w:szCs w:val="24"/>
                <w:u w:val="single"/>
              </w:rPr>
            </w:pPr>
          </w:p>
          <w:p w:rsidR="00FA4C51" w:rsidRDefault="00BB2BCC">
            <w:pPr>
              <w:overflowPunct/>
              <w:autoSpaceDE/>
              <w:autoSpaceDN/>
              <w:adjustRightInd/>
              <w:jc w:val="center"/>
              <w:textAlignment w:val="auto"/>
              <w:rPr>
                <w:rFonts w:ascii="Arial" w:hAnsi="Arial" w:cs="Arial"/>
                <w:b/>
                <w:szCs w:val="24"/>
                <w:u w:val="single"/>
              </w:rPr>
            </w:pPr>
            <w:r>
              <w:rPr>
                <w:rFonts w:ascii="Arial" w:hAnsi="Arial" w:cs="Arial"/>
                <w:b/>
                <w:szCs w:val="24"/>
                <w:u w:val="single"/>
              </w:rPr>
              <w:t>Over/</w:t>
            </w:r>
            <w:r w:rsidR="00FA4C51">
              <w:rPr>
                <w:rFonts w:ascii="Arial" w:hAnsi="Arial" w:cs="Arial"/>
                <w:b/>
                <w:szCs w:val="24"/>
                <w:u w:val="single"/>
              </w:rPr>
              <w:t>(Under)</w:t>
            </w:r>
          </w:p>
          <w:p w:rsidR="00FA4C51" w:rsidRPr="00216442" w:rsidRDefault="00FA4C51">
            <w:pPr>
              <w:overflowPunct/>
              <w:autoSpaceDE/>
              <w:autoSpaceDN/>
              <w:adjustRightInd/>
              <w:jc w:val="center"/>
              <w:textAlignment w:val="auto"/>
              <w:rPr>
                <w:rFonts w:ascii="Arial" w:hAnsi="Arial" w:cs="Arial"/>
                <w:b/>
                <w:szCs w:val="24"/>
                <w:u w:val="single"/>
              </w:rPr>
            </w:pPr>
            <w:r w:rsidRPr="00216442">
              <w:rPr>
                <w:rFonts w:ascii="Arial" w:hAnsi="Arial" w:cs="Arial"/>
                <w:b/>
                <w:szCs w:val="24"/>
                <w:u w:val="single"/>
              </w:rPr>
              <w:t>Collection</w:t>
            </w:r>
            <w:r>
              <w:rPr>
                <w:rFonts w:ascii="Arial" w:hAnsi="Arial" w:cs="Arial"/>
                <w:b/>
                <w:szCs w:val="24"/>
                <w:u w:val="single"/>
              </w:rPr>
              <w:t>s</w:t>
            </w:r>
          </w:p>
          <w:p w:rsidR="00FA4C51" w:rsidRDefault="00FA4C51">
            <w:pPr>
              <w:overflowPunct/>
              <w:autoSpaceDE/>
              <w:autoSpaceDN/>
              <w:adjustRightInd/>
              <w:jc w:val="center"/>
              <w:textAlignment w:val="auto"/>
              <w:rPr>
                <w:rFonts w:ascii="Arial" w:hAnsi="Arial" w:cs="Arial"/>
                <w:b/>
                <w:szCs w:val="24"/>
                <w:u w:val="single"/>
              </w:rPr>
            </w:pPr>
            <w:r w:rsidRPr="00216442">
              <w:rPr>
                <w:rFonts w:ascii="Arial" w:hAnsi="Arial" w:cs="Arial"/>
                <w:b/>
                <w:szCs w:val="24"/>
                <w:u w:val="single"/>
              </w:rPr>
              <w:t xml:space="preserve">(Note </w:t>
            </w:r>
            <w:r w:rsidR="00721408">
              <w:rPr>
                <w:rFonts w:ascii="Arial" w:hAnsi="Arial" w:cs="Arial"/>
                <w:b/>
                <w:szCs w:val="24"/>
                <w:u w:val="single"/>
              </w:rPr>
              <w:t>5</w:t>
            </w:r>
            <w:r w:rsidRPr="00216442">
              <w:rPr>
                <w:rFonts w:ascii="Arial" w:hAnsi="Arial" w:cs="Arial"/>
                <w:b/>
                <w:szCs w:val="24"/>
                <w:u w:val="single"/>
              </w:rPr>
              <w:t>)</w:t>
            </w:r>
          </w:p>
          <w:p w:rsidR="00FA4C51" w:rsidRPr="00216442" w:rsidRDefault="00FA4C51" w:rsidP="00A1597B">
            <w:pPr>
              <w:tabs>
                <w:tab w:val="decimal" w:pos="1605"/>
              </w:tabs>
              <w:overflowPunct/>
              <w:autoSpaceDE/>
              <w:autoSpaceDN/>
              <w:adjustRightInd/>
              <w:jc w:val="center"/>
              <w:textAlignment w:val="auto"/>
              <w:rPr>
                <w:rFonts w:ascii="Arial" w:hAnsi="Arial" w:cs="Arial"/>
                <w:szCs w:val="24"/>
              </w:rPr>
            </w:pPr>
          </w:p>
        </w:tc>
      </w:tr>
      <w:tr w:rsidR="00257C99" w:rsidRPr="001D73AB" w:rsidTr="00A1597B">
        <w:trPr>
          <w:trHeight w:val="255"/>
        </w:trPr>
        <w:tc>
          <w:tcPr>
            <w:tcW w:w="2376" w:type="dxa"/>
            <w:noWrap/>
          </w:tcPr>
          <w:p w:rsidR="00257C99" w:rsidRDefault="00257C99" w:rsidP="00257C99">
            <w:pPr>
              <w:overflowPunct/>
              <w:autoSpaceDE/>
              <w:autoSpaceDN/>
              <w:adjustRightInd/>
              <w:textAlignment w:val="auto"/>
              <w:rPr>
                <w:rFonts w:ascii="Arial" w:hAnsi="Arial" w:cs="Arial"/>
                <w:szCs w:val="24"/>
              </w:rPr>
            </w:pPr>
          </w:p>
          <w:p w:rsidR="00257C99" w:rsidRPr="00216442" w:rsidRDefault="00257C99" w:rsidP="00257C99">
            <w:pPr>
              <w:overflowPunct/>
              <w:autoSpaceDE/>
              <w:autoSpaceDN/>
              <w:adjustRightInd/>
              <w:textAlignment w:val="auto"/>
              <w:rPr>
                <w:rFonts w:ascii="Arial" w:hAnsi="Arial" w:cs="Arial"/>
                <w:szCs w:val="24"/>
              </w:rPr>
            </w:pPr>
            <w:r w:rsidRPr="00216442">
              <w:rPr>
                <w:rFonts w:ascii="Arial" w:hAnsi="Arial" w:cs="Arial"/>
                <w:szCs w:val="24"/>
              </w:rPr>
              <w:t>Residential</w:t>
            </w:r>
            <w:r>
              <w:rPr>
                <w:rFonts w:ascii="Arial" w:hAnsi="Arial" w:cs="Arial"/>
                <w:szCs w:val="24"/>
              </w:rPr>
              <w:t xml:space="preserve"> –</w:t>
            </w:r>
            <w:r w:rsidRPr="00216442">
              <w:rPr>
                <w:rFonts w:ascii="Arial" w:hAnsi="Arial" w:cs="Arial"/>
                <w:szCs w:val="24"/>
              </w:rPr>
              <w:t xml:space="preserve"> </w:t>
            </w:r>
            <w:r>
              <w:rPr>
                <w:rFonts w:ascii="Arial" w:hAnsi="Arial" w:cs="Arial"/>
                <w:szCs w:val="24"/>
              </w:rPr>
              <w:t>Fixed</w:t>
            </w:r>
          </w:p>
        </w:tc>
        <w:tc>
          <w:tcPr>
            <w:tcW w:w="1980" w:type="dxa"/>
            <w:noWrap/>
          </w:tcPr>
          <w:p w:rsidR="00257C99" w:rsidRDefault="00257C99" w:rsidP="00257C99">
            <w:pPr>
              <w:tabs>
                <w:tab w:val="decimal" w:pos="1524"/>
              </w:tabs>
              <w:overflowPunct/>
              <w:autoSpaceDE/>
              <w:autoSpaceDN/>
              <w:adjustRightInd/>
              <w:textAlignment w:val="auto"/>
              <w:rPr>
                <w:rFonts w:ascii="Arial" w:hAnsi="Arial" w:cs="Arial"/>
                <w:szCs w:val="24"/>
              </w:rPr>
            </w:pPr>
          </w:p>
          <w:p w:rsidR="00257C99" w:rsidRPr="00216442" w:rsidRDefault="008818F3" w:rsidP="008818F3">
            <w:pPr>
              <w:tabs>
                <w:tab w:val="decimal" w:pos="1524"/>
              </w:tabs>
              <w:overflowPunct/>
              <w:autoSpaceDE/>
              <w:autoSpaceDN/>
              <w:adjustRightInd/>
              <w:textAlignment w:val="auto"/>
              <w:rPr>
                <w:rFonts w:ascii="Arial" w:hAnsi="Arial" w:cs="Arial"/>
                <w:szCs w:val="24"/>
              </w:rPr>
            </w:pPr>
            <w:r>
              <w:rPr>
                <w:rFonts w:ascii="Arial" w:hAnsi="Arial" w:cs="Arial"/>
                <w:szCs w:val="24"/>
              </w:rPr>
              <w:t>$</w:t>
            </w:r>
            <w:r w:rsidR="00257C99">
              <w:rPr>
                <w:rFonts w:ascii="Arial" w:hAnsi="Arial" w:cs="Arial"/>
                <w:szCs w:val="24"/>
              </w:rPr>
              <w:t>301,898,705</w:t>
            </w:r>
          </w:p>
        </w:tc>
        <w:tc>
          <w:tcPr>
            <w:tcW w:w="1980" w:type="dxa"/>
            <w:noWrap/>
            <w:vAlign w:val="bottom"/>
          </w:tcPr>
          <w:p w:rsidR="00257C99" w:rsidRPr="00216442" w:rsidRDefault="008818F3" w:rsidP="00257C99">
            <w:pPr>
              <w:tabs>
                <w:tab w:val="decimal" w:pos="1605"/>
              </w:tabs>
              <w:overflowPunct/>
              <w:autoSpaceDE/>
              <w:autoSpaceDN/>
              <w:adjustRightInd/>
              <w:textAlignment w:val="auto"/>
              <w:rPr>
                <w:rFonts w:ascii="Arial" w:hAnsi="Arial" w:cs="Arial"/>
                <w:szCs w:val="24"/>
              </w:rPr>
            </w:pPr>
            <w:r>
              <w:rPr>
                <w:rFonts w:ascii="Arial" w:hAnsi="Arial" w:cs="Arial"/>
                <w:szCs w:val="24"/>
              </w:rPr>
              <w:t>$</w:t>
            </w:r>
            <w:r w:rsidR="00257C99">
              <w:rPr>
                <w:rFonts w:ascii="Arial" w:hAnsi="Arial" w:cs="Arial"/>
                <w:szCs w:val="24"/>
              </w:rPr>
              <w:t>291,820,831</w:t>
            </w:r>
          </w:p>
        </w:tc>
        <w:tc>
          <w:tcPr>
            <w:tcW w:w="1901" w:type="dxa"/>
            <w:noWrap/>
            <w:vAlign w:val="bottom"/>
          </w:tcPr>
          <w:p w:rsidR="00257C99" w:rsidRPr="00216442" w:rsidRDefault="008818F3" w:rsidP="00257C99">
            <w:pPr>
              <w:tabs>
                <w:tab w:val="decimal" w:pos="1605"/>
              </w:tabs>
              <w:overflowPunct/>
              <w:autoSpaceDE/>
              <w:autoSpaceDN/>
              <w:adjustRightInd/>
              <w:textAlignment w:val="auto"/>
              <w:rPr>
                <w:rFonts w:ascii="Arial" w:hAnsi="Arial" w:cs="Arial"/>
                <w:szCs w:val="24"/>
              </w:rPr>
            </w:pPr>
            <w:r>
              <w:rPr>
                <w:rFonts w:ascii="Arial" w:hAnsi="Arial" w:cs="Arial"/>
                <w:szCs w:val="24"/>
              </w:rPr>
              <w:t>$</w:t>
            </w:r>
            <w:r w:rsidR="00257C99">
              <w:rPr>
                <w:rFonts w:ascii="Arial" w:hAnsi="Arial" w:cs="Arial"/>
                <w:szCs w:val="24"/>
              </w:rPr>
              <w:t>10,077,874</w:t>
            </w:r>
          </w:p>
        </w:tc>
      </w:tr>
      <w:tr w:rsidR="00257C99" w:rsidRPr="001D73AB" w:rsidTr="00A1597B">
        <w:trPr>
          <w:trHeight w:val="83"/>
        </w:trPr>
        <w:tc>
          <w:tcPr>
            <w:tcW w:w="2376" w:type="dxa"/>
            <w:noWrap/>
          </w:tcPr>
          <w:p w:rsidR="00257C99" w:rsidRPr="00216442" w:rsidRDefault="00257C99" w:rsidP="00257C99">
            <w:pPr>
              <w:overflowPunct/>
              <w:autoSpaceDE/>
              <w:autoSpaceDN/>
              <w:adjustRightInd/>
              <w:jc w:val="center"/>
              <w:textAlignment w:val="auto"/>
              <w:rPr>
                <w:rFonts w:ascii="Arial" w:hAnsi="Arial" w:cs="Arial"/>
                <w:szCs w:val="24"/>
                <w:u w:val="single"/>
              </w:rPr>
            </w:pPr>
          </w:p>
        </w:tc>
        <w:tc>
          <w:tcPr>
            <w:tcW w:w="1980" w:type="dxa"/>
            <w:noWrap/>
          </w:tcPr>
          <w:p w:rsidR="00257C99" w:rsidRPr="00216442" w:rsidRDefault="00257C99" w:rsidP="00257C99">
            <w:pPr>
              <w:tabs>
                <w:tab w:val="decimal" w:pos="1524"/>
              </w:tabs>
              <w:overflowPunct/>
              <w:autoSpaceDE/>
              <w:autoSpaceDN/>
              <w:adjustRightInd/>
              <w:textAlignment w:val="auto"/>
              <w:rPr>
                <w:rFonts w:ascii="Arial" w:hAnsi="Arial" w:cs="Arial"/>
                <w:szCs w:val="24"/>
              </w:rPr>
            </w:pPr>
          </w:p>
        </w:tc>
        <w:tc>
          <w:tcPr>
            <w:tcW w:w="1980" w:type="dxa"/>
            <w:noWrap/>
            <w:vAlign w:val="bottom"/>
          </w:tcPr>
          <w:p w:rsidR="00257C99" w:rsidRPr="00216442" w:rsidRDefault="00257C99" w:rsidP="00257C99">
            <w:pPr>
              <w:tabs>
                <w:tab w:val="decimal" w:pos="1605"/>
              </w:tabs>
              <w:overflowPunct/>
              <w:autoSpaceDE/>
              <w:autoSpaceDN/>
              <w:adjustRightInd/>
              <w:textAlignment w:val="auto"/>
              <w:rPr>
                <w:rFonts w:ascii="Arial" w:hAnsi="Arial" w:cs="Arial"/>
                <w:szCs w:val="24"/>
              </w:rPr>
            </w:pPr>
          </w:p>
        </w:tc>
        <w:tc>
          <w:tcPr>
            <w:tcW w:w="1901" w:type="dxa"/>
            <w:noWrap/>
            <w:vAlign w:val="bottom"/>
          </w:tcPr>
          <w:p w:rsidR="00257C99" w:rsidRPr="00216442" w:rsidRDefault="00257C99" w:rsidP="00257C99">
            <w:pPr>
              <w:tabs>
                <w:tab w:val="decimal" w:pos="1605"/>
              </w:tabs>
              <w:overflowPunct/>
              <w:autoSpaceDE/>
              <w:autoSpaceDN/>
              <w:adjustRightInd/>
              <w:textAlignment w:val="auto"/>
              <w:rPr>
                <w:rFonts w:ascii="Arial" w:hAnsi="Arial" w:cs="Arial"/>
                <w:szCs w:val="24"/>
              </w:rPr>
            </w:pPr>
          </w:p>
        </w:tc>
      </w:tr>
      <w:tr w:rsidR="00257C99" w:rsidRPr="001D73AB" w:rsidTr="00A1597B">
        <w:trPr>
          <w:trHeight w:val="255"/>
        </w:trPr>
        <w:tc>
          <w:tcPr>
            <w:tcW w:w="2376" w:type="dxa"/>
            <w:noWrap/>
          </w:tcPr>
          <w:p w:rsidR="00257C99" w:rsidRPr="00216442" w:rsidRDefault="00257C99" w:rsidP="00257C99">
            <w:pPr>
              <w:overflowPunct/>
              <w:autoSpaceDE/>
              <w:autoSpaceDN/>
              <w:adjustRightInd/>
              <w:textAlignment w:val="auto"/>
              <w:rPr>
                <w:rFonts w:ascii="Arial" w:hAnsi="Arial" w:cs="Arial"/>
                <w:szCs w:val="24"/>
              </w:rPr>
            </w:pPr>
            <w:r>
              <w:rPr>
                <w:rFonts w:ascii="Arial" w:hAnsi="Arial" w:cs="Arial"/>
                <w:szCs w:val="24"/>
              </w:rPr>
              <w:t>RS Off Peak</w:t>
            </w:r>
          </w:p>
        </w:tc>
        <w:tc>
          <w:tcPr>
            <w:tcW w:w="1980" w:type="dxa"/>
            <w:noWrap/>
            <w:vAlign w:val="bottom"/>
          </w:tcPr>
          <w:p w:rsidR="00257C99" w:rsidRPr="00216442" w:rsidRDefault="00257C99" w:rsidP="00257C99">
            <w:pPr>
              <w:tabs>
                <w:tab w:val="decimal" w:pos="1524"/>
              </w:tabs>
              <w:overflowPunct/>
              <w:autoSpaceDE/>
              <w:autoSpaceDN/>
              <w:adjustRightInd/>
              <w:textAlignment w:val="auto"/>
              <w:rPr>
                <w:rFonts w:ascii="Arial" w:hAnsi="Arial" w:cs="Arial"/>
                <w:szCs w:val="24"/>
              </w:rPr>
            </w:pPr>
            <w:r>
              <w:rPr>
                <w:rFonts w:ascii="Arial" w:hAnsi="Arial" w:cs="Arial"/>
                <w:szCs w:val="24"/>
              </w:rPr>
              <w:t>3,995,473</w:t>
            </w:r>
          </w:p>
        </w:tc>
        <w:tc>
          <w:tcPr>
            <w:tcW w:w="1980" w:type="dxa"/>
            <w:noWrap/>
            <w:vAlign w:val="bottom"/>
          </w:tcPr>
          <w:p w:rsidR="00257C99" w:rsidRPr="00216442" w:rsidRDefault="00257C99" w:rsidP="00257C99">
            <w:pPr>
              <w:tabs>
                <w:tab w:val="decimal" w:pos="1605"/>
              </w:tabs>
              <w:overflowPunct/>
              <w:autoSpaceDE/>
              <w:autoSpaceDN/>
              <w:adjustRightInd/>
              <w:textAlignment w:val="auto"/>
              <w:rPr>
                <w:rFonts w:ascii="Arial" w:hAnsi="Arial" w:cs="Arial"/>
                <w:szCs w:val="24"/>
              </w:rPr>
            </w:pPr>
            <w:r>
              <w:rPr>
                <w:rFonts w:ascii="Arial" w:hAnsi="Arial" w:cs="Arial"/>
                <w:szCs w:val="24"/>
              </w:rPr>
              <w:t>5,428,301</w:t>
            </w:r>
          </w:p>
        </w:tc>
        <w:tc>
          <w:tcPr>
            <w:tcW w:w="1901" w:type="dxa"/>
            <w:noWrap/>
            <w:vAlign w:val="bottom"/>
          </w:tcPr>
          <w:p w:rsidR="00257C99" w:rsidRPr="00216442" w:rsidRDefault="00257C99" w:rsidP="00257C99">
            <w:pPr>
              <w:tabs>
                <w:tab w:val="decimal" w:pos="1605"/>
              </w:tabs>
              <w:overflowPunct/>
              <w:autoSpaceDE/>
              <w:autoSpaceDN/>
              <w:adjustRightInd/>
              <w:textAlignment w:val="auto"/>
              <w:rPr>
                <w:rFonts w:ascii="Arial" w:hAnsi="Arial" w:cs="Arial"/>
                <w:szCs w:val="24"/>
              </w:rPr>
            </w:pPr>
            <w:r>
              <w:rPr>
                <w:rFonts w:ascii="Arial" w:hAnsi="Arial" w:cs="Arial"/>
                <w:szCs w:val="24"/>
              </w:rPr>
              <w:t>(1,432,828)</w:t>
            </w:r>
          </w:p>
        </w:tc>
      </w:tr>
      <w:tr w:rsidR="00257C99" w:rsidRPr="001D73AB" w:rsidTr="00A1597B">
        <w:trPr>
          <w:trHeight w:val="255"/>
        </w:trPr>
        <w:tc>
          <w:tcPr>
            <w:tcW w:w="2376" w:type="dxa"/>
            <w:noWrap/>
          </w:tcPr>
          <w:p w:rsidR="00257C99" w:rsidRPr="00216442" w:rsidRDefault="00257C99" w:rsidP="00257C99">
            <w:pPr>
              <w:overflowPunct/>
              <w:autoSpaceDE/>
              <w:autoSpaceDN/>
              <w:adjustRightInd/>
              <w:textAlignment w:val="auto"/>
              <w:rPr>
                <w:rFonts w:ascii="Arial" w:hAnsi="Arial" w:cs="Arial"/>
                <w:szCs w:val="24"/>
              </w:rPr>
            </w:pPr>
          </w:p>
        </w:tc>
        <w:tc>
          <w:tcPr>
            <w:tcW w:w="1980" w:type="dxa"/>
            <w:noWrap/>
          </w:tcPr>
          <w:p w:rsidR="00257C99" w:rsidRPr="00216442" w:rsidRDefault="00257C99" w:rsidP="00257C99">
            <w:pPr>
              <w:tabs>
                <w:tab w:val="decimal" w:pos="1524"/>
              </w:tabs>
              <w:overflowPunct/>
              <w:autoSpaceDE/>
              <w:autoSpaceDN/>
              <w:adjustRightInd/>
              <w:textAlignment w:val="auto"/>
              <w:rPr>
                <w:rFonts w:ascii="Arial" w:hAnsi="Arial" w:cs="Arial"/>
                <w:szCs w:val="24"/>
              </w:rPr>
            </w:pPr>
          </w:p>
        </w:tc>
        <w:tc>
          <w:tcPr>
            <w:tcW w:w="1980" w:type="dxa"/>
            <w:noWrap/>
            <w:vAlign w:val="bottom"/>
          </w:tcPr>
          <w:p w:rsidR="00257C99" w:rsidRPr="00216442" w:rsidRDefault="00257C99" w:rsidP="00257C99">
            <w:pPr>
              <w:tabs>
                <w:tab w:val="decimal" w:pos="1605"/>
              </w:tabs>
              <w:overflowPunct/>
              <w:autoSpaceDE/>
              <w:autoSpaceDN/>
              <w:adjustRightInd/>
              <w:textAlignment w:val="auto"/>
              <w:rPr>
                <w:rFonts w:ascii="Arial" w:hAnsi="Arial" w:cs="Arial"/>
                <w:szCs w:val="24"/>
              </w:rPr>
            </w:pPr>
          </w:p>
        </w:tc>
        <w:tc>
          <w:tcPr>
            <w:tcW w:w="1901" w:type="dxa"/>
            <w:noWrap/>
            <w:vAlign w:val="bottom"/>
          </w:tcPr>
          <w:p w:rsidR="00257C99" w:rsidRPr="00216442" w:rsidRDefault="00257C99" w:rsidP="00257C99">
            <w:pPr>
              <w:tabs>
                <w:tab w:val="decimal" w:pos="1605"/>
              </w:tabs>
              <w:overflowPunct/>
              <w:autoSpaceDE/>
              <w:autoSpaceDN/>
              <w:adjustRightInd/>
              <w:textAlignment w:val="auto"/>
              <w:rPr>
                <w:rFonts w:ascii="Arial" w:hAnsi="Arial" w:cs="Arial"/>
                <w:szCs w:val="24"/>
              </w:rPr>
            </w:pPr>
          </w:p>
        </w:tc>
      </w:tr>
      <w:tr w:rsidR="00257C99" w:rsidRPr="001D73AB" w:rsidTr="00A1597B">
        <w:trPr>
          <w:trHeight w:val="255"/>
        </w:trPr>
        <w:tc>
          <w:tcPr>
            <w:tcW w:w="2376" w:type="dxa"/>
            <w:noWrap/>
          </w:tcPr>
          <w:p w:rsidR="00257C99" w:rsidRPr="00216442" w:rsidRDefault="00257C99" w:rsidP="00257C99">
            <w:pPr>
              <w:overflowPunct/>
              <w:autoSpaceDE/>
              <w:autoSpaceDN/>
              <w:adjustRightInd/>
              <w:textAlignment w:val="auto"/>
              <w:rPr>
                <w:rFonts w:ascii="Arial" w:hAnsi="Arial" w:cs="Arial"/>
                <w:szCs w:val="24"/>
              </w:rPr>
            </w:pPr>
            <w:r>
              <w:rPr>
                <w:rFonts w:ascii="Arial" w:hAnsi="Arial" w:cs="Arial"/>
                <w:szCs w:val="24"/>
              </w:rPr>
              <w:t>RS On Peak</w:t>
            </w:r>
          </w:p>
        </w:tc>
        <w:tc>
          <w:tcPr>
            <w:tcW w:w="1980" w:type="dxa"/>
            <w:noWrap/>
            <w:vAlign w:val="bottom"/>
          </w:tcPr>
          <w:p w:rsidR="00257C99" w:rsidRPr="00216442" w:rsidRDefault="00257C99" w:rsidP="00257C99">
            <w:pPr>
              <w:tabs>
                <w:tab w:val="decimal" w:pos="1524"/>
              </w:tabs>
              <w:overflowPunct/>
              <w:autoSpaceDE/>
              <w:autoSpaceDN/>
              <w:adjustRightInd/>
              <w:textAlignment w:val="auto"/>
              <w:rPr>
                <w:rFonts w:ascii="Arial" w:hAnsi="Arial" w:cs="Arial"/>
                <w:szCs w:val="24"/>
              </w:rPr>
            </w:pPr>
            <w:r>
              <w:rPr>
                <w:rFonts w:ascii="Arial" w:hAnsi="Arial" w:cs="Arial"/>
                <w:szCs w:val="24"/>
              </w:rPr>
              <w:t>332,109</w:t>
            </w:r>
          </w:p>
        </w:tc>
        <w:tc>
          <w:tcPr>
            <w:tcW w:w="1980" w:type="dxa"/>
            <w:noWrap/>
            <w:vAlign w:val="bottom"/>
          </w:tcPr>
          <w:p w:rsidR="00257C99" w:rsidRPr="00216442" w:rsidRDefault="00257C99" w:rsidP="00257C99">
            <w:pPr>
              <w:tabs>
                <w:tab w:val="decimal" w:pos="1605"/>
              </w:tabs>
              <w:overflowPunct/>
              <w:autoSpaceDE/>
              <w:autoSpaceDN/>
              <w:adjustRightInd/>
              <w:textAlignment w:val="auto"/>
              <w:rPr>
                <w:rFonts w:ascii="Arial" w:hAnsi="Arial" w:cs="Arial"/>
                <w:szCs w:val="24"/>
              </w:rPr>
            </w:pPr>
            <w:r>
              <w:rPr>
                <w:rFonts w:ascii="Arial" w:hAnsi="Arial" w:cs="Arial"/>
                <w:szCs w:val="24"/>
              </w:rPr>
              <w:t>585,508</w:t>
            </w:r>
          </w:p>
        </w:tc>
        <w:tc>
          <w:tcPr>
            <w:tcW w:w="1901" w:type="dxa"/>
            <w:noWrap/>
            <w:vAlign w:val="bottom"/>
          </w:tcPr>
          <w:p w:rsidR="00257C99" w:rsidRPr="00216442" w:rsidRDefault="00257C99" w:rsidP="00257C99">
            <w:pPr>
              <w:tabs>
                <w:tab w:val="decimal" w:pos="1605"/>
              </w:tabs>
              <w:overflowPunct/>
              <w:autoSpaceDE/>
              <w:autoSpaceDN/>
              <w:adjustRightInd/>
              <w:textAlignment w:val="auto"/>
              <w:rPr>
                <w:rFonts w:ascii="Arial" w:hAnsi="Arial" w:cs="Arial"/>
                <w:szCs w:val="24"/>
              </w:rPr>
            </w:pPr>
            <w:r>
              <w:rPr>
                <w:rFonts w:ascii="Arial" w:hAnsi="Arial" w:cs="Arial"/>
                <w:szCs w:val="24"/>
              </w:rPr>
              <w:t>(253,399)</w:t>
            </w:r>
          </w:p>
        </w:tc>
      </w:tr>
      <w:tr w:rsidR="00257C99" w:rsidRPr="00216442" w:rsidTr="00A1597B">
        <w:trPr>
          <w:trHeight w:val="255"/>
        </w:trPr>
        <w:tc>
          <w:tcPr>
            <w:tcW w:w="2376" w:type="dxa"/>
            <w:noWrap/>
          </w:tcPr>
          <w:p w:rsidR="00257C99" w:rsidRDefault="00257C99" w:rsidP="00257C99">
            <w:pPr>
              <w:overflowPunct/>
              <w:autoSpaceDE/>
              <w:autoSpaceDN/>
              <w:adjustRightInd/>
              <w:textAlignment w:val="auto"/>
              <w:rPr>
                <w:rFonts w:ascii="Arial" w:hAnsi="Arial" w:cs="Arial"/>
                <w:szCs w:val="24"/>
              </w:rPr>
            </w:pPr>
          </w:p>
          <w:p w:rsidR="00257C99" w:rsidRPr="00216442" w:rsidRDefault="00257C99" w:rsidP="00257C99">
            <w:pPr>
              <w:overflowPunct/>
              <w:autoSpaceDE/>
              <w:autoSpaceDN/>
              <w:adjustRightInd/>
              <w:textAlignment w:val="auto"/>
              <w:rPr>
                <w:rFonts w:ascii="Arial" w:hAnsi="Arial" w:cs="Arial"/>
                <w:szCs w:val="24"/>
              </w:rPr>
            </w:pPr>
            <w:r>
              <w:rPr>
                <w:rFonts w:ascii="Arial" w:hAnsi="Arial" w:cs="Arial"/>
                <w:szCs w:val="24"/>
              </w:rPr>
              <w:t>RTS Off Peak</w:t>
            </w:r>
          </w:p>
        </w:tc>
        <w:tc>
          <w:tcPr>
            <w:tcW w:w="1980" w:type="dxa"/>
            <w:noWrap/>
          </w:tcPr>
          <w:p w:rsidR="00257C99" w:rsidRDefault="00257C99" w:rsidP="00257C99">
            <w:pPr>
              <w:tabs>
                <w:tab w:val="decimal" w:pos="1524"/>
              </w:tabs>
              <w:overflowPunct/>
              <w:autoSpaceDE/>
              <w:autoSpaceDN/>
              <w:adjustRightInd/>
              <w:textAlignment w:val="auto"/>
              <w:rPr>
                <w:rFonts w:ascii="Arial" w:hAnsi="Arial" w:cs="Arial"/>
                <w:szCs w:val="24"/>
              </w:rPr>
            </w:pPr>
          </w:p>
          <w:p w:rsidR="00257C99" w:rsidRPr="00216442" w:rsidRDefault="00257C99" w:rsidP="00257C99">
            <w:pPr>
              <w:tabs>
                <w:tab w:val="decimal" w:pos="1524"/>
              </w:tabs>
              <w:overflowPunct/>
              <w:autoSpaceDE/>
              <w:autoSpaceDN/>
              <w:adjustRightInd/>
              <w:textAlignment w:val="auto"/>
              <w:rPr>
                <w:rFonts w:ascii="Arial" w:hAnsi="Arial" w:cs="Arial"/>
                <w:szCs w:val="24"/>
              </w:rPr>
            </w:pPr>
            <w:r>
              <w:rPr>
                <w:rFonts w:ascii="Arial" w:hAnsi="Arial" w:cs="Arial"/>
                <w:szCs w:val="24"/>
              </w:rPr>
              <w:t>531,376</w:t>
            </w:r>
          </w:p>
        </w:tc>
        <w:tc>
          <w:tcPr>
            <w:tcW w:w="1980" w:type="dxa"/>
            <w:noWrap/>
            <w:vAlign w:val="bottom"/>
          </w:tcPr>
          <w:p w:rsidR="00257C99" w:rsidRPr="00216442" w:rsidRDefault="00257C99" w:rsidP="00257C99">
            <w:pPr>
              <w:tabs>
                <w:tab w:val="decimal" w:pos="1605"/>
              </w:tabs>
              <w:overflowPunct/>
              <w:autoSpaceDE/>
              <w:autoSpaceDN/>
              <w:adjustRightInd/>
              <w:textAlignment w:val="auto"/>
              <w:rPr>
                <w:rFonts w:ascii="Arial" w:hAnsi="Arial" w:cs="Arial"/>
                <w:szCs w:val="24"/>
              </w:rPr>
            </w:pPr>
            <w:r>
              <w:rPr>
                <w:rFonts w:ascii="Arial" w:hAnsi="Arial" w:cs="Arial"/>
                <w:szCs w:val="24"/>
              </w:rPr>
              <w:t>723,358</w:t>
            </w:r>
          </w:p>
        </w:tc>
        <w:tc>
          <w:tcPr>
            <w:tcW w:w="1901" w:type="dxa"/>
            <w:noWrap/>
            <w:vAlign w:val="bottom"/>
          </w:tcPr>
          <w:p w:rsidR="00257C99" w:rsidRPr="00216442" w:rsidRDefault="00257C99" w:rsidP="00257C99">
            <w:pPr>
              <w:tabs>
                <w:tab w:val="decimal" w:pos="1605"/>
              </w:tabs>
              <w:overflowPunct/>
              <w:autoSpaceDE/>
              <w:autoSpaceDN/>
              <w:adjustRightInd/>
              <w:textAlignment w:val="auto"/>
              <w:rPr>
                <w:rFonts w:ascii="Arial" w:hAnsi="Arial" w:cs="Arial"/>
                <w:szCs w:val="24"/>
              </w:rPr>
            </w:pPr>
            <w:r>
              <w:rPr>
                <w:rFonts w:ascii="Arial" w:hAnsi="Arial" w:cs="Arial"/>
                <w:szCs w:val="24"/>
              </w:rPr>
              <w:t>(191,982)</w:t>
            </w:r>
          </w:p>
        </w:tc>
      </w:tr>
      <w:tr w:rsidR="00257C99" w:rsidRPr="00216442" w:rsidTr="00A1597B">
        <w:trPr>
          <w:trHeight w:val="83"/>
        </w:trPr>
        <w:tc>
          <w:tcPr>
            <w:tcW w:w="2376" w:type="dxa"/>
            <w:noWrap/>
          </w:tcPr>
          <w:p w:rsidR="00257C99" w:rsidRPr="00216442" w:rsidRDefault="00257C99" w:rsidP="00257C99">
            <w:pPr>
              <w:overflowPunct/>
              <w:autoSpaceDE/>
              <w:autoSpaceDN/>
              <w:adjustRightInd/>
              <w:jc w:val="center"/>
              <w:textAlignment w:val="auto"/>
              <w:rPr>
                <w:rFonts w:ascii="Arial" w:hAnsi="Arial" w:cs="Arial"/>
                <w:szCs w:val="24"/>
                <w:u w:val="single"/>
              </w:rPr>
            </w:pPr>
          </w:p>
        </w:tc>
        <w:tc>
          <w:tcPr>
            <w:tcW w:w="1980" w:type="dxa"/>
            <w:noWrap/>
          </w:tcPr>
          <w:p w:rsidR="00257C99" w:rsidRPr="00216442" w:rsidRDefault="00257C99" w:rsidP="00257C99">
            <w:pPr>
              <w:tabs>
                <w:tab w:val="decimal" w:pos="1524"/>
              </w:tabs>
              <w:overflowPunct/>
              <w:autoSpaceDE/>
              <w:autoSpaceDN/>
              <w:adjustRightInd/>
              <w:textAlignment w:val="auto"/>
              <w:rPr>
                <w:rFonts w:ascii="Arial" w:hAnsi="Arial" w:cs="Arial"/>
                <w:szCs w:val="24"/>
              </w:rPr>
            </w:pPr>
          </w:p>
        </w:tc>
        <w:tc>
          <w:tcPr>
            <w:tcW w:w="1980" w:type="dxa"/>
            <w:noWrap/>
            <w:vAlign w:val="bottom"/>
          </w:tcPr>
          <w:p w:rsidR="00257C99" w:rsidRPr="00216442" w:rsidRDefault="00257C99" w:rsidP="00257C99">
            <w:pPr>
              <w:tabs>
                <w:tab w:val="decimal" w:pos="1605"/>
              </w:tabs>
              <w:overflowPunct/>
              <w:autoSpaceDE/>
              <w:autoSpaceDN/>
              <w:adjustRightInd/>
              <w:textAlignment w:val="auto"/>
              <w:rPr>
                <w:rFonts w:ascii="Arial" w:hAnsi="Arial" w:cs="Arial"/>
                <w:szCs w:val="24"/>
              </w:rPr>
            </w:pPr>
          </w:p>
        </w:tc>
        <w:tc>
          <w:tcPr>
            <w:tcW w:w="1901" w:type="dxa"/>
            <w:noWrap/>
            <w:vAlign w:val="bottom"/>
          </w:tcPr>
          <w:p w:rsidR="00257C99" w:rsidRPr="00216442" w:rsidRDefault="00257C99" w:rsidP="00257C99">
            <w:pPr>
              <w:tabs>
                <w:tab w:val="decimal" w:pos="1605"/>
              </w:tabs>
              <w:overflowPunct/>
              <w:autoSpaceDE/>
              <w:autoSpaceDN/>
              <w:adjustRightInd/>
              <w:textAlignment w:val="auto"/>
              <w:rPr>
                <w:rFonts w:ascii="Arial" w:hAnsi="Arial" w:cs="Arial"/>
                <w:szCs w:val="24"/>
              </w:rPr>
            </w:pPr>
          </w:p>
        </w:tc>
      </w:tr>
      <w:tr w:rsidR="00257C99" w:rsidRPr="00216442" w:rsidTr="00A1597B">
        <w:trPr>
          <w:trHeight w:val="255"/>
        </w:trPr>
        <w:tc>
          <w:tcPr>
            <w:tcW w:w="2376" w:type="dxa"/>
            <w:noWrap/>
          </w:tcPr>
          <w:p w:rsidR="00257C99" w:rsidRPr="00216442" w:rsidRDefault="00257C99" w:rsidP="00257C99">
            <w:pPr>
              <w:overflowPunct/>
              <w:autoSpaceDE/>
              <w:autoSpaceDN/>
              <w:adjustRightInd/>
              <w:textAlignment w:val="auto"/>
              <w:rPr>
                <w:rFonts w:ascii="Arial" w:hAnsi="Arial" w:cs="Arial"/>
                <w:szCs w:val="24"/>
              </w:rPr>
            </w:pPr>
            <w:r>
              <w:rPr>
                <w:rFonts w:ascii="Arial" w:hAnsi="Arial" w:cs="Arial"/>
                <w:szCs w:val="24"/>
              </w:rPr>
              <w:t>RTS On Peak</w:t>
            </w:r>
          </w:p>
        </w:tc>
        <w:tc>
          <w:tcPr>
            <w:tcW w:w="1980" w:type="dxa"/>
            <w:noWrap/>
            <w:vAlign w:val="bottom"/>
          </w:tcPr>
          <w:p w:rsidR="00257C99" w:rsidRPr="00216442" w:rsidRDefault="00257C99" w:rsidP="00257C99">
            <w:pPr>
              <w:tabs>
                <w:tab w:val="decimal" w:pos="1524"/>
              </w:tabs>
              <w:overflowPunct/>
              <w:autoSpaceDE/>
              <w:autoSpaceDN/>
              <w:adjustRightInd/>
              <w:textAlignment w:val="auto"/>
              <w:rPr>
                <w:rFonts w:ascii="Arial" w:hAnsi="Arial" w:cs="Arial"/>
                <w:szCs w:val="24"/>
              </w:rPr>
            </w:pPr>
            <w:r>
              <w:rPr>
                <w:rFonts w:ascii="Arial" w:hAnsi="Arial" w:cs="Arial"/>
                <w:szCs w:val="24"/>
              </w:rPr>
              <w:t>119,609</w:t>
            </w:r>
          </w:p>
        </w:tc>
        <w:tc>
          <w:tcPr>
            <w:tcW w:w="1980" w:type="dxa"/>
            <w:noWrap/>
            <w:vAlign w:val="bottom"/>
          </w:tcPr>
          <w:p w:rsidR="00257C99" w:rsidRPr="00216442" w:rsidRDefault="00257C99" w:rsidP="00257C99">
            <w:pPr>
              <w:tabs>
                <w:tab w:val="decimal" w:pos="1605"/>
              </w:tabs>
              <w:overflowPunct/>
              <w:autoSpaceDE/>
              <w:autoSpaceDN/>
              <w:adjustRightInd/>
              <w:textAlignment w:val="auto"/>
              <w:rPr>
                <w:rFonts w:ascii="Arial" w:hAnsi="Arial" w:cs="Arial"/>
                <w:szCs w:val="24"/>
              </w:rPr>
            </w:pPr>
            <w:r>
              <w:rPr>
                <w:rFonts w:ascii="Arial" w:hAnsi="Arial" w:cs="Arial"/>
                <w:szCs w:val="24"/>
              </w:rPr>
              <w:t>151,625</w:t>
            </w:r>
          </w:p>
        </w:tc>
        <w:tc>
          <w:tcPr>
            <w:tcW w:w="1901" w:type="dxa"/>
            <w:noWrap/>
            <w:vAlign w:val="bottom"/>
          </w:tcPr>
          <w:p w:rsidR="00257C99" w:rsidRPr="00216442" w:rsidRDefault="00257C99" w:rsidP="00257C99">
            <w:pPr>
              <w:tabs>
                <w:tab w:val="decimal" w:pos="1605"/>
              </w:tabs>
              <w:overflowPunct/>
              <w:autoSpaceDE/>
              <w:autoSpaceDN/>
              <w:adjustRightInd/>
              <w:textAlignment w:val="auto"/>
              <w:rPr>
                <w:rFonts w:ascii="Arial" w:hAnsi="Arial" w:cs="Arial"/>
                <w:szCs w:val="24"/>
              </w:rPr>
            </w:pPr>
            <w:r>
              <w:rPr>
                <w:rFonts w:ascii="Arial" w:hAnsi="Arial" w:cs="Arial"/>
                <w:szCs w:val="24"/>
              </w:rPr>
              <w:t>(32,016)</w:t>
            </w:r>
          </w:p>
        </w:tc>
      </w:tr>
      <w:tr w:rsidR="00257C99" w:rsidRPr="00216442" w:rsidTr="00A1597B">
        <w:trPr>
          <w:trHeight w:val="255"/>
        </w:trPr>
        <w:tc>
          <w:tcPr>
            <w:tcW w:w="2376" w:type="dxa"/>
            <w:noWrap/>
          </w:tcPr>
          <w:p w:rsidR="00257C99" w:rsidRPr="00216442" w:rsidRDefault="00257C99" w:rsidP="00257C99">
            <w:pPr>
              <w:overflowPunct/>
              <w:autoSpaceDE/>
              <w:autoSpaceDN/>
              <w:adjustRightInd/>
              <w:textAlignment w:val="auto"/>
              <w:rPr>
                <w:rFonts w:ascii="Arial" w:hAnsi="Arial" w:cs="Arial"/>
                <w:szCs w:val="24"/>
              </w:rPr>
            </w:pPr>
          </w:p>
        </w:tc>
        <w:tc>
          <w:tcPr>
            <w:tcW w:w="1980" w:type="dxa"/>
            <w:noWrap/>
          </w:tcPr>
          <w:p w:rsidR="00257C99" w:rsidRPr="00216442" w:rsidRDefault="00257C99" w:rsidP="00257C99">
            <w:pPr>
              <w:tabs>
                <w:tab w:val="decimal" w:pos="1524"/>
              </w:tabs>
              <w:overflowPunct/>
              <w:autoSpaceDE/>
              <w:autoSpaceDN/>
              <w:adjustRightInd/>
              <w:textAlignment w:val="auto"/>
              <w:rPr>
                <w:rFonts w:ascii="Arial" w:hAnsi="Arial" w:cs="Arial"/>
                <w:szCs w:val="24"/>
              </w:rPr>
            </w:pPr>
          </w:p>
        </w:tc>
        <w:tc>
          <w:tcPr>
            <w:tcW w:w="1980" w:type="dxa"/>
            <w:noWrap/>
            <w:vAlign w:val="bottom"/>
          </w:tcPr>
          <w:p w:rsidR="00257C99" w:rsidRPr="00216442" w:rsidRDefault="00257C99" w:rsidP="00257C99">
            <w:pPr>
              <w:tabs>
                <w:tab w:val="decimal" w:pos="1605"/>
              </w:tabs>
              <w:overflowPunct/>
              <w:autoSpaceDE/>
              <w:autoSpaceDN/>
              <w:adjustRightInd/>
              <w:textAlignment w:val="auto"/>
              <w:rPr>
                <w:rFonts w:ascii="Arial" w:hAnsi="Arial" w:cs="Arial"/>
                <w:szCs w:val="24"/>
              </w:rPr>
            </w:pPr>
          </w:p>
        </w:tc>
        <w:tc>
          <w:tcPr>
            <w:tcW w:w="1901" w:type="dxa"/>
            <w:noWrap/>
            <w:vAlign w:val="bottom"/>
          </w:tcPr>
          <w:p w:rsidR="00257C99" w:rsidRPr="00216442" w:rsidRDefault="00257C99" w:rsidP="00257C99">
            <w:pPr>
              <w:tabs>
                <w:tab w:val="decimal" w:pos="1605"/>
              </w:tabs>
              <w:overflowPunct/>
              <w:autoSpaceDE/>
              <w:autoSpaceDN/>
              <w:adjustRightInd/>
              <w:textAlignment w:val="auto"/>
              <w:rPr>
                <w:rFonts w:ascii="Arial" w:hAnsi="Arial" w:cs="Arial"/>
                <w:szCs w:val="24"/>
              </w:rPr>
            </w:pPr>
          </w:p>
        </w:tc>
      </w:tr>
      <w:tr w:rsidR="00257C99" w:rsidRPr="00216442" w:rsidTr="00A1597B">
        <w:trPr>
          <w:trHeight w:val="255"/>
        </w:trPr>
        <w:tc>
          <w:tcPr>
            <w:tcW w:w="2376" w:type="dxa"/>
            <w:noWrap/>
          </w:tcPr>
          <w:p w:rsidR="00257C99" w:rsidRPr="00216442" w:rsidRDefault="00257C99" w:rsidP="00257C99">
            <w:pPr>
              <w:overflowPunct/>
              <w:autoSpaceDE/>
              <w:autoSpaceDN/>
              <w:adjustRightInd/>
              <w:textAlignment w:val="auto"/>
              <w:rPr>
                <w:rFonts w:ascii="Arial" w:hAnsi="Arial" w:cs="Arial"/>
                <w:szCs w:val="24"/>
              </w:rPr>
            </w:pPr>
            <w:r>
              <w:rPr>
                <w:rFonts w:ascii="Arial" w:hAnsi="Arial" w:cs="Arial"/>
                <w:szCs w:val="24"/>
              </w:rPr>
              <w:t>Small C&amp;I</w:t>
            </w:r>
            <w:r w:rsidRPr="00216442">
              <w:rPr>
                <w:rFonts w:ascii="Arial" w:hAnsi="Arial" w:cs="Arial"/>
                <w:szCs w:val="24"/>
              </w:rPr>
              <w:t xml:space="preserve"> </w:t>
            </w:r>
            <w:r>
              <w:rPr>
                <w:rFonts w:ascii="Arial" w:hAnsi="Arial" w:cs="Arial"/>
                <w:szCs w:val="24"/>
              </w:rPr>
              <w:t>–</w:t>
            </w:r>
            <w:r w:rsidRPr="00216442">
              <w:rPr>
                <w:rFonts w:ascii="Arial" w:hAnsi="Arial" w:cs="Arial"/>
                <w:szCs w:val="24"/>
              </w:rPr>
              <w:t xml:space="preserve"> </w:t>
            </w:r>
            <w:r>
              <w:rPr>
                <w:rFonts w:ascii="Arial" w:hAnsi="Arial" w:cs="Arial"/>
                <w:szCs w:val="24"/>
              </w:rPr>
              <w:t>Fixed</w:t>
            </w:r>
          </w:p>
        </w:tc>
        <w:tc>
          <w:tcPr>
            <w:tcW w:w="1980" w:type="dxa"/>
            <w:noWrap/>
            <w:vAlign w:val="bottom"/>
          </w:tcPr>
          <w:p w:rsidR="00257C99" w:rsidRPr="00216442" w:rsidRDefault="00257C99" w:rsidP="00257C99">
            <w:pPr>
              <w:tabs>
                <w:tab w:val="decimal" w:pos="1524"/>
              </w:tabs>
              <w:overflowPunct/>
              <w:autoSpaceDE/>
              <w:autoSpaceDN/>
              <w:adjustRightInd/>
              <w:textAlignment w:val="auto"/>
              <w:rPr>
                <w:rFonts w:ascii="Arial" w:hAnsi="Arial" w:cs="Arial"/>
                <w:szCs w:val="24"/>
              </w:rPr>
            </w:pPr>
            <w:r>
              <w:rPr>
                <w:rFonts w:ascii="Arial" w:hAnsi="Arial" w:cs="Arial"/>
                <w:szCs w:val="24"/>
              </w:rPr>
              <w:t>77,952,284</w:t>
            </w:r>
          </w:p>
        </w:tc>
        <w:tc>
          <w:tcPr>
            <w:tcW w:w="1980" w:type="dxa"/>
            <w:noWrap/>
            <w:vAlign w:val="bottom"/>
          </w:tcPr>
          <w:p w:rsidR="00257C99" w:rsidRPr="00216442" w:rsidRDefault="00257C99" w:rsidP="00257C99">
            <w:pPr>
              <w:tabs>
                <w:tab w:val="decimal" w:pos="1605"/>
              </w:tabs>
              <w:overflowPunct/>
              <w:autoSpaceDE/>
              <w:autoSpaceDN/>
              <w:adjustRightInd/>
              <w:textAlignment w:val="auto"/>
              <w:rPr>
                <w:rFonts w:ascii="Arial" w:hAnsi="Arial" w:cs="Arial"/>
                <w:szCs w:val="24"/>
              </w:rPr>
            </w:pPr>
            <w:r>
              <w:rPr>
                <w:rFonts w:ascii="Arial" w:hAnsi="Arial" w:cs="Arial"/>
                <w:szCs w:val="24"/>
              </w:rPr>
              <w:t>82,138,782</w:t>
            </w:r>
          </w:p>
        </w:tc>
        <w:tc>
          <w:tcPr>
            <w:tcW w:w="1901" w:type="dxa"/>
            <w:noWrap/>
            <w:vAlign w:val="bottom"/>
          </w:tcPr>
          <w:p w:rsidR="00257C99" w:rsidRPr="00216442" w:rsidRDefault="00257C99" w:rsidP="00257C99">
            <w:pPr>
              <w:tabs>
                <w:tab w:val="decimal" w:pos="1605"/>
              </w:tabs>
              <w:overflowPunct/>
              <w:autoSpaceDE/>
              <w:autoSpaceDN/>
              <w:adjustRightInd/>
              <w:textAlignment w:val="auto"/>
              <w:rPr>
                <w:rFonts w:ascii="Arial" w:hAnsi="Arial" w:cs="Arial"/>
                <w:szCs w:val="24"/>
              </w:rPr>
            </w:pPr>
            <w:r>
              <w:rPr>
                <w:rFonts w:ascii="Arial" w:hAnsi="Arial" w:cs="Arial"/>
                <w:szCs w:val="24"/>
              </w:rPr>
              <w:t>(4,186,498)</w:t>
            </w:r>
          </w:p>
        </w:tc>
      </w:tr>
      <w:tr w:rsidR="00257C99" w:rsidRPr="001D73AB" w:rsidTr="00A1597B">
        <w:trPr>
          <w:trHeight w:val="255"/>
        </w:trPr>
        <w:tc>
          <w:tcPr>
            <w:tcW w:w="2376" w:type="dxa"/>
            <w:noWrap/>
          </w:tcPr>
          <w:p w:rsidR="00257C99" w:rsidRDefault="00257C99" w:rsidP="00257C99">
            <w:pPr>
              <w:overflowPunct/>
              <w:autoSpaceDE/>
              <w:autoSpaceDN/>
              <w:adjustRightInd/>
              <w:textAlignment w:val="auto"/>
              <w:rPr>
                <w:rFonts w:ascii="Arial" w:hAnsi="Arial" w:cs="Arial"/>
                <w:szCs w:val="24"/>
              </w:rPr>
            </w:pPr>
          </w:p>
          <w:p w:rsidR="00257C99" w:rsidRPr="00216442" w:rsidRDefault="00257C99" w:rsidP="00257C99">
            <w:pPr>
              <w:overflowPunct/>
              <w:autoSpaceDE/>
              <w:autoSpaceDN/>
              <w:adjustRightInd/>
              <w:textAlignment w:val="auto"/>
              <w:rPr>
                <w:rFonts w:ascii="Arial" w:hAnsi="Arial" w:cs="Arial"/>
                <w:szCs w:val="24"/>
              </w:rPr>
            </w:pPr>
            <w:r>
              <w:rPr>
                <w:rFonts w:ascii="Arial" w:hAnsi="Arial" w:cs="Arial"/>
                <w:szCs w:val="24"/>
              </w:rPr>
              <w:t>Small C&amp;I</w:t>
            </w:r>
            <w:r w:rsidRPr="00216442">
              <w:rPr>
                <w:rFonts w:ascii="Arial" w:hAnsi="Arial" w:cs="Arial"/>
                <w:szCs w:val="24"/>
              </w:rPr>
              <w:t xml:space="preserve"> </w:t>
            </w:r>
            <w:r>
              <w:rPr>
                <w:rFonts w:ascii="Arial" w:hAnsi="Arial" w:cs="Arial"/>
                <w:szCs w:val="24"/>
              </w:rPr>
              <w:t>–</w:t>
            </w:r>
            <w:r w:rsidRPr="00216442">
              <w:rPr>
                <w:rFonts w:ascii="Arial" w:hAnsi="Arial" w:cs="Arial"/>
                <w:szCs w:val="24"/>
              </w:rPr>
              <w:t xml:space="preserve"> </w:t>
            </w:r>
            <w:r>
              <w:rPr>
                <w:rFonts w:ascii="Arial" w:hAnsi="Arial" w:cs="Arial"/>
                <w:szCs w:val="24"/>
              </w:rPr>
              <w:t>TOU Off Peak</w:t>
            </w:r>
          </w:p>
        </w:tc>
        <w:tc>
          <w:tcPr>
            <w:tcW w:w="1980" w:type="dxa"/>
            <w:noWrap/>
          </w:tcPr>
          <w:p w:rsidR="00257C99" w:rsidRDefault="00257C99" w:rsidP="00257C99">
            <w:pPr>
              <w:tabs>
                <w:tab w:val="decimal" w:pos="1524"/>
              </w:tabs>
              <w:overflowPunct/>
              <w:autoSpaceDE/>
              <w:autoSpaceDN/>
              <w:adjustRightInd/>
              <w:textAlignment w:val="auto"/>
              <w:rPr>
                <w:rFonts w:ascii="Arial" w:hAnsi="Arial" w:cs="Arial"/>
                <w:szCs w:val="24"/>
              </w:rPr>
            </w:pPr>
          </w:p>
          <w:p w:rsidR="00257C99" w:rsidRDefault="00257C99" w:rsidP="00257C99">
            <w:pPr>
              <w:tabs>
                <w:tab w:val="decimal" w:pos="1524"/>
              </w:tabs>
              <w:overflowPunct/>
              <w:autoSpaceDE/>
              <w:autoSpaceDN/>
              <w:adjustRightInd/>
              <w:textAlignment w:val="auto"/>
              <w:rPr>
                <w:rFonts w:ascii="Arial" w:hAnsi="Arial" w:cs="Arial"/>
                <w:szCs w:val="24"/>
              </w:rPr>
            </w:pPr>
          </w:p>
          <w:p w:rsidR="00257C99" w:rsidRPr="00216442" w:rsidRDefault="00257C99" w:rsidP="00257C99">
            <w:pPr>
              <w:tabs>
                <w:tab w:val="decimal" w:pos="1524"/>
              </w:tabs>
              <w:overflowPunct/>
              <w:autoSpaceDE/>
              <w:autoSpaceDN/>
              <w:adjustRightInd/>
              <w:textAlignment w:val="auto"/>
              <w:rPr>
                <w:rFonts w:ascii="Arial" w:hAnsi="Arial" w:cs="Arial"/>
                <w:szCs w:val="24"/>
              </w:rPr>
            </w:pPr>
            <w:r>
              <w:rPr>
                <w:rFonts w:ascii="Arial" w:hAnsi="Arial" w:cs="Arial"/>
                <w:szCs w:val="24"/>
              </w:rPr>
              <w:t>216,000</w:t>
            </w:r>
          </w:p>
        </w:tc>
        <w:tc>
          <w:tcPr>
            <w:tcW w:w="1980" w:type="dxa"/>
            <w:noWrap/>
            <w:vAlign w:val="bottom"/>
          </w:tcPr>
          <w:p w:rsidR="00257C99" w:rsidRPr="00216442" w:rsidRDefault="00257C99" w:rsidP="00257C99">
            <w:pPr>
              <w:tabs>
                <w:tab w:val="decimal" w:pos="1605"/>
              </w:tabs>
              <w:overflowPunct/>
              <w:autoSpaceDE/>
              <w:autoSpaceDN/>
              <w:adjustRightInd/>
              <w:textAlignment w:val="auto"/>
              <w:rPr>
                <w:rFonts w:ascii="Arial" w:hAnsi="Arial" w:cs="Arial"/>
                <w:szCs w:val="24"/>
              </w:rPr>
            </w:pPr>
            <w:r>
              <w:rPr>
                <w:rFonts w:ascii="Arial" w:hAnsi="Arial" w:cs="Arial"/>
                <w:szCs w:val="24"/>
              </w:rPr>
              <w:t>300,763</w:t>
            </w:r>
          </w:p>
        </w:tc>
        <w:tc>
          <w:tcPr>
            <w:tcW w:w="1901" w:type="dxa"/>
            <w:noWrap/>
            <w:vAlign w:val="bottom"/>
          </w:tcPr>
          <w:p w:rsidR="00257C99" w:rsidRPr="00216442" w:rsidRDefault="00257C99" w:rsidP="00257C99">
            <w:pPr>
              <w:tabs>
                <w:tab w:val="decimal" w:pos="1605"/>
              </w:tabs>
              <w:overflowPunct/>
              <w:autoSpaceDE/>
              <w:autoSpaceDN/>
              <w:adjustRightInd/>
              <w:textAlignment w:val="auto"/>
              <w:rPr>
                <w:rFonts w:ascii="Arial" w:hAnsi="Arial" w:cs="Arial"/>
                <w:szCs w:val="24"/>
              </w:rPr>
            </w:pPr>
            <w:r>
              <w:rPr>
                <w:rFonts w:ascii="Arial" w:hAnsi="Arial" w:cs="Arial"/>
                <w:szCs w:val="24"/>
              </w:rPr>
              <w:t>(84,763)</w:t>
            </w:r>
          </w:p>
        </w:tc>
      </w:tr>
      <w:tr w:rsidR="00257C99" w:rsidRPr="001D73AB" w:rsidTr="00A1597B">
        <w:trPr>
          <w:trHeight w:val="255"/>
        </w:trPr>
        <w:tc>
          <w:tcPr>
            <w:tcW w:w="2376" w:type="dxa"/>
            <w:noWrap/>
          </w:tcPr>
          <w:p w:rsidR="00257C99" w:rsidRPr="00216442" w:rsidRDefault="00257C99" w:rsidP="00257C99">
            <w:pPr>
              <w:overflowPunct/>
              <w:autoSpaceDE/>
              <w:autoSpaceDN/>
              <w:adjustRightInd/>
              <w:jc w:val="center"/>
              <w:textAlignment w:val="auto"/>
              <w:rPr>
                <w:rFonts w:ascii="Arial" w:hAnsi="Arial" w:cs="Arial"/>
                <w:szCs w:val="24"/>
                <w:u w:val="single"/>
              </w:rPr>
            </w:pPr>
          </w:p>
        </w:tc>
        <w:tc>
          <w:tcPr>
            <w:tcW w:w="1980" w:type="dxa"/>
            <w:noWrap/>
          </w:tcPr>
          <w:p w:rsidR="00257C99" w:rsidRPr="00216442" w:rsidRDefault="00257C99" w:rsidP="00257C99">
            <w:pPr>
              <w:tabs>
                <w:tab w:val="decimal" w:pos="1524"/>
              </w:tabs>
              <w:overflowPunct/>
              <w:autoSpaceDE/>
              <w:autoSpaceDN/>
              <w:adjustRightInd/>
              <w:textAlignment w:val="auto"/>
              <w:rPr>
                <w:rFonts w:ascii="Arial" w:hAnsi="Arial" w:cs="Arial"/>
                <w:szCs w:val="24"/>
              </w:rPr>
            </w:pPr>
          </w:p>
        </w:tc>
        <w:tc>
          <w:tcPr>
            <w:tcW w:w="1980" w:type="dxa"/>
            <w:noWrap/>
            <w:vAlign w:val="bottom"/>
          </w:tcPr>
          <w:p w:rsidR="00257C99" w:rsidRPr="00216442" w:rsidRDefault="00257C99" w:rsidP="00257C99">
            <w:pPr>
              <w:tabs>
                <w:tab w:val="decimal" w:pos="1605"/>
              </w:tabs>
              <w:overflowPunct/>
              <w:autoSpaceDE/>
              <w:autoSpaceDN/>
              <w:adjustRightInd/>
              <w:textAlignment w:val="auto"/>
              <w:rPr>
                <w:rFonts w:ascii="Arial" w:hAnsi="Arial" w:cs="Arial"/>
                <w:szCs w:val="24"/>
              </w:rPr>
            </w:pPr>
          </w:p>
        </w:tc>
        <w:tc>
          <w:tcPr>
            <w:tcW w:w="1901" w:type="dxa"/>
            <w:noWrap/>
            <w:vAlign w:val="bottom"/>
          </w:tcPr>
          <w:p w:rsidR="00257C99" w:rsidRPr="00216442" w:rsidRDefault="00257C99" w:rsidP="00257C99">
            <w:pPr>
              <w:tabs>
                <w:tab w:val="decimal" w:pos="1605"/>
              </w:tabs>
              <w:overflowPunct/>
              <w:autoSpaceDE/>
              <w:autoSpaceDN/>
              <w:adjustRightInd/>
              <w:textAlignment w:val="auto"/>
              <w:rPr>
                <w:rFonts w:ascii="Arial" w:hAnsi="Arial" w:cs="Arial"/>
                <w:szCs w:val="24"/>
              </w:rPr>
            </w:pPr>
          </w:p>
        </w:tc>
      </w:tr>
      <w:tr w:rsidR="00257C99" w:rsidRPr="001D73AB" w:rsidTr="00A1597B">
        <w:trPr>
          <w:trHeight w:val="255"/>
        </w:trPr>
        <w:tc>
          <w:tcPr>
            <w:tcW w:w="2376" w:type="dxa"/>
            <w:noWrap/>
          </w:tcPr>
          <w:p w:rsidR="00257C99" w:rsidRPr="00216442" w:rsidRDefault="00257C99" w:rsidP="00257C99">
            <w:pPr>
              <w:overflowPunct/>
              <w:autoSpaceDE/>
              <w:autoSpaceDN/>
              <w:adjustRightInd/>
              <w:textAlignment w:val="auto"/>
              <w:rPr>
                <w:rFonts w:ascii="Arial" w:hAnsi="Arial" w:cs="Arial"/>
                <w:szCs w:val="24"/>
              </w:rPr>
            </w:pPr>
            <w:r>
              <w:rPr>
                <w:rFonts w:ascii="Arial" w:hAnsi="Arial" w:cs="Arial"/>
                <w:szCs w:val="24"/>
              </w:rPr>
              <w:t>Small C&amp;I</w:t>
            </w:r>
            <w:r w:rsidRPr="00216442">
              <w:rPr>
                <w:rFonts w:ascii="Arial" w:hAnsi="Arial" w:cs="Arial"/>
                <w:szCs w:val="24"/>
              </w:rPr>
              <w:t xml:space="preserve"> </w:t>
            </w:r>
            <w:r>
              <w:rPr>
                <w:rFonts w:ascii="Arial" w:hAnsi="Arial" w:cs="Arial"/>
                <w:szCs w:val="24"/>
              </w:rPr>
              <w:t>–</w:t>
            </w:r>
            <w:r w:rsidRPr="00216442">
              <w:rPr>
                <w:rFonts w:ascii="Arial" w:hAnsi="Arial" w:cs="Arial"/>
                <w:szCs w:val="24"/>
              </w:rPr>
              <w:t xml:space="preserve"> </w:t>
            </w:r>
            <w:r>
              <w:rPr>
                <w:rFonts w:ascii="Arial" w:hAnsi="Arial" w:cs="Arial"/>
                <w:szCs w:val="24"/>
              </w:rPr>
              <w:t>TOU On Peak</w:t>
            </w:r>
          </w:p>
        </w:tc>
        <w:tc>
          <w:tcPr>
            <w:tcW w:w="1980" w:type="dxa"/>
            <w:noWrap/>
            <w:vAlign w:val="bottom"/>
          </w:tcPr>
          <w:p w:rsidR="00257C99" w:rsidRPr="00216442" w:rsidRDefault="00D63AF9" w:rsidP="00257C99">
            <w:pPr>
              <w:tabs>
                <w:tab w:val="decimal" w:pos="1524"/>
              </w:tabs>
              <w:overflowPunct/>
              <w:autoSpaceDE/>
              <w:autoSpaceDN/>
              <w:adjustRightInd/>
              <w:textAlignment w:val="auto"/>
              <w:rPr>
                <w:rFonts w:ascii="Arial" w:hAnsi="Arial" w:cs="Arial"/>
                <w:szCs w:val="24"/>
                <w:u w:val="single"/>
              </w:rPr>
            </w:pPr>
            <w:r>
              <w:rPr>
                <w:rFonts w:ascii="Arial" w:hAnsi="Arial" w:cs="Arial"/>
                <w:szCs w:val="24"/>
                <w:u w:val="single"/>
              </w:rPr>
              <w:t>_____</w:t>
            </w:r>
            <w:r w:rsidR="00257C99">
              <w:rPr>
                <w:rFonts w:ascii="Arial" w:hAnsi="Arial" w:cs="Arial"/>
                <w:szCs w:val="24"/>
                <w:u w:val="single"/>
              </w:rPr>
              <w:t>221,269</w:t>
            </w:r>
          </w:p>
        </w:tc>
        <w:tc>
          <w:tcPr>
            <w:tcW w:w="1980" w:type="dxa"/>
            <w:noWrap/>
            <w:vAlign w:val="bottom"/>
          </w:tcPr>
          <w:p w:rsidR="00257C99" w:rsidRPr="00216442" w:rsidRDefault="00D63AF9" w:rsidP="00257C99">
            <w:pPr>
              <w:tabs>
                <w:tab w:val="decimal" w:pos="1605"/>
              </w:tabs>
              <w:overflowPunct/>
              <w:autoSpaceDE/>
              <w:autoSpaceDN/>
              <w:adjustRightInd/>
              <w:textAlignment w:val="auto"/>
              <w:rPr>
                <w:rFonts w:ascii="Arial" w:hAnsi="Arial" w:cs="Arial"/>
                <w:szCs w:val="24"/>
                <w:u w:val="single"/>
              </w:rPr>
            </w:pPr>
            <w:r>
              <w:rPr>
                <w:rFonts w:ascii="Arial" w:hAnsi="Arial" w:cs="Arial"/>
                <w:szCs w:val="24"/>
              </w:rPr>
              <w:t>_____</w:t>
            </w:r>
            <w:r w:rsidR="00257C99">
              <w:rPr>
                <w:rFonts w:ascii="Arial" w:hAnsi="Arial" w:cs="Arial"/>
                <w:szCs w:val="24"/>
                <w:u w:val="single"/>
              </w:rPr>
              <w:t>308,380</w:t>
            </w:r>
          </w:p>
        </w:tc>
        <w:tc>
          <w:tcPr>
            <w:tcW w:w="1901" w:type="dxa"/>
            <w:noWrap/>
            <w:vAlign w:val="bottom"/>
          </w:tcPr>
          <w:p w:rsidR="00257C99" w:rsidRPr="00216442" w:rsidRDefault="00D63AF9" w:rsidP="00257C99">
            <w:pPr>
              <w:tabs>
                <w:tab w:val="decimal" w:pos="1605"/>
              </w:tabs>
              <w:overflowPunct/>
              <w:autoSpaceDE/>
              <w:autoSpaceDN/>
              <w:adjustRightInd/>
              <w:textAlignment w:val="auto"/>
              <w:rPr>
                <w:rFonts w:ascii="Arial" w:hAnsi="Arial" w:cs="Arial"/>
                <w:szCs w:val="24"/>
                <w:u w:val="single"/>
              </w:rPr>
            </w:pPr>
            <w:r>
              <w:rPr>
                <w:rFonts w:ascii="Arial" w:hAnsi="Arial" w:cs="Arial"/>
                <w:szCs w:val="24"/>
              </w:rPr>
              <w:t>____</w:t>
            </w:r>
            <w:r w:rsidR="00257C99">
              <w:rPr>
                <w:rFonts w:ascii="Arial" w:hAnsi="Arial" w:cs="Arial"/>
                <w:szCs w:val="24"/>
                <w:u w:val="single"/>
              </w:rPr>
              <w:t>(87,111)</w:t>
            </w:r>
          </w:p>
        </w:tc>
      </w:tr>
      <w:tr w:rsidR="00257C99" w:rsidRPr="001D73AB" w:rsidTr="00A1597B">
        <w:trPr>
          <w:trHeight w:val="255"/>
        </w:trPr>
        <w:tc>
          <w:tcPr>
            <w:tcW w:w="2376" w:type="dxa"/>
            <w:noWrap/>
          </w:tcPr>
          <w:p w:rsidR="00257C99" w:rsidRDefault="00257C99" w:rsidP="00257C99">
            <w:pPr>
              <w:overflowPunct/>
              <w:autoSpaceDE/>
              <w:autoSpaceDN/>
              <w:adjustRightInd/>
              <w:textAlignment w:val="auto"/>
              <w:rPr>
                <w:rFonts w:ascii="Arial" w:hAnsi="Arial" w:cs="Arial"/>
                <w:szCs w:val="24"/>
              </w:rPr>
            </w:pPr>
          </w:p>
          <w:p w:rsidR="00257C99" w:rsidRPr="00216442" w:rsidRDefault="00257C99" w:rsidP="00257C99">
            <w:pPr>
              <w:overflowPunct/>
              <w:autoSpaceDE/>
              <w:autoSpaceDN/>
              <w:adjustRightInd/>
              <w:textAlignment w:val="auto"/>
              <w:rPr>
                <w:rFonts w:ascii="Arial" w:hAnsi="Arial" w:cs="Arial"/>
                <w:szCs w:val="24"/>
              </w:rPr>
            </w:pPr>
            <w:r>
              <w:rPr>
                <w:rFonts w:ascii="Arial" w:hAnsi="Arial" w:cs="Arial"/>
                <w:szCs w:val="24"/>
              </w:rPr>
              <w:t>Total</w:t>
            </w:r>
          </w:p>
        </w:tc>
        <w:tc>
          <w:tcPr>
            <w:tcW w:w="1980" w:type="dxa"/>
            <w:noWrap/>
            <w:vAlign w:val="bottom"/>
          </w:tcPr>
          <w:p w:rsidR="00257C99" w:rsidRPr="00216442" w:rsidRDefault="00257C99" w:rsidP="00257C99">
            <w:pPr>
              <w:tabs>
                <w:tab w:val="decimal" w:pos="1524"/>
              </w:tabs>
              <w:overflowPunct/>
              <w:autoSpaceDE/>
              <w:autoSpaceDN/>
              <w:adjustRightInd/>
              <w:textAlignment w:val="auto"/>
              <w:rPr>
                <w:rFonts w:ascii="Arial" w:hAnsi="Arial" w:cs="Arial"/>
                <w:szCs w:val="24"/>
                <w:u w:val="single"/>
              </w:rPr>
            </w:pPr>
            <w:r>
              <w:rPr>
                <w:rFonts w:ascii="Arial" w:hAnsi="Arial" w:cs="Arial"/>
                <w:szCs w:val="24"/>
                <w:u w:val="double"/>
              </w:rPr>
              <w:t>$385,266,825</w:t>
            </w:r>
          </w:p>
        </w:tc>
        <w:tc>
          <w:tcPr>
            <w:tcW w:w="1980" w:type="dxa"/>
            <w:noWrap/>
            <w:vAlign w:val="bottom"/>
          </w:tcPr>
          <w:p w:rsidR="00257C99" w:rsidRPr="00216442" w:rsidRDefault="00257C99" w:rsidP="008D6987">
            <w:pPr>
              <w:tabs>
                <w:tab w:val="decimal" w:pos="1605"/>
              </w:tabs>
              <w:overflowPunct/>
              <w:autoSpaceDE/>
              <w:autoSpaceDN/>
              <w:adjustRightInd/>
              <w:textAlignment w:val="auto"/>
              <w:rPr>
                <w:rFonts w:ascii="Arial" w:hAnsi="Arial" w:cs="Arial"/>
                <w:szCs w:val="24"/>
                <w:u w:val="single"/>
              </w:rPr>
            </w:pPr>
            <w:r>
              <w:rPr>
                <w:rFonts w:ascii="Arial" w:hAnsi="Arial" w:cs="Arial"/>
                <w:szCs w:val="24"/>
                <w:u w:val="double"/>
              </w:rPr>
              <w:t>$381,457,548</w:t>
            </w:r>
          </w:p>
        </w:tc>
        <w:tc>
          <w:tcPr>
            <w:tcW w:w="1901" w:type="dxa"/>
            <w:noWrap/>
            <w:vAlign w:val="bottom"/>
          </w:tcPr>
          <w:p w:rsidR="00257C99" w:rsidRPr="00216442" w:rsidRDefault="00257C99" w:rsidP="00257C99">
            <w:pPr>
              <w:tabs>
                <w:tab w:val="decimal" w:pos="1605"/>
              </w:tabs>
              <w:overflowPunct/>
              <w:autoSpaceDE/>
              <w:autoSpaceDN/>
              <w:adjustRightInd/>
              <w:textAlignment w:val="auto"/>
              <w:rPr>
                <w:rFonts w:ascii="Arial" w:hAnsi="Arial" w:cs="Arial"/>
                <w:szCs w:val="24"/>
                <w:u w:val="single"/>
              </w:rPr>
            </w:pPr>
            <w:r>
              <w:rPr>
                <w:rFonts w:ascii="Arial" w:hAnsi="Arial" w:cs="Arial"/>
                <w:szCs w:val="24"/>
                <w:u w:val="double"/>
              </w:rPr>
              <w:t>$ 3,809,277</w:t>
            </w:r>
          </w:p>
        </w:tc>
      </w:tr>
      <w:tr w:rsidR="00D27E49" w:rsidRPr="001D73AB" w:rsidTr="00A1597B">
        <w:trPr>
          <w:trHeight w:val="255"/>
        </w:trPr>
        <w:tc>
          <w:tcPr>
            <w:tcW w:w="2376" w:type="dxa"/>
            <w:noWrap/>
          </w:tcPr>
          <w:p w:rsidR="00D27E49" w:rsidRPr="00216442" w:rsidRDefault="00D27E49" w:rsidP="00580574">
            <w:pPr>
              <w:overflowPunct/>
              <w:autoSpaceDE/>
              <w:autoSpaceDN/>
              <w:adjustRightInd/>
              <w:textAlignment w:val="auto"/>
              <w:rPr>
                <w:rFonts w:ascii="Arial" w:hAnsi="Arial" w:cs="Arial"/>
                <w:szCs w:val="24"/>
              </w:rPr>
            </w:pPr>
          </w:p>
        </w:tc>
        <w:tc>
          <w:tcPr>
            <w:tcW w:w="1980" w:type="dxa"/>
            <w:noWrap/>
            <w:vAlign w:val="bottom"/>
          </w:tcPr>
          <w:p w:rsidR="00D27E49" w:rsidRPr="00216442" w:rsidRDefault="00D27E49" w:rsidP="00580574">
            <w:pPr>
              <w:tabs>
                <w:tab w:val="decimal" w:pos="1524"/>
              </w:tabs>
              <w:overflowPunct/>
              <w:autoSpaceDE/>
              <w:autoSpaceDN/>
              <w:adjustRightInd/>
              <w:textAlignment w:val="auto"/>
              <w:rPr>
                <w:rFonts w:ascii="Arial" w:hAnsi="Arial" w:cs="Arial"/>
                <w:szCs w:val="24"/>
                <w:u w:val="single"/>
              </w:rPr>
            </w:pPr>
          </w:p>
        </w:tc>
        <w:tc>
          <w:tcPr>
            <w:tcW w:w="1980" w:type="dxa"/>
            <w:noWrap/>
            <w:vAlign w:val="bottom"/>
          </w:tcPr>
          <w:p w:rsidR="00D27E49" w:rsidRPr="00216442" w:rsidRDefault="00D27E49" w:rsidP="00580574">
            <w:pPr>
              <w:tabs>
                <w:tab w:val="decimal" w:pos="1605"/>
              </w:tabs>
              <w:overflowPunct/>
              <w:autoSpaceDE/>
              <w:autoSpaceDN/>
              <w:adjustRightInd/>
              <w:textAlignment w:val="auto"/>
              <w:rPr>
                <w:rFonts w:ascii="Arial" w:hAnsi="Arial" w:cs="Arial"/>
                <w:szCs w:val="24"/>
                <w:u w:val="single"/>
              </w:rPr>
            </w:pPr>
          </w:p>
        </w:tc>
        <w:tc>
          <w:tcPr>
            <w:tcW w:w="1901" w:type="dxa"/>
            <w:noWrap/>
            <w:vAlign w:val="bottom"/>
          </w:tcPr>
          <w:p w:rsidR="00D27E49" w:rsidRPr="00216442" w:rsidRDefault="00D27E49" w:rsidP="00580574">
            <w:pPr>
              <w:tabs>
                <w:tab w:val="decimal" w:pos="1605"/>
              </w:tabs>
              <w:overflowPunct/>
              <w:autoSpaceDE/>
              <w:autoSpaceDN/>
              <w:adjustRightInd/>
              <w:textAlignment w:val="auto"/>
              <w:rPr>
                <w:rFonts w:ascii="Arial" w:hAnsi="Arial" w:cs="Arial"/>
                <w:szCs w:val="24"/>
                <w:u w:val="single"/>
              </w:rPr>
            </w:pPr>
          </w:p>
        </w:tc>
      </w:tr>
    </w:tbl>
    <w:p w:rsidR="00D27E49" w:rsidRPr="00BE651C" w:rsidRDefault="00D27E49" w:rsidP="00235BB8">
      <w:pPr>
        <w:tabs>
          <w:tab w:val="center" w:pos="4680"/>
        </w:tabs>
        <w:suppressAutoHyphens/>
        <w:rPr>
          <w:rFonts w:ascii="Arial" w:hAnsi="Arial" w:cs="Arial"/>
          <w:szCs w:val="24"/>
        </w:rPr>
      </w:pPr>
    </w:p>
    <w:p w:rsidR="00C77CE1" w:rsidRPr="00B8535D" w:rsidRDefault="0058722F" w:rsidP="007D10AA">
      <w:pPr>
        <w:tabs>
          <w:tab w:val="center" w:pos="4680"/>
        </w:tabs>
        <w:suppressAutoHyphens/>
        <w:ind w:left="90" w:hanging="90"/>
        <w:rPr>
          <w:rFonts w:ascii="Arial" w:hAnsi="Arial" w:cs="Arial"/>
          <w:szCs w:val="24"/>
        </w:rPr>
      </w:pPr>
      <w:r w:rsidRPr="00BE651C">
        <w:rPr>
          <w:rFonts w:ascii="Arial" w:hAnsi="Arial" w:cs="Arial"/>
          <w:szCs w:val="24"/>
        </w:rPr>
        <w:t>*</w:t>
      </w:r>
      <w:r w:rsidR="00C77CE1" w:rsidRPr="00BE651C">
        <w:rPr>
          <w:rFonts w:ascii="Arial" w:hAnsi="Arial" w:cs="Arial"/>
          <w:szCs w:val="24"/>
        </w:rPr>
        <w:t xml:space="preserve">This statement includes </w:t>
      </w:r>
      <w:r w:rsidRPr="00BE651C">
        <w:rPr>
          <w:rFonts w:ascii="Arial" w:hAnsi="Arial" w:cs="Arial"/>
          <w:szCs w:val="24"/>
        </w:rPr>
        <w:t xml:space="preserve">a </w:t>
      </w:r>
      <w:r w:rsidR="00C77CE1" w:rsidRPr="00BE651C">
        <w:rPr>
          <w:rFonts w:ascii="Arial" w:hAnsi="Arial" w:cs="Arial"/>
          <w:szCs w:val="24"/>
        </w:rPr>
        <w:t xml:space="preserve">December 2010 </w:t>
      </w:r>
      <w:r w:rsidRPr="00BE651C">
        <w:rPr>
          <w:rFonts w:ascii="Arial" w:hAnsi="Arial" w:cs="Arial"/>
          <w:szCs w:val="24"/>
        </w:rPr>
        <w:t xml:space="preserve">true-up </w:t>
      </w:r>
      <w:r w:rsidR="00AE1829" w:rsidRPr="00BE651C">
        <w:rPr>
          <w:rFonts w:ascii="Arial" w:hAnsi="Arial" w:cs="Arial"/>
          <w:szCs w:val="24"/>
        </w:rPr>
        <w:t>of</w:t>
      </w:r>
      <w:r w:rsidR="00002E7F">
        <w:rPr>
          <w:rFonts w:ascii="Arial" w:hAnsi="Arial" w:cs="Arial"/>
          <w:szCs w:val="24"/>
        </w:rPr>
        <w:t xml:space="preserve"> previously estimated</w:t>
      </w:r>
      <w:r w:rsidR="00C77CE1" w:rsidRPr="00531203">
        <w:rPr>
          <w:rFonts w:ascii="Arial" w:hAnsi="Arial" w:cs="Arial"/>
          <w:szCs w:val="24"/>
        </w:rPr>
        <w:t xml:space="preserve"> revenues and expenses </w:t>
      </w:r>
      <w:r w:rsidR="00002E7F">
        <w:rPr>
          <w:rFonts w:ascii="Arial" w:hAnsi="Arial" w:cs="Arial"/>
          <w:szCs w:val="24"/>
        </w:rPr>
        <w:t xml:space="preserve">to actuals </w:t>
      </w:r>
      <w:r w:rsidRPr="00531203">
        <w:rPr>
          <w:rFonts w:ascii="Arial" w:hAnsi="Arial" w:cs="Arial"/>
          <w:szCs w:val="24"/>
        </w:rPr>
        <w:t>a</w:t>
      </w:r>
      <w:r w:rsidRPr="00D15A91">
        <w:rPr>
          <w:rFonts w:ascii="Arial" w:hAnsi="Arial" w:cs="Arial"/>
          <w:szCs w:val="24"/>
        </w:rPr>
        <w:t xml:space="preserve">nd estimated May 2011 </w:t>
      </w:r>
      <w:r w:rsidR="00002E7F" w:rsidRPr="00571DEC">
        <w:rPr>
          <w:rFonts w:ascii="Arial" w:hAnsi="Arial" w:cs="Arial"/>
          <w:szCs w:val="24"/>
        </w:rPr>
        <w:t>revenues and expenses</w:t>
      </w:r>
      <w:r w:rsidRPr="00D15A91">
        <w:rPr>
          <w:rFonts w:ascii="Arial" w:hAnsi="Arial" w:cs="Arial"/>
          <w:szCs w:val="24"/>
        </w:rPr>
        <w:t xml:space="preserve"> as filed at Docket No. M-2011-2240273</w:t>
      </w:r>
      <w:r w:rsidR="00C77CE1" w:rsidRPr="00B8535D">
        <w:rPr>
          <w:rFonts w:ascii="Arial" w:hAnsi="Arial" w:cs="Arial"/>
          <w:szCs w:val="24"/>
        </w:rPr>
        <w:t xml:space="preserve">. </w:t>
      </w:r>
      <w:r w:rsidR="00B8535D">
        <w:rPr>
          <w:rFonts w:ascii="Arial" w:hAnsi="Arial" w:cs="Arial"/>
          <w:szCs w:val="24"/>
        </w:rPr>
        <w:t xml:space="preserve"> The estimated </w:t>
      </w:r>
      <w:r w:rsidR="00344493">
        <w:rPr>
          <w:rFonts w:ascii="Arial" w:hAnsi="Arial" w:cs="Arial"/>
          <w:szCs w:val="24"/>
        </w:rPr>
        <w:t xml:space="preserve">May 2011 </w:t>
      </w:r>
      <w:r w:rsidR="00B8535D">
        <w:rPr>
          <w:rFonts w:ascii="Arial" w:hAnsi="Arial" w:cs="Arial"/>
          <w:szCs w:val="24"/>
        </w:rPr>
        <w:t xml:space="preserve">data will be trued-up in the subsequent </w:t>
      </w:r>
      <w:r w:rsidR="00344493">
        <w:rPr>
          <w:rFonts w:ascii="Arial" w:hAnsi="Arial" w:cs="Arial"/>
          <w:szCs w:val="24"/>
        </w:rPr>
        <w:t>annual</w:t>
      </w:r>
      <w:r w:rsidR="00B8535D">
        <w:rPr>
          <w:rFonts w:ascii="Arial" w:hAnsi="Arial" w:cs="Arial"/>
          <w:szCs w:val="24"/>
        </w:rPr>
        <w:t xml:space="preserve"> reconciliation statement.</w:t>
      </w:r>
    </w:p>
    <w:p w:rsidR="00235BB8" w:rsidRPr="005B43E1" w:rsidRDefault="00235BB8" w:rsidP="00235BB8">
      <w:pPr>
        <w:tabs>
          <w:tab w:val="center" w:pos="4680"/>
        </w:tabs>
        <w:suppressAutoHyphens/>
        <w:rPr>
          <w:rFonts w:ascii="Arial" w:hAnsi="Arial" w:cs="Arial"/>
          <w:szCs w:val="24"/>
        </w:rPr>
      </w:pPr>
    </w:p>
    <w:p w:rsidR="00235BB8" w:rsidRPr="00BE651C" w:rsidRDefault="00235BB8" w:rsidP="00A1597B">
      <w:pPr>
        <w:tabs>
          <w:tab w:val="center" w:pos="4680"/>
        </w:tabs>
        <w:suppressAutoHyphens/>
        <w:ind w:left="90" w:hanging="90"/>
        <w:rPr>
          <w:rFonts w:ascii="Arial" w:hAnsi="Arial" w:cs="Arial"/>
          <w:szCs w:val="24"/>
        </w:rPr>
      </w:pPr>
      <w:r w:rsidRPr="00BE651C">
        <w:rPr>
          <w:rFonts w:ascii="Arial" w:hAnsi="Arial" w:cs="Arial"/>
          <w:szCs w:val="24"/>
        </w:rPr>
        <w:t>Notes to the Financial Statements are an integral part of this report.</w:t>
      </w:r>
    </w:p>
    <w:p w:rsidR="00235BB8" w:rsidRDefault="00235BB8" w:rsidP="000925FB">
      <w:pPr>
        <w:tabs>
          <w:tab w:val="left" w:pos="-1440"/>
          <w:tab w:val="left" w:pos="-720"/>
          <w:tab w:val="left" w:pos="864"/>
          <w:tab w:val="left" w:pos="5040"/>
          <w:tab w:val="left" w:pos="7056"/>
        </w:tabs>
        <w:suppressAutoHyphens/>
        <w:jc w:val="center"/>
        <w:outlineLvl w:val="0"/>
        <w:rPr>
          <w:rFonts w:ascii="Arial" w:hAnsi="Arial" w:cs="Arial"/>
          <w:b/>
          <w:szCs w:val="24"/>
          <w:u w:val="single"/>
        </w:rPr>
      </w:pPr>
    </w:p>
    <w:p w:rsidR="00D27E49" w:rsidRPr="00A1597B" w:rsidRDefault="00D27E49" w:rsidP="000925FB">
      <w:pPr>
        <w:tabs>
          <w:tab w:val="left" w:pos="-1440"/>
          <w:tab w:val="left" w:pos="-720"/>
          <w:tab w:val="left" w:pos="864"/>
          <w:tab w:val="left" w:pos="5040"/>
          <w:tab w:val="left" w:pos="7056"/>
        </w:tabs>
        <w:suppressAutoHyphens/>
        <w:jc w:val="center"/>
        <w:outlineLvl w:val="0"/>
        <w:rPr>
          <w:rFonts w:ascii="Arial" w:hAnsi="Arial" w:cs="Arial"/>
          <w:b/>
          <w:szCs w:val="24"/>
          <w:u w:val="single"/>
        </w:rPr>
      </w:pPr>
    </w:p>
    <w:p w:rsidR="00235BB8" w:rsidRDefault="00235BB8" w:rsidP="000925FB">
      <w:pPr>
        <w:tabs>
          <w:tab w:val="left" w:pos="-1440"/>
          <w:tab w:val="left" w:pos="-720"/>
          <w:tab w:val="left" w:pos="864"/>
          <w:tab w:val="left" w:pos="5040"/>
          <w:tab w:val="left" w:pos="7056"/>
        </w:tabs>
        <w:suppressAutoHyphens/>
        <w:jc w:val="center"/>
        <w:outlineLvl w:val="0"/>
        <w:rPr>
          <w:rFonts w:ascii="Arial" w:hAnsi="Arial" w:cs="Arial"/>
          <w:b/>
          <w:sz w:val="26"/>
          <w:szCs w:val="26"/>
          <w:u w:val="single"/>
        </w:rPr>
      </w:pPr>
    </w:p>
    <w:p w:rsidR="00A67E13" w:rsidRDefault="00A67E13" w:rsidP="000925FB">
      <w:pPr>
        <w:tabs>
          <w:tab w:val="left" w:pos="-1440"/>
          <w:tab w:val="left" w:pos="-720"/>
          <w:tab w:val="left" w:pos="864"/>
          <w:tab w:val="left" w:pos="5040"/>
          <w:tab w:val="left" w:pos="7056"/>
        </w:tabs>
        <w:suppressAutoHyphens/>
        <w:jc w:val="center"/>
        <w:outlineLvl w:val="0"/>
        <w:rPr>
          <w:rFonts w:ascii="Arial" w:hAnsi="Arial" w:cs="Arial"/>
          <w:b/>
          <w:sz w:val="26"/>
          <w:szCs w:val="26"/>
          <w:u w:val="single"/>
        </w:rPr>
      </w:pPr>
    </w:p>
    <w:p w:rsidR="003D667A" w:rsidRDefault="003D667A">
      <w:pPr>
        <w:overflowPunct/>
        <w:autoSpaceDE/>
        <w:autoSpaceDN/>
        <w:adjustRightInd/>
        <w:textAlignment w:val="auto"/>
        <w:rPr>
          <w:rFonts w:ascii="Arial" w:hAnsi="Arial" w:cs="Arial"/>
          <w:b/>
          <w:sz w:val="26"/>
          <w:szCs w:val="26"/>
          <w:u w:val="single"/>
        </w:rPr>
      </w:pPr>
      <w:r>
        <w:rPr>
          <w:rFonts w:ascii="Arial" w:hAnsi="Arial" w:cs="Arial"/>
          <w:b/>
          <w:sz w:val="26"/>
          <w:szCs w:val="26"/>
          <w:u w:val="single"/>
        </w:rPr>
        <w:br w:type="page"/>
      </w:r>
    </w:p>
    <w:p w:rsidR="00235BB8" w:rsidRPr="001D73AB" w:rsidRDefault="00235BB8" w:rsidP="00235BB8">
      <w:pPr>
        <w:tabs>
          <w:tab w:val="center" w:pos="4680"/>
        </w:tabs>
        <w:suppressAutoHyphens/>
        <w:jc w:val="center"/>
        <w:rPr>
          <w:rFonts w:ascii="Arial" w:hAnsi="Arial" w:cs="Arial"/>
          <w:b/>
          <w:sz w:val="26"/>
          <w:szCs w:val="26"/>
          <w:u w:val="single"/>
        </w:rPr>
      </w:pPr>
      <w:r w:rsidRPr="001D73AB">
        <w:rPr>
          <w:rFonts w:ascii="Arial" w:hAnsi="Arial" w:cs="Arial"/>
          <w:b/>
          <w:sz w:val="26"/>
          <w:szCs w:val="26"/>
          <w:u w:val="single"/>
        </w:rPr>
        <w:lastRenderedPageBreak/>
        <w:t>PPL ELECTRIC UTILITIES CORPORATION</w:t>
      </w:r>
    </w:p>
    <w:p w:rsidR="00235BB8" w:rsidRPr="001D73AB" w:rsidRDefault="00235BB8" w:rsidP="00235BB8">
      <w:pPr>
        <w:tabs>
          <w:tab w:val="center" w:pos="4680"/>
        </w:tabs>
        <w:suppressAutoHyphens/>
        <w:jc w:val="center"/>
        <w:rPr>
          <w:rFonts w:ascii="Arial" w:hAnsi="Arial" w:cs="Arial"/>
          <w:sz w:val="26"/>
          <w:szCs w:val="28"/>
        </w:rPr>
      </w:pPr>
    </w:p>
    <w:p w:rsidR="00235BB8" w:rsidRPr="00900FEF" w:rsidRDefault="00235BB8" w:rsidP="00235BB8">
      <w:pPr>
        <w:tabs>
          <w:tab w:val="center" w:pos="4680"/>
        </w:tabs>
        <w:suppressAutoHyphens/>
        <w:jc w:val="center"/>
        <w:rPr>
          <w:rFonts w:ascii="Arial" w:hAnsi="Arial" w:cs="Arial"/>
          <w:b/>
          <w:szCs w:val="24"/>
          <w:u w:val="single"/>
        </w:rPr>
      </w:pPr>
      <w:r w:rsidRPr="00900FEF">
        <w:rPr>
          <w:rFonts w:ascii="Arial" w:hAnsi="Arial" w:cs="Arial"/>
          <w:b/>
          <w:szCs w:val="24"/>
          <w:u w:val="single"/>
        </w:rPr>
        <w:t>Generation S</w:t>
      </w:r>
      <w:r w:rsidR="00991813" w:rsidRPr="00900FEF">
        <w:rPr>
          <w:rFonts w:ascii="Arial" w:hAnsi="Arial" w:cs="Arial"/>
          <w:b/>
          <w:szCs w:val="24"/>
          <w:u w:val="single"/>
        </w:rPr>
        <w:t>upply</w:t>
      </w:r>
      <w:r w:rsidRPr="00900FEF">
        <w:rPr>
          <w:rFonts w:ascii="Arial" w:hAnsi="Arial" w:cs="Arial"/>
          <w:b/>
          <w:szCs w:val="24"/>
          <w:u w:val="single"/>
        </w:rPr>
        <w:t xml:space="preserve"> Charge</w:t>
      </w:r>
      <w:r w:rsidR="0030137D" w:rsidRPr="00900FEF">
        <w:rPr>
          <w:rFonts w:ascii="Arial" w:hAnsi="Arial" w:cs="Arial"/>
          <w:b/>
          <w:szCs w:val="24"/>
          <w:u w:val="single"/>
        </w:rPr>
        <w:t xml:space="preserve"> - </w:t>
      </w:r>
      <w:r w:rsidRPr="00900FEF">
        <w:rPr>
          <w:rFonts w:ascii="Arial" w:hAnsi="Arial" w:cs="Arial"/>
          <w:b/>
          <w:szCs w:val="24"/>
          <w:u w:val="single"/>
        </w:rPr>
        <w:t xml:space="preserve">2 </w:t>
      </w:r>
      <w:r w:rsidR="0030137D" w:rsidRPr="00900FEF">
        <w:rPr>
          <w:rFonts w:ascii="Arial" w:hAnsi="Arial" w:cs="Arial"/>
          <w:b/>
          <w:szCs w:val="24"/>
          <w:u w:val="single"/>
        </w:rPr>
        <w:t xml:space="preserve">(GSC - 2) </w:t>
      </w:r>
      <w:r w:rsidRPr="00900FEF">
        <w:rPr>
          <w:rFonts w:ascii="Arial" w:hAnsi="Arial" w:cs="Arial"/>
          <w:b/>
          <w:szCs w:val="24"/>
          <w:u w:val="single"/>
        </w:rPr>
        <w:t>Over</w:t>
      </w:r>
      <w:proofErr w:type="gramStart"/>
      <w:r w:rsidRPr="00900FEF">
        <w:rPr>
          <w:rFonts w:ascii="Arial" w:hAnsi="Arial" w:cs="Arial"/>
          <w:b/>
          <w:szCs w:val="24"/>
          <w:u w:val="single"/>
        </w:rPr>
        <w:t>/(</w:t>
      </w:r>
      <w:proofErr w:type="gramEnd"/>
      <w:r w:rsidRPr="00900FEF">
        <w:rPr>
          <w:rFonts w:ascii="Arial" w:hAnsi="Arial" w:cs="Arial"/>
          <w:b/>
          <w:szCs w:val="24"/>
          <w:u w:val="single"/>
        </w:rPr>
        <w:t>Under) Collections</w:t>
      </w:r>
    </w:p>
    <w:p w:rsidR="00235BB8" w:rsidRPr="00900FEF" w:rsidRDefault="00580574" w:rsidP="00235BB8">
      <w:pPr>
        <w:tabs>
          <w:tab w:val="center" w:pos="4680"/>
        </w:tabs>
        <w:suppressAutoHyphens/>
        <w:jc w:val="center"/>
        <w:rPr>
          <w:rFonts w:ascii="Arial" w:hAnsi="Arial" w:cs="Arial"/>
          <w:b/>
          <w:szCs w:val="24"/>
          <w:u w:val="single"/>
        </w:rPr>
      </w:pPr>
      <w:r w:rsidRPr="00900FEF">
        <w:rPr>
          <w:rFonts w:ascii="Arial" w:hAnsi="Arial" w:cs="Arial"/>
          <w:b/>
          <w:szCs w:val="24"/>
          <w:u w:val="single"/>
        </w:rPr>
        <w:t xml:space="preserve">(Section 1307(e)) </w:t>
      </w:r>
      <w:r w:rsidR="00235BB8" w:rsidRPr="00900FEF">
        <w:rPr>
          <w:rFonts w:ascii="Arial" w:hAnsi="Arial" w:cs="Arial"/>
          <w:b/>
          <w:szCs w:val="24"/>
          <w:u w:val="single"/>
        </w:rPr>
        <w:t>For The F</w:t>
      </w:r>
      <w:r w:rsidR="00053070" w:rsidRPr="00900FEF">
        <w:rPr>
          <w:rFonts w:ascii="Arial" w:hAnsi="Arial" w:cs="Arial"/>
          <w:b/>
          <w:szCs w:val="24"/>
          <w:u w:val="single"/>
        </w:rPr>
        <w:t>ive</w:t>
      </w:r>
      <w:r w:rsidR="00235BB8" w:rsidRPr="00900FEF">
        <w:rPr>
          <w:rFonts w:ascii="Arial" w:hAnsi="Arial" w:cs="Arial"/>
          <w:b/>
          <w:szCs w:val="24"/>
          <w:u w:val="single"/>
        </w:rPr>
        <w:t xml:space="preserve"> Months Ended </w:t>
      </w:r>
      <w:r w:rsidR="0058722F" w:rsidRPr="00900FEF">
        <w:rPr>
          <w:rFonts w:ascii="Arial" w:hAnsi="Arial" w:cs="Arial"/>
          <w:b/>
          <w:szCs w:val="24"/>
          <w:u w:val="single"/>
        </w:rPr>
        <w:t>May</w:t>
      </w:r>
      <w:r w:rsidR="00235BB8" w:rsidRPr="00900FEF">
        <w:rPr>
          <w:rFonts w:ascii="Arial" w:hAnsi="Arial" w:cs="Arial"/>
          <w:b/>
          <w:szCs w:val="24"/>
          <w:u w:val="single"/>
        </w:rPr>
        <w:t xml:space="preserve"> 3</w:t>
      </w:r>
      <w:r w:rsidR="0058722F" w:rsidRPr="00900FEF">
        <w:rPr>
          <w:rFonts w:ascii="Arial" w:hAnsi="Arial" w:cs="Arial"/>
          <w:b/>
          <w:szCs w:val="24"/>
          <w:u w:val="single"/>
        </w:rPr>
        <w:t>1</w:t>
      </w:r>
      <w:r w:rsidR="00235BB8" w:rsidRPr="00900FEF">
        <w:rPr>
          <w:rFonts w:ascii="Arial" w:hAnsi="Arial" w:cs="Arial"/>
          <w:b/>
          <w:szCs w:val="24"/>
          <w:u w:val="single"/>
        </w:rPr>
        <w:t>, 2011</w:t>
      </w:r>
      <w:r w:rsidR="0058722F" w:rsidRPr="00900FEF">
        <w:rPr>
          <w:rFonts w:ascii="Arial" w:hAnsi="Arial" w:cs="Arial"/>
          <w:b/>
          <w:szCs w:val="24"/>
          <w:u w:val="single"/>
        </w:rPr>
        <w:t>*</w:t>
      </w:r>
    </w:p>
    <w:p w:rsidR="00235BB8" w:rsidRDefault="00235BB8" w:rsidP="00235BB8">
      <w:pPr>
        <w:tabs>
          <w:tab w:val="center" w:pos="4680"/>
        </w:tabs>
        <w:suppressAutoHyphens/>
        <w:jc w:val="center"/>
        <w:rPr>
          <w:rFonts w:ascii="Arial" w:hAnsi="Arial" w:cs="Arial"/>
          <w:b/>
          <w:sz w:val="26"/>
          <w:szCs w:val="28"/>
          <w:u w:val="single"/>
        </w:rPr>
      </w:pPr>
    </w:p>
    <w:tbl>
      <w:tblPr>
        <w:tblpPr w:leftFromText="180" w:rightFromText="180" w:vertAnchor="page" w:horzAnchor="margin" w:tblpXSpec="center" w:tblpY="3166"/>
        <w:tblW w:w="8237" w:type="dxa"/>
        <w:tblLook w:val="0000" w:firstRow="0" w:lastRow="0" w:firstColumn="0" w:lastColumn="0" w:noHBand="0" w:noVBand="0"/>
      </w:tblPr>
      <w:tblGrid>
        <w:gridCol w:w="2376"/>
        <w:gridCol w:w="1980"/>
        <w:gridCol w:w="1980"/>
        <w:gridCol w:w="1901"/>
      </w:tblGrid>
      <w:tr w:rsidR="00D27E49" w:rsidRPr="001D73AB" w:rsidTr="00580574">
        <w:trPr>
          <w:trHeight w:val="263"/>
        </w:trPr>
        <w:tc>
          <w:tcPr>
            <w:tcW w:w="2376" w:type="dxa"/>
            <w:noWrap/>
          </w:tcPr>
          <w:p w:rsidR="00D27E49" w:rsidRPr="00BB4064" w:rsidRDefault="00D27E49" w:rsidP="00580574">
            <w:pPr>
              <w:overflowPunct/>
              <w:autoSpaceDE/>
              <w:autoSpaceDN/>
              <w:adjustRightInd/>
              <w:textAlignment w:val="auto"/>
              <w:rPr>
                <w:rFonts w:ascii="Arial" w:hAnsi="Arial" w:cs="Arial"/>
                <w:szCs w:val="24"/>
                <w:u w:val="single"/>
              </w:rPr>
            </w:pPr>
          </w:p>
        </w:tc>
        <w:tc>
          <w:tcPr>
            <w:tcW w:w="1980" w:type="dxa"/>
            <w:noWrap/>
          </w:tcPr>
          <w:p w:rsidR="00D27E49" w:rsidRPr="00BB4064" w:rsidRDefault="00D27E49" w:rsidP="00580574">
            <w:pPr>
              <w:overflowPunct/>
              <w:autoSpaceDE/>
              <w:autoSpaceDN/>
              <w:adjustRightInd/>
              <w:jc w:val="center"/>
              <w:textAlignment w:val="auto"/>
              <w:rPr>
                <w:rFonts w:ascii="Arial" w:hAnsi="Arial" w:cs="Arial"/>
                <w:b/>
                <w:szCs w:val="24"/>
                <w:u w:val="single"/>
              </w:rPr>
            </w:pPr>
          </w:p>
        </w:tc>
        <w:tc>
          <w:tcPr>
            <w:tcW w:w="1980" w:type="dxa"/>
            <w:noWrap/>
          </w:tcPr>
          <w:p w:rsidR="00D27E49" w:rsidRPr="00BB4064" w:rsidRDefault="00D27E49" w:rsidP="00580574">
            <w:pPr>
              <w:overflowPunct/>
              <w:autoSpaceDE/>
              <w:autoSpaceDN/>
              <w:adjustRightInd/>
              <w:jc w:val="center"/>
              <w:textAlignment w:val="auto"/>
              <w:rPr>
                <w:rFonts w:ascii="Arial" w:hAnsi="Arial" w:cs="Arial"/>
                <w:b/>
                <w:szCs w:val="24"/>
                <w:u w:val="single"/>
              </w:rPr>
            </w:pPr>
          </w:p>
        </w:tc>
        <w:tc>
          <w:tcPr>
            <w:tcW w:w="1901" w:type="dxa"/>
            <w:noWrap/>
          </w:tcPr>
          <w:p w:rsidR="00D27E49" w:rsidRPr="00BB4064" w:rsidRDefault="00D27E49" w:rsidP="00580574">
            <w:pPr>
              <w:overflowPunct/>
              <w:autoSpaceDE/>
              <w:autoSpaceDN/>
              <w:adjustRightInd/>
              <w:jc w:val="center"/>
              <w:textAlignment w:val="auto"/>
              <w:rPr>
                <w:rFonts w:ascii="Arial" w:hAnsi="Arial" w:cs="Arial"/>
                <w:b/>
                <w:szCs w:val="24"/>
                <w:u w:val="single"/>
              </w:rPr>
            </w:pPr>
          </w:p>
        </w:tc>
      </w:tr>
      <w:tr w:rsidR="00D27E49" w:rsidRPr="001D73AB" w:rsidTr="00580574">
        <w:trPr>
          <w:trHeight w:val="255"/>
        </w:trPr>
        <w:tc>
          <w:tcPr>
            <w:tcW w:w="2376" w:type="dxa"/>
            <w:noWrap/>
          </w:tcPr>
          <w:p w:rsidR="00D27E49" w:rsidRDefault="00D27E49" w:rsidP="00580574">
            <w:pPr>
              <w:overflowPunct/>
              <w:autoSpaceDE/>
              <w:autoSpaceDN/>
              <w:adjustRightInd/>
              <w:jc w:val="center"/>
              <w:textAlignment w:val="auto"/>
              <w:rPr>
                <w:rFonts w:ascii="Arial" w:hAnsi="Arial" w:cs="Arial"/>
                <w:b/>
                <w:szCs w:val="24"/>
                <w:u w:val="single"/>
              </w:rPr>
            </w:pPr>
          </w:p>
          <w:p w:rsidR="00D27E49" w:rsidRDefault="00D27E49" w:rsidP="00580574">
            <w:pPr>
              <w:overflowPunct/>
              <w:autoSpaceDE/>
              <w:autoSpaceDN/>
              <w:adjustRightInd/>
              <w:jc w:val="center"/>
              <w:textAlignment w:val="auto"/>
              <w:rPr>
                <w:rFonts w:ascii="Arial" w:hAnsi="Arial" w:cs="Arial"/>
                <w:b/>
                <w:szCs w:val="24"/>
                <w:u w:val="single"/>
              </w:rPr>
            </w:pPr>
          </w:p>
          <w:p w:rsidR="00D27E49" w:rsidRDefault="00D27E49" w:rsidP="00580574">
            <w:pPr>
              <w:overflowPunct/>
              <w:autoSpaceDE/>
              <w:autoSpaceDN/>
              <w:adjustRightInd/>
              <w:jc w:val="center"/>
              <w:textAlignment w:val="auto"/>
              <w:rPr>
                <w:rFonts w:ascii="Arial" w:hAnsi="Arial" w:cs="Arial"/>
                <w:b/>
                <w:szCs w:val="24"/>
                <w:u w:val="single"/>
              </w:rPr>
            </w:pPr>
          </w:p>
          <w:p w:rsidR="00D27E49" w:rsidRDefault="00D27E49" w:rsidP="00580574">
            <w:pPr>
              <w:overflowPunct/>
              <w:autoSpaceDE/>
              <w:autoSpaceDN/>
              <w:adjustRightInd/>
              <w:jc w:val="center"/>
              <w:textAlignment w:val="auto"/>
              <w:rPr>
                <w:rFonts w:ascii="Arial" w:hAnsi="Arial" w:cs="Arial"/>
                <w:b/>
                <w:szCs w:val="24"/>
                <w:u w:val="single"/>
              </w:rPr>
            </w:pPr>
          </w:p>
          <w:p w:rsidR="00D27E49" w:rsidRDefault="00D27E49" w:rsidP="00580574">
            <w:pPr>
              <w:overflowPunct/>
              <w:autoSpaceDE/>
              <w:autoSpaceDN/>
              <w:adjustRightInd/>
              <w:jc w:val="center"/>
              <w:textAlignment w:val="auto"/>
              <w:rPr>
                <w:rFonts w:ascii="Arial" w:hAnsi="Arial" w:cs="Arial"/>
                <w:b/>
                <w:szCs w:val="24"/>
                <w:u w:val="single"/>
              </w:rPr>
            </w:pPr>
          </w:p>
          <w:p w:rsidR="00D27E49" w:rsidRPr="00216442" w:rsidRDefault="00D27E49" w:rsidP="00580574">
            <w:pPr>
              <w:overflowPunct/>
              <w:autoSpaceDE/>
              <w:autoSpaceDN/>
              <w:adjustRightInd/>
              <w:jc w:val="center"/>
              <w:textAlignment w:val="auto"/>
              <w:rPr>
                <w:rFonts w:ascii="Arial" w:hAnsi="Arial" w:cs="Arial"/>
                <w:b/>
                <w:szCs w:val="24"/>
                <w:u w:val="single"/>
              </w:rPr>
            </w:pPr>
            <w:r w:rsidRPr="00216442">
              <w:rPr>
                <w:rFonts w:ascii="Arial" w:hAnsi="Arial" w:cs="Arial"/>
                <w:b/>
                <w:szCs w:val="24"/>
                <w:u w:val="single"/>
              </w:rPr>
              <w:t>Rate Class</w:t>
            </w:r>
          </w:p>
        </w:tc>
        <w:tc>
          <w:tcPr>
            <w:tcW w:w="1980" w:type="dxa"/>
            <w:noWrap/>
          </w:tcPr>
          <w:p w:rsidR="00D27E49" w:rsidRDefault="00D27E49" w:rsidP="00580574">
            <w:pPr>
              <w:overflowPunct/>
              <w:autoSpaceDE/>
              <w:autoSpaceDN/>
              <w:adjustRightInd/>
              <w:jc w:val="center"/>
              <w:textAlignment w:val="auto"/>
              <w:rPr>
                <w:rFonts w:ascii="Arial" w:hAnsi="Arial" w:cs="Arial"/>
                <w:b/>
                <w:szCs w:val="24"/>
                <w:u w:val="single"/>
              </w:rPr>
            </w:pPr>
          </w:p>
          <w:p w:rsidR="00D27E49" w:rsidRDefault="00D27E49" w:rsidP="00580574">
            <w:pPr>
              <w:overflowPunct/>
              <w:autoSpaceDE/>
              <w:autoSpaceDN/>
              <w:adjustRightInd/>
              <w:jc w:val="center"/>
              <w:textAlignment w:val="auto"/>
              <w:rPr>
                <w:rFonts w:ascii="Arial" w:hAnsi="Arial" w:cs="Arial"/>
                <w:b/>
                <w:szCs w:val="24"/>
                <w:u w:val="single"/>
              </w:rPr>
            </w:pPr>
          </w:p>
          <w:p w:rsidR="00D27E49" w:rsidRDefault="00D27E49" w:rsidP="00580574">
            <w:pPr>
              <w:overflowPunct/>
              <w:autoSpaceDE/>
              <w:autoSpaceDN/>
              <w:adjustRightInd/>
              <w:jc w:val="center"/>
              <w:textAlignment w:val="auto"/>
              <w:rPr>
                <w:rFonts w:ascii="Arial" w:hAnsi="Arial" w:cs="Arial"/>
                <w:b/>
                <w:szCs w:val="24"/>
                <w:u w:val="single"/>
              </w:rPr>
            </w:pPr>
          </w:p>
          <w:p w:rsidR="00F1187A" w:rsidRDefault="00F1187A" w:rsidP="00580574">
            <w:pPr>
              <w:overflowPunct/>
              <w:autoSpaceDE/>
              <w:autoSpaceDN/>
              <w:adjustRightInd/>
              <w:jc w:val="center"/>
              <w:textAlignment w:val="auto"/>
              <w:rPr>
                <w:rFonts w:ascii="Arial" w:hAnsi="Arial" w:cs="Arial"/>
                <w:b/>
                <w:szCs w:val="24"/>
                <w:u w:val="single"/>
              </w:rPr>
            </w:pPr>
            <w:r>
              <w:rPr>
                <w:rFonts w:ascii="Arial" w:hAnsi="Arial" w:cs="Arial"/>
                <w:b/>
                <w:szCs w:val="24"/>
                <w:u w:val="single"/>
              </w:rPr>
              <w:t>GSC - 2</w:t>
            </w:r>
          </w:p>
          <w:p w:rsidR="00D27E49" w:rsidRDefault="00F1187A" w:rsidP="00580574">
            <w:pPr>
              <w:overflowPunct/>
              <w:autoSpaceDE/>
              <w:autoSpaceDN/>
              <w:adjustRightInd/>
              <w:jc w:val="center"/>
              <w:textAlignment w:val="auto"/>
              <w:rPr>
                <w:rFonts w:ascii="Arial" w:hAnsi="Arial" w:cs="Arial"/>
                <w:b/>
                <w:szCs w:val="24"/>
                <w:u w:val="single"/>
              </w:rPr>
            </w:pPr>
            <w:r>
              <w:rPr>
                <w:rFonts w:ascii="Arial" w:hAnsi="Arial" w:cs="Arial"/>
                <w:b/>
                <w:szCs w:val="24"/>
                <w:u w:val="single"/>
              </w:rPr>
              <w:t xml:space="preserve">Revenues </w:t>
            </w:r>
            <w:r>
              <w:rPr>
                <w:rFonts w:ascii="Arial" w:hAnsi="Arial" w:cs="Arial"/>
                <w:b/>
                <w:szCs w:val="24"/>
                <w:u w:val="single"/>
              </w:rPr>
              <w:br/>
              <w:t>(Note 1)</w:t>
            </w:r>
          </w:p>
          <w:p w:rsidR="00D27E49" w:rsidRPr="00216442" w:rsidRDefault="00D27E49" w:rsidP="00580574">
            <w:pPr>
              <w:overflowPunct/>
              <w:autoSpaceDE/>
              <w:autoSpaceDN/>
              <w:adjustRightInd/>
              <w:jc w:val="center"/>
              <w:textAlignment w:val="auto"/>
              <w:rPr>
                <w:rFonts w:ascii="Arial" w:hAnsi="Arial" w:cs="Arial"/>
                <w:szCs w:val="24"/>
                <w:u w:val="single"/>
              </w:rPr>
            </w:pPr>
          </w:p>
        </w:tc>
        <w:tc>
          <w:tcPr>
            <w:tcW w:w="1980" w:type="dxa"/>
            <w:noWrap/>
          </w:tcPr>
          <w:p w:rsidR="00D27E49" w:rsidRDefault="00D27E49" w:rsidP="00580574">
            <w:pPr>
              <w:overflowPunct/>
              <w:autoSpaceDE/>
              <w:autoSpaceDN/>
              <w:adjustRightInd/>
              <w:jc w:val="center"/>
              <w:textAlignment w:val="auto"/>
              <w:rPr>
                <w:rFonts w:ascii="Arial" w:hAnsi="Arial" w:cs="Arial"/>
                <w:b/>
                <w:szCs w:val="24"/>
                <w:u w:val="single"/>
              </w:rPr>
            </w:pPr>
          </w:p>
          <w:p w:rsidR="0030137D" w:rsidRDefault="0030137D" w:rsidP="0030137D">
            <w:pPr>
              <w:overflowPunct/>
              <w:autoSpaceDE/>
              <w:autoSpaceDN/>
              <w:adjustRightInd/>
              <w:textAlignment w:val="auto"/>
              <w:rPr>
                <w:rFonts w:ascii="Arial" w:hAnsi="Arial" w:cs="Arial"/>
                <w:b/>
                <w:szCs w:val="24"/>
                <w:u w:val="single"/>
              </w:rPr>
            </w:pPr>
          </w:p>
          <w:p w:rsidR="0030137D" w:rsidRDefault="0030137D" w:rsidP="00F1187A">
            <w:pPr>
              <w:overflowPunct/>
              <w:autoSpaceDE/>
              <w:autoSpaceDN/>
              <w:adjustRightInd/>
              <w:textAlignment w:val="auto"/>
              <w:rPr>
                <w:rFonts w:ascii="Arial" w:hAnsi="Arial" w:cs="Arial"/>
                <w:b/>
                <w:szCs w:val="24"/>
                <w:u w:val="single"/>
              </w:rPr>
            </w:pPr>
          </w:p>
          <w:p w:rsidR="00D27E49" w:rsidRPr="00216442" w:rsidRDefault="00F1187A" w:rsidP="0030137D">
            <w:pPr>
              <w:overflowPunct/>
              <w:autoSpaceDE/>
              <w:autoSpaceDN/>
              <w:adjustRightInd/>
              <w:jc w:val="center"/>
              <w:textAlignment w:val="auto"/>
              <w:rPr>
                <w:rFonts w:ascii="Arial" w:hAnsi="Arial" w:cs="Arial"/>
                <w:b/>
                <w:szCs w:val="24"/>
                <w:u w:val="single"/>
              </w:rPr>
            </w:pPr>
            <w:r>
              <w:rPr>
                <w:rFonts w:ascii="Arial" w:hAnsi="Arial" w:cs="Arial"/>
                <w:b/>
                <w:szCs w:val="24"/>
                <w:u w:val="single"/>
              </w:rPr>
              <w:t>GSC - 2</w:t>
            </w:r>
          </w:p>
          <w:p w:rsidR="00D27E49" w:rsidRDefault="00F1187A" w:rsidP="00A1597B">
            <w:pPr>
              <w:overflowPunct/>
              <w:autoSpaceDE/>
              <w:autoSpaceDN/>
              <w:adjustRightInd/>
              <w:jc w:val="center"/>
              <w:textAlignment w:val="auto"/>
              <w:rPr>
                <w:rFonts w:ascii="Arial" w:hAnsi="Arial" w:cs="Arial"/>
                <w:b/>
                <w:szCs w:val="24"/>
                <w:u w:val="single"/>
              </w:rPr>
            </w:pPr>
            <w:r>
              <w:rPr>
                <w:rFonts w:ascii="Arial" w:hAnsi="Arial" w:cs="Arial"/>
                <w:b/>
                <w:szCs w:val="24"/>
                <w:u w:val="single"/>
              </w:rPr>
              <w:t>Expenses</w:t>
            </w:r>
          </w:p>
          <w:p w:rsidR="00F1187A" w:rsidRPr="00216442" w:rsidRDefault="00F1187A" w:rsidP="00A1597B">
            <w:pPr>
              <w:overflowPunct/>
              <w:autoSpaceDE/>
              <w:autoSpaceDN/>
              <w:adjustRightInd/>
              <w:jc w:val="center"/>
              <w:textAlignment w:val="auto"/>
              <w:rPr>
                <w:rFonts w:ascii="Arial" w:hAnsi="Arial" w:cs="Arial"/>
                <w:b/>
                <w:szCs w:val="24"/>
                <w:u w:val="single"/>
              </w:rPr>
            </w:pPr>
            <w:r>
              <w:rPr>
                <w:rFonts w:ascii="Arial" w:hAnsi="Arial" w:cs="Arial"/>
                <w:b/>
                <w:szCs w:val="24"/>
                <w:u w:val="single"/>
              </w:rPr>
              <w:t>(Note 3)</w:t>
            </w:r>
          </w:p>
        </w:tc>
        <w:tc>
          <w:tcPr>
            <w:tcW w:w="1901" w:type="dxa"/>
            <w:noWrap/>
          </w:tcPr>
          <w:p w:rsidR="00D27E49" w:rsidRDefault="00D27E49" w:rsidP="00580574">
            <w:pPr>
              <w:overflowPunct/>
              <w:autoSpaceDE/>
              <w:autoSpaceDN/>
              <w:adjustRightInd/>
              <w:jc w:val="center"/>
              <w:textAlignment w:val="auto"/>
              <w:rPr>
                <w:rFonts w:ascii="Arial" w:hAnsi="Arial" w:cs="Arial"/>
                <w:b/>
                <w:szCs w:val="24"/>
                <w:u w:val="single"/>
              </w:rPr>
            </w:pPr>
          </w:p>
          <w:p w:rsidR="00D27E49" w:rsidRDefault="00D27E49" w:rsidP="00580574">
            <w:pPr>
              <w:overflowPunct/>
              <w:autoSpaceDE/>
              <w:autoSpaceDN/>
              <w:adjustRightInd/>
              <w:jc w:val="center"/>
              <w:textAlignment w:val="auto"/>
              <w:rPr>
                <w:rFonts w:ascii="Arial" w:hAnsi="Arial" w:cs="Arial"/>
                <w:b/>
                <w:szCs w:val="24"/>
                <w:u w:val="single"/>
              </w:rPr>
            </w:pPr>
          </w:p>
          <w:p w:rsidR="00D27E49" w:rsidRDefault="00D27E49" w:rsidP="00580574">
            <w:pPr>
              <w:overflowPunct/>
              <w:autoSpaceDE/>
              <w:autoSpaceDN/>
              <w:adjustRightInd/>
              <w:jc w:val="center"/>
              <w:textAlignment w:val="auto"/>
              <w:rPr>
                <w:rFonts w:ascii="Arial" w:hAnsi="Arial" w:cs="Arial"/>
                <w:b/>
                <w:szCs w:val="24"/>
                <w:u w:val="single"/>
              </w:rPr>
            </w:pPr>
          </w:p>
          <w:p w:rsidR="00D27E49" w:rsidRDefault="0030137D" w:rsidP="00580574">
            <w:pPr>
              <w:overflowPunct/>
              <w:autoSpaceDE/>
              <w:autoSpaceDN/>
              <w:adjustRightInd/>
              <w:jc w:val="center"/>
              <w:textAlignment w:val="auto"/>
              <w:rPr>
                <w:rFonts w:ascii="Arial" w:hAnsi="Arial" w:cs="Arial"/>
                <w:b/>
                <w:szCs w:val="24"/>
                <w:u w:val="single"/>
              </w:rPr>
            </w:pPr>
            <w:r>
              <w:rPr>
                <w:rFonts w:ascii="Arial" w:hAnsi="Arial" w:cs="Arial"/>
                <w:b/>
                <w:szCs w:val="24"/>
                <w:u w:val="single"/>
              </w:rPr>
              <w:t>Over/</w:t>
            </w:r>
            <w:r w:rsidR="00D27E49">
              <w:rPr>
                <w:rFonts w:ascii="Arial" w:hAnsi="Arial" w:cs="Arial"/>
                <w:b/>
                <w:szCs w:val="24"/>
                <w:u w:val="single"/>
              </w:rPr>
              <w:t>(Under)</w:t>
            </w:r>
          </w:p>
          <w:p w:rsidR="00D27E49" w:rsidRPr="00216442" w:rsidRDefault="00D27E49" w:rsidP="00580574">
            <w:pPr>
              <w:overflowPunct/>
              <w:autoSpaceDE/>
              <w:autoSpaceDN/>
              <w:adjustRightInd/>
              <w:jc w:val="center"/>
              <w:textAlignment w:val="auto"/>
              <w:rPr>
                <w:rFonts w:ascii="Arial" w:hAnsi="Arial" w:cs="Arial"/>
                <w:b/>
                <w:szCs w:val="24"/>
                <w:u w:val="single"/>
              </w:rPr>
            </w:pPr>
            <w:r w:rsidRPr="00216442">
              <w:rPr>
                <w:rFonts w:ascii="Arial" w:hAnsi="Arial" w:cs="Arial"/>
                <w:b/>
                <w:szCs w:val="24"/>
                <w:u w:val="single"/>
              </w:rPr>
              <w:t>Collection</w:t>
            </w:r>
            <w:r w:rsidR="00344493">
              <w:rPr>
                <w:rFonts w:ascii="Arial" w:hAnsi="Arial" w:cs="Arial"/>
                <w:b/>
                <w:szCs w:val="24"/>
                <w:u w:val="single"/>
              </w:rPr>
              <w:t>s</w:t>
            </w:r>
          </w:p>
          <w:p w:rsidR="00D27E49" w:rsidRDefault="00D27E49" w:rsidP="00580574">
            <w:pPr>
              <w:overflowPunct/>
              <w:autoSpaceDE/>
              <w:autoSpaceDN/>
              <w:adjustRightInd/>
              <w:jc w:val="center"/>
              <w:textAlignment w:val="auto"/>
              <w:rPr>
                <w:rFonts w:ascii="Arial" w:hAnsi="Arial" w:cs="Arial"/>
                <w:b/>
                <w:szCs w:val="24"/>
                <w:u w:val="single"/>
              </w:rPr>
            </w:pPr>
            <w:r w:rsidRPr="00216442">
              <w:rPr>
                <w:rFonts w:ascii="Arial" w:hAnsi="Arial" w:cs="Arial"/>
                <w:b/>
                <w:szCs w:val="24"/>
                <w:u w:val="single"/>
              </w:rPr>
              <w:t xml:space="preserve">(Note </w:t>
            </w:r>
            <w:r w:rsidR="00721408">
              <w:rPr>
                <w:rFonts w:ascii="Arial" w:hAnsi="Arial" w:cs="Arial"/>
                <w:b/>
                <w:szCs w:val="24"/>
                <w:u w:val="single"/>
              </w:rPr>
              <w:t>5</w:t>
            </w:r>
            <w:r w:rsidRPr="00216442">
              <w:rPr>
                <w:rFonts w:ascii="Arial" w:hAnsi="Arial" w:cs="Arial"/>
                <w:b/>
                <w:szCs w:val="24"/>
                <w:u w:val="single"/>
              </w:rPr>
              <w:t>)</w:t>
            </w:r>
          </w:p>
          <w:p w:rsidR="00D27E49" w:rsidRPr="00216442" w:rsidRDefault="00D27E49" w:rsidP="00580574">
            <w:pPr>
              <w:overflowPunct/>
              <w:autoSpaceDE/>
              <w:autoSpaceDN/>
              <w:adjustRightInd/>
              <w:jc w:val="center"/>
              <w:textAlignment w:val="auto"/>
              <w:rPr>
                <w:rFonts w:ascii="Arial" w:hAnsi="Arial" w:cs="Arial"/>
                <w:b/>
                <w:szCs w:val="24"/>
                <w:u w:val="single"/>
              </w:rPr>
            </w:pPr>
          </w:p>
        </w:tc>
      </w:tr>
      <w:tr w:rsidR="00D27E49" w:rsidRPr="001D73AB" w:rsidTr="00580574">
        <w:trPr>
          <w:trHeight w:val="255"/>
        </w:trPr>
        <w:tc>
          <w:tcPr>
            <w:tcW w:w="2376" w:type="dxa"/>
            <w:noWrap/>
          </w:tcPr>
          <w:p w:rsidR="00D27E49" w:rsidRPr="00216442" w:rsidRDefault="00D27E49" w:rsidP="00580574">
            <w:pPr>
              <w:overflowPunct/>
              <w:autoSpaceDE/>
              <w:autoSpaceDN/>
              <w:adjustRightInd/>
              <w:jc w:val="center"/>
              <w:textAlignment w:val="auto"/>
              <w:rPr>
                <w:rFonts w:ascii="Arial" w:hAnsi="Arial" w:cs="Arial"/>
                <w:szCs w:val="24"/>
                <w:u w:val="single"/>
              </w:rPr>
            </w:pPr>
          </w:p>
        </w:tc>
        <w:tc>
          <w:tcPr>
            <w:tcW w:w="1980" w:type="dxa"/>
            <w:noWrap/>
          </w:tcPr>
          <w:p w:rsidR="00D27E49" w:rsidRPr="00216442" w:rsidRDefault="00D27E49" w:rsidP="00580574">
            <w:pPr>
              <w:tabs>
                <w:tab w:val="decimal" w:pos="1524"/>
              </w:tabs>
              <w:overflowPunct/>
              <w:autoSpaceDE/>
              <w:autoSpaceDN/>
              <w:adjustRightInd/>
              <w:textAlignment w:val="auto"/>
              <w:rPr>
                <w:rFonts w:ascii="Arial" w:hAnsi="Arial" w:cs="Arial"/>
                <w:szCs w:val="24"/>
              </w:rPr>
            </w:pPr>
          </w:p>
        </w:tc>
        <w:tc>
          <w:tcPr>
            <w:tcW w:w="1980" w:type="dxa"/>
            <w:noWrap/>
            <w:vAlign w:val="bottom"/>
          </w:tcPr>
          <w:p w:rsidR="00D27E49" w:rsidRPr="00216442" w:rsidRDefault="00D27E49" w:rsidP="00580574">
            <w:pPr>
              <w:tabs>
                <w:tab w:val="decimal" w:pos="1605"/>
              </w:tabs>
              <w:overflowPunct/>
              <w:autoSpaceDE/>
              <w:autoSpaceDN/>
              <w:adjustRightInd/>
              <w:textAlignment w:val="auto"/>
              <w:rPr>
                <w:rFonts w:ascii="Arial" w:hAnsi="Arial" w:cs="Arial"/>
                <w:szCs w:val="24"/>
              </w:rPr>
            </w:pPr>
          </w:p>
        </w:tc>
        <w:tc>
          <w:tcPr>
            <w:tcW w:w="1901" w:type="dxa"/>
            <w:noWrap/>
            <w:vAlign w:val="bottom"/>
          </w:tcPr>
          <w:p w:rsidR="00D27E49" w:rsidRPr="00216442" w:rsidRDefault="00D27E49" w:rsidP="00580574">
            <w:pPr>
              <w:tabs>
                <w:tab w:val="decimal" w:pos="1605"/>
              </w:tabs>
              <w:overflowPunct/>
              <w:autoSpaceDE/>
              <w:autoSpaceDN/>
              <w:adjustRightInd/>
              <w:textAlignment w:val="auto"/>
              <w:rPr>
                <w:rFonts w:ascii="Arial" w:hAnsi="Arial" w:cs="Arial"/>
                <w:szCs w:val="24"/>
              </w:rPr>
            </w:pPr>
          </w:p>
        </w:tc>
      </w:tr>
      <w:tr w:rsidR="00257C99" w:rsidRPr="001D73AB" w:rsidTr="00580574">
        <w:trPr>
          <w:trHeight w:val="255"/>
        </w:trPr>
        <w:tc>
          <w:tcPr>
            <w:tcW w:w="2376" w:type="dxa"/>
            <w:noWrap/>
          </w:tcPr>
          <w:p w:rsidR="00257C99" w:rsidRPr="00216442" w:rsidRDefault="00257C99" w:rsidP="00257C99">
            <w:pPr>
              <w:overflowPunct/>
              <w:autoSpaceDE/>
              <w:autoSpaceDN/>
              <w:adjustRightInd/>
              <w:textAlignment w:val="auto"/>
              <w:rPr>
                <w:rFonts w:ascii="Arial" w:hAnsi="Arial" w:cs="Arial"/>
                <w:szCs w:val="24"/>
              </w:rPr>
            </w:pPr>
            <w:r>
              <w:rPr>
                <w:rFonts w:ascii="Arial" w:hAnsi="Arial" w:cs="Arial"/>
                <w:szCs w:val="24"/>
              </w:rPr>
              <w:t>Large C&amp;I</w:t>
            </w:r>
          </w:p>
        </w:tc>
        <w:tc>
          <w:tcPr>
            <w:tcW w:w="1980" w:type="dxa"/>
            <w:noWrap/>
            <w:vAlign w:val="bottom"/>
          </w:tcPr>
          <w:p w:rsidR="00257C99" w:rsidRPr="0030137D" w:rsidRDefault="00257C99" w:rsidP="00257C99">
            <w:pPr>
              <w:tabs>
                <w:tab w:val="decimal" w:pos="1524"/>
              </w:tabs>
              <w:overflowPunct/>
              <w:autoSpaceDE/>
              <w:autoSpaceDN/>
              <w:adjustRightInd/>
              <w:textAlignment w:val="auto"/>
              <w:rPr>
                <w:rFonts w:ascii="Arial" w:hAnsi="Arial" w:cs="Arial"/>
                <w:szCs w:val="24"/>
                <w:u w:val="double"/>
              </w:rPr>
            </w:pPr>
            <w:r w:rsidRPr="0030137D">
              <w:rPr>
                <w:rFonts w:ascii="Arial" w:hAnsi="Arial" w:cs="Arial"/>
                <w:szCs w:val="24"/>
                <w:u w:val="double"/>
              </w:rPr>
              <w:t>$ 3,001,119</w:t>
            </w:r>
          </w:p>
        </w:tc>
        <w:tc>
          <w:tcPr>
            <w:tcW w:w="1980" w:type="dxa"/>
            <w:noWrap/>
            <w:vAlign w:val="bottom"/>
          </w:tcPr>
          <w:p w:rsidR="00257C99" w:rsidRPr="0030137D" w:rsidRDefault="00257C99" w:rsidP="00257C99">
            <w:pPr>
              <w:tabs>
                <w:tab w:val="decimal" w:pos="1605"/>
              </w:tabs>
              <w:overflowPunct/>
              <w:autoSpaceDE/>
              <w:autoSpaceDN/>
              <w:adjustRightInd/>
              <w:textAlignment w:val="auto"/>
              <w:rPr>
                <w:rFonts w:ascii="Arial" w:hAnsi="Arial" w:cs="Arial"/>
                <w:szCs w:val="24"/>
                <w:highlight w:val="yellow"/>
                <w:u w:val="double"/>
              </w:rPr>
            </w:pPr>
            <w:r w:rsidRPr="0030137D">
              <w:rPr>
                <w:rFonts w:ascii="Arial" w:hAnsi="Arial" w:cs="Arial"/>
                <w:szCs w:val="24"/>
                <w:u w:val="double"/>
              </w:rPr>
              <w:t>$ 3,563,307</w:t>
            </w:r>
          </w:p>
        </w:tc>
        <w:tc>
          <w:tcPr>
            <w:tcW w:w="1901" w:type="dxa"/>
            <w:noWrap/>
            <w:vAlign w:val="bottom"/>
          </w:tcPr>
          <w:p w:rsidR="00257C99" w:rsidRPr="0030137D" w:rsidRDefault="00257C99" w:rsidP="00257C99">
            <w:pPr>
              <w:tabs>
                <w:tab w:val="decimal" w:pos="1605"/>
              </w:tabs>
              <w:overflowPunct/>
              <w:autoSpaceDE/>
              <w:autoSpaceDN/>
              <w:adjustRightInd/>
              <w:textAlignment w:val="auto"/>
              <w:rPr>
                <w:rFonts w:ascii="Arial" w:hAnsi="Arial" w:cs="Arial"/>
                <w:szCs w:val="24"/>
                <w:highlight w:val="yellow"/>
                <w:u w:val="double"/>
              </w:rPr>
            </w:pPr>
            <w:r w:rsidRPr="00230BB1">
              <w:rPr>
                <w:rFonts w:ascii="Arial" w:hAnsi="Arial" w:cs="Arial"/>
                <w:szCs w:val="24"/>
              </w:rPr>
              <w:t xml:space="preserve"> </w:t>
            </w:r>
            <w:r w:rsidRPr="0030137D">
              <w:rPr>
                <w:rFonts w:ascii="Arial" w:hAnsi="Arial" w:cs="Arial"/>
                <w:szCs w:val="24"/>
                <w:u w:val="double"/>
              </w:rPr>
              <w:t>$ (562,188)</w:t>
            </w:r>
          </w:p>
        </w:tc>
      </w:tr>
    </w:tbl>
    <w:p w:rsidR="00D27E49" w:rsidRDefault="00D27E49" w:rsidP="00235BB8">
      <w:pPr>
        <w:tabs>
          <w:tab w:val="center" w:pos="4680"/>
        </w:tabs>
        <w:suppressAutoHyphens/>
        <w:jc w:val="center"/>
        <w:rPr>
          <w:rFonts w:ascii="Arial" w:hAnsi="Arial" w:cs="Arial"/>
          <w:b/>
          <w:sz w:val="26"/>
          <w:szCs w:val="28"/>
          <w:u w:val="single"/>
        </w:rPr>
      </w:pPr>
    </w:p>
    <w:p w:rsidR="00D27E49" w:rsidRDefault="00D27E49" w:rsidP="00235BB8">
      <w:pPr>
        <w:tabs>
          <w:tab w:val="center" w:pos="4680"/>
        </w:tabs>
        <w:suppressAutoHyphens/>
        <w:jc w:val="center"/>
        <w:rPr>
          <w:rFonts w:ascii="Arial" w:hAnsi="Arial" w:cs="Arial"/>
          <w:b/>
          <w:sz w:val="26"/>
          <w:szCs w:val="28"/>
          <w:u w:val="single"/>
        </w:rPr>
      </w:pPr>
    </w:p>
    <w:p w:rsidR="00D27E49" w:rsidRDefault="00D27E49" w:rsidP="00235BB8">
      <w:pPr>
        <w:tabs>
          <w:tab w:val="center" w:pos="4680"/>
        </w:tabs>
        <w:suppressAutoHyphens/>
        <w:jc w:val="center"/>
        <w:rPr>
          <w:rFonts w:ascii="Arial" w:hAnsi="Arial" w:cs="Arial"/>
          <w:b/>
          <w:sz w:val="26"/>
          <w:szCs w:val="28"/>
          <w:u w:val="single"/>
        </w:rPr>
      </w:pPr>
    </w:p>
    <w:p w:rsidR="00D27E49" w:rsidRDefault="00D27E49" w:rsidP="00235BB8">
      <w:pPr>
        <w:tabs>
          <w:tab w:val="center" w:pos="4680"/>
        </w:tabs>
        <w:suppressAutoHyphens/>
        <w:jc w:val="center"/>
        <w:rPr>
          <w:rFonts w:ascii="Arial" w:hAnsi="Arial" w:cs="Arial"/>
          <w:b/>
          <w:sz w:val="26"/>
          <w:szCs w:val="28"/>
          <w:u w:val="single"/>
        </w:rPr>
      </w:pPr>
    </w:p>
    <w:p w:rsidR="00D27E49" w:rsidRDefault="00D27E49" w:rsidP="00235BB8">
      <w:pPr>
        <w:tabs>
          <w:tab w:val="center" w:pos="4680"/>
        </w:tabs>
        <w:suppressAutoHyphens/>
        <w:jc w:val="center"/>
        <w:rPr>
          <w:rFonts w:ascii="Arial" w:hAnsi="Arial" w:cs="Arial"/>
          <w:b/>
          <w:sz w:val="26"/>
          <w:szCs w:val="28"/>
          <w:u w:val="single"/>
        </w:rPr>
      </w:pPr>
    </w:p>
    <w:p w:rsidR="00D27E49" w:rsidRDefault="00D27E49" w:rsidP="00235BB8">
      <w:pPr>
        <w:tabs>
          <w:tab w:val="center" w:pos="4680"/>
        </w:tabs>
        <w:suppressAutoHyphens/>
        <w:jc w:val="center"/>
        <w:rPr>
          <w:rFonts w:ascii="Arial" w:hAnsi="Arial" w:cs="Arial"/>
          <w:b/>
          <w:sz w:val="26"/>
          <w:szCs w:val="28"/>
          <w:u w:val="single"/>
        </w:rPr>
      </w:pPr>
    </w:p>
    <w:p w:rsidR="00D27E49" w:rsidRDefault="00D27E49" w:rsidP="00235BB8">
      <w:pPr>
        <w:tabs>
          <w:tab w:val="center" w:pos="4680"/>
        </w:tabs>
        <w:suppressAutoHyphens/>
        <w:jc w:val="center"/>
        <w:rPr>
          <w:rFonts w:ascii="Arial" w:hAnsi="Arial" w:cs="Arial"/>
          <w:b/>
          <w:sz w:val="26"/>
          <w:szCs w:val="28"/>
          <w:u w:val="single"/>
        </w:rPr>
      </w:pPr>
    </w:p>
    <w:p w:rsidR="00D27E49" w:rsidRDefault="00D27E49" w:rsidP="00235BB8">
      <w:pPr>
        <w:tabs>
          <w:tab w:val="center" w:pos="4680"/>
        </w:tabs>
        <w:suppressAutoHyphens/>
        <w:jc w:val="center"/>
        <w:rPr>
          <w:rFonts w:ascii="Arial" w:hAnsi="Arial" w:cs="Arial"/>
          <w:b/>
          <w:sz w:val="26"/>
          <w:szCs w:val="28"/>
          <w:u w:val="single"/>
        </w:rPr>
      </w:pPr>
    </w:p>
    <w:p w:rsidR="00D27E49" w:rsidRDefault="00D27E49" w:rsidP="00235BB8">
      <w:pPr>
        <w:tabs>
          <w:tab w:val="center" w:pos="4680"/>
        </w:tabs>
        <w:suppressAutoHyphens/>
        <w:jc w:val="center"/>
        <w:rPr>
          <w:rFonts w:ascii="Arial" w:hAnsi="Arial" w:cs="Arial"/>
          <w:b/>
          <w:sz w:val="26"/>
          <w:szCs w:val="28"/>
          <w:u w:val="single"/>
        </w:rPr>
      </w:pPr>
    </w:p>
    <w:p w:rsidR="00D27E49" w:rsidRDefault="00D27E49" w:rsidP="00235BB8">
      <w:pPr>
        <w:tabs>
          <w:tab w:val="center" w:pos="4680"/>
        </w:tabs>
        <w:suppressAutoHyphens/>
        <w:jc w:val="center"/>
        <w:rPr>
          <w:rFonts w:ascii="Arial" w:hAnsi="Arial" w:cs="Arial"/>
          <w:b/>
          <w:sz w:val="26"/>
          <w:szCs w:val="28"/>
          <w:u w:val="single"/>
        </w:rPr>
      </w:pPr>
    </w:p>
    <w:p w:rsidR="00D27E49" w:rsidRDefault="00D27E49" w:rsidP="00235BB8">
      <w:pPr>
        <w:tabs>
          <w:tab w:val="center" w:pos="4680"/>
        </w:tabs>
        <w:suppressAutoHyphens/>
        <w:jc w:val="center"/>
        <w:rPr>
          <w:rFonts w:ascii="Arial" w:hAnsi="Arial" w:cs="Arial"/>
          <w:b/>
          <w:sz w:val="26"/>
          <w:szCs w:val="28"/>
          <w:u w:val="single"/>
        </w:rPr>
      </w:pPr>
    </w:p>
    <w:p w:rsidR="00D27E49" w:rsidRDefault="00D27E49" w:rsidP="00235BB8">
      <w:pPr>
        <w:tabs>
          <w:tab w:val="center" w:pos="4680"/>
        </w:tabs>
        <w:suppressAutoHyphens/>
        <w:jc w:val="center"/>
        <w:rPr>
          <w:rFonts w:ascii="Arial" w:hAnsi="Arial" w:cs="Arial"/>
          <w:b/>
          <w:sz w:val="26"/>
          <w:szCs w:val="28"/>
          <w:u w:val="single"/>
        </w:rPr>
      </w:pPr>
    </w:p>
    <w:p w:rsidR="00235BB8" w:rsidRDefault="0058722F" w:rsidP="007D10AA">
      <w:pPr>
        <w:tabs>
          <w:tab w:val="center" w:pos="4680"/>
        </w:tabs>
        <w:suppressAutoHyphens/>
        <w:ind w:left="90" w:hanging="90"/>
        <w:rPr>
          <w:rFonts w:ascii="Arial" w:hAnsi="Arial" w:cs="Arial"/>
          <w:szCs w:val="24"/>
        </w:rPr>
      </w:pPr>
      <w:r>
        <w:rPr>
          <w:rFonts w:ascii="Arial" w:hAnsi="Arial" w:cs="Arial"/>
          <w:szCs w:val="24"/>
        </w:rPr>
        <w:t xml:space="preserve">*This statement includes a December 2010 true-up </w:t>
      </w:r>
      <w:r w:rsidR="00AE1829">
        <w:rPr>
          <w:rFonts w:ascii="Arial" w:hAnsi="Arial" w:cs="Arial"/>
          <w:szCs w:val="24"/>
        </w:rPr>
        <w:t>of</w:t>
      </w:r>
      <w:r>
        <w:rPr>
          <w:rFonts w:ascii="Arial" w:hAnsi="Arial" w:cs="Arial"/>
          <w:szCs w:val="24"/>
        </w:rPr>
        <w:t xml:space="preserve"> </w:t>
      </w:r>
      <w:r w:rsidR="00002E7F">
        <w:rPr>
          <w:rFonts w:ascii="Arial" w:hAnsi="Arial" w:cs="Arial"/>
          <w:szCs w:val="24"/>
        </w:rPr>
        <w:t>previously estimated</w:t>
      </w:r>
      <w:r w:rsidR="00002E7F" w:rsidRPr="00571DEC">
        <w:rPr>
          <w:rFonts w:ascii="Arial" w:hAnsi="Arial" w:cs="Arial"/>
          <w:szCs w:val="24"/>
        </w:rPr>
        <w:t xml:space="preserve"> </w:t>
      </w:r>
      <w:r>
        <w:rPr>
          <w:rFonts w:ascii="Arial" w:hAnsi="Arial" w:cs="Arial"/>
          <w:szCs w:val="24"/>
        </w:rPr>
        <w:t xml:space="preserve">revenues and expenses </w:t>
      </w:r>
      <w:r w:rsidR="00002E7F">
        <w:rPr>
          <w:rFonts w:ascii="Arial" w:hAnsi="Arial" w:cs="Arial"/>
          <w:szCs w:val="24"/>
        </w:rPr>
        <w:t xml:space="preserve">to actuals </w:t>
      </w:r>
      <w:r>
        <w:rPr>
          <w:rFonts w:ascii="Arial" w:hAnsi="Arial" w:cs="Arial"/>
          <w:szCs w:val="24"/>
        </w:rPr>
        <w:t xml:space="preserve">and estimated May 2011 </w:t>
      </w:r>
      <w:r w:rsidR="00002E7F" w:rsidRPr="00571DEC">
        <w:rPr>
          <w:rFonts w:ascii="Arial" w:hAnsi="Arial" w:cs="Arial"/>
          <w:szCs w:val="24"/>
        </w:rPr>
        <w:t>revenues and expenses</w:t>
      </w:r>
      <w:r>
        <w:rPr>
          <w:rFonts w:ascii="Arial" w:hAnsi="Arial" w:cs="Arial"/>
          <w:szCs w:val="24"/>
        </w:rPr>
        <w:t xml:space="preserve"> as filed at Docket No. M-2011-2240268. </w:t>
      </w:r>
      <w:r w:rsidR="00C77CE1">
        <w:rPr>
          <w:rFonts w:ascii="Arial" w:hAnsi="Arial" w:cs="Arial"/>
          <w:szCs w:val="24"/>
        </w:rPr>
        <w:t xml:space="preserve"> </w:t>
      </w:r>
      <w:r w:rsidR="00B8535D">
        <w:rPr>
          <w:rFonts w:ascii="Arial" w:hAnsi="Arial" w:cs="Arial"/>
          <w:szCs w:val="24"/>
        </w:rPr>
        <w:t xml:space="preserve">The estimated </w:t>
      </w:r>
      <w:r w:rsidR="00344493">
        <w:rPr>
          <w:rFonts w:ascii="Arial" w:hAnsi="Arial" w:cs="Arial"/>
          <w:szCs w:val="24"/>
        </w:rPr>
        <w:t xml:space="preserve">May 2011 </w:t>
      </w:r>
      <w:r w:rsidR="00B8535D">
        <w:rPr>
          <w:rFonts w:ascii="Arial" w:hAnsi="Arial" w:cs="Arial"/>
          <w:szCs w:val="24"/>
        </w:rPr>
        <w:t xml:space="preserve">data will be trued-up in the subsequent </w:t>
      </w:r>
      <w:r w:rsidR="00344493">
        <w:rPr>
          <w:rFonts w:ascii="Arial" w:hAnsi="Arial" w:cs="Arial"/>
          <w:szCs w:val="24"/>
        </w:rPr>
        <w:t xml:space="preserve"> annual</w:t>
      </w:r>
      <w:r w:rsidR="00B8535D">
        <w:rPr>
          <w:rFonts w:ascii="Arial" w:hAnsi="Arial" w:cs="Arial"/>
          <w:szCs w:val="24"/>
        </w:rPr>
        <w:t xml:space="preserve"> reconciliation statement.</w:t>
      </w:r>
    </w:p>
    <w:p w:rsidR="00235BB8" w:rsidRDefault="00235BB8" w:rsidP="00235BB8">
      <w:pPr>
        <w:tabs>
          <w:tab w:val="center" w:pos="4680"/>
        </w:tabs>
        <w:suppressAutoHyphens/>
        <w:rPr>
          <w:rFonts w:ascii="Arial" w:hAnsi="Arial" w:cs="Arial"/>
          <w:szCs w:val="24"/>
        </w:rPr>
      </w:pPr>
    </w:p>
    <w:p w:rsidR="00A67E13" w:rsidRDefault="00A67E13" w:rsidP="00A67E13">
      <w:pPr>
        <w:tabs>
          <w:tab w:val="center" w:pos="4680"/>
        </w:tabs>
        <w:suppressAutoHyphens/>
        <w:rPr>
          <w:rFonts w:ascii="Arial" w:hAnsi="Arial" w:cs="Arial"/>
          <w:szCs w:val="24"/>
        </w:rPr>
        <w:sectPr w:rsidR="00A67E13" w:rsidSect="00FE1737">
          <w:headerReference w:type="even" r:id="rId20"/>
          <w:headerReference w:type="default" r:id="rId21"/>
          <w:footerReference w:type="default" r:id="rId22"/>
          <w:headerReference w:type="first" r:id="rId23"/>
          <w:endnotePr>
            <w:numFmt w:val="decimal"/>
          </w:endnotePr>
          <w:pgSz w:w="12240" w:h="15840" w:code="1"/>
          <w:pgMar w:top="1440" w:right="1440" w:bottom="1152" w:left="1440" w:header="0" w:footer="720" w:gutter="0"/>
          <w:pgNumType w:start="2"/>
          <w:cols w:space="720"/>
          <w:noEndnote/>
        </w:sectPr>
      </w:pPr>
      <w:r w:rsidRPr="001D73AB">
        <w:rPr>
          <w:rFonts w:ascii="Arial" w:hAnsi="Arial" w:cs="Arial"/>
          <w:szCs w:val="24"/>
        </w:rPr>
        <w:t>Notes to the Financial Statements are</w:t>
      </w:r>
      <w:r>
        <w:rPr>
          <w:rFonts w:ascii="Arial" w:hAnsi="Arial" w:cs="Arial"/>
          <w:szCs w:val="24"/>
        </w:rPr>
        <w:t xml:space="preserve"> an integral part of this report.</w:t>
      </w:r>
    </w:p>
    <w:p w:rsidR="00235BB8" w:rsidRPr="001D73AB" w:rsidRDefault="00235BB8" w:rsidP="00235BB8">
      <w:pPr>
        <w:tabs>
          <w:tab w:val="center" w:pos="4680"/>
        </w:tabs>
        <w:suppressAutoHyphens/>
        <w:jc w:val="center"/>
        <w:rPr>
          <w:rFonts w:ascii="Arial" w:hAnsi="Arial" w:cs="Arial"/>
          <w:b/>
          <w:sz w:val="26"/>
          <w:szCs w:val="26"/>
          <w:u w:val="single"/>
        </w:rPr>
      </w:pPr>
      <w:r w:rsidRPr="001D73AB">
        <w:rPr>
          <w:rFonts w:ascii="Arial" w:hAnsi="Arial" w:cs="Arial"/>
          <w:b/>
          <w:sz w:val="26"/>
          <w:szCs w:val="26"/>
          <w:u w:val="single"/>
        </w:rPr>
        <w:lastRenderedPageBreak/>
        <w:t>PPL ELECTRIC UTILITIES CORPORATION</w:t>
      </w:r>
    </w:p>
    <w:p w:rsidR="00235BB8" w:rsidRPr="001D73AB" w:rsidRDefault="00235BB8" w:rsidP="00235BB8">
      <w:pPr>
        <w:tabs>
          <w:tab w:val="center" w:pos="4680"/>
        </w:tabs>
        <w:suppressAutoHyphens/>
        <w:jc w:val="center"/>
        <w:rPr>
          <w:rFonts w:ascii="Arial" w:hAnsi="Arial" w:cs="Arial"/>
          <w:sz w:val="26"/>
          <w:szCs w:val="28"/>
        </w:rPr>
      </w:pPr>
    </w:p>
    <w:p w:rsidR="00235BB8" w:rsidRPr="00A1597B" w:rsidRDefault="00235BB8" w:rsidP="00235BB8">
      <w:pPr>
        <w:tabs>
          <w:tab w:val="center" w:pos="4680"/>
        </w:tabs>
        <w:suppressAutoHyphens/>
        <w:jc w:val="center"/>
        <w:rPr>
          <w:rFonts w:ascii="Arial" w:hAnsi="Arial" w:cs="Arial"/>
          <w:b/>
          <w:szCs w:val="24"/>
          <w:u w:val="single"/>
        </w:rPr>
      </w:pPr>
      <w:r w:rsidRPr="00A1597B">
        <w:rPr>
          <w:rFonts w:ascii="Arial" w:hAnsi="Arial" w:cs="Arial"/>
          <w:b/>
          <w:szCs w:val="24"/>
          <w:u w:val="single"/>
        </w:rPr>
        <w:t>Generation S</w:t>
      </w:r>
      <w:r w:rsidR="00991813" w:rsidRPr="00A1597B">
        <w:rPr>
          <w:rFonts w:ascii="Arial" w:hAnsi="Arial" w:cs="Arial"/>
          <w:b/>
          <w:szCs w:val="24"/>
          <w:u w:val="single"/>
        </w:rPr>
        <w:t>upply</w:t>
      </w:r>
      <w:r w:rsidRPr="00A1597B">
        <w:rPr>
          <w:rFonts w:ascii="Arial" w:hAnsi="Arial" w:cs="Arial"/>
          <w:b/>
          <w:szCs w:val="24"/>
          <w:u w:val="single"/>
        </w:rPr>
        <w:t xml:space="preserve"> Charge </w:t>
      </w:r>
      <w:r w:rsidR="0030137D">
        <w:rPr>
          <w:rFonts w:ascii="Arial" w:hAnsi="Arial" w:cs="Arial"/>
          <w:b/>
          <w:szCs w:val="24"/>
          <w:u w:val="single"/>
        </w:rPr>
        <w:t xml:space="preserve">(GSC) </w:t>
      </w:r>
      <w:r w:rsidRPr="00A1597B">
        <w:rPr>
          <w:rFonts w:ascii="Arial" w:hAnsi="Arial" w:cs="Arial"/>
          <w:b/>
          <w:szCs w:val="24"/>
          <w:u w:val="single"/>
        </w:rPr>
        <w:t>Over/(Under) Collections</w:t>
      </w:r>
    </w:p>
    <w:p w:rsidR="00235BB8" w:rsidRPr="00A1597B" w:rsidRDefault="00580574" w:rsidP="00235BB8">
      <w:pPr>
        <w:tabs>
          <w:tab w:val="center" w:pos="4680"/>
        </w:tabs>
        <w:suppressAutoHyphens/>
        <w:jc w:val="center"/>
        <w:rPr>
          <w:rFonts w:ascii="Arial" w:hAnsi="Arial" w:cs="Arial"/>
          <w:b/>
          <w:szCs w:val="24"/>
          <w:u w:val="single"/>
        </w:rPr>
      </w:pPr>
      <w:r>
        <w:rPr>
          <w:rFonts w:ascii="Arial" w:hAnsi="Arial" w:cs="Arial"/>
          <w:b/>
          <w:szCs w:val="24"/>
          <w:u w:val="single"/>
        </w:rPr>
        <w:t xml:space="preserve">(Section 1307(e)) </w:t>
      </w:r>
      <w:r w:rsidR="00235BB8" w:rsidRPr="00A1597B">
        <w:rPr>
          <w:rFonts w:ascii="Arial" w:hAnsi="Arial" w:cs="Arial"/>
          <w:b/>
          <w:szCs w:val="24"/>
          <w:u w:val="single"/>
        </w:rPr>
        <w:t xml:space="preserve">For The </w:t>
      </w:r>
      <w:r w:rsidR="005B158C" w:rsidRPr="00A1597B">
        <w:rPr>
          <w:rFonts w:ascii="Arial" w:hAnsi="Arial" w:cs="Arial"/>
          <w:b/>
          <w:szCs w:val="24"/>
          <w:u w:val="single"/>
        </w:rPr>
        <w:t>Twelve</w:t>
      </w:r>
      <w:r w:rsidR="00235BB8" w:rsidRPr="00A1597B">
        <w:rPr>
          <w:rFonts w:ascii="Arial" w:hAnsi="Arial" w:cs="Arial"/>
          <w:b/>
          <w:szCs w:val="24"/>
          <w:u w:val="single"/>
        </w:rPr>
        <w:t xml:space="preserve"> Months Ended </w:t>
      </w:r>
      <w:r w:rsidR="005B158C" w:rsidRPr="00A1597B">
        <w:rPr>
          <w:rFonts w:ascii="Arial" w:hAnsi="Arial" w:cs="Arial"/>
          <w:b/>
          <w:szCs w:val="24"/>
          <w:u w:val="single"/>
        </w:rPr>
        <w:t>December 31</w:t>
      </w:r>
      <w:r w:rsidR="00235BB8" w:rsidRPr="00A1597B">
        <w:rPr>
          <w:rFonts w:ascii="Arial" w:hAnsi="Arial" w:cs="Arial"/>
          <w:b/>
          <w:szCs w:val="24"/>
          <w:u w:val="single"/>
        </w:rPr>
        <w:t>, 2010</w:t>
      </w:r>
      <w:r w:rsidR="00EF4E6D" w:rsidRPr="00A1597B">
        <w:rPr>
          <w:rFonts w:ascii="Arial" w:hAnsi="Arial" w:cs="Arial"/>
          <w:b/>
          <w:szCs w:val="24"/>
          <w:u w:val="single"/>
        </w:rPr>
        <w:t>*</w:t>
      </w:r>
    </w:p>
    <w:p w:rsidR="00235BB8" w:rsidRPr="00A1597B" w:rsidRDefault="00235BB8" w:rsidP="00235BB8">
      <w:pPr>
        <w:tabs>
          <w:tab w:val="center" w:pos="4680"/>
        </w:tabs>
        <w:suppressAutoHyphens/>
        <w:jc w:val="center"/>
        <w:rPr>
          <w:rFonts w:ascii="Arial" w:hAnsi="Arial" w:cs="Arial"/>
          <w:b/>
          <w:szCs w:val="24"/>
          <w:u w:val="single"/>
        </w:rPr>
      </w:pPr>
    </w:p>
    <w:p w:rsidR="00921F7D" w:rsidRDefault="00921F7D" w:rsidP="00235BB8">
      <w:pPr>
        <w:tabs>
          <w:tab w:val="center" w:pos="4680"/>
        </w:tabs>
        <w:suppressAutoHyphens/>
        <w:rPr>
          <w:rFonts w:ascii="Arial" w:hAnsi="Arial" w:cs="Arial"/>
          <w:szCs w:val="24"/>
        </w:rPr>
      </w:pPr>
    </w:p>
    <w:tbl>
      <w:tblPr>
        <w:tblpPr w:leftFromText="180" w:rightFromText="180" w:vertAnchor="page" w:horzAnchor="margin" w:tblpXSpec="center" w:tblpY="3166"/>
        <w:tblW w:w="8237" w:type="dxa"/>
        <w:tblLook w:val="0000" w:firstRow="0" w:lastRow="0" w:firstColumn="0" w:lastColumn="0" w:noHBand="0" w:noVBand="0"/>
      </w:tblPr>
      <w:tblGrid>
        <w:gridCol w:w="2376"/>
        <w:gridCol w:w="2052"/>
        <w:gridCol w:w="1908"/>
        <w:gridCol w:w="1901"/>
      </w:tblGrid>
      <w:tr w:rsidR="00A60756" w:rsidRPr="001D73AB" w:rsidTr="002326C1">
        <w:trPr>
          <w:trHeight w:val="263"/>
        </w:trPr>
        <w:tc>
          <w:tcPr>
            <w:tcW w:w="2376" w:type="dxa"/>
            <w:noWrap/>
          </w:tcPr>
          <w:p w:rsidR="00A60756" w:rsidRPr="00BB4064" w:rsidRDefault="00A60756" w:rsidP="00580574">
            <w:pPr>
              <w:overflowPunct/>
              <w:autoSpaceDE/>
              <w:autoSpaceDN/>
              <w:adjustRightInd/>
              <w:textAlignment w:val="auto"/>
              <w:rPr>
                <w:rFonts w:ascii="Arial" w:hAnsi="Arial" w:cs="Arial"/>
                <w:szCs w:val="24"/>
                <w:u w:val="single"/>
              </w:rPr>
            </w:pPr>
          </w:p>
        </w:tc>
        <w:tc>
          <w:tcPr>
            <w:tcW w:w="2052" w:type="dxa"/>
            <w:noWrap/>
          </w:tcPr>
          <w:p w:rsidR="00A60756" w:rsidRPr="00BB4064" w:rsidRDefault="00A60756" w:rsidP="00580574">
            <w:pPr>
              <w:overflowPunct/>
              <w:autoSpaceDE/>
              <w:autoSpaceDN/>
              <w:adjustRightInd/>
              <w:jc w:val="center"/>
              <w:textAlignment w:val="auto"/>
              <w:rPr>
                <w:rFonts w:ascii="Arial" w:hAnsi="Arial" w:cs="Arial"/>
                <w:b/>
                <w:szCs w:val="24"/>
                <w:u w:val="single"/>
              </w:rPr>
            </w:pPr>
          </w:p>
        </w:tc>
        <w:tc>
          <w:tcPr>
            <w:tcW w:w="1908" w:type="dxa"/>
            <w:noWrap/>
          </w:tcPr>
          <w:p w:rsidR="00A60756" w:rsidRPr="00BB4064" w:rsidRDefault="00A60756" w:rsidP="00580574">
            <w:pPr>
              <w:overflowPunct/>
              <w:autoSpaceDE/>
              <w:autoSpaceDN/>
              <w:adjustRightInd/>
              <w:jc w:val="center"/>
              <w:textAlignment w:val="auto"/>
              <w:rPr>
                <w:rFonts w:ascii="Arial" w:hAnsi="Arial" w:cs="Arial"/>
                <w:b/>
                <w:szCs w:val="24"/>
                <w:u w:val="single"/>
              </w:rPr>
            </w:pPr>
          </w:p>
        </w:tc>
        <w:tc>
          <w:tcPr>
            <w:tcW w:w="1901" w:type="dxa"/>
            <w:noWrap/>
          </w:tcPr>
          <w:p w:rsidR="00A60756" w:rsidRPr="00BB4064" w:rsidRDefault="00A60756" w:rsidP="00580574">
            <w:pPr>
              <w:overflowPunct/>
              <w:autoSpaceDE/>
              <w:autoSpaceDN/>
              <w:adjustRightInd/>
              <w:jc w:val="center"/>
              <w:textAlignment w:val="auto"/>
              <w:rPr>
                <w:rFonts w:ascii="Arial" w:hAnsi="Arial" w:cs="Arial"/>
                <w:b/>
                <w:szCs w:val="24"/>
                <w:u w:val="single"/>
              </w:rPr>
            </w:pPr>
          </w:p>
        </w:tc>
      </w:tr>
      <w:tr w:rsidR="00A60756" w:rsidRPr="001D73AB" w:rsidTr="002326C1">
        <w:trPr>
          <w:trHeight w:val="255"/>
        </w:trPr>
        <w:tc>
          <w:tcPr>
            <w:tcW w:w="2376" w:type="dxa"/>
            <w:noWrap/>
          </w:tcPr>
          <w:p w:rsidR="00A60756" w:rsidRDefault="00A60756" w:rsidP="00580574">
            <w:pPr>
              <w:overflowPunct/>
              <w:autoSpaceDE/>
              <w:autoSpaceDN/>
              <w:adjustRightInd/>
              <w:jc w:val="center"/>
              <w:textAlignment w:val="auto"/>
              <w:rPr>
                <w:rFonts w:ascii="Arial" w:hAnsi="Arial" w:cs="Arial"/>
                <w:b/>
                <w:szCs w:val="24"/>
                <w:u w:val="single"/>
              </w:rPr>
            </w:pPr>
          </w:p>
          <w:p w:rsidR="00A60756" w:rsidRDefault="00A60756" w:rsidP="00580574">
            <w:pPr>
              <w:overflowPunct/>
              <w:autoSpaceDE/>
              <w:autoSpaceDN/>
              <w:adjustRightInd/>
              <w:jc w:val="center"/>
              <w:textAlignment w:val="auto"/>
              <w:rPr>
                <w:rFonts w:ascii="Arial" w:hAnsi="Arial" w:cs="Arial"/>
                <w:b/>
                <w:szCs w:val="24"/>
                <w:u w:val="single"/>
              </w:rPr>
            </w:pPr>
          </w:p>
          <w:p w:rsidR="00A60756" w:rsidRDefault="00A60756" w:rsidP="00580574">
            <w:pPr>
              <w:overflowPunct/>
              <w:autoSpaceDE/>
              <w:autoSpaceDN/>
              <w:adjustRightInd/>
              <w:jc w:val="center"/>
              <w:textAlignment w:val="auto"/>
              <w:rPr>
                <w:rFonts w:ascii="Arial" w:hAnsi="Arial" w:cs="Arial"/>
                <w:b/>
                <w:szCs w:val="24"/>
                <w:u w:val="single"/>
              </w:rPr>
            </w:pPr>
          </w:p>
          <w:p w:rsidR="00A60756" w:rsidRDefault="00A60756" w:rsidP="00580574">
            <w:pPr>
              <w:overflowPunct/>
              <w:autoSpaceDE/>
              <w:autoSpaceDN/>
              <w:adjustRightInd/>
              <w:jc w:val="center"/>
              <w:textAlignment w:val="auto"/>
              <w:rPr>
                <w:rFonts w:ascii="Arial" w:hAnsi="Arial" w:cs="Arial"/>
                <w:b/>
                <w:szCs w:val="24"/>
                <w:u w:val="single"/>
              </w:rPr>
            </w:pPr>
          </w:p>
          <w:p w:rsidR="00A60756" w:rsidRPr="00216442" w:rsidRDefault="00A60756" w:rsidP="00580574">
            <w:pPr>
              <w:overflowPunct/>
              <w:autoSpaceDE/>
              <w:autoSpaceDN/>
              <w:adjustRightInd/>
              <w:jc w:val="center"/>
              <w:textAlignment w:val="auto"/>
              <w:rPr>
                <w:rFonts w:ascii="Arial" w:hAnsi="Arial" w:cs="Arial"/>
                <w:b/>
                <w:szCs w:val="24"/>
                <w:u w:val="single"/>
              </w:rPr>
            </w:pPr>
            <w:r w:rsidRPr="00216442">
              <w:rPr>
                <w:rFonts w:ascii="Arial" w:hAnsi="Arial" w:cs="Arial"/>
                <w:b/>
                <w:szCs w:val="24"/>
                <w:u w:val="single"/>
              </w:rPr>
              <w:t>Rate Class</w:t>
            </w:r>
          </w:p>
        </w:tc>
        <w:tc>
          <w:tcPr>
            <w:tcW w:w="2052" w:type="dxa"/>
            <w:noWrap/>
          </w:tcPr>
          <w:p w:rsidR="00A60756" w:rsidRDefault="00A60756" w:rsidP="00580574">
            <w:pPr>
              <w:overflowPunct/>
              <w:autoSpaceDE/>
              <w:autoSpaceDN/>
              <w:adjustRightInd/>
              <w:jc w:val="center"/>
              <w:textAlignment w:val="auto"/>
              <w:rPr>
                <w:rFonts w:ascii="Arial" w:hAnsi="Arial" w:cs="Arial"/>
                <w:b/>
                <w:szCs w:val="24"/>
                <w:u w:val="single"/>
              </w:rPr>
            </w:pPr>
          </w:p>
          <w:p w:rsidR="0030137D" w:rsidRDefault="0030137D" w:rsidP="00580574">
            <w:pPr>
              <w:overflowPunct/>
              <w:autoSpaceDE/>
              <w:autoSpaceDN/>
              <w:adjustRightInd/>
              <w:jc w:val="center"/>
              <w:textAlignment w:val="auto"/>
              <w:rPr>
                <w:rFonts w:ascii="Arial" w:hAnsi="Arial" w:cs="Arial"/>
                <w:b/>
                <w:szCs w:val="24"/>
                <w:u w:val="single"/>
              </w:rPr>
            </w:pPr>
          </w:p>
          <w:p w:rsidR="00440563" w:rsidRDefault="0030137D" w:rsidP="00580574">
            <w:pPr>
              <w:overflowPunct/>
              <w:autoSpaceDE/>
              <w:autoSpaceDN/>
              <w:adjustRightInd/>
              <w:jc w:val="center"/>
              <w:textAlignment w:val="auto"/>
              <w:rPr>
                <w:rFonts w:ascii="Arial" w:hAnsi="Arial" w:cs="Arial"/>
                <w:b/>
                <w:szCs w:val="24"/>
                <w:u w:val="single"/>
              </w:rPr>
            </w:pPr>
            <w:r>
              <w:rPr>
                <w:rFonts w:ascii="Arial" w:hAnsi="Arial" w:cs="Arial"/>
                <w:b/>
                <w:szCs w:val="24"/>
                <w:u w:val="single"/>
              </w:rPr>
              <w:t>GS</w:t>
            </w:r>
            <w:r w:rsidR="00A60756">
              <w:rPr>
                <w:rFonts w:ascii="Arial" w:hAnsi="Arial" w:cs="Arial"/>
                <w:b/>
                <w:szCs w:val="24"/>
                <w:u w:val="single"/>
              </w:rPr>
              <w:t xml:space="preserve">C </w:t>
            </w:r>
          </w:p>
          <w:p w:rsidR="00A60756" w:rsidRPr="00216442" w:rsidRDefault="00A60756" w:rsidP="00580574">
            <w:pPr>
              <w:overflowPunct/>
              <w:autoSpaceDE/>
              <w:autoSpaceDN/>
              <w:adjustRightInd/>
              <w:jc w:val="center"/>
              <w:textAlignment w:val="auto"/>
              <w:rPr>
                <w:rFonts w:ascii="Arial" w:hAnsi="Arial" w:cs="Arial"/>
                <w:b/>
                <w:szCs w:val="24"/>
                <w:u w:val="single"/>
              </w:rPr>
            </w:pPr>
            <w:r>
              <w:rPr>
                <w:rFonts w:ascii="Arial" w:hAnsi="Arial" w:cs="Arial"/>
                <w:b/>
                <w:szCs w:val="24"/>
                <w:u w:val="single"/>
              </w:rPr>
              <w:t>Revenues</w:t>
            </w:r>
          </w:p>
          <w:p w:rsidR="00A60756" w:rsidRPr="00216442" w:rsidRDefault="00A60756" w:rsidP="00580574">
            <w:pPr>
              <w:overflowPunct/>
              <w:autoSpaceDE/>
              <w:autoSpaceDN/>
              <w:adjustRightInd/>
              <w:jc w:val="center"/>
              <w:textAlignment w:val="auto"/>
              <w:rPr>
                <w:rFonts w:ascii="Arial" w:hAnsi="Arial" w:cs="Arial"/>
                <w:szCs w:val="24"/>
                <w:u w:val="single"/>
              </w:rPr>
            </w:pPr>
            <w:r w:rsidRPr="00216442">
              <w:rPr>
                <w:rFonts w:ascii="Arial" w:hAnsi="Arial" w:cs="Arial"/>
                <w:b/>
                <w:szCs w:val="24"/>
                <w:u w:val="single"/>
              </w:rPr>
              <w:t>(Note 1)</w:t>
            </w:r>
          </w:p>
        </w:tc>
        <w:tc>
          <w:tcPr>
            <w:tcW w:w="1908" w:type="dxa"/>
            <w:noWrap/>
          </w:tcPr>
          <w:p w:rsidR="00A60756" w:rsidRDefault="00A60756" w:rsidP="00580574">
            <w:pPr>
              <w:overflowPunct/>
              <w:autoSpaceDE/>
              <w:autoSpaceDN/>
              <w:adjustRightInd/>
              <w:jc w:val="center"/>
              <w:textAlignment w:val="auto"/>
              <w:rPr>
                <w:rFonts w:ascii="Arial" w:hAnsi="Arial" w:cs="Arial"/>
                <w:b/>
                <w:szCs w:val="24"/>
                <w:u w:val="single"/>
              </w:rPr>
            </w:pPr>
          </w:p>
          <w:p w:rsidR="0030137D" w:rsidRDefault="0030137D" w:rsidP="00580574">
            <w:pPr>
              <w:overflowPunct/>
              <w:autoSpaceDE/>
              <w:autoSpaceDN/>
              <w:adjustRightInd/>
              <w:jc w:val="center"/>
              <w:textAlignment w:val="auto"/>
              <w:rPr>
                <w:rFonts w:ascii="Arial" w:hAnsi="Arial" w:cs="Arial"/>
                <w:b/>
                <w:szCs w:val="24"/>
                <w:u w:val="single"/>
              </w:rPr>
            </w:pPr>
          </w:p>
          <w:p w:rsidR="00A60756" w:rsidRPr="00216442" w:rsidRDefault="0030137D" w:rsidP="00580574">
            <w:pPr>
              <w:overflowPunct/>
              <w:autoSpaceDE/>
              <w:autoSpaceDN/>
              <w:adjustRightInd/>
              <w:jc w:val="center"/>
              <w:textAlignment w:val="auto"/>
              <w:rPr>
                <w:rFonts w:ascii="Arial" w:hAnsi="Arial" w:cs="Arial"/>
                <w:b/>
                <w:szCs w:val="24"/>
                <w:u w:val="single"/>
              </w:rPr>
            </w:pPr>
            <w:r>
              <w:rPr>
                <w:rFonts w:ascii="Arial" w:hAnsi="Arial" w:cs="Arial"/>
                <w:b/>
                <w:szCs w:val="24"/>
                <w:u w:val="single"/>
              </w:rPr>
              <w:t>GS</w:t>
            </w:r>
            <w:r w:rsidR="00A60756">
              <w:rPr>
                <w:rFonts w:ascii="Arial" w:hAnsi="Arial" w:cs="Arial"/>
                <w:b/>
                <w:szCs w:val="24"/>
                <w:u w:val="single"/>
              </w:rPr>
              <w:t>C</w:t>
            </w:r>
            <w:r>
              <w:rPr>
                <w:rFonts w:ascii="Arial" w:hAnsi="Arial" w:cs="Arial"/>
                <w:b/>
                <w:szCs w:val="24"/>
                <w:u w:val="single"/>
              </w:rPr>
              <w:t xml:space="preserve"> </w:t>
            </w:r>
            <w:r w:rsidR="00A60756" w:rsidRPr="00216442">
              <w:rPr>
                <w:rFonts w:ascii="Arial" w:hAnsi="Arial" w:cs="Arial"/>
                <w:b/>
                <w:szCs w:val="24"/>
                <w:u w:val="single"/>
              </w:rPr>
              <w:t xml:space="preserve"> Expenses</w:t>
            </w:r>
          </w:p>
          <w:p w:rsidR="00A60756" w:rsidRPr="00216442" w:rsidRDefault="00A60756" w:rsidP="00A1597B">
            <w:pPr>
              <w:overflowPunct/>
              <w:autoSpaceDE/>
              <w:autoSpaceDN/>
              <w:adjustRightInd/>
              <w:jc w:val="center"/>
              <w:textAlignment w:val="auto"/>
              <w:rPr>
                <w:rFonts w:ascii="Arial" w:hAnsi="Arial" w:cs="Arial"/>
                <w:b/>
                <w:szCs w:val="24"/>
                <w:u w:val="single"/>
              </w:rPr>
            </w:pPr>
            <w:r>
              <w:rPr>
                <w:rFonts w:ascii="Arial" w:hAnsi="Arial" w:cs="Arial"/>
                <w:b/>
                <w:szCs w:val="24"/>
                <w:u w:val="single"/>
              </w:rPr>
              <w:t xml:space="preserve">(Note </w:t>
            </w:r>
            <w:r w:rsidR="00721408">
              <w:rPr>
                <w:rFonts w:ascii="Arial" w:hAnsi="Arial" w:cs="Arial"/>
                <w:b/>
                <w:szCs w:val="24"/>
                <w:u w:val="single"/>
              </w:rPr>
              <w:t>4</w:t>
            </w:r>
            <w:r w:rsidRPr="00216442">
              <w:rPr>
                <w:rFonts w:ascii="Arial" w:hAnsi="Arial" w:cs="Arial"/>
                <w:b/>
                <w:szCs w:val="24"/>
                <w:u w:val="single"/>
              </w:rPr>
              <w:t>)</w:t>
            </w:r>
          </w:p>
        </w:tc>
        <w:tc>
          <w:tcPr>
            <w:tcW w:w="1901" w:type="dxa"/>
            <w:noWrap/>
          </w:tcPr>
          <w:p w:rsidR="00A60756" w:rsidRDefault="00A60756" w:rsidP="00580574">
            <w:pPr>
              <w:overflowPunct/>
              <w:autoSpaceDE/>
              <w:autoSpaceDN/>
              <w:adjustRightInd/>
              <w:jc w:val="center"/>
              <w:textAlignment w:val="auto"/>
              <w:rPr>
                <w:rFonts w:ascii="Arial" w:hAnsi="Arial" w:cs="Arial"/>
                <w:b/>
                <w:szCs w:val="24"/>
                <w:u w:val="single"/>
              </w:rPr>
            </w:pPr>
          </w:p>
          <w:p w:rsidR="00A60756" w:rsidRDefault="00A60756" w:rsidP="00580574">
            <w:pPr>
              <w:overflowPunct/>
              <w:autoSpaceDE/>
              <w:autoSpaceDN/>
              <w:adjustRightInd/>
              <w:jc w:val="center"/>
              <w:textAlignment w:val="auto"/>
              <w:rPr>
                <w:rFonts w:ascii="Arial" w:hAnsi="Arial" w:cs="Arial"/>
                <w:b/>
                <w:szCs w:val="24"/>
                <w:u w:val="single"/>
              </w:rPr>
            </w:pPr>
          </w:p>
          <w:p w:rsidR="00A60756" w:rsidRDefault="0030137D" w:rsidP="00580574">
            <w:pPr>
              <w:overflowPunct/>
              <w:autoSpaceDE/>
              <w:autoSpaceDN/>
              <w:adjustRightInd/>
              <w:jc w:val="center"/>
              <w:textAlignment w:val="auto"/>
              <w:rPr>
                <w:rFonts w:ascii="Arial" w:hAnsi="Arial" w:cs="Arial"/>
                <w:b/>
                <w:szCs w:val="24"/>
                <w:u w:val="single"/>
              </w:rPr>
            </w:pPr>
            <w:r>
              <w:rPr>
                <w:rFonts w:ascii="Arial" w:hAnsi="Arial" w:cs="Arial"/>
                <w:b/>
                <w:szCs w:val="24"/>
                <w:u w:val="single"/>
              </w:rPr>
              <w:t>Over/</w:t>
            </w:r>
            <w:r w:rsidR="00A60756">
              <w:rPr>
                <w:rFonts w:ascii="Arial" w:hAnsi="Arial" w:cs="Arial"/>
                <w:b/>
                <w:szCs w:val="24"/>
                <w:u w:val="single"/>
              </w:rPr>
              <w:t>(Under)</w:t>
            </w:r>
          </w:p>
          <w:p w:rsidR="00A60756" w:rsidRPr="00216442" w:rsidRDefault="00A60756" w:rsidP="00580574">
            <w:pPr>
              <w:overflowPunct/>
              <w:autoSpaceDE/>
              <w:autoSpaceDN/>
              <w:adjustRightInd/>
              <w:jc w:val="center"/>
              <w:textAlignment w:val="auto"/>
              <w:rPr>
                <w:rFonts w:ascii="Arial" w:hAnsi="Arial" w:cs="Arial"/>
                <w:b/>
                <w:szCs w:val="24"/>
                <w:u w:val="single"/>
              </w:rPr>
            </w:pPr>
            <w:r w:rsidRPr="00216442">
              <w:rPr>
                <w:rFonts w:ascii="Arial" w:hAnsi="Arial" w:cs="Arial"/>
                <w:b/>
                <w:szCs w:val="24"/>
                <w:u w:val="single"/>
              </w:rPr>
              <w:t>Collection</w:t>
            </w:r>
            <w:r w:rsidR="00F1187A">
              <w:rPr>
                <w:rFonts w:ascii="Arial" w:hAnsi="Arial" w:cs="Arial"/>
                <w:b/>
                <w:szCs w:val="24"/>
                <w:u w:val="single"/>
              </w:rPr>
              <w:t>s</w:t>
            </w:r>
          </w:p>
          <w:p w:rsidR="00A60756" w:rsidRDefault="00A60756" w:rsidP="00580574">
            <w:pPr>
              <w:overflowPunct/>
              <w:autoSpaceDE/>
              <w:autoSpaceDN/>
              <w:adjustRightInd/>
              <w:jc w:val="center"/>
              <w:textAlignment w:val="auto"/>
              <w:rPr>
                <w:rFonts w:ascii="Arial" w:hAnsi="Arial" w:cs="Arial"/>
                <w:b/>
                <w:szCs w:val="24"/>
                <w:u w:val="single"/>
              </w:rPr>
            </w:pPr>
            <w:r>
              <w:rPr>
                <w:rFonts w:ascii="Arial" w:hAnsi="Arial" w:cs="Arial"/>
                <w:b/>
                <w:szCs w:val="24"/>
                <w:u w:val="single"/>
              </w:rPr>
              <w:t xml:space="preserve">(Note </w:t>
            </w:r>
            <w:r w:rsidR="00721408">
              <w:rPr>
                <w:rFonts w:ascii="Arial" w:hAnsi="Arial" w:cs="Arial"/>
                <w:b/>
                <w:szCs w:val="24"/>
                <w:u w:val="single"/>
              </w:rPr>
              <w:t>5</w:t>
            </w:r>
            <w:r w:rsidRPr="00216442">
              <w:rPr>
                <w:rFonts w:ascii="Arial" w:hAnsi="Arial" w:cs="Arial"/>
                <w:b/>
                <w:szCs w:val="24"/>
                <w:u w:val="single"/>
              </w:rPr>
              <w:t>)</w:t>
            </w:r>
          </w:p>
          <w:p w:rsidR="00A60756" w:rsidRPr="00216442" w:rsidRDefault="00A60756" w:rsidP="00580574">
            <w:pPr>
              <w:overflowPunct/>
              <w:autoSpaceDE/>
              <w:autoSpaceDN/>
              <w:adjustRightInd/>
              <w:jc w:val="center"/>
              <w:textAlignment w:val="auto"/>
              <w:rPr>
                <w:rFonts w:ascii="Arial" w:hAnsi="Arial" w:cs="Arial"/>
                <w:b/>
                <w:szCs w:val="24"/>
                <w:u w:val="single"/>
              </w:rPr>
            </w:pPr>
          </w:p>
        </w:tc>
      </w:tr>
      <w:tr w:rsidR="00257C99" w:rsidRPr="00CA398C" w:rsidTr="002326C1">
        <w:trPr>
          <w:trHeight w:val="255"/>
        </w:trPr>
        <w:tc>
          <w:tcPr>
            <w:tcW w:w="2376" w:type="dxa"/>
            <w:noWrap/>
          </w:tcPr>
          <w:p w:rsidR="00257C99" w:rsidRDefault="00257C99" w:rsidP="00257C99">
            <w:pPr>
              <w:overflowPunct/>
              <w:autoSpaceDE/>
              <w:autoSpaceDN/>
              <w:adjustRightInd/>
              <w:textAlignment w:val="auto"/>
              <w:rPr>
                <w:rFonts w:ascii="Arial" w:hAnsi="Arial" w:cs="Arial"/>
                <w:szCs w:val="24"/>
              </w:rPr>
            </w:pPr>
          </w:p>
          <w:p w:rsidR="00257C99" w:rsidRPr="00216442" w:rsidRDefault="00257C99" w:rsidP="00257C99">
            <w:pPr>
              <w:overflowPunct/>
              <w:autoSpaceDE/>
              <w:autoSpaceDN/>
              <w:adjustRightInd/>
              <w:textAlignment w:val="auto"/>
              <w:rPr>
                <w:rFonts w:ascii="Arial" w:hAnsi="Arial" w:cs="Arial"/>
                <w:szCs w:val="24"/>
              </w:rPr>
            </w:pPr>
            <w:r w:rsidRPr="00216442">
              <w:rPr>
                <w:rFonts w:ascii="Arial" w:hAnsi="Arial" w:cs="Arial"/>
                <w:szCs w:val="24"/>
              </w:rPr>
              <w:t>Residential</w:t>
            </w:r>
          </w:p>
        </w:tc>
        <w:tc>
          <w:tcPr>
            <w:tcW w:w="2052" w:type="dxa"/>
            <w:noWrap/>
          </w:tcPr>
          <w:p w:rsidR="00257C99" w:rsidRDefault="00257C99" w:rsidP="00257C99">
            <w:pPr>
              <w:tabs>
                <w:tab w:val="decimal" w:pos="1524"/>
              </w:tabs>
              <w:overflowPunct/>
              <w:autoSpaceDE/>
              <w:autoSpaceDN/>
              <w:adjustRightInd/>
              <w:textAlignment w:val="auto"/>
              <w:rPr>
                <w:rFonts w:ascii="Arial" w:hAnsi="Arial" w:cs="Arial"/>
                <w:szCs w:val="24"/>
              </w:rPr>
            </w:pPr>
          </w:p>
          <w:p w:rsidR="00257C99" w:rsidRPr="00216442" w:rsidRDefault="00257C99" w:rsidP="00440563">
            <w:pPr>
              <w:tabs>
                <w:tab w:val="decimal" w:pos="1524"/>
              </w:tabs>
              <w:overflowPunct/>
              <w:autoSpaceDE/>
              <w:autoSpaceDN/>
              <w:adjustRightInd/>
              <w:textAlignment w:val="auto"/>
              <w:rPr>
                <w:rFonts w:ascii="Arial" w:hAnsi="Arial" w:cs="Arial"/>
                <w:szCs w:val="24"/>
              </w:rPr>
            </w:pPr>
            <w:r w:rsidRPr="00216442">
              <w:rPr>
                <w:rFonts w:ascii="Arial" w:hAnsi="Arial" w:cs="Arial"/>
                <w:szCs w:val="24"/>
              </w:rPr>
              <w:t>$</w:t>
            </w:r>
            <w:r w:rsidR="002326C1">
              <w:rPr>
                <w:rFonts w:ascii="Arial" w:hAnsi="Arial" w:cs="Arial"/>
                <w:szCs w:val="24"/>
              </w:rPr>
              <w:t xml:space="preserve"> </w:t>
            </w:r>
            <w:r w:rsidR="00440563">
              <w:rPr>
                <w:rFonts w:ascii="Arial" w:hAnsi="Arial" w:cs="Arial"/>
                <w:szCs w:val="24"/>
              </w:rPr>
              <w:t xml:space="preserve">   </w:t>
            </w:r>
            <w:r>
              <w:rPr>
                <w:rFonts w:ascii="Arial" w:hAnsi="Arial" w:cs="Arial"/>
                <w:szCs w:val="24"/>
              </w:rPr>
              <w:t>885,920,645</w:t>
            </w:r>
          </w:p>
        </w:tc>
        <w:tc>
          <w:tcPr>
            <w:tcW w:w="1908" w:type="dxa"/>
            <w:noWrap/>
            <w:vAlign w:val="bottom"/>
          </w:tcPr>
          <w:p w:rsidR="00257C99" w:rsidRPr="00216442" w:rsidRDefault="00257C99" w:rsidP="002326C1">
            <w:pPr>
              <w:tabs>
                <w:tab w:val="decimal" w:pos="1605"/>
              </w:tabs>
              <w:overflowPunct/>
              <w:autoSpaceDE/>
              <w:autoSpaceDN/>
              <w:adjustRightInd/>
              <w:textAlignment w:val="auto"/>
              <w:rPr>
                <w:rFonts w:ascii="Arial" w:hAnsi="Arial" w:cs="Arial"/>
                <w:szCs w:val="24"/>
              </w:rPr>
            </w:pPr>
            <w:r w:rsidRPr="00216442">
              <w:rPr>
                <w:rFonts w:ascii="Arial" w:hAnsi="Arial" w:cs="Arial"/>
                <w:szCs w:val="24"/>
              </w:rPr>
              <w:t>$</w:t>
            </w:r>
            <w:r w:rsidR="00440563">
              <w:rPr>
                <w:rFonts w:ascii="Arial" w:hAnsi="Arial" w:cs="Arial"/>
                <w:szCs w:val="24"/>
              </w:rPr>
              <w:t xml:space="preserve">   </w:t>
            </w:r>
            <w:r>
              <w:rPr>
                <w:rFonts w:ascii="Arial" w:hAnsi="Arial" w:cs="Arial"/>
                <w:szCs w:val="24"/>
              </w:rPr>
              <w:t>933,433,631</w:t>
            </w:r>
          </w:p>
        </w:tc>
        <w:tc>
          <w:tcPr>
            <w:tcW w:w="1901" w:type="dxa"/>
            <w:noWrap/>
            <w:vAlign w:val="bottom"/>
          </w:tcPr>
          <w:p w:rsidR="00257C99" w:rsidRPr="00CA398C" w:rsidRDefault="00257C99" w:rsidP="002326C1">
            <w:pPr>
              <w:tabs>
                <w:tab w:val="decimal" w:pos="1605"/>
              </w:tabs>
              <w:overflowPunct/>
              <w:autoSpaceDE/>
              <w:autoSpaceDN/>
              <w:adjustRightInd/>
              <w:textAlignment w:val="auto"/>
              <w:rPr>
                <w:rFonts w:ascii="Arial" w:hAnsi="Arial" w:cs="Arial"/>
                <w:szCs w:val="24"/>
                <w:highlight w:val="yellow"/>
              </w:rPr>
            </w:pPr>
            <w:r w:rsidRPr="00E520D6">
              <w:rPr>
                <w:rFonts w:ascii="Arial" w:hAnsi="Arial" w:cs="Arial"/>
                <w:szCs w:val="24"/>
              </w:rPr>
              <w:t>$</w:t>
            </w:r>
            <w:r w:rsidR="006854D1">
              <w:rPr>
                <w:rFonts w:ascii="Arial" w:hAnsi="Arial" w:cs="Arial"/>
                <w:szCs w:val="24"/>
              </w:rPr>
              <w:t xml:space="preserve">  </w:t>
            </w:r>
            <w:r w:rsidRPr="00E520D6">
              <w:rPr>
                <w:rFonts w:ascii="Arial" w:hAnsi="Arial" w:cs="Arial"/>
                <w:szCs w:val="24"/>
              </w:rPr>
              <w:t>(</w:t>
            </w:r>
            <w:r>
              <w:rPr>
                <w:rFonts w:ascii="Arial" w:hAnsi="Arial" w:cs="Arial"/>
                <w:szCs w:val="24"/>
              </w:rPr>
              <w:t>47,512,986</w:t>
            </w:r>
            <w:r w:rsidRPr="00E520D6">
              <w:rPr>
                <w:rFonts w:ascii="Arial" w:hAnsi="Arial" w:cs="Arial"/>
                <w:szCs w:val="24"/>
              </w:rPr>
              <w:t>)</w:t>
            </w:r>
          </w:p>
        </w:tc>
      </w:tr>
      <w:tr w:rsidR="00A60756" w:rsidRPr="00CA398C" w:rsidTr="002326C1">
        <w:trPr>
          <w:trHeight w:val="83"/>
        </w:trPr>
        <w:tc>
          <w:tcPr>
            <w:tcW w:w="2376" w:type="dxa"/>
            <w:noWrap/>
          </w:tcPr>
          <w:p w:rsidR="00A60756" w:rsidRPr="00216442" w:rsidRDefault="00A60756" w:rsidP="00580574">
            <w:pPr>
              <w:overflowPunct/>
              <w:autoSpaceDE/>
              <w:autoSpaceDN/>
              <w:adjustRightInd/>
              <w:jc w:val="center"/>
              <w:textAlignment w:val="auto"/>
              <w:rPr>
                <w:rFonts w:ascii="Arial" w:hAnsi="Arial" w:cs="Arial"/>
                <w:szCs w:val="24"/>
                <w:u w:val="single"/>
              </w:rPr>
            </w:pPr>
          </w:p>
        </w:tc>
        <w:tc>
          <w:tcPr>
            <w:tcW w:w="2052" w:type="dxa"/>
            <w:noWrap/>
          </w:tcPr>
          <w:p w:rsidR="00A60756" w:rsidRPr="00216442" w:rsidRDefault="00A60756" w:rsidP="00580574">
            <w:pPr>
              <w:tabs>
                <w:tab w:val="decimal" w:pos="1524"/>
              </w:tabs>
              <w:overflowPunct/>
              <w:autoSpaceDE/>
              <w:autoSpaceDN/>
              <w:adjustRightInd/>
              <w:textAlignment w:val="auto"/>
              <w:rPr>
                <w:rFonts w:ascii="Arial" w:hAnsi="Arial" w:cs="Arial"/>
                <w:szCs w:val="24"/>
              </w:rPr>
            </w:pPr>
          </w:p>
        </w:tc>
        <w:tc>
          <w:tcPr>
            <w:tcW w:w="1908" w:type="dxa"/>
            <w:noWrap/>
            <w:vAlign w:val="bottom"/>
          </w:tcPr>
          <w:p w:rsidR="00A60756" w:rsidRPr="00216442" w:rsidRDefault="00A60756" w:rsidP="00580574">
            <w:pPr>
              <w:tabs>
                <w:tab w:val="decimal" w:pos="1605"/>
              </w:tabs>
              <w:overflowPunct/>
              <w:autoSpaceDE/>
              <w:autoSpaceDN/>
              <w:adjustRightInd/>
              <w:textAlignment w:val="auto"/>
              <w:rPr>
                <w:rFonts w:ascii="Arial" w:hAnsi="Arial" w:cs="Arial"/>
                <w:szCs w:val="24"/>
              </w:rPr>
            </w:pPr>
          </w:p>
        </w:tc>
        <w:tc>
          <w:tcPr>
            <w:tcW w:w="1901" w:type="dxa"/>
            <w:noWrap/>
            <w:vAlign w:val="bottom"/>
          </w:tcPr>
          <w:p w:rsidR="00A60756" w:rsidRPr="00CA398C" w:rsidRDefault="00A60756" w:rsidP="00580574">
            <w:pPr>
              <w:tabs>
                <w:tab w:val="decimal" w:pos="1605"/>
              </w:tabs>
              <w:overflowPunct/>
              <w:autoSpaceDE/>
              <w:autoSpaceDN/>
              <w:adjustRightInd/>
              <w:textAlignment w:val="auto"/>
              <w:rPr>
                <w:rFonts w:ascii="Arial" w:hAnsi="Arial" w:cs="Arial"/>
                <w:szCs w:val="24"/>
                <w:highlight w:val="yellow"/>
              </w:rPr>
            </w:pPr>
          </w:p>
        </w:tc>
      </w:tr>
      <w:tr w:rsidR="00257C99" w:rsidRPr="00CA398C" w:rsidTr="002326C1">
        <w:trPr>
          <w:trHeight w:val="255"/>
        </w:trPr>
        <w:tc>
          <w:tcPr>
            <w:tcW w:w="2376" w:type="dxa"/>
            <w:noWrap/>
          </w:tcPr>
          <w:p w:rsidR="00257C99" w:rsidRPr="00216442" w:rsidRDefault="00257C99" w:rsidP="00257C99">
            <w:pPr>
              <w:overflowPunct/>
              <w:autoSpaceDE/>
              <w:autoSpaceDN/>
              <w:adjustRightInd/>
              <w:textAlignment w:val="auto"/>
              <w:rPr>
                <w:rFonts w:ascii="Arial" w:hAnsi="Arial" w:cs="Arial"/>
                <w:szCs w:val="24"/>
              </w:rPr>
            </w:pPr>
            <w:r w:rsidRPr="00216442">
              <w:rPr>
                <w:rFonts w:ascii="Arial" w:hAnsi="Arial" w:cs="Arial"/>
                <w:szCs w:val="24"/>
              </w:rPr>
              <w:t xml:space="preserve">Small </w:t>
            </w:r>
            <w:r>
              <w:rPr>
                <w:rFonts w:ascii="Arial" w:hAnsi="Arial" w:cs="Arial"/>
                <w:szCs w:val="24"/>
              </w:rPr>
              <w:t>C&amp;I</w:t>
            </w:r>
          </w:p>
        </w:tc>
        <w:tc>
          <w:tcPr>
            <w:tcW w:w="2052" w:type="dxa"/>
            <w:noWrap/>
            <w:vAlign w:val="bottom"/>
          </w:tcPr>
          <w:p w:rsidR="00257C99" w:rsidRPr="00216442" w:rsidRDefault="002326C1" w:rsidP="00440563">
            <w:pPr>
              <w:tabs>
                <w:tab w:val="decimal" w:pos="1524"/>
              </w:tabs>
              <w:overflowPunct/>
              <w:autoSpaceDE/>
              <w:autoSpaceDN/>
              <w:adjustRightInd/>
              <w:textAlignment w:val="auto"/>
              <w:rPr>
                <w:rFonts w:ascii="Arial" w:hAnsi="Arial" w:cs="Arial"/>
                <w:szCs w:val="24"/>
              </w:rPr>
            </w:pPr>
            <w:r>
              <w:rPr>
                <w:rFonts w:ascii="Arial" w:hAnsi="Arial" w:cs="Arial"/>
                <w:szCs w:val="24"/>
              </w:rPr>
              <w:t xml:space="preserve">   </w:t>
            </w:r>
            <w:r w:rsidR="00440563">
              <w:rPr>
                <w:rFonts w:ascii="Arial" w:hAnsi="Arial" w:cs="Arial"/>
                <w:szCs w:val="24"/>
              </w:rPr>
              <w:t xml:space="preserve"> </w:t>
            </w:r>
            <w:r>
              <w:rPr>
                <w:rFonts w:ascii="Arial" w:hAnsi="Arial" w:cs="Arial"/>
                <w:szCs w:val="24"/>
              </w:rPr>
              <w:t xml:space="preserve"> </w:t>
            </w:r>
            <w:r w:rsidR="00440563">
              <w:rPr>
                <w:rFonts w:ascii="Arial" w:hAnsi="Arial" w:cs="Arial"/>
                <w:szCs w:val="24"/>
              </w:rPr>
              <w:t xml:space="preserve"> </w:t>
            </w:r>
            <w:r w:rsidR="00257C99">
              <w:rPr>
                <w:rFonts w:ascii="Arial" w:hAnsi="Arial" w:cs="Arial"/>
                <w:szCs w:val="24"/>
              </w:rPr>
              <w:t>298,787,942</w:t>
            </w:r>
          </w:p>
        </w:tc>
        <w:tc>
          <w:tcPr>
            <w:tcW w:w="1908" w:type="dxa"/>
            <w:noWrap/>
            <w:vAlign w:val="bottom"/>
          </w:tcPr>
          <w:p w:rsidR="00257C99" w:rsidRPr="00216442" w:rsidRDefault="00440563" w:rsidP="00257C99">
            <w:pPr>
              <w:tabs>
                <w:tab w:val="decimal" w:pos="1605"/>
              </w:tabs>
              <w:overflowPunct/>
              <w:autoSpaceDE/>
              <w:autoSpaceDN/>
              <w:adjustRightInd/>
              <w:textAlignment w:val="auto"/>
              <w:rPr>
                <w:rFonts w:ascii="Arial" w:hAnsi="Arial" w:cs="Arial"/>
                <w:szCs w:val="24"/>
              </w:rPr>
            </w:pPr>
            <w:r>
              <w:rPr>
                <w:rFonts w:ascii="Arial" w:hAnsi="Arial" w:cs="Arial"/>
                <w:szCs w:val="24"/>
              </w:rPr>
              <w:t xml:space="preserve">     </w:t>
            </w:r>
            <w:r w:rsidR="00257C99">
              <w:rPr>
                <w:rFonts w:ascii="Arial" w:hAnsi="Arial" w:cs="Arial"/>
                <w:szCs w:val="24"/>
              </w:rPr>
              <w:t>321,477,111</w:t>
            </w:r>
          </w:p>
        </w:tc>
        <w:tc>
          <w:tcPr>
            <w:tcW w:w="1901" w:type="dxa"/>
            <w:noWrap/>
            <w:vAlign w:val="bottom"/>
          </w:tcPr>
          <w:p w:rsidR="00257C99" w:rsidRPr="00CA398C" w:rsidRDefault="00257C99" w:rsidP="00257C99">
            <w:pPr>
              <w:tabs>
                <w:tab w:val="decimal" w:pos="1605"/>
              </w:tabs>
              <w:overflowPunct/>
              <w:autoSpaceDE/>
              <w:autoSpaceDN/>
              <w:adjustRightInd/>
              <w:textAlignment w:val="auto"/>
              <w:rPr>
                <w:rFonts w:ascii="Arial" w:hAnsi="Arial" w:cs="Arial"/>
                <w:szCs w:val="24"/>
                <w:highlight w:val="yellow"/>
              </w:rPr>
            </w:pPr>
            <w:r w:rsidRPr="000E4B0D">
              <w:rPr>
                <w:rFonts w:ascii="Arial" w:hAnsi="Arial" w:cs="Arial"/>
                <w:szCs w:val="24"/>
              </w:rPr>
              <w:t>(</w:t>
            </w:r>
            <w:r>
              <w:rPr>
                <w:rFonts w:ascii="Arial" w:hAnsi="Arial" w:cs="Arial"/>
                <w:szCs w:val="24"/>
              </w:rPr>
              <w:t>22,689,169</w:t>
            </w:r>
            <w:r w:rsidRPr="000E4B0D">
              <w:rPr>
                <w:rFonts w:ascii="Arial" w:hAnsi="Arial" w:cs="Arial"/>
                <w:szCs w:val="24"/>
              </w:rPr>
              <w:t>)</w:t>
            </w:r>
          </w:p>
        </w:tc>
      </w:tr>
      <w:tr w:rsidR="00A60756" w:rsidRPr="00CA398C" w:rsidTr="002326C1">
        <w:trPr>
          <w:trHeight w:val="255"/>
        </w:trPr>
        <w:tc>
          <w:tcPr>
            <w:tcW w:w="2376" w:type="dxa"/>
            <w:noWrap/>
          </w:tcPr>
          <w:p w:rsidR="00A60756" w:rsidRPr="00216442" w:rsidRDefault="00A60756" w:rsidP="00580574">
            <w:pPr>
              <w:overflowPunct/>
              <w:autoSpaceDE/>
              <w:autoSpaceDN/>
              <w:adjustRightInd/>
              <w:textAlignment w:val="auto"/>
              <w:rPr>
                <w:rFonts w:ascii="Arial" w:hAnsi="Arial" w:cs="Arial"/>
                <w:szCs w:val="24"/>
              </w:rPr>
            </w:pPr>
          </w:p>
        </w:tc>
        <w:tc>
          <w:tcPr>
            <w:tcW w:w="2052" w:type="dxa"/>
            <w:noWrap/>
          </w:tcPr>
          <w:p w:rsidR="00A60756" w:rsidRPr="00216442" w:rsidRDefault="00A60756" w:rsidP="00580574">
            <w:pPr>
              <w:tabs>
                <w:tab w:val="decimal" w:pos="1524"/>
              </w:tabs>
              <w:overflowPunct/>
              <w:autoSpaceDE/>
              <w:autoSpaceDN/>
              <w:adjustRightInd/>
              <w:textAlignment w:val="auto"/>
              <w:rPr>
                <w:rFonts w:ascii="Arial" w:hAnsi="Arial" w:cs="Arial"/>
                <w:szCs w:val="24"/>
              </w:rPr>
            </w:pPr>
          </w:p>
        </w:tc>
        <w:tc>
          <w:tcPr>
            <w:tcW w:w="1908" w:type="dxa"/>
            <w:noWrap/>
            <w:vAlign w:val="bottom"/>
          </w:tcPr>
          <w:p w:rsidR="00A60756" w:rsidRPr="00216442" w:rsidRDefault="00A60756" w:rsidP="00580574">
            <w:pPr>
              <w:tabs>
                <w:tab w:val="decimal" w:pos="1605"/>
              </w:tabs>
              <w:overflowPunct/>
              <w:autoSpaceDE/>
              <w:autoSpaceDN/>
              <w:adjustRightInd/>
              <w:textAlignment w:val="auto"/>
              <w:rPr>
                <w:rFonts w:ascii="Arial" w:hAnsi="Arial" w:cs="Arial"/>
                <w:szCs w:val="24"/>
              </w:rPr>
            </w:pPr>
          </w:p>
        </w:tc>
        <w:tc>
          <w:tcPr>
            <w:tcW w:w="1901" w:type="dxa"/>
            <w:noWrap/>
            <w:vAlign w:val="bottom"/>
          </w:tcPr>
          <w:p w:rsidR="00A60756" w:rsidRPr="00CA398C" w:rsidRDefault="00A60756" w:rsidP="00580574">
            <w:pPr>
              <w:tabs>
                <w:tab w:val="decimal" w:pos="1605"/>
              </w:tabs>
              <w:overflowPunct/>
              <w:autoSpaceDE/>
              <w:autoSpaceDN/>
              <w:adjustRightInd/>
              <w:textAlignment w:val="auto"/>
              <w:rPr>
                <w:rFonts w:ascii="Arial" w:hAnsi="Arial" w:cs="Arial"/>
                <w:szCs w:val="24"/>
                <w:highlight w:val="yellow"/>
              </w:rPr>
            </w:pPr>
          </w:p>
        </w:tc>
      </w:tr>
      <w:tr w:rsidR="00257C99" w:rsidRPr="00CA398C" w:rsidTr="002326C1">
        <w:trPr>
          <w:trHeight w:val="255"/>
        </w:trPr>
        <w:tc>
          <w:tcPr>
            <w:tcW w:w="2376" w:type="dxa"/>
            <w:noWrap/>
          </w:tcPr>
          <w:p w:rsidR="00257C99" w:rsidRPr="00216442" w:rsidRDefault="00257C99" w:rsidP="00257C99">
            <w:pPr>
              <w:overflowPunct/>
              <w:autoSpaceDE/>
              <w:autoSpaceDN/>
              <w:adjustRightInd/>
              <w:textAlignment w:val="auto"/>
              <w:rPr>
                <w:rFonts w:ascii="Arial" w:hAnsi="Arial" w:cs="Arial"/>
                <w:szCs w:val="24"/>
              </w:rPr>
            </w:pPr>
            <w:r w:rsidRPr="00216442">
              <w:rPr>
                <w:rFonts w:ascii="Arial" w:hAnsi="Arial" w:cs="Arial"/>
                <w:szCs w:val="24"/>
              </w:rPr>
              <w:t xml:space="preserve">Large </w:t>
            </w:r>
            <w:r>
              <w:rPr>
                <w:rFonts w:ascii="Arial" w:hAnsi="Arial" w:cs="Arial"/>
                <w:szCs w:val="24"/>
              </w:rPr>
              <w:t>C&amp;</w:t>
            </w:r>
            <w:r w:rsidRPr="00216442">
              <w:rPr>
                <w:rFonts w:ascii="Arial" w:hAnsi="Arial" w:cs="Arial"/>
                <w:szCs w:val="24"/>
              </w:rPr>
              <w:t>l</w:t>
            </w:r>
            <w:r>
              <w:rPr>
                <w:rFonts w:ascii="Arial" w:hAnsi="Arial" w:cs="Arial"/>
                <w:szCs w:val="24"/>
              </w:rPr>
              <w:t xml:space="preserve"> Fixed Price</w:t>
            </w:r>
            <w:r w:rsidRPr="00216442">
              <w:rPr>
                <w:rFonts w:ascii="Arial" w:hAnsi="Arial" w:cs="Arial"/>
                <w:szCs w:val="24"/>
              </w:rPr>
              <w:t xml:space="preserve"> - Primary</w:t>
            </w:r>
          </w:p>
        </w:tc>
        <w:tc>
          <w:tcPr>
            <w:tcW w:w="2052" w:type="dxa"/>
            <w:noWrap/>
            <w:vAlign w:val="bottom"/>
          </w:tcPr>
          <w:p w:rsidR="00257C99" w:rsidRPr="00216442" w:rsidRDefault="002326C1" w:rsidP="00440563">
            <w:pPr>
              <w:tabs>
                <w:tab w:val="decimal" w:pos="1524"/>
              </w:tabs>
              <w:overflowPunct/>
              <w:autoSpaceDE/>
              <w:autoSpaceDN/>
              <w:adjustRightInd/>
              <w:textAlignment w:val="auto"/>
              <w:rPr>
                <w:rFonts w:ascii="Arial" w:hAnsi="Arial" w:cs="Arial"/>
                <w:szCs w:val="24"/>
              </w:rPr>
            </w:pPr>
            <w:r>
              <w:rPr>
                <w:rFonts w:ascii="Arial" w:hAnsi="Arial" w:cs="Arial"/>
                <w:szCs w:val="24"/>
              </w:rPr>
              <w:t xml:space="preserve">   </w:t>
            </w:r>
            <w:r w:rsidR="00440563">
              <w:rPr>
                <w:rFonts w:ascii="Arial" w:hAnsi="Arial" w:cs="Arial"/>
                <w:szCs w:val="24"/>
              </w:rPr>
              <w:t xml:space="preserve"> </w:t>
            </w:r>
            <w:r>
              <w:rPr>
                <w:rFonts w:ascii="Arial" w:hAnsi="Arial" w:cs="Arial"/>
                <w:szCs w:val="24"/>
              </w:rPr>
              <w:t xml:space="preserve"> </w:t>
            </w:r>
            <w:r w:rsidR="00440563">
              <w:rPr>
                <w:rFonts w:ascii="Arial" w:hAnsi="Arial" w:cs="Arial"/>
                <w:szCs w:val="24"/>
              </w:rPr>
              <w:t xml:space="preserve"> </w:t>
            </w:r>
            <w:r>
              <w:rPr>
                <w:rFonts w:ascii="Arial" w:hAnsi="Arial" w:cs="Arial"/>
                <w:szCs w:val="24"/>
              </w:rPr>
              <w:t xml:space="preserve">    </w:t>
            </w:r>
            <w:r w:rsidR="00257C99">
              <w:rPr>
                <w:rFonts w:ascii="Arial" w:hAnsi="Arial" w:cs="Arial"/>
                <w:szCs w:val="24"/>
              </w:rPr>
              <w:t>9,174,692</w:t>
            </w:r>
          </w:p>
        </w:tc>
        <w:tc>
          <w:tcPr>
            <w:tcW w:w="1908" w:type="dxa"/>
            <w:noWrap/>
            <w:vAlign w:val="bottom"/>
          </w:tcPr>
          <w:p w:rsidR="00257C99" w:rsidRPr="00216442" w:rsidRDefault="00440563" w:rsidP="00257C99">
            <w:pPr>
              <w:tabs>
                <w:tab w:val="decimal" w:pos="1605"/>
              </w:tabs>
              <w:overflowPunct/>
              <w:autoSpaceDE/>
              <w:autoSpaceDN/>
              <w:adjustRightInd/>
              <w:textAlignment w:val="auto"/>
              <w:rPr>
                <w:rFonts w:ascii="Arial" w:hAnsi="Arial" w:cs="Arial"/>
                <w:szCs w:val="24"/>
              </w:rPr>
            </w:pPr>
            <w:r>
              <w:rPr>
                <w:rFonts w:ascii="Arial" w:hAnsi="Arial" w:cs="Arial"/>
                <w:szCs w:val="24"/>
              </w:rPr>
              <w:t xml:space="preserve">       </w:t>
            </w:r>
            <w:r w:rsidR="00257C99">
              <w:rPr>
                <w:rFonts w:ascii="Arial" w:hAnsi="Arial" w:cs="Arial"/>
                <w:szCs w:val="24"/>
              </w:rPr>
              <w:t>13,578,611</w:t>
            </w:r>
          </w:p>
        </w:tc>
        <w:tc>
          <w:tcPr>
            <w:tcW w:w="1901" w:type="dxa"/>
            <w:noWrap/>
            <w:vAlign w:val="bottom"/>
          </w:tcPr>
          <w:p w:rsidR="00257C99" w:rsidRPr="00CA398C" w:rsidRDefault="00257C99" w:rsidP="00257C99">
            <w:pPr>
              <w:tabs>
                <w:tab w:val="decimal" w:pos="1605"/>
              </w:tabs>
              <w:overflowPunct/>
              <w:autoSpaceDE/>
              <w:autoSpaceDN/>
              <w:adjustRightInd/>
              <w:textAlignment w:val="auto"/>
              <w:rPr>
                <w:rFonts w:ascii="Arial" w:hAnsi="Arial" w:cs="Arial"/>
                <w:szCs w:val="24"/>
                <w:highlight w:val="yellow"/>
              </w:rPr>
            </w:pPr>
            <w:r w:rsidRPr="000E4B0D">
              <w:rPr>
                <w:rFonts w:ascii="Arial" w:hAnsi="Arial" w:cs="Arial"/>
                <w:szCs w:val="24"/>
              </w:rPr>
              <w:t>(</w:t>
            </w:r>
            <w:r>
              <w:rPr>
                <w:rFonts w:ascii="Arial" w:hAnsi="Arial" w:cs="Arial"/>
                <w:szCs w:val="24"/>
              </w:rPr>
              <w:t>4,403,919</w:t>
            </w:r>
            <w:r w:rsidRPr="000E4B0D">
              <w:rPr>
                <w:rFonts w:ascii="Arial" w:hAnsi="Arial" w:cs="Arial"/>
                <w:szCs w:val="24"/>
              </w:rPr>
              <w:t>)</w:t>
            </w:r>
          </w:p>
        </w:tc>
      </w:tr>
      <w:tr w:rsidR="0018149E" w:rsidRPr="00CA398C" w:rsidTr="002326C1">
        <w:trPr>
          <w:trHeight w:val="255"/>
        </w:trPr>
        <w:tc>
          <w:tcPr>
            <w:tcW w:w="2376" w:type="dxa"/>
            <w:noWrap/>
          </w:tcPr>
          <w:p w:rsidR="0018149E" w:rsidRPr="00216442" w:rsidRDefault="0018149E" w:rsidP="00580574">
            <w:pPr>
              <w:overflowPunct/>
              <w:autoSpaceDE/>
              <w:autoSpaceDN/>
              <w:adjustRightInd/>
              <w:textAlignment w:val="auto"/>
              <w:rPr>
                <w:rFonts w:ascii="Arial" w:hAnsi="Arial" w:cs="Arial"/>
                <w:szCs w:val="24"/>
              </w:rPr>
            </w:pPr>
          </w:p>
        </w:tc>
        <w:tc>
          <w:tcPr>
            <w:tcW w:w="2052" w:type="dxa"/>
            <w:noWrap/>
            <w:vAlign w:val="bottom"/>
          </w:tcPr>
          <w:p w:rsidR="0018149E" w:rsidRDefault="0018149E" w:rsidP="00580574">
            <w:pPr>
              <w:tabs>
                <w:tab w:val="decimal" w:pos="1524"/>
              </w:tabs>
              <w:overflowPunct/>
              <w:autoSpaceDE/>
              <w:autoSpaceDN/>
              <w:adjustRightInd/>
              <w:textAlignment w:val="auto"/>
              <w:rPr>
                <w:rFonts w:ascii="Arial" w:hAnsi="Arial" w:cs="Arial"/>
                <w:szCs w:val="24"/>
              </w:rPr>
            </w:pPr>
          </w:p>
        </w:tc>
        <w:tc>
          <w:tcPr>
            <w:tcW w:w="1908" w:type="dxa"/>
            <w:noWrap/>
            <w:vAlign w:val="bottom"/>
          </w:tcPr>
          <w:p w:rsidR="0018149E" w:rsidRDefault="0018149E" w:rsidP="00580574">
            <w:pPr>
              <w:tabs>
                <w:tab w:val="decimal" w:pos="1605"/>
              </w:tabs>
              <w:overflowPunct/>
              <w:autoSpaceDE/>
              <w:autoSpaceDN/>
              <w:adjustRightInd/>
              <w:textAlignment w:val="auto"/>
              <w:rPr>
                <w:rFonts w:ascii="Arial" w:hAnsi="Arial" w:cs="Arial"/>
                <w:szCs w:val="24"/>
              </w:rPr>
            </w:pPr>
          </w:p>
        </w:tc>
        <w:tc>
          <w:tcPr>
            <w:tcW w:w="1901" w:type="dxa"/>
            <w:noWrap/>
            <w:vAlign w:val="bottom"/>
          </w:tcPr>
          <w:p w:rsidR="0018149E" w:rsidRPr="000E4B0D" w:rsidRDefault="0018149E" w:rsidP="00580574">
            <w:pPr>
              <w:tabs>
                <w:tab w:val="decimal" w:pos="1605"/>
              </w:tabs>
              <w:overflowPunct/>
              <w:autoSpaceDE/>
              <w:autoSpaceDN/>
              <w:adjustRightInd/>
              <w:textAlignment w:val="auto"/>
              <w:rPr>
                <w:rFonts w:ascii="Arial" w:hAnsi="Arial" w:cs="Arial"/>
                <w:szCs w:val="24"/>
              </w:rPr>
            </w:pPr>
          </w:p>
        </w:tc>
      </w:tr>
      <w:tr w:rsidR="00257C99" w:rsidRPr="00CA398C" w:rsidTr="002326C1">
        <w:trPr>
          <w:trHeight w:val="255"/>
        </w:trPr>
        <w:tc>
          <w:tcPr>
            <w:tcW w:w="2376" w:type="dxa"/>
            <w:noWrap/>
          </w:tcPr>
          <w:p w:rsidR="00257C99" w:rsidRPr="00216442" w:rsidRDefault="00257C99" w:rsidP="00257C99">
            <w:pPr>
              <w:overflowPunct/>
              <w:autoSpaceDE/>
              <w:autoSpaceDN/>
              <w:adjustRightInd/>
              <w:textAlignment w:val="auto"/>
              <w:rPr>
                <w:rFonts w:ascii="Arial" w:hAnsi="Arial" w:cs="Arial"/>
                <w:szCs w:val="24"/>
              </w:rPr>
            </w:pPr>
            <w:r w:rsidRPr="00216442">
              <w:rPr>
                <w:rFonts w:ascii="Arial" w:hAnsi="Arial" w:cs="Arial"/>
                <w:szCs w:val="24"/>
              </w:rPr>
              <w:t xml:space="preserve">Large </w:t>
            </w:r>
            <w:r>
              <w:rPr>
                <w:rFonts w:ascii="Arial" w:hAnsi="Arial" w:cs="Arial"/>
                <w:szCs w:val="24"/>
              </w:rPr>
              <w:t>C&amp;I</w:t>
            </w:r>
            <w:r w:rsidRPr="00216442">
              <w:rPr>
                <w:rFonts w:ascii="Arial" w:hAnsi="Arial" w:cs="Arial"/>
                <w:szCs w:val="24"/>
              </w:rPr>
              <w:t xml:space="preserve"> </w:t>
            </w:r>
            <w:r>
              <w:rPr>
                <w:rFonts w:ascii="Arial" w:hAnsi="Arial" w:cs="Arial"/>
                <w:szCs w:val="24"/>
              </w:rPr>
              <w:t>Fixed Price-</w:t>
            </w:r>
            <w:r w:rsidRPr="00216442">
              <w:rPr>
                <w:rFonts w:ascii="Arial" w:hAnsi="Arial" w:cs="Arial"/>
                <w:szCs w:val="24"/>
              </w:rPr>
              <w:t>Transmission</w:t>
            </w:r>
          </w:p>
        </w:tc>
        <w:tc>
          <w:tcPr>
            <w:tcW w:w="2052" w:type="dxa"/>
            <w:noWrap/>
            <w:vAlign w:val="bottom"/>
          </w:tcPr>
          <w:p w:rsidR="00257C99" w:rsidRPr="00B666A1" w:rsidRDefault="002326C1" w:rsidP="00257C99">
            <w:pPr>
              <w:tabs>
                <w:tab w:val="decimal" w:pos="1524"/>
              </w:tabs>
              <w:overflowPunct/>
              <w:autoSpaceDE/>
              <w:autoSpaceDN/>
              <w:adjustRightInd/>
              <w:textAlignment w:val="auto"/>
              <w:rPr>
                <w:rFonts w:ascii="Arial" w:hAnsi="Arial" w:cs="Arial"/>
                <w:szCs w:val="24"/>
              </w:rPr>
            </w:pPr>
            <w:r>
              <w:rPr>
                <w:rFonts w:ascii="Arial" w:hAnsi="Arial" w:cs="Arial"/>
                <w:szCs w:val="24"/>
              </w:rPr>
              <w:t xml:space="preserve">   </w:t>
            </w:r>
            <w:r w:rsidR="00440563">
              <w:rPr>
                <w:rFonts w:ascii="Arial" w:hAnsi="Arial" w:cs="Arial"/>
                <w:szCs w:val="24"/>
              </w:rPr>
              <w:t xml:space="preserve">  </w:t>
            </w:r>
            <w:r>
              <w:rPr>
                <w:rFonts w:ascii="Arial" w:hAnsi="Arial" w:cs="Arial"/>
                <w:szCs w:val="24"/>
              </w:rPr>
              <w:t xml:space="preserve">     </w:t>
            </w:r>
            <w:r w:rsidR="00257C99">
              <w:rPr>
                <w:rFonts w:ascii="Arial" w:hAnsi="Arial" w:cs="Arial"/>
                <w:szCs w:val="24"/>
              </w:rPr>
              <w:t>1,509,707</w:t>
            </w:r>
          </w:p>
        </w:tc>
        <w:tc>
          <w:tcPr>
            <w:tcW w:w="1908" w:type="dxa"/>
            <w:noWrap/>
            <w:vAlign w:val="bottom"/>
          </w:tcPr>
          <w:p w:rsidR="00257C99" w:rsidRPr="00B666A1" w:rsidRDefault="006854D1" w:rsidP="00257C99">
            <w:pPr>
              <w:tabs>
                <w:tab w:val="decimal" w:pos="1605"/>
              </w:tabs>
              <w:overflowPunct/>
              <w:autoSpaceDE/>
              <w:autoSpaceDN/>
              <w:adjustRightInd/>
              <w:textAlignment w:val="auto"/>
              <w:rPr>
                <w:rFonts w:ascii="Arial" w:hAnsi="Arial" w:cs="Arial"/>
                <w:szCs w:val="24"/>
              </w:rPr>
            </w:pPr>
            <w:r>
              <w:rPr>
                <w:rFonts w:ascii="Arial" w:hAnsi="Arial" w:cs="Arial"/>
                <w:szCs w:val="24"/>
              </w:rPr>
              <w:t xml:space="preserve">         </w:t>
            </w:r>
            <w:r w:rsidR="00257C99">
              <w:rPr>
                <w:rFonts w:ascii="Arial" w:hAnsi="Arial" w:cs="Arial"/>
                <w:szCs w:val="24"/>
              </w:rPr>
              <w:t>2,453,060</w:t>
            </w:r>
          </w:p>
        </w:tc>
        <w:tc>
          <w:tcPr>
            <w:tcW w:w="1901" w:type="dxa"/>
            <w:noWrap/>
            <w:vAlign w:val="bottom"/>
          </w:tcPr>
          <w:p w:rsidR="00257C99" w:rsidRPr="00CA398C" w:rsidRDefault="00257C99" w:rsidP="00257C99">
            <w:pPr>
              <w:tabs>
                <w:tab w:val="decimal" w:pos="1605"/>
              </w:tabs>
              <w:overflowPunct/>
              <w:autoSpaceDE/>
              <w:autoSpaceDN/>
              <w:adjustRightInd/>
              <w:textAlignment w:val="auto"/>
              <w:rPr>
                <w:rFonts w:ascii="Arial" w:hAnsi="Arial" w:cs="Arial"/>
                <w:szCs w:val="24"/>
                <w:highlight w:val="yellow"/>
              </w:rPr>
            </w:pPr>
            <w:r w:rsidRPr="000E4B0D">
              <w:rPr>
                <w:rFonts w:ascii="Arial" w:hAnsi="Arial" w:cs="Arial"/>
                <w:szCs w:val="24"/>
              </w:rPr>
              <w:t>(</w:t>
            </w:r>
            <w:r>
              <w:rPr>
                <w:rFonts w:ascii="Arial" w:hAnsi="Arial" w:cs="Arial"/>
                <w:szCs w:val="24"/>
              </w:rPr>
              <w:t>943,353</w:t>
            </w:r>
            <w:r w:rsidRPr="000E4B0D">
              <w:rPr>
                <w:rFonts w:ascii="Arial" w:hAnsi="Arial" w:cs="Arial"/>
                <w:szCs w:val="24"/>
              </w:rPr>
              <w:t>)</w:t>
            </w:r>
          </w:p>
        </w:tc>
      </w:tr>
      <w:tr w:rsidR="0018149E" w:rsidRPr="00CA398C" w:rsidTr="002326C1">
        <w:trPr>
          <w:trHeight w:val="255"/>
        </w:trPr>
        <w:tc>
          <w:tcPr>
            <w:tcW w:w="2376" w:type="dxa"/>
            <w:noWrap/>
          </w:tcPr>
          <w:p w:rsidR="0018149E" w:rsidRDefault="0018149E" w:rsidP="00580574">
            <w:pPr>
              <w:overflowPunct/>
              <w:autoSpaceDE/>
              <w:autoSpaceDN/>
              <w:adjustRightInd/>
              <w:textAlignment w:val="auto"/>
              <w:rPr>
                <w:rFonts w:ascii="Arial" w:hAnsi="Arial" w:cs="Arial"/>
                <w:szCs w:val="24"/>
              </w:rPr>
            </w:pPr>
          </w:p>
        </w:tc>
        <w:tc>
          <w:tcPr>
            <w:tcW w:w="2052" w:type="dxa"/>
            <w:noWrap/>
            <w:vAlign w:val="bottom"/>
          </w:tcPr>
          <w:p w:rsidR="0018149E" w:rsidRDefault="0018149E" w:rsidP="00580574">
            <w:pPr>
              <w:tabs>
                <w:tab w:val="decimal" w:pos="1524"/>
              </w:tabs>
              <w:overflowPunct/>
              <w:autoSpaceDE/>
              <w:autoSpaceDN/>
              <w:adjustRightInd/>
              <w:textAlignment w:val="auto"/>
              <w:rPr>
                <w:rFonts w:ascii="Arial" w:hAnsi="Arial" w:cs="Arial"/>
                <w:szCs w:val="24"/>
                <w:u w:val="single"/>
              </w:rPr>
            </w:pPr>
          </w:p>
        </w:tc>
        <w:tc>
          <w:tcPr>
            <w:tcW w:w="1908" w:type="dxa"/>
            <w:noWrap/>
            <w:vAlign w:val="bottom"/>
          </w:tcPr>
          <w:p w:rsidR="0018149E" w:rsidRDefault="0018149E" w:rsidP="00580574">
            <w:pPr>
              <w:tabs>
                <w:tab w:val="decimal" w:pos="1605"/>
              </w:tabs>
              <w:overflowPunct/>
              <w:autoSpaceDE/>
              <w:autoSpaceDN/>
              <w:adjustRightInd/>
              <w:textAlignment w:val="auto"/>
              <w:rPr>
                <w:rFonts w:ascii="Arial" w:hAnsi="Arial" w:cs="Arial"/>
                <w:szCs w:val="24"/>
                <w:u w:val="single"/>
              </w:rPr>
            </w:pPr>
          </w:p>
        </w:tc>
        <w:tc>
          <w:tcPr>
            <w:tcW w:w="1901" w:type="dxa"/>
            <w:noWrap/>
            <w:vAlign w:val="bottom"/>
          </w:tcPr>
          <w:p w:rsidR="0018149E" w:rsidRPr="000E4B0D" w:rsidRDefault="0018149E" w:rsidP="00580574">
            <w:pPr>
              <w:tabs>
                <w:tab w:val="decimal" w:pos="1605"/>
              </w:tabs>
              <w:overflowPunct/>
              <w:autoSpaceDE/>
              <w:autoSpaceDN/>
              <w:adjustRightInd/>
              <w:textAlignment w:val="auto"/>
              <w:rPr>
                <w:rFonts w:ascii="Arial" w:hAnsi="Arial" w:cs="Arial"/>
                <w:szCs w:val="24"/>
                <w:u w:val="single"/>
              </w:rPr>
            </w:pPr>
          </w:p>
        </w:tc>
      </w:tr>
      <w:tr w:rsidR="00257C99" w:rsidRPr="00CA398C" w:rsidTr="002326C1">
        <w:trPr>
          <w:trHeight w:val="255"/>
        </w:trPr>
        <w:tc>
          <w:tcPr>
            <w:tcW w:w="2376" w:type="dxa"/>
            <w:noWrap/>
          </w:tcPr>
          <w:p w:rsidR="00257C99" w:rsidRDefault="00257C99" w:rsidP="00257C99">
            <w:pPr>
              <w:overflowPunct/>
              <w:autoSpaceDE/>
              <w:autoSpaceDN/>
              <w:adjustRightInd/>
              <w:textAlignment w:val="auto"/>
              <w:rPr>
                <w:rFonts w:ascii="Arial" w:hAnsi="Arial" w:cs="Arial"/>
                <w:szCs w:val="24"/>
              </w:rPr>
            </w:pPr>
            <w:r>
              <w:rPr>
                <w:rFonts w:ascii="Arial" w:hAnsi="Arial" w:cs="Arial"/>
                <w:szCs w:val="24"/>
              </w:rPr>
              <w:t>Large C&amp;I Hourly</w:t>
            </w:r>
          </w:p>
          <w:p w:rsidR="00257C99" w:rsidRPr="00216442" w:rsidRDefault="00257C99" w:rsidP="00257C99">
            <w:pPr>
              <w:overflowPunct/>
              <w:autoSpaceDE/>
              <w:autoSpaceDN/>
              <w:adjustRightInd/>
              <w:textAlignment w:val="auto"/>
              <w:rPr>
                <w:rFonts w:ascii="Arial" w:hAnsi="Arial" w:cs="Arial"/>
                <w:szCs w:val="24"/>
              </w:rPr>
            </w:pPr>
            <w:r>
              <w:rPr>
                <w:rFonts w:ascii="Arial" w:hAnsi="Arial" w:cs="Arial"/>
                <w:szCs w:val="24"/>
              </w:rPr>
              <w:t>Real Time Pricing</w:t>
            </w:r>
          </w:p>
        </w:tc>
        <w:tc>
          <w:tcPr>
            <w:tcW w:w="2052" w:type="dxa"/>
            <w:noWrap/>
            <w:vAlign w:val="bottom"/>
          </w:tcPr>
          <w:p w:rsidR="00257C99" w:rsidRPr="00216442" w:rsidRDefault="002326C1" w:rsidP="00440563">
            <w:pPr>
              <w:tabs>
                <w:tab w:val="decimal" w:pos="1524"/>
              </w:tabs>
              <w:overflowPunct/>
              <w:autoSpaceDE/>
              <w:autoSpaceDN/>
              <w:adjustRightInd/>
              <w:textAlignment w:val="auto"/>
              <w:rPr>
                <w:rFonts w:ascii="Arial" w:hAnsi="Arial" w:cs="Arial"/>
                <w:szCs w:val="24"/>
                <w:u w:val="single"/>
              </w:rPr>
            </w:pPr>
            <w:r>
              <w:rPr>
                <w:rFonts w:ascii="Arial" w:hAnsi="Arial" w:cs="Arial"/>
                <w:szCs w:val="24"/>
                <w:u w:val="single"/>
              </w:rPr>
              <w:t>__</w:t>
            </w:r>
            <w:r w:rsidR="00440563">
              <w:rPr>
                <w:rFonts w:ascii="Arial" w:hAnsi="Arial" w:cs="Arial"/>
                <w:szCs w:val="24"/>
                <w:u w:val="single"/>
              </w:rPr>
              <w:t xml:space="preserve">   </w:t>
            </w:r>
            <w:r>
              <w:rPr>
                <w:rFonts w:ascii="Arial" w:hAnsi="Arial" w:cs="Arial"/>
                <w:szCs w:val="24"/>
                <w:u w:val="single"/>
              </w:rPr>
              <w:t xml:space="preserve"> </w:t>
            </w:r>
            <w:r w:rsidR="00257C99">
              <w:rPr>
                <w:rFonts w:ascii="Arial" w:hAnsi="Arial" w:cs="Arial"/>
                <w:szCs w:val="24"/>
                <w:u w:val="single"/>
              </w:rPr>
              <w:t>80,757,155</w:t>
            </w:r>
          </w:p>
        </w:tc>
        <w:tc>
          <w:tcPr>
            <w:tcW w:w="1908" w:type="dxa"/>
            <w:noWrap/>
            <w:vAlign w:val="bottom"/>
          </w:tcPr>
          <w:p w:rsidR="00257C99" w:rsidRPr="00C22AD0" w:rsidRDefault="002326C1" w:rsidP="00257C99">
            <w:pPr>
              <w:tabs>
                <w:tab w:val="decimal" w:pos="1605"/>
              </w:tabs>
              <w:overflowPunct/>
              <w:autoSpaceDE/>
              <w:autoSpaceDN/>
              <w:adjustRightInd/>
              <w:textAlignment w:val="auto"/>
              <w:rPr>
                <w:rFonts w:ascii="Arial" w:hAnsi="Arial" w:cs="Arial"/>
                <w:szCs w:val="24"/>
                <w:u w:val="single"/>
              </w:rPr>
            </w:pPr>
            <w:r w:rsidRPr="00C22AD0">
              <w:rPr>
                <w:rFonts w:ascii="Arial" w:hAnsi="Arial" w:cs="Arial"/>
                <w:szCs w:val="24"/>
                <w:u w:val="single"/>
              </w:rPr>
              <w:t>__</w:t>
            </w:r>
            <w:r w:rsidR="006854D1" w:rsidRPr="00C22AD0">
              <w:rPr>
                <w:rFonts w:ascii="Arial" w:hAnsi="Arial" w:cs="Arial"/>
                <w:szCs w:val="24"/>
                <w:u w:val="single"/>
              </w:rPr>
              <w:t xml:space="preserve"> </w:t>
            </w:r>
            <w:r w:rsidRPr="00C22AD0">
              <w:rPr>
                <w:rFonts w:ascii="Arial" w:hAnsi="Arial" w:cs="Arial"/>
                <w:szCs w:val="24"/>
                <w:u w:val="single"/>
              </w:rPr>
              <w:t>_</w:t>
            </w:r>
            <w:r w:rsidR="00257C99" w:rsidRPr="00C22AD0">
              <w:rPr>
                <w:rFonts w:ascii="Arial" w:hAnsi="Arial" w:cs="Arial"/>
                <w:szCs w:val="24"/>
                <w:u w:val="single"/>
              </w:rPr>
              <w:t>83,364,605</w:t>
            </w:r>
          </w:p>
        </w:tc>
        <w:tc>
          <w:tcPr>
            <w:tcW w:w="1901" w:type="dxa"/>
            <w:noWrap/>
            <w:vAlign w:val="bottom"/>
          </w:tcPr>
          <w:p w:rsidR="00257C99" w:rsidRPr="00CA398C" w:rsidRDefault="002326C1" w:rsidP="00257C99">
            <w:pPr>
              <w:tabs>
                <w:tab w:val="decimal" w:pos="1605"/>
              </w:tabs>
              <w:overflowPunct/>
              <w:autoSpaceDE/>
              <w:autoSpaceDN/>
              <w:adjustRightInd/>
              <w:textAlignment w:val="auto"/>
              <w:rPr>
                <w:rFonts w:ascii="Arial" w:hAnsi="Arial" w:cs="Arial"/>
                <w:szCs w:val="24"/>
                <w:highlight w:val="yellow"/>
                <w:u w:val="single"/>
              </w:rPr>
            </w:pPr>
            <w:r>
              <w:rPr>
                <w:rFonts w:ascii="Arial" w:hAnsi="Arial" w:cs="Arial"/>
                <w:szCs w:val="24"/>
              </w:rPr>
              <w:t>___</w:t>
            </w:r>
            <w:r w:rsidR="00257C99" w:rsidRPr="000E4B0D">
              <w:rPr>
                <w:rFonts w:ascii="Arial" w:hAnsi="Arial" w:cs="Arial"/>
                <w:szCs w:val="24"/>
                <w:u w:val="single"/>
              </w:rPr>
              <w:t>(</w:t>
            </w:r>
            <w:r w:rsidR="00257C99">
              <w:rPr>
                <w:rFonts w:ascii="Arial" w:hAnsi="Arial" w:cs="Arial"/>
                <w:szCs w:val="24"/>
                <w:u w:val="single"/>
              </w:rPr>
              <w:t>2,607,450</w:t>
            </w:r>
            <w:r w:rsidR="00257C99" w:rsidRPr="000E4B0D">
              <w:rPr>
                <w:rFonts w:ascii="Arial" w:hAnsi="Arial" w:cs="Arial"/>
                <w:szCs w:val="24"/>
                <w:u w:val="single"/>
              </w:rPr>
              <w:t>)</w:t>
            </w:r>
          </w:p>
        </w:tc>
      </w:tr>
      <w:tr w:rsidR="00257C99" w:rsidRPr="00CA398C" w:rsidTr="002326C1">
        <w:trPr>
          <w:trHeight w:val="255"/>
        </w:trPr>
        <w:tc>
          <w:tcPr>
            <w:tcW w:w="2376" w:type="dxa"/>
            <w:noWrap/>
          </w:tcPr>
          <w:p w:rsidR="00257C99" w:rsidRDefault="00257C99" w:rsidP="00257C99">
            <w:pPr>
              <w:overflowPunct/>
              <w:autoSpaceDE/>
              <w:autoSpaceDN/>
              <w:adjustRightInd/>
              <w:textAlignment w:val="auto"/>
              <w:rPr>
                <w:rFonts w:ascii="Arial" w:hAnsi="Arial" w:cs="Arial"/>
                <w:szCs w:val="24"/>
              </w:rPr>
            </w:pPr>
          </w:p>
          <w:p w:rsidR="00257C99" w:rsidRPr="00216442" w:rsidRDefault="00257C99" w:rsidP="00257C99">
            <w:pPr>
              <w:overflowPunct/>
              <w:autoSpaceDE/>
              <w:autoSpaceDN/>
              <w:adjustRightInd/>
              <w:textAlignment w:val="auto"/>
              <w:rPr>
                <w:rFonts w:ascii="Arial" w:hAnsi="Arial" w:cs="Arial"/>
                <w:szCs w:val="24"/>
              </w:rPr>
            </w:pPr>
            <w:r w:rsidRPr="00216442">
              <w:rPr>
                <w:rFonts w:ascii="Arial" w:hAnsi="Arial" w:cs="Arial"/>
                <w:szCs w:val="24"/>
              </w:rPr>
              <w:t>Total</w:t>
            </w:r>
          </w:p>
        </w:tc>
        <w:tc>
          <w:tcPr>
            <w:tcW w:w="2052" w:type="dxa"/>
            <w:noWrap/>
          </w:tcPr>
          <w:p w:rsidR="00257C99" w:rsidRDefault="00257C99" w:rsidP="00257C99">
            <w:pPr>
              <w:tabs>
                <w:tab w:val="decimal" w:pos="1524"/>
              </w:tabs>
              <w:overflowPunct/>
              <w:autoSpaceDE/>
              <w:autoSpaceDN/>
              <w:adjustRightInd/>
              <w:textAlignment w:val="auto"/>
              <w:rPr>
                <w:rFonts w:ascii="Arial" w:hAnsi="Arial" w:cs="Arial"/>
                <w:szCs w:val="24"/>
                <w:u w:val="double"/>
              </w:rPr>
            </w:pPr>
          </w:p>
          <w:p w:rsidR="00257C99" w:rsidRPr="00216442" w:rsidRDefault="00257C99" w:rsidP="00257C99">
            <w:pPr>
              <w:tabs>
                <w:tab w:val="decimal" w:pos="1524"/>
              </w:tabs>
              <w:overflowPunct/>
              <w:autoSpaceDE/>
              <w:autoSpaceDN/>
              <w:adjustRightInd/>
              <w:textAlignment w:val="auto"/>
              <w:rPr>
                <w:rFonts w:ascii="Arial" w:hAnsi="Arial" w:cs="Arial"/>
                <w:szCs w:val="24"/>
                <w:u w:val="double"/>
              </w:rPr>
            </w:pPr>
            <w:r>
              <w:rPr>
                <w:rFonts w:ascii="Arial" w:hAnsi="Arial" w:cs="Arial"/>
                <w:szCs w:val="24"/>
                <w:u w:val="double"/>
              </w:rPr>
              <w:t>$</w:t>
            </w:r>
            <w:r w:rsidR="00440563">
              <w:rPr>
                <w:rFonts w:ascii="Arial" w:hAnsi="Arial" w:cs="Arial"/>
                <w:szCs w:val="24"/>
                <w:u w:val="double"/>
              </w:rPr>
              <w:t xml:space="preserve"> </w:t>
            </w:r>
            <w:r>
              <w:rPr>
                <w:rFonts w:ascii="Arial" w:hAnsi="Arial" w:cs="Arial"/>
                <w:szCs w:val="24"/>
                <w:u w:val="double"/>
              </w:rPr>
              <w:t>1,276,150,141</w:t>
            </w:r>
          </w:p>
        </w:tc>
        <w:tc>
          <w:tcPr>
            <w:tcW w:w="1908" w:type="dxa"/>
            <w:noWrap/>
            <w:vAlign w:val="bottom"/>
          </w:tcPr>
          <w:p w:rsidR="00257C99" w:rsidRPr="00216442" w:rsidRDefault="00257C99" w:rsidP="00257C99">
            <w:pPr>
              <w:tabs>
                <w:tab w:val="decimal" w:pos="1605"/>
              </w:tabs>
              <w:overflowPunct/>
              <w:autoSpaceDE/>
              <w:autoSpaceDN/>
              <w:adjustRightInd/>
              <w:textAlignment w:val="auto"/>
              <w:rPr>
                <w:rFonts w:ascii="Arial" w:hAnsi="Arial" w:cs="Arial"/>
                <w:szCs w:val="24"/>
                <w:u w:val="double"/>
              </w:rPr>
            </w:pPr>
            <w:r>
              <w:rPr>
                <w:rFonts w:ascii="Arial" w:hAnsi="Arial" w:cs="Arial"/>
                <w:szCs w:val="24"/>
                <w:u w:val="double"/>
              </w:rPr>
              <w:t>$1,354,307,018</w:t>
            </w:r>
          </w:p>
        </w:tc>
        <w:tc>
          <w:tcPr>
            <w:tcW w:w="1901" w:type="dxa"/>
            <w:noWrap/>
            <w:vAlign w:val="bottom"/>
          </w:tcPr>
          <w:p w:rsidR="00257C99" w:rsidRPr="00CA398C" w:rsidRDefault="00257C99" w:rsidP="00257C99">
            <w:pPr>
              <w:tabs>
                <w:tab w:val="decimal" w:pos="1605"/>
              </w:tabs>
              <w:overflowPunct/>
              <w:autoSpaceDE/>
              <w:autoSpaceDN/>
              <w:adjustRightInd/>
              <w:textAlignment w:val="auto"/>
              <w:rPr>
                <w:rFonts w:ascii="Arial" w:hAnsi="Arial" w:cs="Arial"/>
                <w:szCs w:val="24"/>
                <w:highlight w:val="yellow"/>
                <w:u w:val="double"/>
              </w:rPr>
            </w:pPr>
            <w:r>
              <w:rPr>
                <w:rFonts w:ascii="Arial" w:hAnsi="Arial" w:cs="Arial"/>
                <w:szCs w:val="24"/>
                <w:u w:val="double"/>
              </w:rPr>
              <w:t>$</w:t>
            </w:r>
            <w:r w:rsidR="006854D1">
              <w:rPr>
                <w:rFonts w:ascii="Arial" w:hAnsi="Arial" w:cs="Arial"/>
                <w:szCs w:val="24"/>
                <w:u w:val="double"/>
              </w:rPr>
              <w:t xml:space="preserve"> </w:t>
            </w:r>
            <w:r>
              <w:rPr>
                <w:rFonts w:ascii="Arial" w:hAnsi="Arial" w:cs="Arial"/>
                <w:szCs w:val="24"/>
                <w:u w:val="double"/>
              </w:rPr>
              <w:t xml:space="preserve"> </w:t>
            </w:r>
            <w:r w:rsidRPr="000E4B0D">
              <w:rPr>
                <w:rFonts w:ascii="Arial" w:hAnsi="Arial" w:cs="Arial"/>
                <w:szCs w:val="24"/>
                <w:u w:val="double"/>
              </w:rPr>
              <w:t>(</w:t>
            </w:r>
            <w:r>
              <w:rPr>
                <w:rFonts w:ascii="Arial" w:hAnsi="Arial" w:cs="Arial"/>
                <w:szCs w:val="24"/>
                <w:u w:val="double"/>
              </w:rPr>
              <w:t>78,156,877</w:t>
            </w:r>
            <w:r w:rsidRPr="000E4B0D">
              <w:rPr>
                <w:rFonts w:ascii="Arial" w:hAnsi="Arial" w:cs="Arial"/>
                <w:szCs w:val="24"/>
                <w:u w:val="double"/>
              </w:rPr>
              <w:t>)</w:t>
            </w:r>
          </w:p>
        </w:tc>
      </w:tr>
    </w:tbl>
    <w:p w:rsidR="00921F7D" w:rsidRPr="00BE651C" w:rsidRDefault="00921F7D" w:rsidP="00235BB8">
      <w:pPr>
        <w:tabs>
          <w:tab w:val="center" w:pos="4680"/>
        </w:tabs>
        <w:suppressAutoHyphens/>
        <w:rPr>
          <w:rFonts w:ascii="Arial" w:hAnsi="Arial" w:cs="Arial"/>
          <w:szCs w:val="24"/>
        </w:rPr>
      </w:pPr>
    </w:p>
    <w:p w:rsidR="00EF4E6D" w:rsidRPr="00D45E0E" w:rsidRDefault="00EF4E6D" w:rsidP="00A1597B">
      <w:pPr>
        <w:tabs>
          <w:tab w:val="center" w:pos="4680"/>
        </w:tabs>
        <w:suppressAutoHyphens/>
        <w:ind w:left="90" w:hanging="90"/>
        <w:rPr>
          <w:rFonts w:ascii="Arial" w:hAnsi="Arial" w:cs="Arial"/>
          <w:szCs w:val="24"/>
        </w:rPr>
      </w:pPr>
      <w:r w:rsidRPr="00BE651C">
        <w:rPr>
          <w:rFonts w:ascii="Arial" w:hAnsi="Arial" w:cs="Arial"/>
          <w:szCs w:val="24"/>
        </w:rPr>
        <w:t xml:space="preserve">*This statement includes estimated December 2010 revenues and expenses as filed at Docket No. M-2009-2213731.  </w:t>
      </w:r>
      <w:r w:rsidR="00B8535D">
        <w:rPr>
          <w:rFonts w:ascii="Arial" w:hAnsi="Arial" w:cs="Arial"/>
          <w:szCs w:val="24"/>
        </w:rPr>
        <w:t xml:space="preserve">The estimated </w:t>
      </w:r>
      <w:r w:rsidR="00344493">
        <w:rPr>
          <w:rFonts w:ascii="Arial" w:hAnsi="Arial" w:cs="Arial"/>
          <w:szCs w:val="24"/>
        </w:rPr>
        <w:t xml:space="preserve">December 2010 </w:t>
      </w:r>
      <w:r w:rsidR="00B8535D">
        <w:rPr>
          <w:rFonts w:ascii="Arial" w:hAnsi="Arial" w:cs="Arial"/>
          <w:szCs w:val="24"/>
        </w:rPr>
        <w:t xml:space="preserve">data will be trued-up in the subsequent </w:t>
      </w:r>
      <w:r w:rsidR="00344493">
        <w:rPr>
          <w:rFonts w:ascii="Arial" w:hAnsi="Arial" w:cs="Arial"/>
          <w:szCs w:val="24"/>
        </w:rPr>
        <w:t>annual</w:t>
      </w:r>
      <w:r w:rsidR="00B8535D">
        <w:rPr>
          <w:rFonts w:ascii="Arial" w:hAnsi="Arial" w:cs="Arial"/>
          <w:szCs w:val="24"/>
        </w:rPr>
        <w:t xml:space="preserve"> reconciliation statement.</w:t>
      </w:r>
    </w:p>
    <w:p w:rsidR="00235BB8" w:rsidRPr="00BE651C" w:rsidRDefault="00235BB8" w:rsidP="00235BB8">
      <w:pPr>
        <w:tabs>
          <w:tab w:val="center" w:pos="4680"/>
        </w:tabs>
        <w:suppressAutoHyphens/>
        <w:rPr>
          <w:rFonts w:ascii="Arial" w:hAnsi="Arial" w:cs="Arial"/>
          <w:szCs w:val="24"/>
        </w:rPr>
      </w:pPr>
    </w:p>
    <w:p w:rsidR="00235BB8" w:rsidRPr="00BE651C" w:rsidRDefault="00235BB8" w:rsidP="00235BB8">
      <w:pPr>
        <w:tabs>
          <w:tab w:val="center" w:pos="4680"/>
        </w:tabs>
        <w:suppressAutoHyphens/>
        <w:rPr>
          <w:rFonts w:ascii="Arial" w:hAnsi="Arial" w:cs="Arial"/>
          <w:szCs w:val="24"/>
        </w:rPr>
      </w:pPr>
      <w:r w:rsidRPr="00BE651C">
        <w:rPr>
          <w:rFonts w:ascii="Arial" w:hAnsi="Arial" w:cs="Arial"/>
          <w:szCs w:val="24"/>
        </w:rPr>
        <w:t>Notes to the Financial Statements are an integral part of this report.</w:t>
      </w:r>
    </w:p>
    <w:p w:rsidR="00235BB8" w:rsidRPr="00A1597B" w:rsidRDefault="00235BB8" w:rsidP="000577C0">
      <w:pPr>
        <w:tabs>
          <w:tab w:val="center" w:pos="4680"/>
        </w:tabs>
        <w:suppressAutoHyphens/>
        <w:jc w:val="center"/>
        <w:rPr>
          <w:rFonts w:ascii="Arial" w:hAnsi="Arial" w:cs="Arial"/>
          <w:b/>
          <w:szCs w:val="24"/>
          <w:u w:val="single"/>
        </w:rPr>
      </w:pPr>
    </w:p>
    <w:p w:rsidR="00AE1829" w:rsidRDefault="00AE1829" w:rsidP="000577C0">
      <w:pPr>
        <w:tabs>
          <w:tab w:val="center" w:pos="4680"/>
        </w:tabs>
        <w:suppressAutoHyphens/>
        <w:jc w:val="center"/>
        <w:rPr>
          <w:rFonts w:ascii="Arial" w:hAnsi="Arial" w:cs="Arial"/>
          <w:b/>
          <w:sz w:val="26"/>
          <w:szCs w:val="26"/>
          <w:u w:val="single"/>
        </w:rPr>
        <w:sectPr w:rsidR="00AE1829" w:rsidSect="00FE1737">
          <w:headerReference w:type="even" r:id="rId24"/>
          <w:headerReference w:type="default" r:id="rId25"/>
          <w:footerReference w:type="default" r:id="rId26"/>
          <w:headerReference w:type="first" r:id="rId27"/>
          <w:endnotePr>
            <w:numFmt w:val="decimal"/>
          </w:endnotePr>
          <w:pgSz w:w="12240" w:h="15840" w:code="1"/>
          <w:pgMar w:top="1440" w:right="1440" w:bottom="1152" w:left="1440" w:header="0" w:footer="720" w:gutter="0"/>
          <w:pgNumType w:start="2"/>
          <w:cols w:space="720"/>
          <w:noEndnote/>
        </w:sectPr>
      </w:pPr>
    </w:p>
    <w:p w:rsidR="0031644D" w:rsidRPr="00882AB8" w:rsidRDefault="00A66005" w:rsidP="000577C0">
      <w:pPr>
        <w:tabs>
          <w:tab w:val="center" w:pos="4680"/>
        </w:tabs>
        <w:suppressAutoHyphens/>
        <w:jc w:val="center"/>
        <w:rPr>
          <w:rFonts w:ascii="Arial" w:hAnsi="Arial" w:cs="Arial"/>
          <w:b/>
          <w:sz w:val="26"/>
          <w:szCs w:val="26"/>
          <w:u w:val="single"/>
        </w:rPr>
      </w:pPr>
      <w:r>
        <w:rPr>
          <w:rFonts w:ascii="Arial" w:hAnsi="Arial" w:cs="Arial"/>
          <w:b/>
          <w:sz w:val="26"/>
          <w:szCs w:val="26"/>
          <w:u w:val="single"/>
        </w:rPr>
        <w:lastRenderedPageBreak/>
        <w:t>PPL ELECTRIC UTILITIES CORPORATION</w:t>
      </w:r>
    </w:p>
    <w:p w:rsidR="0031644D" w:rsidRPr="006C2E78" w:rsidRDefault="0031644D" w:rsidP="00905409">
      <w:pPr>
        <w:pStyle w:val="Heading1"/>
        <w:rPr>
          <w:rFonts w:ascii="Arial" w:hAnsi="Arial" w:cs="Arial"/>
          <w:sz w:val="26"/>
          <w:szCs w:val="26"/>
        </w:rPr>
      </w:pPr>
    </w:p>
    <w:p w:rsidR="005D711E" w:rsidRPr="006C2E78" w:rsidRDefault="005D711E" w:rsidP="00905409">
      <w:pPr>
        <w:pStyle w:val="Heading1"/>
        <w:rPr>
          <w:rFonts w:ascii="Arial" w:hAnsi="Arial" w:cs="Arial"/>
          <w:szCs w:val="26"/>
        </w:rPr>
      </w:pPr>
      <w:r w:rsidRPr="006C2E78">
        <w:rPr>
          <w:rFonts w:ascii="Arial" w:hAnsi="Arial" w:cs="Arial"/>
          <w:szCs w:val="26"/>
        </w:rPr>
        <w:t>Notes To The Financial Statements</w:t>
      </w:r>
    </w:p>
    <w:p w:rsidR="005D711E" w:rsidRPr="006C2E78" w:rsidRDefault="005D711E" w:rsidP="00905409">
      <w:pPr>
        <w:tabs>
          <w:tab w:val="center" w:pos="4680"/>
        </w:tabs>
        <w:suppressAutoHyphens/>
        <w:outlineLvl w:val="0"/>
        <w:rPr>
          <w:rFonts w:ascii="Arial" w:hAnsi="Arial" w:cs="Arial"/>
          <w:b/>
          <w:szCs w:val="24"/>
        </w:rPr>
      </w:pPr>
    </w:p>
    <w:p w:rsidR="003731A5" w:rsidRPr="006C2E78" w:rsidRDefault="003731A5" w:rsidP="00905409">
      <w:pPr>
        <w:tabs>
          <w:tab w:val="center" w:pos="4680"/>
        </w:tabs>
        <w:suppressAutoHyphens/>
        <w:outlineLvl w:val="0"/>
        <w:rPr>
          <w:rFonts w:ascii="Arial" w:hAnsi="Arial" w:cs="Arial"/>
          <w:b/>
          <w:szCs w:val="24"/>
        </w:rPr>
      </w:pPr>
    </w:p>
    <w:p w:rsidR="00C82D14" w:rsidRPr="00383E58" w:rsidRDefault="006854D1" w:rsidP="00905409">
      <w:pPr>
        <w:tabs>
          <w:tab w:val="left" w:pos="360"/>
        </w:tabs>
        <w:jc w:val="both"/>
        <w:rPr>
          <w:rFonts w:ascii="Arial" w:hAnsi="Arial" w:cs="Arial"/>
          <w:b/>
          <w:szCs w:val="24"/>
          <w:u w:val="single"/>
        </w:rPr>
      </w:pPr>
      <w:r>
        <w:rPr>
          <w:rFonts w:ascii="Arial" w:hAnsi="Arial" w:cs="Arial"/>
          <w:b/>
          <w:szCs w:val="24"/>
          <w:u w:val="single"/>
        </w:rPr>
        <w:t xml:space="preserve">1 </w:t>
      </w:r>
      <w:r w:rsidRPr="00F72903">
        <w:rPr>
          <w:rFonts w:ascii="Arial" w:hAnsi="Arial" w:cs="Arial"/>
          <w:b/>
          <w:szCs w:val="24"/>
          <w:u w:val="single"/>
        </w:rPr>
        <w:t>–</w:t>
      </w:r>
      <w:r>
        <w:rPr>
          <w:rFonts w:ascii="Arial" w:hAnsi="Arial" w:cs="Arial"/>
          <w:b/>
          <w:szCs w:val="24"/>
          <w:u w:val="single"/>
        </w:rPr>
        <w:t xml:space="preserve"> </w:t>
      </w:r>
      <w:r w:rsidR="0003068B">
        <w:rPr>
          <w:rFonts w:ascii="Arial" w:hAnsi="Arial" w:cs="Arial"/>
          <w:b/>
          <w:szCs w:val="24"/>
          <w:u w:val="single"/>
        </w:rPr>
        <w:t>GS</w:t>
      </w:r>
      <w:r w:rsidR="002326C1">
        <w:rPr>
          <w:rFonts w:ascii="Arial" w:hAnsi="Arial" w:cs="Arial"/>
          <w:b/>
          <w:szCs w:val="24"/>
          <w:u w:val="single"/>
        </w:rPr>
        <w:t>C - 2, GSC - 1 and GSC</w:t>
      </w:r>
      <w:r w:rsidR="0003068B">
        <w:rPr>
          <w:rFonts w:ascii="Arial" w:hAnsi="Arial" w:cs="Arial"/>
          <w:b/>
          <w:szCs w:val="24"/>
          <w:u w:val="single"/>
        </w:rPr>
        <w:t xml:space="preserve"> </w:t>
      </w:r>
      <w:r w:rsidR="00011810" w:rsidRPr="00383E58">
        <w:rPr>
          <w:rFonts w:ascii="Arial" w:hAnsi="Arial" w:cs="Arial"/>
          <w:b/>
          <w:szCs w:val="24"/>
          <w:u w:val="single"/>
        </w:rPr>
        <w:t xml:space="preserve">Revenues </w:t>
      </w:r>
    </w:p>
    <w:p w:rsidR="00C82D14" w:rsidRPr="0074546C" w:rsidRDefault="00C82D14" w:rsidP="00905409">
      <w:pPr>
        <w:tabs>
          <w:tab w:val="left" w:pos="360"/>
        </w:tabs>
        <w:jc w:val="both"/>
        <w:rPr>
          <w:rFonts w:ascii="Arial" w:hAnsi="Arial" w:cs="Arial"/>
          <w:b/>
          <w:szCs w:val="24"/>
          <w:highlight w:val="yellow"/>
          <w:u w:val="single"/>
        </w:rPr>
      </w:pPr>
    </w:p>
    <w:p w:rsidR="00F72903" w:rsidRDefault="005E4A85" w:rsidP="00A1597B">
      <w:pPr>
        <w:ind w:left="450" w:firstLine="720"/>
        <w:rPr>
          <w:rFonts w:ascii="Arial" w:hAnsi="Arial" w:cs="Arial"/>
        </w:rPr>
      </w:pPr>
      <w:r w:rsidRPr="00F72903">
        <w:rPr>
          <w:rFonts w:ascii="Arial" w:hAnsi="Arial" w:cs="Arial"/>
        </w:rPr>
        <w:t xml:space="preserve">The </w:t>
      </w:r>
      <w:r w:rsidR="002326C1">
        <w:rPr>
          <w:rFonts w:ascii="Arial" w:hAnsi="Arial" w:cs="Arial"/>
        </w:rPr>
        <w:t xml:space="preserve">Generation Supply Charge </w:t>
      </w:r>
      <w:r w:rsidRPr="00F72903">
        <w:rPr>
          <w:rFonts w:ascii="Arial" w:hAnsi="Arial" w:cs="Arial"/>
        </w:rPr>
        <w:t>Revenues for the Residentia</w:t>
      </w:r>
      <w:r w:rsidR="005D01B9">
        <w:rPr>
          <w:rFonts w:ascii="Arial" w:hAnsi="Arial" w:cs="Arial"/>
        </w:rPr>
        <w:t>l</w:t>
      </w:r>
      <w:r w:rsidR="00383E58" w:rsidRPr="00F72903">
        <w:rPr>
          <w:rFonts w:ascii="Arial" w:hAnsi="Arial" w:cs="Arial"/>
        </w:rPr>
        <w:t xml:space="preserve">, Small </w:t>
      </w:r>
      <w:r w:rsidR="005D01B9">
        <w:rPr>
          <w:rFonts w:ascii="Arial" w:hAnsi="Arial" w:cs="Arial"/>
        </w:rPr>
        <w:t xml:space="preserve">Commercial and Industrial (C&amp;I) </w:t>
      </w:r>
      <w:r w:rsidR="00383E58" w:rsidRPr="00F72903">
        <w:rPr>
          <w:rFonts w:ascii="Arial" w:hAnsi="Arial" w:cs="Arial"/>
        </w:rPr>
        <w:t xml:space="preserve">and Large C&amp;I </w:t>
      </w:r>
      <w:r w:rsidRPr="00F72903">
        <w:rPr>
          <w:rFonts w:ascii="Arial" w:hAnsi="Arial" w:cs="Arial"/>
        </w:rPr>
        <w:t>Customer Rate Classes are derived by applying the</w:t>
      </w:r>
      <w:r w:rsidR="005D01B9">
        <w:rPr>
          <w:rFonts w:ascii="Arial" w:hAnsi="Arial" w:cs="Arial"/>
        </w:rPr>
        <w:t xml:space="preserve"> projected cost component of the</w:t>
      </w:r>
      <w:r w:rsidRPr="00F72903">
        <w:rPr>
          <w:rFonts w:ascii="Arial" w:hAnsi="Arial" w:cs="Arial"/>
        </w:rPr>
        <w:t xml:space="preserve"> </w:t>
      </w:r>
      <w:r w:rsidR="00B72491" w:rsidRPr="00F72903">
        <w:rPr>
          <w:rFonts w:ascii="Arial" w:hAnsi="Arial" w:cs="Arial"/>
        </w:rPr>
        <w:t xml:space="preserve">applicable </w:t>
      </w:r>
      <w:r w:rsidR="00383E58" w:rsidRPr="00F72903">
        <w:rPr>
          <w:rFonts w:ascii="Arial" w:hAnsi="Arial" w:cs="Arial"/>
        </w:rPr>
        <w:t>GSC</w:t>
      </w:r>
      <w:r w:rsidR="00D32985">
        <w:rPr>
          <w:rFonts w:ascii="Arial" w:hAnsi="Arial" w:cs="Arial"/>
        </w:rPr>
        <w:t xml:space="preserve"> rate</w:t>
      </w:r>
      <w:r w:rsidR="005D01B9">
        <w:rPr>
          <w:rFonts w:ascii="Arial" w:hAnsi="Arial" w:cs="Arial"/>
        </w:rPr>
        <w:t xml:space="preserve">, </w:t>
      </w:r>
      <w:r w:rsidR="00811797" w:rsidRPr="00F72903">
        <w:rPr>
          <w:rFonts w:ascii="Arial" w:hAnsi="Arial" w:cs="Arial"/>
        </w:rPr>
        <w:t>as defined in the GSC, GSC</w:t>
      </w:r>
      <w:r w:rsidR="00F564F2">
        <w:rPr>
          <w:rFonts w:ascii="Arial" w:hAnsi="Arial" w:cs="Arial"/>
        </w:rPr>
        <w:t xml:space="preserve"> </w:t>
      </w:r>
      <w:r w:rsidR="00811797" w:rsidRPr="00F72903">
        <w:rPr>
          <w:rFonts w:ascii="Arial" w:hAnsi="Arial" w:cs="Arial"/>
        </w:rPr>
        <w:t>-</w:t>
      </w:r>
      <w:r w:rsidR="00F564F2">
        <w:rPr>
          <w:rFonts w:ascii="Arial" w:hAnsi="Arial" w:cs="Arial"/>
        </w:rPr>
        <w:t xml:space="preserve"> </w:t>
      </w:r>
      <w:r w:rsidR="00811797" w:rsidRPr="00F72903">
        <w:rPr>
          <w:rFonts w:ascii="Arial" w:hAnsi="Arial" w:cs="Arial"/>
        </w:rPr>
        <w:t>1 and GSC</w:t>
      </w:r>
      <w:r w:rsidR="00F564F2">
        <w:rPr>
          <w:rFonts w:ascii="Arial" w:hAnsi="Arial" w:cs="Arial"/>
        </w:rPr>
        <w:t xml:space="preserve"> </w:t>
      </w:r>
      <w:r w:rsidR="00811797" w:rsidRPr="00F72903">
        <w:rPr>
          <w:rFonts w:ascii="Arial" w:hAnsi="Arial" w:cs="Arial"/>
        </w:rPr>
        <w:t>-</w:t>
      </w:r>
      <w:r w:rsidR="00F564F2">
        <w:rPr>
          <w:rFonts w:ascii="Arial" w:hAnsi="Arial" w:cs="Arial"/>
        </w:rPr>
        <w:t xml:space="preserve"> </w:t>
      </w:r>
      <w:r w:rsidR="00811797" w:rsidRPr="00F72903">
        <w:rPr>
          <w:rFonts w:ascii="Arial" w:hAnsi="Arial" w:cs="Arial"/>
        </w:rPr>
        <w:t xml:space="preserve">2 </w:t>
      </w:r>
      <w:r w:rsidR="00811797">
        <w:rPr>
          <w:rFonts w:ascii="Arial" w:hAnsi="Arial" w:cs="Arial"/>
        </w:rPr>
        <w:t>Tariff</w:t>
      </w:r>
      <w:r w:rsidR="00811797" w:rsidRPr="00F72903">
        <w:rPr>
          <w:rFonts w:ascii="Arial" w:hAnsi="Arial" w:cs="Arial"/>
        </w:rPr>
        <w:t xml:space="preserve"> Riders</w:t>
      </w:r>
      <w:r w:rsidR="00811797">
        <w:rPr>
          <w:rFonts w:ascii="Arial" w:hAnsi="Arial" w:cs="Arial"/>
        </w:rPr>
        <w:t xml:space="preserve">, </w:t>
      </w:r>
      <w:r w:rsidR="005D01B9">
        <w:rPr>
          <w:rFonts w:ascii="Arial" w:hAnsi="Arial" w:cs="Arial"/>
        </w:rPr>
        <w:t>exclusive of Gross Receipts Tax</w:t>
      </w:r>
      <w:r w:rsidR="000E1CF4" w:rsidRPr="00F72903">
        <w:rPr>
          <w:rFonts w:ascii="Arial" w:hAnsi="Arial" w:cs="Arial"/>
        </w:rPr>
        <w:t xml:space="preserve"> </w:t>
      </w:r>
      <w:r w:rsidR="005D01B9">
        <w:rPr>
          <w:rFonts w:ascii="Arial" w:hAnsi="Arial" w:cs="Arial"/>
        </w:rPr>
        <w:t xml:space="preserve">(GRT) and the Merchant Function Charge (MFC) for the Residential and Small C&amp;I Customer Rate Classes and exclusive of GRT for the Large C&amp;I Customer Rate Class, </w:t>
      </w:r>
      <w:r w:rsidR="000E1CF4" w:rsidRPr="00F72903">
        <w:rPr>
          <w:rFonts w:ascii="Arial" w:hAnsi="Arial" w:cs="Arial"/>
        </w:rPr>
        <w:t xml:space="preserve">to each </w:t>
      </w:r>
      <w:r w:rsidR="005D01B9">
        <w:rPr>
          <w:rFonts w:ascii="Arial" w:hAnsi="Arial" w:cs="Arial"/>
        </w:rPr>
        <w:t>K</w:t>
      </w:r>
      <w:r w:rsidR="000E1CF4" w:rsidRPr="00F72903">
        <w:rPr>
          <w:rFonts w:ascii="Arial" w:hAnsi="Arial" w:cs="Arial"/>
        </w:rPr>
        <w:t>W</w:t>
      </w:r>
      <w:r w:rsidR="005D01B9">
        <w:rPr>
          <w:rFonts w:ascii="Arial" w:hAnsi="Arial" w:cs="Arial"/>
        </w:rPr>
        <w:t>H</w:t>
      </w:r>
      <w:r w:rsidR="000E1CF4" w:rsidRPr="00F72903">
        <w:rPr>
          <w:rFonts w:ascii="Arial" w:hAnsi="Arial" w:cs="Arial"/>
        </w:rPr>
        <w:t xml:space="preserve"> of Default Service that </w:t>
      </w:r>
      <w:r w:rsidR="00383E58" w:rsidRPr="00F72903">
        <w:rPr>
          <w:rFonts w:ascii="Arial" w:hAnsi="Arial" w:cs="Arial"/>
        </w:rPr>
        <w:t>PPL</w:t>
      </w:r>
      <w:r w:rsidR="0046263E">
        <w:rPr>
          <w:rFonts w:ascii="Arial" w:hAnsi="Arial" w:cs="Arial"/>
        </w:rPr>
        <w:t xml:space="preserve"> Electric</w:t>
      </w:r>
      <w:r w:rsidR="000E1CF4" w:rsidRPr="00F72903">
        <w:rPr>
          <w:rFonts w:ascii="Arial" w:hAnsi="Arial" w:cs="Arial"/>
        </w:rPr>
        <w:t xml:space="preserve"> delivers to </w:t>
      </w:r>
      <w:r w:rsidR="00542143" w:rsidRPr="00F72903">
        <w:rPr>
          <w:rFonts w:ascii="Arial" w:hAnsi="Arial" w:cs="Arial"/>
        </w:rPr>
        <w:t>Residential</w:t>
      </w:r>
      <w:r w:rsidR="00383E58" w:rsidRPr="00F72903">
        <w:rPr>
          <w:rFonts w:ascii="Arial" w:hAnsi="Arial" w:cs="Arial"/>
        </w:rPr>
        <w:t>, Small C&amp;I</w:t>
      </w:r>
      <w:r w:rsidR="000E1CF4" w:rsidRPr="00F72903">
        <w:rPr>
          <w:rFonts w:ascii="Arial" w:hAnsi="Arial" w:cs="Arial"/>
        </w:rPr>
        <w:t xml:space="preserve"> </w:t>
      </w:r>
      <w:r w:rsidR="00383E58" w:rsidRPr="00F72903">
        <w:rPr>
          <w:rFonts w:ascii="Arial" w:hAnsi="Arial" w:cs="Arial"/>
        </w:rPr>
        <w:t>and Large C&amp;I Customers</w:t>
      </w:r>
      <w:r w:rsidR="000E1CF4" w:rsidRPr="00F72903">
        <w:rPr>
          <w:rFonts w:ascii="Arial" w:hAnsi="Arial" w:cs="Arial"/>
        </w:rPr>
        <w:t xml:space="preserve">. </w:t>
      </w:r>
      <w:r w:rsidR="006A11B8" w:rsidRPr="00F72903">
        <w:rPr>
          <w:rFonts w:ascii="Arial" w:hAnsi="Arial" w:cs="Arial"/>
        </w:rPr>
        <w:t xml:space="preserve"> </w:t>
      </w:r>
    </w:p>
    <w:p w:rsidR="00F72903" w:rsidRDefault="00F72903" w:rsidP="00F72903">
      <w:pPr>
        <w:rPr>
          <w:rFonts w:ascii="Arial" w:hAnsi="Arial" w:cs="Arial"/>
        </w:rPr>
      </w:pPr>
    </w:p>
    <w:p w:rsidR="00C82D14" w:rsidRPr="00F72903" w:rsidRDefault="009E7FA6" w:rsidP="00905409">
      <w:pPr>
        <w:tabs>
          <w:tab w:val="left" w:pos="360"/>
        </w:tabs>
        <w:jc w:val="both"/>
        <w:rPr>
          <w:rFonts w:ascii="Arial" w:hAnsi="Arial" w:cs="Arial"/>
          <w:b/>
          <w:szCs w:val="24"/>
          <w:u w:val="single"/>
        </w:rPr>
      </w:pPr>
      <w:r>
        <w:rPr>
          <w:rFonts w:ascii="Arial" w:hAnsi="Arial" w:cs="Arial"/>
          <w:b/>
          <w:szCs w:val="24"/>
          <w:u w:val="single"/>
        </w:rPr>
        <w:t>2</w:t>
      </w:r>
      <w:r w:rsidR="000014E9" w:rsidRPr="00F72903">
        <w:rPr>
          <w:rFonts w:ascii="Arial" w:hAnsi="Arial" w:cs="Arial"/>
          <w:b/>
          <w:szCs w:val="24"/>
          <w:u w:val="single"/>
        </w:rPr>
        <w:t xml:space="preserve"> –</w:t>
      </w:r>
      <w:r w:rsidR="00F72903" w:rsidRPr="00F72903">
        <w:rPr>
          <w:rFonts w:ascii="Arial" w:hAnsi="Arial" w:cs="Arial"/>
          <w:b/>
          <w:szCs w:val="24"/>
          <w:u w:val="single"/>
        </w:rPr>
        <w:t xml:space="preserve"> </w:t>
      </w:r>
      <w:r>
        <w:rPr>
          <w:rFonts w:ascii="Arial" w:hAnsi="Arial" w:cs="Arial"/>
          <w:b/>
          <w:szCs w:val="24"/>
          <w:u w:val="single"/>
        </w:rPr>
        <w:t>G</w:t>
      </w:r>
      <w:r w:rsidR="002326C1">
        <w:rPr>
          <w:rFonts w:ascii="Arial" w:hAnsi="Arial" w:cs="Arial"/>
          <w:b/>
          <w:szCs w:val="24"/>
          <w:u w:val="single"/>
        </w:rPr>
        <w:t>S</w:t>
      </w:r>
      <w:r>
        <w:rPr>
          <w:rFonts w:ascii="Arial" w:hAnsi="Arial" w:cs="Arial"/>
          <w:b/>
          <w:szCs w:val="24"/>
          <w:u w:val="single"/>
        </w:rPr>
        <w:t>C</w:t>
      </w:r>
      <w:r w:rsidR="002326C1">
        <w:rPr>
          <w:rFonts w:ascii="Arial" w:hAnsi="Arial" w:cs="Arial"/>
          <w:b/>
          <w:szCs w:val="24"/>
          <w:u w:val="single"/>
        </w:rPr>
        <w:t xml:space="preserve"> </w:t>
      </w:r>
      <w:r>
        <w:rPr>
          <w:rFonts w:ascii="Arial" w:hAnsi="Arial" w:cs="Arial"/>
          <w:b/>
          <w:szCs w:val="24"/>
          <w:u w:val="single"/>
        </w:rPr>
        <w:t>-</w:t>
      </w:r>
      <w:r w:rsidR="002326C1">
        <w:rPr>
          <w:rFonts w:ascii="Arial" w:hAnsi="Arial" w:cs="Arial"/>
          <w:b/>
          <w:szCs w:val="24"/>
          <w:u w:val="single"/>
        </w:rPr>
        <w:t xml:space="preserve"> </w:t>
      </w:r>
      <w:r>
        <w:rPr>
          <w:rFonts w:ascii="Arial" w:hAnsi="Arial" w:cs="Arial"/>
          <w:b/>
          <w:szCs w:val="24"/>
          <w:u w:val="single"/>
        </w:rPr>
        <w:t>1</w:t>
      </w:r>
      <w:r w:rsidRPr="00F72903">
        <w:rPr>
          <w:rFonts w:ascii="Arial" w:hAnsi="Arial" w:cs="Arial"/>
          <w:b/>
          <w:szCs w:val="24"/>
          <w:u w:val="single"/>
        </w:rPr>
        <w:t xml:space="preserve"> </w:t>
      </w:r>
      <w:r w:rsidR="004A0472">
        <w:rPr>
          <w:rFonts w:ascii="Arial" w:hAnsi="Arial" w:cs="Arial"/>
          <w:b/>
          <w:szCs w:val="24"/>
          <w:u w:val="single"/>
        </w:rPr>
        <w:t>Expenses</w:t>
      </w:r>
    </w:p>
    <w:p w:rsidR="005D711E" w:rsidRPr="0074546C" w:rsidRDefault="005D711E" w:rsidP="00905409">
      <w:pPr>
        <w:pStyle w:val="EndnoteText"/>
        <w:tabs>
          <w:tab w:val="left" w:pos="-720"/>
        </w:tabs>
        <w:suppressAutoHyphens/>
        <w:rPr>
          <w:rFonts w:ascii="Arial" w:hAnsi="Arial" w:cs="Arial"/>
          <w:szCs w:val="24"/>
          <w:highlight w:val="yellow"/>
        </w:rPr>
      </w:pPr>
    </w:p>
    <w:p w:rsidR="005D711E" w:rsidRPr="00A1597B" w:rsidRDefault="00F00BDA" w:rsidP="001E1879">
      <w:pPr>
        <w:pStyle w:val="EndnoteText"/>
        <w:tabs>
          <w:tab w:val="left" w:pos="475"/>
        </w:tabs>
        <w:suppressAutoHyphens/>
        <w:ind w:left="475"/>
        <w:rPr>
          <w:rFonts w:ascii="Arial" w:hAnsi="Arial" w:cs="Arial"/>
          <w:szCs w:val="24"/>
          <w:lang w:val="en-US"/>
        </w:rPr>
      </w:pPr>
      <w:r w:rsidRPr="00E22AB0">
        <w:rPr>
          <w:rFonts w:ascii="Arial" w:hAnsi="Arial" w:cs="Arial"/>
          <w:szCs w:val="24"/>
        </w:rPr>
        <w:tab/>
      </w:r>
      <w:r w:rsidR="007D10AA">
        <w:rPr>
          <w:rFonts w:ascii="Arial" w:hAnsi="Arial" w:cs="Arial"/>
          <w:szCs w:val="24"/>
          <w:lang w:val="en-US"/>
        </w:rPr>
        <w:t xml:space="preserve">       </w:t>
      </w:r>
      <w:r w:rsidR="00C6757C">
        <w:rPr>
          <w:rFonts w:ascii="Arial" w:hAnsi="Arial" w:cs="Arial"/>
          <w:szCs w:val="24"/>
          <w:lang w:val="en-US"/>
        </w:rPr>
        <w:t>The GSC</w:t>
      </w:r>
      <w:r w:rsidR="00E321EA">
        <w:rPr>
          <w:rFonts w:ascii="Arial" w:hAnsi="Arial" w:cs="Arial"/>
          <w:szCs w:val="24"/>
          <w:lang w:val="en-US"/>
        </w:rPr>
        <w:t xml:space="preserve"> </w:t>
      </w:r>
      <w:r w:rsidR="00C6757C">
        <w:rPr>
          <w:rFonts w:ascii="Arial" w:hAnsi="Arial" w:cs="Arial"/>
          <w:szCs w:val="24"/>
          <w:lang w:val="en-US"/>
        </w:rPr>
        <w:t>-</w:t>
      </w:r>
      <w:r w:rsidR="00E321EA">
        <w:rPr>
          <w:rFonts w:ascii="Arial" w:hAnsi="Arial" w:cs="Arial"/>
          <w:szCs w:val="24"/>
          <w:lang w:val="en-US"/>
        </w:rPr>
        <w:t xml:space="preserve"> </w:t>
      </w:r>
      <w:r w:rsidR="00C6757C">
        <w:rPr>
          <w:rFonts w:ascii="Arial" w:hAnsi="Arial" w:cs="Arial"/>
          <w:szCs w:val="24"/>
          <w:lang w:val="en-US"/>
        </w:rPr>
        <w:t xml:space="preserve">1 expenses are actual expenses incurred to provide generation supply service to Residential </w:t>
      </w:r>
      <w:r w:rsidR="0018149E">
        <w:rPr>
          <w:rFonts w:ascii="Arial" w:hAnsi="Arial" w:cs="Arial"/>
          <w:szCs w:val="24"/>
          <w:lang w:val="en-US"/>
        </w:rPr>
        <w:t xml:space="preserve">Fixed, Residential Time of Use, Small C&amp;I Fixed </w:t>
      </w:r>
      <w:r w:rsidR="00C6757C">
        <w:rPr>
          <w:rFonts w:ascii="Arial" w:hAnsi="Arial" w:cs="Arial"/>
          <w:szCs w:val="24"/>
          <w:lang w:val="en-US"/>
        </w:rPr>
        <w:t xml:space="preserve">and Small C&amp;I </w:t>
      </w:r>
      <w:r w:rsidR="0018149E">
        <w:rPr>
          <w:rFonts w:ascii="Arial" w:hAnsi="Arial" w:cs="Arial"/>
          <w:szCs w:val="24"/>
          <w:lang w:val="en-US"/>
        </w:rPr>
        <w:t xml:space="preserve">Time of Use </w:t>
      </w:r>
      <w:r w:rsidR="00C6757C">
        <w:rPr>
          <w:rFonts w:ascii="Arial" w:hAnsi="Arial" w:cs="Arial"/>
          <w:szCs w:val="24"/>
          <w:lang w:val="en-US"/>
        </w:rPr>
        <w:t xml:space="preserve">customers receiving default service.  </w:t>
      </w:r>
      <w:r w:rsidR="0018149E">
        <w:rPr>
          <w:rFonts w:ascii="Arial" w:hAnsi="Arial" w:cs="Arial"/>
          <w:szCs w:val="24"/>
          <w:lang w:val="en-US"/>
        </w:rPr>
        <w:t xml:space="preserve">The </w:t>
      </w:r>
      <w:r w:rsidR="00672AE0">
        <w:rPr>
          <w:rFonts w:ascii="Arial" w:hAnsi="Arial" w:cs="Arial"/>
          <w:szCs w:val="24"/>
          <w:lang w:val="en-US"/>
        </w:rPr>
        <w:t xml:space="preserve">Off Peak and On Peak </w:t>
      </w:r>
      <w:r w:rsidR="0018149E">
        <w:rPr>
          <w:rFonts w:ascii="Arial" w:hAnsi="Arial" w:cs="Arial"/>
          <w:szCs w:val="24"/>
          <w:lang w:val="en-US"/>
        </w:rPr>
        <w:t xml:space="preserve">Time of Use </w:t>
      </w:r>
      <w:r w:rsidR="00672AE0">
        <w:rPr>
          <w:rFonts w:ascii="Arial" w:hAnsi="Arial" w:cs="Arial"/>
          <w:szCs w:val="24"/>
          <w:lang w:val="en-US"/>
        </w:rPr>
        <w:t>rate</w:t>
      </w:r>
      <w:r w:rsidR="0018149E">
        <w:rPr>
          <w:rFonts w:ascii="Arial" w:hAnsi="Arial" w:cs="Arial"/>
          <w:szCs w:val="24"/>
          <w:lang w:val="en-US"/>
        </w:rPr>
        <w:t xml:space="preserve"> classes are reconciled separately from the </w:t>
      </w:r>
      <w:r w:rsidR="00672AE0">
        <w:rPr>
          <w:rFonts w:ascii="Arial" w:hAnsi="Arial" w:cs="Arial"/>
          <w:szCs w:val="24"/>
          <w:lang w:val="en-US"/>
        </w:rPr>
        <w:t>F</w:t>
      </w:r>
      <w:r w:rsidR="0018149E">
        <w:rPr>
          <w:rFonts w:ascii="Arial" w:hAnsi="Arial" w:cs="Arial"/>
          <w:szCs w:val="24"/>
          <w:lang w:val="en-US"/>
        </w:rPr>
        <w:t>ixed rate classes.  T</w:t>
      </w:r>
      <w:r w:rsidR="0018149E" w:rsidRPr="00E22AB0">
        <w:rPr>
          <w:rFonts w:ascii="Arial" w:hAnsi="Arial" w:cs="Arial"/>
          <w:szCs w:val="24"/>
        </w:rPr>
        <w:t>he</w:t>
      </w:r>
      <w:r w:rsidR="000014E9" w:rsidRPr="00E22AB0">
        <w:rPr>
          <w:rFonts w:ascii="Arial" w:hAnsi="Arial" w:cs="Arial"/>
          <w:szCs w:val="24"/>
        </w:rPr>
        <w:t xml:space="preserve"> </w:t>
      </w:r>
      <w:r w:rsidR="00C6757C">
        <w:rPr>
          <w:rFonts w:ascii="Arial" w:hAnsi="Arial" w:cs="Arial"/>
          <w:szCs w:val="24"/>
          <w:lang w:val="en-US"/>
        </w:rPr>
        <w:t>GSC</w:t>
      </w:r>
      <w:r w:rsidR="00E321EA">
        <w:rPr>
          <w:rFonts w:ascii="Arial" w:hAnsi="Arial" w:cs="Arial"/>
          <w:szCs w:val="24"/>
          <w:lang w:val="en-US"/>
        </w:rPr>
        <w:t xml:space="preserve"> </w:t>
      </w:r>
      <w:r w:rsidR="00C6757C">
        <w:rPr>
          <w:rFonts w:ascii="Arial" w:hAnsi="Arial" w:cs="Arial"/>
          <w:szCs w:val="24"/>
          <w:lang w:val="en-US"/>
        </w:rPr>
        <w:t>-</w:t>
      </w:r>
      <w:r w:rsidR="00E321EA">
        <w:rPr>
          <w:rFonts w:ascii="Arial" w:hAnsi="Arial" w:cs="Arial"/>
          <w:szCs w:val="24"/>
          <w:lang w:val="en-US"/>
        </w:rPr>
        <w:t xml:space="preserve"> </w:t>
      </w:r>
      <w:r w:rsidR="00C6757C">
        <w:rPr>
          <w:rFonts w:ascii="Arial" w:hAnsi="Arial" w:cs="Arial"/>
          <w:szCs w:val="24"/>
          <w:lang w:val="en-US"/>
        </w:rPr>
        <w:t xml:space="preserve">1 </w:t>
      </w:r>
      <w:r w:rsidR="00C6757C" w:rsidRPr="00E22AB0">
        <w:rPr>
          <w:rFonts w:ascii="Arial" w:hAnsi="Arial" w:cs="Arial"/>
          <w:szCs w:val="24"/>
        </w:rPr>
        <w:t>expenses</w:t>
      </w:r>
      <w:r w:rsidR="000014E9" w:rsidRPr="00E22AB0">
        <w:rPr>
          <w:rFonts w:ascii="Arial" w:hAnsi="Arial" w:cs="Arial"/>
          <w:szCs w:val="24"/>
        </w:rPr>
        <w:t xml:space="preserve"> include payments to power suppliers (RFP Bidders)</w:t>
      </w:r>
      <w:r w:rsidR="00C6757C">
        <w:rPr>
          <w:rFonts w:ascii="Arial" w:hAnsi="Arial" w:cs="Arial"/>
          <w:szCs w:val="24"/>
          <w:lang w:val="en-US"/>
        </w:rPr>
        <w:t xml:space="preserve">, </w:t>
      </w:r>
      <w:r w:rsidR="00C6757C">
        <w:rPr>
          <w:rFonts w:ascii="Arial" w:hAnsi="Arial" w:cs="Arial"/>
        </w:rPr>
        <w:t>energy procurement expenses related to</w:t>
      </w:r>
      <w:r w:rsidR="00580574">
        <w:rPr>
          <w:rFonts w:ascii="Arial" w:hAnsi="Arial" w:cs="Arial"/>
          <w:lang w:val="en-US"/>
        </w:rPr>
        <w:t xml:space="preserve"> </w:t>
      </w:r>
      <w:r w:rsidR="00C6757C">
        <w:rPr>
          <w:rFonts w:ascii="Arial" w:hAnsi="Arial" w:cs="Arial"/>
        </w:rPr>
        <w:t xml:space="preserve">PJM Reliability Pricing Model capacity costs, other PJM related expenses, net metering expenses and administrative expenses incurred during the current reconciliation period, plus the monthly amortization of the costs associated with administering the energy procurement program </w:t>
      </w:r>
      <w:r w:rsidR="00672AE0">
        <w:rPr>
          <w:rFonts w:ascii="Arial" w:hAnsi="Arial" w:cs="Arial"/>
          <w:lang w:val="en-US"/>
        </w:rPr>
        <w:t xml:space="preserve">that were </w:t>
      </w:r>
      <w:r w:rsidR="00C6757C">
        <w:rPr>
          <w:rFonts w:ascii="Arial" w:hAnsi="Arial" w:cs="Arial"/>
        </w:rPr>
        <w:t>incurred prior to January 1, 2011.  These prior administrative expenses are being amortized over a 29 month period, January 1, 2011 through May 31, 2013.  In addition</w:t>
      </w:r>
      <w:r w:rsidR="00811797">
        <w:rPr>
          <w:rFonts w:ascii="Arial" w:hAnsi="Arial" w:cs="Arial"/>
          <w:lang w:val="en-US"/>
        </w:rPr>
        <w:t>,</w:t>
      </w:r>
      <w:r w:rsidR="00C6757C">
        <w:rPr>
          <w:rFonts w:ascii="Arial" w:hAnsi="Arial" w:cs="Arial"/>
        </w:rPr>
        <w:t xml:space="preserve"> the expenses include the applicable under collection related to the 2010 GSC for the </w:t>
      </w:r>
      <w:r w:rsidR="00C6757C">
        <w:rPr>
          <w:rFonts w:ascii="Arial" w:hAnsi="Arial" w:cs="Arial"/>
          <w:lang w:val="en-US"/>
        </w:rPr>
        <w:t>Residential and Small C&amp;I classes.</w:t>
      </w:r>
    </w:p>
    <w:p w:rsidR="0022155A" w:rsidRPr="0074546C" w:rsidRDefault="0022155A" w:rsidP="001E1879">
      <w:pPr>
        <w:pStyle w:val="EndnoteText"/>
        <w:tabs>
          <w:tab w:val="left" w:pos="331"/>
        </w:tabs>
        <w:suppressAutoHyphens/>
        <w:rPr>
          <w:rFonts w:ascii="Arial" w:hAnsi="Arial" w:cs="Arial"/>
          <w:b/>
          <w:szCs w:val="24"/>
          <w:highlight w:val="yellow"/>
          <w:u w:val="single"/>
        </w:rPr>
      </w:pPr>
    </w:p>
    <w:p w:rsidR="00375D18" w:rsidRPr="00F72903" w:rsidRDefault="00375D18" w:rsidP="00375D18">
      <w:pPr>
        <w:tabs>
          <w:tab w:val="left" w:pos="360"/>
        </w:tabs>
        <w:jc w:val="both"/>
        <w:rPr>
          <w:rFonts w:ascii="Arial" w:hAnsi="Arial" w:cs="Arial"/>
          <w:b/>
          <w:szCs w:val="24"/>
          <w:u w:val="single"/>
        </w:rPr>
      </w:pPr>
      <w:r>
        <w:rPr>
          <w:rFonts w:ascii="Arial" w:hAnsi="Arial" w:cs="Arial"/>
          <w:b/>
          <w:szCs w:val="24"/>
          <w:u w:val="single"/>
        </w:rPr>
        <w:t>3</w:t>
      </w:r>
      <w:r w:rsidRPr="00F72903">
        <w:rPr>
          <w:rFonts w:ascii="Arial" w:hAnsi="Arial" w:cs="Arial"/>
          <w:b/>
          <w:szCs w:val="24"/>
          <w:u w:val="single"/>
        </w:rPr>
        <w:t xml:space="preserve"> – </w:t>
      </w:r>
      <w:r>
        <w:rPr>
          <w:rFonts w:ascii="Arial" w:hAnsi="Arial" w:cs="Arial"/>
          <w:b/>
          <w:szCs w:val="24"/>
          <w:u w:val="single"/>
        </w:rPr>
        <w:t>GSC</w:t>
      </w:r>
      <w:r w:rsidR="002326C1">
        <w:rPr>
          <w:rFonts w:ascii="Arial" w:hAnsi="Arial" w:cs="Arial"/>
          <w:b/>
          <w:szCs w:val="24"/>
          <w:u w:val="single"/>
        </w:rPr>
        <w:t xml:space="preserve"> - </w:t>
      </w:r>
      <w:r>
        <w:rPr>
          <w:rFonts w:ascii="Arial" w:hAnsi="Arial" w:cs="Arial"/>
          <w:b/>
          <w:szCs w:val="24"/>
          <w:u w:val="single"/>
        </w:rPr>
        <w:t>2</w:t>
      </w:r>
      <w:r w:rsidRPr="00F72903">
        <w:rPr>
          <w:rFonts w:ascii="Arial" w:hAnsi="Arial" w:cs="Arial"/>
          <w:b/>
          <w:szCs w:val="24"/>
          <w:u w:val="single"/>
        </w:rPr>
        <w:t xml:space="preserve"> </w:t>
      </w:r>
      <w:r>
        <w:rPr>
          <w:rFonts w:ascii="Arial" w:hAnsi="Arial" w:cs="Arial"/>
          <w:b/>
          <w:szCs w:val="24"/>
          <w:u w:val="single"/>
        </w:rPr>
        <w:t>Expenses</w:t>
      </w:r>
    </w:p>
    <w:p w:rsidR="00375D18" w:rsidRDefault="00375D18" w:rsidP="00375D18">
      <w:pPr>
        <w:ind w:firstLine="720"/>
        <w:rPr>
          <w:rFonts w:ascii="Arial" w:hAnsi="Arial" w:cs="Arial"/>
          <w:szCs w:val="24"/>
        </w:rPr>
      </w:pPr>
    </w:p>
    <w:p w:rsidR="00375D18" w:rsidRDefault="00375D18" w:rsidP="00375D18">
      <w:pPr>
        <w:ind w:left="450" w:firstLine="270"/>
        <w:rPr>
          <w:rFonts w:ascii="Arial" w:hAnsi="Arial" w:cs="Arial"/>
        </w:rPr>
      </w:pPr>
      <w:r>
        <w:rPr>
          <w:rFonts w:ascii="Arial" w:hAnsi="Arial" w:cs="Arial"/>
          <w:szCs w:val="24"/>
        </w:rPr>
        <w:t xml:space="preserve">        The GSC</w:t>
      </w:r>
      <w:r w:rsidR="00E321EA">
        <w:rPr>
          <w:rFonts w:ascii="Arial" w:hAnsi="Arial" w:cs="Arial"/>
          <w:szCs w:val="24"/>
        </w:rPr>
        <w:t xml:space="preserve"> </w:t>
      </w:r>
      <w:r>
        <w:rPr>
          <w:rFonts w:ascii="Arial" w:hAnsi="Arial" w:cs="Arial"/>
          <w:szCs w:val="24"/>
        </w:rPr>
        <w:t>-</w:t>
      </w:r>
      <w:r w:rsidR="00E321EA">
        <w:rPr>
          <w:rFonts w:ascii="Arial" w:hAnsi="Arial" w:cs="Arial"/>
          <w:szCs w:val="24"/>
        </w:rPr>
        <w:t xml:space="preserve"> </w:t>
      </w:r>
      <w:r>
        <w:rPr>
          <w:rFonts w:ascii="Arial" w:hAnsi="Arial" w:cs="Arial"/>
          <w:szCs w:val="24"/>
        </w:rPr>
        <w:t>2 has two service provisions: Hourly Default Service and Optional Monthly Pricing Service (O</w:t>
      </w:r>
      <w:r w:rsidR="0046263E">
        <w:rPr>
          <w:rFonts w:ascii="Arial" w:hAnsi="Arial" w:cs="Arial"/>
          <w:szCs w:val="24"/>
        </w:rPr>
        <w:t>M</w:t>
      </w:r>
      <w:r>
        <w:rPr>
          <w:rFonts w:ascii="Arial" w:hAnsi="Arial" w:cs="Arial"/>
          <w:szCs w:val="24"/>
        </w:rPr>
        <w:t>PS).  The GSC Hourly Default Service rate option provides electric generation service to eligible customers who have not selected the O</w:t>
      </w:r>
      <w:r w:rsidR="00F1411B">
        <w:rPr>
          <w:rFonts w:ascii="Arial" w:hAnsi="Arial" w:cs="Arial"/>
          <w:szCs w:val="24"/>
        </w:rPr>
        <w:t>M</w:t>
      </w:r>
      <w:r>
        <w:rPr>
          <w:rFonts w:ascii="Arial" w:hAnsi="Arial" w:cs="Arial"/>
          <w:szCs w:val="24"/>
        </w:rPr>
        <w:t xml:space="preserve">PS or an alternative generation supplier.  </w:t>
      </w:r>
      <w:r w:rsidRPr="00865297">
        <w:rPr>
          <w:rFonts w:ascii="Arial" w:hAnsi="Arial" w:cs="Arial"/>
        </w:rPr>
        <w:t xml:space="preserve">The energy related costs for the </w:t>
      </w:r>
      <w:r>
        <w:rPr>
          <w:rFonts w:ascii="Arial" w:hAnsi="Arial" w:cs="Arial"/>
        </w:rPr>
        <w:t>Hourly Default Service</w:t>
      </w:r>
      <w:r w:rsidRPr="00865297">
        <w:rPr>
          <w:rFonts w:ascii="Arial" w:hAnsi="Arial" w:cs="Arial"/>
        </w:rPr>
        <w:t xml:space="preserve"> </w:t>
      </w:r>
      <w:r>
        <w:rPr>
          <w:rFonts w:ascii="Arial" w:hAnsi="Arial" w:cs="Arial"/>
        </w:rPr>
        <w:t xml:space="preserve">Customers </w:t>
      </w:r>
      <w:r w:rsidRPr="00865297">
        <w:rPr>
          <w:rFonts w:ascii="Arial" w:hAnsi="Arial" w:cs="Arial"/>
        </w:rPr>
        <w:t xml:space="preserve">are customer specific and are direct billed to the customer.  </w:t>
      </w:r>
      <w:r>
        <w:rPr>
          <w:rFonts w:ascii="Arial" w:hAnsi="Arial" w:cs="Arial"/>
        </w:rPr>
        <w:t xml:space="preserve">PPL had no customers enrolled in the </w:t>
      </w:r>
      <w:r w:rsidR="00513D2B">
        <w:rPr>
          <w:rFonts w:ascii="Arial" w:hAnsi="Arial" w:cs="Arial"/>
        </w:rPr>
        <w:t>OMPS</w:t>
      </w:r>
      <w:r>
        <w:rPr>
          <w:rFonts w:ascii="Arial" w:hAnsi="Arial" w:cs="Arial"/>
        </w:rPr>
        <w:t xml:space="preserve"> during the five months ended May 31, 2011 and as such there are no expenses related to this service option in the reported expenses.</w:t>
      </w:r>
    </w:p>
    <w:p w:rsidR="00721408" w:rsidRDefault="00721408" w:rsidP="00A1597B">
      <w:pPr>
        <w:pStyle w:val="EndnoteText"/>
        <w:tabs>
          <w:tab w:val="left" w:pos="450"/>
        </w:tabs>
        <w:suppressAutoHyphens/>
        <w:ind w:left="475"/>
        <w:rPr>
          <w:rFonts w:ascii="Arial" w:hAnsi="Arial" w:cs="Arial"/>
          <w:lang w:val="en-US"/>
        </w:rPr>
      </w:pPr>
    </w:p>
    <w:p w:rsidR="003B3611" w:rsidRPr="00E22AB0" w:rsidRDefault="00721408" w:rsidP="00A1597B">
      <w:pPr>
        <w:pStyle w:val="EndnoteText"/>
        <w:tabs>
          <w:tab w:val="left" w:pos="450"/>
        </w:tabs>
        <w:suppressAutoHyphens/>
        <w:ind w:left="475"/>
        <w:rPr>
          <w:rFonts w:ascii="Arial" w:hAnsi="Arial" w:cs="Arial"/>
          <w:szCs w:val="24"/>
        </w:rPr>
        <w:sectPr w:rsidR="003B3611" w:rsidRPr="00E22AB0" w:rsidSect="00FE1737">
          <w:headerReference w:type="even" r:id="rId28"/>
          <w:headerReference w:type="default" r:id="rId29"/>
          <w:footerReference w:type="default" r:id="rId30"/>
          <w:headerReference w:type="first" r:id="rId31"/>
          <w:endnotePr>
            <w:numFmt w:val="decimal"/>
          </w:endnotePr>
          <w:pgSz w:w="12240" w:h="15840" w:code="1"/>
          <w:pgMar w:top="1440" w:right="1440" w:bottom="1152" w:left="1440" w:header="0" w:footer="720" w:gutter="0"/>
          <w:pgNumType w:start="2"/>
          <w:cols w:space="720"/>
          <w:noEndnote/>
        </w:sectPr>
      </w:pPr>
      <w:r>
        <w:rPr>
          <w:rFonts w:ascii="Arial" w:hAnsi="Arial" w:cs="Arial"/>
        </w:rPr>
        <w:tab/>
      </w:r>
      <w:r>
        <w:rPr>
          <w:rFonts w:ascii="Arial" w:hAnsi="Arial" w:cs="Arial"/>
        </w:rPr>
        <w:tab/>
        <w:t>The GSC</w:t>
      </w:r>
      <w:r w:rsidR="00E321EA">
        <w:rPr>
          <w:rFonts w:ascii="Arial" w:hAnsi="Arial" w:cs="Arial"/>
          <w:lang w:val="en-US"/>
        </w:rPr>
        <w:t xml:space="preserve"> </w:t>
      </w:r>
      <w:r>
        <w:rPr>
          <w:rFonts w:ascii="Arial" w:hAnsi="Arial" w:cs="Arial"/>
        </w:rPr>
        <w:t>-</w:t>
      </w:r>
      <w:r w:rsidR="00E321EA">
        <w:rPr>
          <w:rFonts w:ascii="Arial" w:hAnsi="Arial" w:cs="Arial"/>
          <w:lang w:val="en-US"/>
        </w:rPr>
        <w:t xml:space="preserve"> </w:t>
      </w:r>
      <w:r>
        <w:rPr>
          <w:rFonts w:ascii="Arial" w:hAnsi="Arial" w:cs="Arial"/>
        </w:rPr>
        <w:t xml:space="preserve">2 expenses are actual expenses incurred to provide generation supply service to Large C&amp;I customers receiving default service, net of energy </w:t>
      </w:r>
      <w:r w:rsidR="00513D2B">
        <w:rPr>
          <w:rFonts w:ascii="Arial" w:hAnsi="Arial" w:cs="Arial"/>
        </w:rPr>
        <w:t>expenses</w:t>
      </w:r>
      <w:r w:rsidR="00513D2B" w:rsidRPr="00A1597B">
        <w:rPr>
          <w:rFonts w:ascii="Arial" w:hAnsi="Arial" w:cs="Arial"/>
          <w:szCs w:val="24"/>
        </w:rPr>
        <w:t>.</w:t>
      </w:r>
      <w:r w:rsidR="00513D2B">
        <w:rPr>
          <w:rFonts w:ascii="Arial" w:hAnsi="Arial" w:cs="Arial"/>
        </w:rPr>
        <w:t xml:space="preserve"> </w:t>
      </w:r>
      <w:r w:rsidR="00D26D5C">
        <w:rPr>
          <w:rFonts w:ascii="Arial" w:hAnsi="Arial" w:cs="Arial"/>
          <w:lang w:val="en-US"/>
        </w:rPr>
        <w:t xml:space="preserve"> </w:t>
      </w:r>
      <w:r w:rsidR="00513D2B">
        <w:rPr>
          <w:rFonts w:ascii="Arial" w:hAnsi="Arial" w:cs="Arial"/>
        </w:rPr>
        <w:t>The</w:t>
      </w:r>
      <w:r>
        <w:rPr>
          <w:rFonts w:ascii="Arial" w:hAnsi="Arial" w:cs="Arial"/>
        </w:rPr>
        <w:t xml:space="preserve"> GSC</w:t>
      </w:r>
      <w:r w:rsidR="00E321EA">
        <w:rPr>
          <w:rFonts w:ascii="Arial" w:hAnsi="Arial" w:cs="Arial"/>
          <w:lang w:val="en-US"/>
        </w:rPr>
        <w:t xml:space="preserve"> </w:t>
      </w:r>
      <w:r>
        <w:rPr>
          <w:rFonts w:ascii="Arial" w:hAnsi="Arial" w:cs="Arial"/>
        </w:rPr>
        <w:t>-</w:t>
      </w:r>
      <w:r w:rsidR="00E321EA">
        <w:rPr>
          <w:rFonts w:ascii="Arial" w:hAnsi="Arial" w:cs="Arial"/>
          <w:lang w:val="en-US"/>
        </w:rPr>
        <w:t xml:space="preserve"> </w:t>
      </w:r>
      <w:r>
        <w:rPr>
          <w:rFonts w:ascii="Arial" w:hAnsi="Arial" w:cs="Arial"/>
        </w:rPr>
        <w:t xml:space="preserve">2 expenses include energy procurement expenses related to </w:t>
      </w:r>
    </w:p>
    <w:p w:rsidR="005225DA" w:rsidRPr="00E22AB0" w:rsidRDefault="00E22AB0" w:rsidP="005225DA">
      <w:pPr>
        <w:pStyle w:val="Heading1"/>
        <w:rPr>
          <w:rFonts w:ascii="Arial" w:hAnsi="Arial" w:cs="Arial"/>
          <w:sz w:val="26"/>
          <w:szCs w:val="26"/>
        </w:rPr>
      </w:pPr>
      <w:r>
        <w:rPr>
          <w:rFonts w:ascii="Arial" w:hAnsi="Arial" w:cs="Arial"/>
          <w:sz w:val="26"/>
          <w:szCs w:val="26"/>
        </w:rPr>
        <w:lastRenderedPageBreak/>
        <w:t>PPL ELECTRIC UTILITIES CORPORATION</w:t>
      </w:r>
    </w:p>
    <w:p w:rsidR="005225DA" w:rsidRPr="00E22AB0" w:rsidRDefault="005225DA" w:rsidP="005225DA">
      <w:pPr>
        <w:pStyle w:val="Heading1"/>
        <w:rPr>
          <w:rFonts w:ascii="Arial" w:hAnsi="Arial" w:cs="Arial"/>
          <w:sz w:val="26"/>
          <w:szCs w:val="26"/>
        </w:rPr>
      </w:pPr>
    </w:p>
    <w:p w:rsidR="005225DA" w:rsidRPr="00E22AB0" w:rsidRDefault="005225DA" w:rsidP="005225DA">
      <w:pPr>
        <w:pStyle w:val="Heading1"/>
        <w:rPr>
          <w:rFonts w:ascii="Arial" w:hAnsi="Arial" w:cs="Arial"/>
          <w:szCs w:val="26"/>
        </w:rPr>
      </w:pPr>
      <w:r w:rsidRPr="00E22AB0">
        <w:rPr>
          <w:rFonts w:ascii="Arial" w:hAnsi="Arial" w:cs="Arial"/>
          <w:szCs w:val="26"/>
        </w:rPr>
        <w:t>Notes To The Financial Statements (continued)</w:t>
      </w:r>
    </w:p>
    <w:p w:rsidR="005225DA" w:rsidRPr="0074546C" w:rsidRDefault="005225DA" w:rsidP="001E1879">
      <w:pPr>
        <w:pStyle w:val="EndnoteText"/>
        <w:tabs>
          <w:tab w:val="left" w:pos="331"/>
        </w:tabs>
        <w:suppressAutoHyphens/>
        <w:rPr>
          <w:rFonts w:ascii="Arial" w:hAnsi="Arial" w:cs="Arial"/>
          <w:b/>
          <w:szCs w:val="24"/>
          <w:highlight w:val="yellow"/>
          <w:u w:val="single"/>
        </w:rPr>
      </w:pPr>
    </w:p>
    <w:p w:rsidR="007573DC" w:rsidRDefault="007573DC" w:rsidP="00A878D5">
      <w:pPr>
        <w:ind w:firstLine="720"/>
        <w:rPr>
          <w:rFonts w:ascii="Arial" w:hAnsi="Arial" w:cs="Arial"/>
          <w:szCs w:val="24"/>
        </w:rPr>
      </w:pPr>
    </w:p>
    <w:p w:rsidR="00DE1059" w:rsidRDefault="00721408" w:rsidP="00A1597B">
      <w:pPr>
        <w:ind w:left="450"/>
        <w:rPr>
          <w:rFonts w:ascii="Arial" w:hAnsi="Arial" w:cs="Arial"/>
        </w:rPr>
      </w:pPr>
      <w:r>
        <w:rPr>
          <w:rFonts w:ascii="Arial" w:hAnsi="Arial" w:cs="Arial"/>
        </w:rPr>
        <w:t xml:space="preserve">PJM </w:t>
      </w:r>
      <w:r w:rsidR="007573DC">
        <w:rPr>
          <w:rFonts w:ascii="Arial" w:hAnsi="Arial" w:cs="Arial"/>
        </w:rPr>
        <w:t>Reliability Pricing Model capacity costs</w:t>
      </w:r>
      <w:r w:rsidR="00603C35">
        <w:rPr>
          <w:rFonts w:ascii="Arial" w:hAnsi="Arial" w:cs="Arial"/>
        </w:rPr>
        <w:t xml:space="preserve">, </w:t>
      </w:r>
      <w:r w:rsidR="007573DC">
        <w:rPr>
          <w:rFonts w:ascii="Arial" w:hAnsi="Arial" w:cs="Arial"/>
        </w:rPr>
        <w:t xml:space="preserve">other </w:t>
      </w:r>
      <w:r w:rsidR="00603C35">
        <w:rPr>
          <w:rFonts w:ascii="Arial" w:hAnsi="Arial" w:cs="Arial"/>
        </w:rPr>
        <w:t>PJM related expenses, net metering expens</w:t>
      </w:r>
      <w:r w:rsidR="008E15F8">
        <w:rPr>
          <w:rFonts w:ascii="Arial" w:hAnsi="Arial" w:cs="Arial"/>
        </w:rPr>
        <w:t>es and administrative expenses incurred during the current reconciliation period</w:t>
      </w:r>
      <w:r w:rsidR="00E543AA">
        <w:rPr>
          <w:rFonts w:ascii="Arial" w:hAnsi="Arial" w:cs="Arial"/>
        </w:rPr>
        <w:t>,</w:t>
      </w:r>
      <w:r w:rsidR="008E15F8">
        <w:rPr>
          <w:rFonts w:ascii="Arial" w:hAnsi="Arial" w:cs="Arial"/>
        </w:rPr>
        <w:t xml:space="preserve"> plus the m</w:t>
      </w:r>
      <w:r w:rsidR="00E543AA">
        <w:rPr>
          <w:rFonts w:ascii="Arial" w:hAnsi="Arial" w:cs="Arial"/>
        </w:rPr>
        <w:t>onthly amortization of the costs associated with</w:t>
      </w:r>
      <w:r w:rsidR="008E15F8">
        <w:rPr>
          <w:rFonts w:ascii="Arial" w:hAnsi="Arial" w:cs="Arial"/>
        </w:rPr>
        <w:t xml:space="preserve"> </w:t>
      </w:r>
      <w:r w:rsidR="007573DC">
        <w:rPr>
          <w:rFonts w:ascii="Arial" w:hAnsi="Arial" w:cs="Arial"/>
        </w:rPr>
        <w:t>administering the</w:t>
      </w:r>
      <w:r w:rsidR="008E15F8">
        <w:rPr>
          <w:rFonts w:ascii="Arial" w:hAnsi="Arial" w:cs="Arial"/>
        </w:rPr>
        <w:t xml:space="preserve"> energy procurement program</w:t>
      </w:r>
      <w:r w:rsidR="00672AE0">
        <w:rPr>
          <w:rFonts w:ascii="Arial" w:hAnsi="Arial" w:cs="Arial"/>
        </w:rPr>
        <w:t xml:space="preserve"> that were </w:t>
      </w:r>
      <w:r w:rsidR="008E15F8">
        <w:rPr>
          <w:rFonts w:ascii="Arial" w:hAnsi="Arial" w:cs="Arial"/>
        </w:rPr>
        <w:t>incurred prior to January 1, 2011.  These prior administrative expenses are being amortized over a 29 month period</w:t>
      </w:r>
      <w:r w:rsidR="007573DC">
        <w:rPr>
          <w:rFonts w:ascii="Arial" w:hAnsi="Arial" w:cs="Arial"/>
        </w:rPr>
        <w:t>,</w:t>
      </w:r>
      <w:r w:rsidR="008E15F8">
        <w:rPr>
          <w:rFonts w:ascii="Arial" w:hAnsi="Arial" w:cs="Arial"/>
        </w:rPr>
        <w:t xml:space="preserve"> January 1, 2011 through May 31, 2013.  In addition</w:t>
      </w:r>
      <w:r w:rsidR="00811797">
        <w:rPr>
          <w:rFonts w:ascii="Arial" w:hAnsi="Arial" w:cs="Arial"/>
        </w:rPr>
        <w:t>,</w:t>
      </w:r>
      <w:r w:rsidR="008E15F8">
        <w:rPr>
          <w:rFonts w:ascii="Arial" w:hAnsi="Arial" w:cs="Arial"/>
        </w:rPr>
        <w:t xml:space="preserve"> the expenses include the applicable under collection related to the 2010 GSC for the Large C&amp;I Customer Class.</w:t>
      </w:r>
    </w:p>
    <w:p w:rsidR="00DE1059" w:rsidRDefault="00DE1059" w:rsidP="00A878D5">
      <w:pPr>
        <w:ind w:firstLine="720"/>
        <w:rPr>
          <w:rFonts w:ascii="Arial" w:hAnsi="Arial" w:cs="Arial"/>
        </w:rPr>
      </w:pPr>
    </w:p>
    <w:p w:rsidR="00CD0C7B" w:rsidRPr="00865297" w:rsidRDefault="00CD0C7B" w:rsidP="00CD0C7B">
      <w:pPr>
        <w:ind w:firstLine="720"/>
        <w:rPr>
          <w:rFonts w:ascii="Arial" w:hAnsi="Arial" w:cs="Arial"/>
        </w:rPr>
      </w:pPr>
      <w:r w:rsidRPr="00865297">
        <w:rPr>
          <w:rFonts w:ascii="Arial" w:hAnsi="Arial" w:cs="Arial"/>
        </w:rPr>
        <w:t xml:space="preserve">.  </w:t>
      </w:r>
    </w:p>
    <w:p w:rsidR="006A7D65" w:rsidRPr="00F72903" w:rsidRDefault="00375D18" w:rsidP="006A7D65">
      <w:pPr>
        <w:tabs>
          <w:tab w:val="left" w:pos="360"/>
        </w:tabs>
        <w:jc w:val="both"/>
        <w:rPr>
          <w:rFonts w:ascii="Arial" w:hAnsi="Arial" w:cs="Arial"/>
          <w:b/>
          <w:szCs w:val="24"/>
          <w:u w:val="single"/>
        </w:rPr>
      </w:pPr>
      <w:r>
        <w:rPr>
          <w:rFonts w:ascii="Arial" w:hAnsi="Arial" w:cs="Arial"/>
          <w:b/>
          <w:szCs w:val="24"/>
          <w:u w:val="single"/>
        </w:rPr>
        <w:t>4</w:t>
      </w:r>
      <w:r w:rsidR="006A7D65" w:rsidRPr="00F72903">
        <w:rPr>
          <w:rFonts w:ascii="Arial" w:hAnsi="Arial" w:cs="Arial"/>
          <w:b/>
          <w:szCs w:val="24"/>
          <w:u w:val="single"/>
        </w:rPr>
        <w:t xml:space="preserve"> – </w:t>
      </w:r>
      <w:r w:rsidR="006A7D65">
        <w:rPr>
          <w:rFonts w:ascii="Arial" w:hAnsi="Arial" w:cs="Arial"/>
          <w:b/>
          <w:szCs w:val="24"/>
          <w:u w:val="single"/>
        </w:rPr>
        <w:t>GSC Expenses</w:t>
      </w:r>
    </w:p>
    <w:p w:rsidR="00CD0C7B" w:rsidRDefault="00CD0C7B" w:rsidP="00A878D5">
      <w:pPr>
        <w:ind w:firstLine="720"/>
        <w:rPr>
          <w:rFonts w:ascii="Arial" w:hAnsi="Arial" w:cs="Arial"/>
        </w:rPr>
      </w:pPr>
    </w:p>
    <w:p w:rsidR="006A7D65" w:rsidRPr="000B76B7" w:rsidRDefault="00811797" w:rsidP="00A1597B">
      <w:pPr>
        <w:pStyle w:val="EndnoteText"/>
        <w:tabs>
          <w:tab w:val="left" w:pos="475"/>
          <w:tab w:val="left" w:pos="720"/>
        </w:tabs>
        <w:suppressAutoHyphens/>
        <w:ind w:left="450"/>
        <w:rPr>
          <w:rFonts w:ascii="Arial" w:hAnsi="Arial" w:cs="Arial"/>
          <w:szCs w:val="24"/>
          <w:lang w:val="en-US"/>
        </w:rPr>
      </w:pPr>
      <w:r>
        <w:rPr>
          <w:rFonts w:ascii="Arial" w:hAnsi="Arial" w:cs="Arial"/>
          <w:szCs w:val="24"/>
          <w:lang w:val="en-US"/>
        </w:rPr>
        <w:tab/>
      </w:r>
      <w:r w:rsidR="006A7D65">
        <w:rPr>
          <w:rFonts w:ascii="Arial" w:hAnsi="Arial" w:cs="Arial"/>
          <w:szCs w:val="24"/>
          <w:lang w:val="en-US"/>
        </w:rPr>
        <w:tab/>
      </w:r>
      <w:r w:rsidR="007D10AA">
        <w:rPr>
          <w:rFonts w:ascii="Arial" w:hAnsi="Arial" w:cs="Arial"/>
          <w:szCs w:val="24"/>
          <w:lang w:val="en-US"/>
        </w:rPr>
        <w:t xml:space="preserve">        </w:t>
      </w:r>
      <w:r w:rsidR="006A7D65" w:rsidRPr="000B76B7">
        <w:rPr>
          <w:rFonts w:ascii="Arial" w:hAnsi="Arial" w:cs="Arial"/>
          <w:szCs w:val="24"/>
          <w:lang w:val="en-US"/>
        </w:rPr>
        <w:t>The GSC expenses are actual expenses incurred to provide generation supply service to Residential</w:t>
      </w:r>
      <w:r w:rsidR="005B43E1" w:rsidRPr="00A1597B">
        <w:rPr>
          <w:rFonts w:ascii="Arial" w:hAnsi="Arial" w:cs="Arial"/>
          <w:szCs w:val="24"/>
          <w:lang w:val="en-US"/>
        </w:rPr>
        <w:t>,</w:t>
      </w:r>
      <w:r w:rsidR="006A7D65" w:rsidRPr="000B76B7">
        <w:rPr>
          <w:rFonts w:ascii="Arial" w:hAnsi="Arial" w:cs="Arial"/>
          <w:szCs w:val="24"/>
          <w:lang w:val="en-US"/>
        </w:rPr>
        <w:t xml:space="preserve"> Small C&amp;I</w:t>
      </w:r>
      <w:r w:rsidR="000B76B7">
        <w:rPr>
          <w:rFonts w:ascii="Arial" w:hAnsi="Arial" w:cs="Arial"/>
          <w:szCs w:val="24"/>
          <w:lang w:val="en-US"/>
        </w:rPr>
        <w:t>,</w:t>
      </w:r>
      <w:r w:rsidR="006A7D65" w:rsidRPr="000B76B7">
        <w:rPr>
          <w:rFonts w:ascii="Arial" w:hAnsi="Arial" w:cs="Arial"/>
          <w:szCs w:val="24"/>
          <w:lang w:val="en-US"/>
        </w:rPr>
        <w:t xml:space="preserve"> </w:t>
      </w:r>
      <w:r w:rsidR="005B43E1" w:rsidRPr="00A1597B">
        <w:rPr>
          <w:rFonts w:ascii="Arial" w:hAnsi="Arial" w:cs="Arial"/>
          <w:szCs w:val="24"/>
          <w:lang w:val="en-US"/>
        </w:rPr>
        <w:t xml:space="preserve">Large C&amp;I </w:t>
      </w:r>
      <w:r w:rsidR="000B76B7">
        <w:rPr>
          <w:rFonts w:ascii="Arial" w:hAnsi="Arial" w:cs="Arial"/>
          <w:szCs w:val="24"/>
          <w:lang w:val="en-US"/>
        </w:rPr>
        <w:t xml:space="preserve">and Real Time Price (RTP) – Large C&amp;I </w:t>
      </w:r>
      <w:r w:rsidR="005B43E1" w:rsidRPr="00A1597B">
        <w:rPr>
          <w:rFonts w:ascii="Arial" w:hAnsi="Arial" w:cs="Arial"/>
          <w:szCs w:val="24"/>
          <w:lang w:val="en-US"/>
        </w:rPr>
        <w:t xml:space="preserve">customers </w:t>
      </w:r>
      <w:r w:rsidR="006A7D65" w:rsidRPr="000B76B7">
        <w:rPr>
          <w:rFonts w:ascii="Arial" w:hAnsi="Arial" w:cs="Arial"/>
          <w:szCs w:val="24"/>
          <w:lang w:val="en-US"/>
        </w:rPr>
        <w:t>receiving default service.  T</w:t>
      </w:r>
      <w:r w:rsidR="006A7D65" w:rsidRPr="000B76B7">
        <w:rPr>
          <w:rFonts w:ascii="Arial" w:hAnsi="Arial" w:cs="Arial"/>
          <w:szCs w:val="24"/>
        </w:rPr>
        <w:t xml:space="preserve">he </w:t>
      </w:r>
      <w:r w:rsidR="006A7D65" w:rsidRPr="000B76B7">
        <w:rPr>
          <w:rFonts w:ascii="Arial" w:hAnsi="Arial" w:cs="Arial"/>
          <w:szCs w:val="24"/>
          <w:lang w:val="en-US"/>
        </w:rPr>
        <w:t xml:space="preserve">GSC </w:t>
      </w:r>
      <w:r w:rsidR="006A7D65" w:rsidRPr="000B76B7">
        <w:rPr>
          <w:rFonts w:ascii="Arial" w:hAnsi="Arial" w:cs="Arial"/>
          <w:szCs w:val="24"/>
        </w:rPr>
        <w:t>expenses include payments</w:t>
      </w:r>
      <w:r w:rsidR="00672AE0">
        <w:rPr>
          <w:rFonts w:ascii="Arial" w:hAnsi="Arial" w:cs="Arial"/>
          <w:szCs w:val="24"/>
          <w:lang w:val="en-US"/>
        </w:rPr>
        <w:t xml:space="preserve"> for energy</w:t>
      </w:r>
      <w:r w:rsidR="006A7D65" w:rsidRPr="000B76B7">
        <w:rPr>
          <w:rFonts w:ascii="Arial" w:hAnsi="Arial" w:cs="Arial"/>
          <w:szCs w:val="24"/>
        </w:rPr>
        <w:t xml:space="preserve"> to power suppliers (RFP Bidders</w:t>
      </w:r>
      <w:r w:rsidR="000B76B7" w:rsidRPr="000B76B7">
        <w:rPr>
          <w:rFonts w:ascii="Arial" w:hAnsi="Arial" w:cs="Arial"/>
          <w:szCs w:val="24"/>
        </w:rPr>
        <w:t>)</w:t>
      </w:r>
      <w:r w:rsidR="000B76B7">
        <w:rPr>
          <w:rFonts w:ascii="Arial" w:hAnsi="Arial" w:cs="Arial"/>
          <w:szCs w:val="24"/>
          <w:lang w:val="en-US"/>
        </w:rPr>
        <w:t xml:space="preserve"> </w:t>
      </w:r>
      <w:r w:rsidR="00672AE0">
        <w:rPr>
          <w:rFonts w:ascii="Arial" w:hAnsi="Arial" w:cs="Arial"/>
          <w:szCs w:val="24"/>
          <w:lang w:val="en-US"/>
        </w:rPr>
        <w:t xml:space="preserve">for </w:t>
      </w:r>
      <w:r w:rsidR="000B76B7">
        <w:rPr>
          <w:rFonts w:ascii="Arial" w:hAnsi="Arial" w:cs="Arial"/>
          <w:szCs w:val="24"/>
          <w:lang w:val="en-US"/>
        </w:rPr>
        <w:t xml:space="preserve">all </w:t>
      </w:r>
      <w:r w:rsidR="00672AE0">
        <w:rPr>
          <w:rFonts w:ascii="Arial" w:hAnsi="Arial" w:cs="Arial"/>
          <w:szCs w:val="24"/>
          <w:lang w:val="en-US"/>
        </w:rPr>
        <w:t xml:space="preserve">default service customers </w:t>
      </w:r>
      <w:r w:rsidR="000B76B7">
        <w:rPr>
          <w:rFonts w:ascii="Arial" w:hAnsi="Arial" w:cs="Arial"/>
          <w:szCs w:val="24"/>
          <w:lang w:val="en-US"/>
        </w:rPr>
        <w:t>but the RTP – Large C&amp;I customers</w:t>
      </w:r>
      <w:r w:rsidR="000B76B7" w:rsidRPr="000B76B7">
        <w:rPr>
          <w:rFonts w:ascii="Arial" w:hAnsi="Arial" w:cs="Arial"/>
          <w:szCs w:val="24"/>
        </w:rPr>
        <w:t>,</w:t>
      </w:r>
      <w:r w:rsidR="006A7D65" w:rsidRPr="000B76B7">
        <w:rPr>
          <w:rFonts w:ascii="Arial" w:hAnsi="Arial" w:cs="Arial"/>
          <w:szCs w:val="24"/>
          <w:lang w:val="en-US"/>
        </w:rPr>
        <w:t xml:space="preserve"> </w:t>
      </w:r>
      <w:r w:rsidR="000B76B7">
        <w:rPr>
          <w:rFonts w:ascii="Arial" w:hAnsi="Arial" w:cs="Arial"/>
          <w:szCs w:val="24"/>
          <w:lang w:val="en-US"/>
        </w:rPr>
        <w:t xml:space="preserve">in addition to </w:t>
      </w:r>
      <w:r w:rsidR="006A7D65" w:rsidRPr="000B76B7">
        <w:rPr>
          <w:rFonts w:ascii="Arial" w:hAnsi="Arial" w:cs="Arial"/>
        </w:rPr>
        <w:t xml:space="preserve">energy procurement expenses related to PJM Reliability Pricing Model capacity costs, other PJM related expenses, net metering expenses and administrative expenses incurred during the current reconciliation period.  </w:t>
      </w:r>
      <w:r w:rsidR="000B76B7">
        <w:rPr>
          <w:rFonts w:ascii="Arial" w:hAnsi="Arial" w:cs="Arial"/>
          <w:lang w:val="en-US"/>
        </w:rPr>
        <w:t>The RTP – Large C&amp;I customers are direct billed actual energy expenses.</w:t>
      </w:r>
    </w:p>
    <w:p w:rsidR="006A7D65" w:rsidRDefault="006A7D65" w:rsidP="00A878D5">
      <w:pPr>
        <w:ind w:firstLine="720"/>
        <w:rPr>
          <w:rFonts w:ascii="Arial" w:hAnsi="Arial" w:cs="Arial"/>
        </w:rPr>
      </w:pPr>
    </w:p>
    <w:p w:rsidR="006A7D65" w:rsidRDefault="006A7D65" w:rsidP="00A878D5">
      <w:pPr>
        <w:ind w:firstLine="720"/>
        <w:rPr>
          <w:rFonts w:ascii="Arial" w:hAnsi="Arial" w:cs="Arial"/>
        </w:rPr>
      </w:pPr>
    </w:p>
    <w:p w:rsidR="00375D18" w:rsidRPr="00450495" w:rsidRDefault="00375D18" w:rsidP="00375D18">
      <w:pPr>
        <w:tabs>
          <w:tab w:val="left" w:pos="360"/>
        </w:tabs>
        <w:jc w:val="both"/>
        <w:rPr>
          <w:rFonts w:ascii="Arial" w:hAnsi="Arial" w:cs="Arial"/>
          <w:b/>
          <w:szCs w:val="24"/>
          <w:u w:val="single"/>
        </w:rPr>
      </w:pPr>
      <w:r>
        <w:rPr>
          <w:rFonts w:ascii="Arial" w:hAnsi="Arial" w:cs="Arial"/>
          <w:b/>
          <w:szCs w:val="24"/>
          <w:u w:val="single"/>
        </w:rPr>
        <w:t>5</w:t>
      </w:r>
      <w:r w:rsidR="006854D1">
        <w:rPr>
          <w:rFonts w:ascii="Arial" w:hAnsi="Arial" w:cs="Arial"/>
          <w:b/>
          <w:szCs w:val="24"/>
          <w:u w:val="single"/>
        </w:rPr>
        <w:t xml:space="preserve"> </w:t>
      </w:r>
      <w:r w:rsidR="006854D1" w:rsidRPr="00F72903">
        <w:rPr>
          <w:rFonts w:ascii="Arial" w:hAnsi="Arial" w:cs="Arial"/>
          <w:b/>
          <w:szCs w:val="24"/>
          <w:u w:val="single"/>
        </w:rPr>
        <w:t>–</w:t>
      </w:r>
      <w:r w:rsidR="006854D1">
        <w:rPr>
          <w:rFonts w:ascii="Arial" w:hAnsi="Arial" w:cs="Arial"/>
          <w:b/>
          <w:szCs w:val="24"/>
          <w:u w:val="single"/>
        </w:rPr>
        <w:t xml:space="preserve"> </w:t>
      </w:r>
      <w:r w:rsidRPr="00450495">
        <w:rPr>
          <w:rFonts w:ascii="Arial" w:hAnsi="Arial" w:cs="Arial"/>
          <w:b/>
          <w:szCs w:val="24"/>
          <w:u w:val="single"/>
        </w:rPr>
        <w:t>Over/(Under) Collections</w:t>
      </w:r>
    </w:p>
    <w:p w:rsidR="00375D18" w:rsidRPr="0074546C" w:rsidRDefault="00375D18" w:rsidP="00375D18">
      <w:pPr>
        <w:tabs>
          <w:tab w:val="left" w:pos="360"/>
        </w:tabs>
        <w:jc w:val="both"/>
        <w:rPr>
          <w:rFonts w:ascii="Arial" w:hAnsi="Arial" w:cs="Arial"/>
          <w:b/>
          <w:szCs w:val="24"/>
          <w:highlight w:val="yellow"/>
          <w:u w:val="single"/>
        </w:rPr>
      </w:pPr>
    </w:p>
    <w:p w:rsidR="00375D18" w:rsidRPr="00C4708F" w:rsidRDefault="00375D18" w:rsidP="00375D18">
      <w:pPr>
        <w:tabs>
          <w:tab w:val="left" w:pos="450"/>
        </w:tabs>
        <w:ind w:left="360"/>
        <w:rPr>
          <w:rFonts w:ascii="Arial" w:hAnsi="Arial" w:cs="Arial"/>
          <w:szCs w:val="24"/>
        </w:rPr>
      </w:pPr>
      <w:r>
        <w:rPr>
          <w:rFonts w:ascii="Arial" w:hAnsi="Arial" w:cs="Arial"/>
          <w:szCs w:val="24"/>
        </w:rPr>
        <w:tab/>
      </w:r>
      <w:r>
        <w:rPr>
          <w:rFonts w:ascii="Arial" w:hAnsi="Arial" w:cs="Arial"/>
          <w:szCs w:val="24"/>
        </w:rPr>
        <w:tab/>
        <w:t xml:space="preserve">       </w:t>
      </w:r>
      <w:r w:rsidRPr="00C4708F">
        <w:rPr>
          <w:rFonts w:ascii="Arial" w:hAnsi="Arial" w:cs="Arial"/>
          <w:szCs w:val="24"/>
        </w:rPr>
        <w:t>Over/(Under) Collections are the differences between the GSC Revenues and GSC Expen</w:t>
      </w:r>
      <w:r>
        <w:rPr>
          <w:rFonts w:ascii="Arial" w:hAnsi="Arial" w:cs="Arial"/>
          <w:szCs w:val="24"/>
        </w:rPr>
        <w:t>ses</w:t>
      </w:r>
      <w:r w:rsidRPr="00C4708F">
        <w:rPr>
          <w:rFonts w:ascii="Arial" w:hAnsi="Arial" w:cs="Arial"/>
          <w:szCs w:val="24"/>
        </w:rPr>
        <w:t xml:space="preserve">.  They represent GSC costs refundable to or recoverable from, customers, with interest.  These amounts are included in the determination of GSC rate changes </w:t>
      </w:r>
      <w:r>
        <w:rPr>
          <w:rFonts w:ascii="Arial" w:hAnsi="Arial" w:cs="Arial"/>
          <w:szCs w:val="24"/>
        </w:rPr>
        <w:t xml:space="preserve">as the E-Factor component </w:t>
      </w:r>
      <w:r w:rsidRPr="00C4708F">
        <w:rPr>
          <w:rFonts w:ascii="Arial" w:hAnsi="Arial" w:cs="Arial"/>
          <w:szCs w:val="24"/>
        </w:rPr>
        <w:t xml:space="preserve">in accordance with the provisions of </w:t>
      </w:r>
      <w:r>
        <w:rPr>
          <w:rFonts w:ascii="Arial" w:hAnsi="Arial" w:cs="Arial"/>
          <w:szCs w:val="24"/>
        </w:rPr>
        <w:t xml:space="preserve">the </w:t>
      </w:r>
      <w:r w:rsidRPr="00C4708F">
        <w:rPr>
          <w:rFonts w:ascii="Arial" w:hAnsi="Arial" w:cs="Arial"/>
          <w:szCs w:val="24"/>
        </w:rPr>
        <w:t>GSC, GSC</w:t>
      </w:r>
      <w:r w:rsidR="00E321EA">
        <w:rPr>
          <w:rFonts w:ascii="Arial" w:hAnsi="Arial" w:cs="Arial"/>
          <w:szCs w:val="24"/>
        </w:rPr>
        <w:t xml:space="preserve"> </w:t>
      </w:r>
      <w:r w:rsidRPr="00C4708F">
        <w:rPr>
          <w:rFonts w:ascii="Arial" w:hAnsi="Arial" w:cs="Arial"/>
          <w:szCs w:val="24"/>
        </w:rPr>
        <w:t>-</w:t>
      </w:r>
      <w:r w:rsidR="00E321EA">
        <w:rPr>
          <w:rFonts w:ascii="Arial" w:hAnsi="Arial" w:cs="Arial"/>
          <w:szCs w:val="24"/>
        </w:rPr>
        <w:t xml:space="preserve"> </w:t>
      </w:r>
      <w:r w:rsidRPr="00C4708F">
        <w:rPr>
          <w:rFonts w:ascii="Arial" w:hAnsi="Arial" w:cs="Arial"/>
          <w:szCs w:val="24"/>
        </w:rPr>
        <w:t>1 and GSC</w:t>
      </w:r>
      <w:r w:rsidR="00E321EA">
        <w:rPr>
          <w:rFonts w:ascii="Arial" w:hAnsi="Arial" w:cs="Arial"/>
          <w:szCs w:val="24"/>
        </w:rPr>
        <w:t xml:space="preserve"> </w:t>
      </w:r>
      <w:r w:rsidRPr="00C4708F">
        <w:rPr>
          <w:rFonts w:ascii="Arial" w:hAnsi="Arial" w:cs="Arial"/>
          <w:szCs w:val="24"/>
        </w:rPr>
        <w:t>-</w:t>
      </w:r>
      <w:r w:rsidR="00E321EA">
        <w:rPr>
          <w:rFonts w:ascii="Arial" w:hAnsi="Arial" w:cs="Arial"/>
          <w:szCs w:val="24"/>
        </w:rPr>
        <w:t xml:space="preserve"> </w:t>
      </w:r>
      <w:r w:rsidRPr="00C4708F">
        <w:rPr>
          <w:rFonts w:ascii="Arial" w:hAnsi="Arial" w:cs="Arial"/>
          <w:szCs w:val="24"/>
        </w:rPr>
        <w:t xml:space="preserve">2 </w:t>
      </w:r>
      <w:r>
        <w:rPr>
          <w:rFonts w:ascii="Arial" w:hAnsi="Arial" w:cs="Arial"/>
          <w:szCs w:val="24"/>
        </w:rPr>
        <w:t>Tariff</w:t>
      </w:r>
      <w:r w:rsidRPr="00C4708F">
        <w:rPr>
          <w:rFonts w:ascii="Arial" w:hAnsi="Arial" w:cs="Arial"/>
          <w:szCs w:val="24"/>
        </w:rPr>
        <w:t xml:space="preserve"> Rider</w:t>
      </w:r>
      <w:r>
        <w:rPr>
          <w:rFonts w:ascii="Arial" w:hAnsi="Arial" w:cs="Arial"/>
          <w:szCs w:val="24"/>
        </w:rPr>
        <w:t>s</w:t>
      </w:r>
      <w:r w:rsidRPr="00C4708F">
        <w:rPr>
          <w:rFonts w:ascii="Arial" w:hAnsi="Arial" w:cs="Arial"/>
          <w:szCs w:val="24"/>
        </w:rPr>
        <w:t>.  Differences between GSC Revenues and GSC Expen</w:t>
      </w:r>
      <w:r>
        <w:rPr>
          <w:rFonts w:ascii="Arial" w:hAnsi="Arial" w:cs="Arial"/>
          <w:szCs w:val="24"/>
        </w:rPr>
        <w:t>s</w:t>
      </w:r>
      <w:r w:rsidRPr="00C4708F">
        <w:rPr>
          <w:rFonts w:ascii="Arial" w:hAnsi="Arial" w:cs="Arial"/>
          <w:szCs w:val="24"/>
        </w:rPr>
        <w:t>es occur primarily as a result of:</w:t>
      </w:r>
    </w:p>
    <w:p w:rsidR="00375D18" w:rsidRPr="00C4708F" w:rsidRDefault="00375D18" w:rsidP="00375D18">
      <w:pPr>
        <w:tabs>
          <w:tab w:val="left" w:pos="450"/>
        </w:tabs>
        <w:rPr>
          <w:rFonts w:ascii="Arial" w:hAnsi="Arial" w:cs="Arial"/>
          <w:b/>
          <w:szCs w:val="24"/>
          <w:u w:val="single"/>
        </w:rPr>
      </w:pPr>
    </w:p>
    <w:p w:rsidR="00722322" w:rsidRPr="00722322" w:rsidRDefault="00375D18" w:rsidP="00722322">
      <w:pPr>
        <w:pStyle w:val="EndnoteText"/>
        <w:numPr>
          <w:ilvl w:val="0"/>
          <w:numId w:val="11"/>
        </w:numPr>
        <w:tabs>
          <w:tab w:val="left" w:pos="-1440"/>
          <w:tab w:val="left" w:pos="-720"/>
          <w:tab w:val="left" w:pos="450"/>
          <w:tab w:val="left" w:pos="720"/>
          <w:tab w:val="left" w:pos="990"/>
          <w:tab w:val="left" w:pos="1440"/>
        </w:tabs>
        <w:suppressAutoHyphens/>
        <w:overflowPunct/>
        <w:autoSpaceDE/>
        <w:autoSpaceDN/>
        <w:adjustRightInd/>
        <w:textAlignment w:val="auto"/>
        <w:rPr>
          <w:rFonts w:ascii="Arial" w:hAnsi="Arial" w:cs="Arial"/>
          <w:szCs w:val="24"/>
        </w:rPr>
      </w:pPr>
      <w:r w:rsidRPr="00C4708F">
        <w:rPr>
          <w:rFonts w:ascii="Arial" w:hAnsi="Arial" w:cs="Arial"/>
          <w:szCs w:val="24"/>
        </w:rPr>
        <w:t>variations in the actual month-to-month volu</w:t>
      </w:r>
      <w:r w:rsidR="00722322">
        <w:rPr>
          <w:rFonts w:ascii="Arial" w:hAnsi="Arial" w:cs="Arial"/>
          <w:szCs w:val="24"/>
        </w:rPr>
        <w:t>mes billed to customers from</w:t>
      </w:r>
    </w:p>
    <w:p w:rsidR="00375D18" w:rsidRDefault="00722322" w:rsidP="00722322">
      <w:pPr>
        <w:pStyle w:val="EndnoteText"/>
        <w:tabs>
          <w:tab w:val="left" w:pos="-1440"/>
          <w:tab w:val="left" w:pos="-720"/>
          <w:tab w:val="left" w:pos="450"/>
          <w:tab w:val="left" w:pos="720"/>
          <w:tab w:val="left" w:pos="990"/>
          <w:tab w:val="left" w:pos="1440"/>
        </w:tabs>
        <w:suppressAutoHyphens/>
        <w:overflowPunct/>
        <w:autoSpaceDE/>
        <w:autoSpaceDN/>
        <w:adjustRightInd/>
        <w:ind w:left="990"/>
        <w:textAlignment w:val="auto"/>
        <w:rPr>
          <w:rFonts w:ascii="Arial" w:hAnsi="Arial" w:cs="Arial"/>
          <w:szCs w:val="24"/>
          <w:lang w:val="en-US"/>
        </w:rPr>
      </w:pPr>
      <w:r>
        <w:rPr>
          <w:rFonts w:ascii="Arial" w:hAnsi="Arial" w:cs="Arial"/>
          <w:szCs w:val="24"/>
        </w:rPr>
        <w:t>the</w:t>
      </w:r>
      <w:r>
        <w:rPr>
          <w:rFonts w:ascii="Arial" w:hAnsi="Arial" w:cs="Arial"/>
          <w:szCs w:val="24"/>
          <w:lang w:val="en-US"/>
        </w:rPr>
        <w:t xml:space="preserve"> </w:t>
      </w:r>
      <w:r w:rsidR="00375D18" w:rsidRPr="00C4708F">
        <w:rPr>
          <w:rFonts w:ascii="Arial" w:hAnsi="Arial" w:cs="Arial"/>
          <w:szCs w:val="24"/>
        </w:rPr>
        <w:t>estimated volumes used to determine the GSC rates;</w:t>
      </w:r>
    </w:p>
    <w:p w:rsidR="00722322" w:rsidRDefault="00722322" w:rsidP="00722322">
      <w:pPr>
        <w:pStyle w:val="EndnoteText"/>
        <w:tabs>
          <w:tab w:val="left" w:pos="-1440"/>
          <w:tab w:val="left" w:pos="-720"/>
          <w:tab w:val="left" w:pos="450"/>
          <w:tab w:val="left" w:pos="720"/>
          <w:tab w:val="left" w:pos="990"/>
          <w:tab w:val="left" w:pos="1440"/>
        </w:tabs>
        <w:suppressAutoHyphens/>
        <w:overflowPunct/>
        <w:autoSpaceDE/>
        <w:autoSpaceDN/>
        <w:adjustRightInd/>
        <w:ind w:left="1050"/>
        <w:textAlignment w:val="auto"/>
        <w:rPr>
          <w:rFonts w:ascii="Arial" w:hAnsi="Arial" w:cs="Arial"/>
          <w:szCs w:val="24"/>
          <w:lang w:val="en-US"/>
        </w:rPr>
      </w:pPr>
    </w:p>
    <w:p w:rsidR="00722322" w:rsidRDefault="00722322" w:rsidP="00722322">
      <w:pPr>
        <w:pStyle w:val="EndnoteText"/>
        <w:numPr>
          <w:ilvl w:val="0"/>
          <w:numId w:val="11"/>
        </w:numPr>
        <w:tabs>
          <w:tab w:val="left" w:pos="-1440"/>
          <w:tab w:val="left" w:pos="-720"/>
          <w:tab w:val="left" w:pos="450"/>
          <w:tab w:val="left" w:pos="720"/>
          <w:tab w:val="left" w:pos="990"/>
          <w:tab w:val="left" w:pos="1440"/>
        </w:tabs>
        <w:suppressAutoHyphens/>
        <w:overflowPunct/>
        <w:autoSpaceDE/>
        <w:autoSpaceDN/>
        <w:adjustRightInd/>
        <w:textAlignment w:val="auto"/>
        <w:rPr>
          <w:rFonts w:ascii="Arial" w:hAnsi="Arial" w:cs="Arial"/>
          <w:szCs w:val="24"/>
          <w:lang w:val="en-US"/>
        </w:rPr>
      </w:pPr>
      <w:r>
        <w:rPr>
          <w:rFonts w:ascii="Arial" w:hAnsi="Arial" w:cs="Arial"/>
          <w:szCs w:val="24"/>
          <w:lang w:val="en-US"/>
        </w:rPr>
        <w:t>variations in the actual GSC costs incurred from the projected costs used</w:t>
      </w:r>
    </w:p>
    <w:p w:rsidR="00722322" w:rsidRDefault="00722322" w:rsidP="00722322">
      <w:pPr>
        <w:pStyle w:val="EndnoteText"/>
        <w:tabs>
          <w:tab w:val="left" w:pos="-1440"/>
          <w:tab w:val="left" w:pos="-720"/>
          <w:tab w:val="left" w:pos="450"/>
          <w:tab w:val="left" w:pos="720"/>
          <w:tab w:val="center" w:pos="990"/>
          <w:tab w:val="left" w:pos="1440"/>
        </w:tabs>
        <w:suppressAutoHyphens/>
        <w:overflowPunct/>
        <w:autoSpaceDE/>
        <w:autoSpaceDN/>
        <w:adjustRightInd/>
        <w:ind w:left="990"/>
        <w:textAlignment w:val="auto"/>
        <w:rPr>
          <w:rFonts w:ascii="Arial" w:hAnsi="Arial" w:cs="Arial"/>
          <w:szCs w:val="24"/>
          <w:lang w:val="en-US"/>
        </w:rPr>
      </w:pPr>
      <w:r>
        <w:rPr>
          <w:rFonts w:ascii="Arial" w:hAnsi="Arial" w:cs="Arial"/>
          <w:szCs w:val="24"/>
          <w:lang w:val="en-US"/>
        </w:rPr>
        <w:t>to determine the GSC rates; and</w:t>
      </w:r>
    </w:p>
    <w:p w:rsidR="00722322" w:rsidRDefault="00722322" w:rsidP="00722322">
      <w:pPr>
        <w:pStyle w:val="EndnoteText"/>
        <w:tabs>
          <w:tab w:val="left" w:pos="-1440"/>
          <w:tab w:val="left" w:pos="-720"/>
          <w:tab w:val="left" w:pos="450"/>
          <w:tab w:val="left" w:pos="720"/>
          <w:tab w:val="left" w:pos="990"/>
          <w:tab w:val="left" w:pos="1440"/>
        </w:tabs>
        <w:suppressAutoHyphens/>
        <w:overflowPunct/>
        <w:autoSpaceDE/>
        <w:autoSpaceDN/>
        <w:adjustRightInd/>
        <w:ind w:left="1050"/>
        <w:textAlignment w:val="auto"/>
        <w:rPr>
          <w:rFonts w:ascii="Arial" w:hAnsi="Arial" w:cs="Arial"/>
          <w:szCs w:val="24"/>
          <w:lang w:val="en-US"/>
        </w:rPr>
      </w:pPr>
    </w:p>
    <w:p w:rsidR="00722322" w:rsidRPr="00722322" w:rsidRDefault="00722322" w:rsidP="00722322">
      <w:pPr>
        <w:pStyle w:val="EndnoteText"/>
        <w:numPr>
          <w:ilvl w:val="0"/>
          <w:numId w:val="11"/>
        </w:numPr>
        <w:tabs>
          <w:tab w:val="left" w:pos="-1440"/>
          <w:tab w:val="left" w:pos="-720"/>
          <w:tab w:val="left" w:pos="450"/>
          <w:tab w:val="left" w:pos="720"/>
          <w:tab w:val="left" w:pos="990"/>
          <w:tab w:val="left" w:pos="1440"/>
        </w:tabs>
        <w:suppressAutoHyphens/>
        <w:overflowPunct/>
        <w:autoSpaceDE/>
        <w:autoSpaceDN/>
        <w:adjustRightInd/>
        <w:ind w:left="990" w:hanging="300"/>
        <w:textAlignment w:val="auto"/>
        <w:rPr>
          <w:rFonts w:ascii="Arial" w:hAnsi="Arial" w:cs="Arial"/>
          <w:szCs w:val="24"/>
          <w:lang w:val="en-US"/>
        </w:rPr>
      </w:pPr>
      <w:r>
        <w:rPr>
          <w:rFonts w:ascii="Arial" w:hAnsi="Arial" w:cs="Arial"/>
          <w:szCs w:val="24"/>
          <w:lang w:val="en-US"/>
        </w:rPr>
        <w:t>proration of actual revenues billed in the first month of a new automatic adjustment clause.</w:t>
      </w:r>
    </w:p>
    <w:p w:rsidR="00375D18" w:rsidRPr="00C4708F" w:rsidRDefault="00375D18" w:rsidP="00375D18">
      <w:pPr>
        <w:pStyle w:val="EndnoteText"/>
        <w:tabs>
          <w:tab w:val="left" w:pos="-1440"/>
          <w:tab w:val="left" w:pos="-720"/>
          <w:tab w:val="left" w:pos="450"/>
          <w:tab w:val="left" w:pos="720"/>
          <w:tab w:val="left" w:pos="990"/>
          <w:tab w:val="left" w:pos="1440"/>
        </w:tabs>
        <w:suppressAutoHyphens/>
        <w:overflowPunct/>
        <w:autoSpaceDE/>
        <w:autoSpaceDN/>
        <w:adjustRightInd/>
        <w:textAlignment w:val="auto"/>
        <w:rPr>
          <w:rFonts w:ascii="Arial" w:hAnsi="Arial" w:cs="Arial"/>
          <w:szCs w:val="24"/>
        </w:rPr>
      </w:pPr>
    </w:p>
    <w:p w:rsidR="00E27A52" w:rsidRPr="00E22AB0" w:rsidRDefault="00E27A52" w:rsidP="00A1597B">
      <w:pPr>
        <w:pStyle w:val="EndnoteText"/>
        <w:tabs>
          <w:tab w:val="left" w:pos="475"/>
        </w:tabs>
        <w:suppressAutoHyphens/>
        <w:rPr>
          <w:rFonts w:ascii="Arial" w:hAnsi="Arial" w:cs="Arial"/>
          <w:b/>
          <w:szCs w:val="24"/>
          <w:u w:val="single"/>
        </w:rPr>
      </w:pPr>
    </w:p>
    <w:p w:rsidR="003B3611" w:rsidRDefault="003B3611" w:rsidP="001E1879">
      <w:pPr>
        <w:tabs>
          <w:tab w:val="left" w:pos="360"/>
        </w:tabs>
        <w:rPr>
          <w:rFonts w:ascii="Arial" w:hAnsi="Arial" w:cs="Arial"/>
          <w:b/>
          <w:szCs w:val="24"/>
          <w:u w:val="single"/>
        </w:rPr>
        <w:sectPr w:rsidR="003B3611" w:rsidSect="00FE1737">
          <w:headerReference w:type="even" r:id="rId32"/>
          <w:headerReference w:type="default" r:id="rId33"/>
          <w:footerReference w:type="default" r:id="rId34"/>
          <w:headerReference w:type="first" r:id="rId35"/>
          <w:endnotePr>
            <w:numFmt w:val="decimal"/>
          </w:endnotePr>
          <w:pgSz w:w="12240" w:h="15840" w:code="1"/>
          <w:pgMar w:top="1440" w:right="1440" w:bottom="1152" w:left="1440" w:header="0" w:footer="720" w:gutter="0"/>
          <w:pgNumType w:start="2"/>
          <w:cols w:space="720"/>
          <w:noEndnote/>
        </w:sectPr>
      </w:pPr>
    </w:p>
    <w:p w:rsidR="00886692" w:rsidRPr="006C2E78" w:rsidRDefault="00886692" w:rsidP="00905409">
      <w:pPr>
        <w:pStyle w:val="Heading4"/>
        <w:tabs>
          <w:tab w:val="clear" w:pos="4680"/>
        </w:tabs>
        <w:rPr>
          <w:rFonts w:ascii="Arial" w:hAnsi="Arial" w:cs="Arial"/>
          <w:b w:val="0"/>
          <w:szCs w:val="24"/>
        </w:rPr>
      </w:pPr>
    </w:p>
    <w:p w:rsidR="00886692" w:rsidRPr="006C2E78" w:rsidRDefault="00886692" w:rsidP="00905409">
      <w:pPr>
        <w:pStyle w:val="Heading4"/>
        <w:tabs>
          <w:tab w:val="clear" w:pos="4680"/>
        </w:tabs>
        <w:rPr>
          <w:rFonts w:ascii="Arial" w:hAnsi="Arial" w:cs="Arial"/>
          <w:b w:val="0"/>
          <w:szCs w:val="24"/>
        </w:rPr>
      </w:pPr>
    </w:p>
    <w:p w:rsidR="00886692" w:rsidRPr="006C2E78" w:rsidRDefault="00886692" w:rsidP="00905409">
      <w:pPr>
        <w:pStyle w:val="Heading4"/>
        <w:tabs>
          <w:tab w:val="clear" w:pos="4680"/>
        </w:tabs>
        <w:rPr>
          <w:rFonts w:ascii="Arial" w:hAnsi="Arial" w:cs="Arial"/>
          <w:b w:val="0"/>
          <w:szCs w:val="24"/>
        </w:rPr>
      </w:pPr>
    </w:p>
    <w:p w:rsidR="00886692" w:rsidRPr="006C2E78" w:rsidRDefault="00886692" w:rsidP="00905409">
      <w:pPr>
        <w:pStyle w:val="Heading4"/>
        <w:tabs>
          <w:tab w:val="clear" w:pos="4680"/>
        </w:tabs>
        <w:rPr>
          <w:rFonts w:ascii="Arial" w:hAnsi="Arial" w:cs="Arial"/>
          <w:b w:val="0"/>
          <w:szCs w:val="24"/>
        </w:rPr>
      </w:pPr>
    </w:p>
    <w:p w:rsidR="00886692" w:rsidRPr="006C2E78" w:rsidRDefault="00886692" w:rsidP="00905409">
      <w:pPr>
        <w:pStyle w:val="Heading4"/>
        <w:tabs>
          <w:tab w:val="clear" w:pos="4680"/>
        </w:tabs>
        <w:rPr>
          <w:rFonts w:ascii="Arial" w:hAnsi="Arial" w:cs="Arial"/>
          <w:b w:val="0"/>
          <w:szCs w:val="24"/>
        </w:rPr>
      </w:pPr>
    </w:p>
    <w:p w:rsidR="00886692" w:rsidRPr="006C2E78" w:rsidRDefault="00886692" w:rsidP="00905409">
      <w:pPr>
        <w:pStyle w:val="Heading4"/>
        <w:tabs>
          <w:tab w:val="clear" w:pos="4680"/>
        </w:tabs>
        <w:rPr>
          <w:rFonts w:ascii="Arial" w:hAnsi="Arial" w:cs="Arial"/>
          <w:b w:val="0"/>
          <w:szCs w:val="24"/>
        </w:rPr>
      </w:pPr>
    </w:p>
    <w:p w:rsidR="00886692" w:rsidRPr="006C2E78" w:rsidRDefault="00886692" w:rsidP="00905409">
      <w:pPr>
        <w:pStyle w:val="Heading4"/>
        <w:tabs>
          <w:tab w:val="clear" w:pos="4680"/>
        </w:tabs>
        <w:rPr>
          <w:rFonts w:ascii="Arial" w:hAnsi="Arial" w:cs="Arial"/>
          <w:b w:val="0"/>
          <w:szCs w:val="24"/>
        </w:rPr>
      </w:pPr>
    </w:p>
    <w:p w:rsidR="00886692" w:rsidRPr="006C2E78" w:rsidRDefault="00886692" w:rsidP="00905409">
      <w:pPr>
        <w:pStyle w:val="Heading4"/>
        <w:tabs>
          <w:tab w:val="clear" w:pos="4680"/>
        </w:tabs>
        <w:rPr>
          <w:rFonts w:ascii="Arial" w:hAnsi="Arial" w:cs="Arial"/>
          <w:b w:val="0"/>
          <w:szCs w:val="24"/>
        </w:rPr>
      </w:pPr>
    </w:p>
    <w:p w:rsidR="00886692" w:rsidRPr="006C2E78" w:rsidRDefault="00886692" w:rsidP="00905409">
      <w:pPr>
        <w:pStyle w:val="Heading4"/>
        <w:tabs>
          <w:tab w:val="clear" w:pos="4680"/>
        </w:tabs>
        <w:rPr>
          <w:rFonts w:ascii="Arial" w:hAnsi="Arial" w:cs="Arial"/>
          <w:b w:val="0"/>
          <w:szCs w:val="24"/>
        </w:rPr>
      </w:pPr>
    </w:p>
    <w:p w:rsidR="00886692" w:rsidRPr="006C2E78" w:rsidRDefault="00886692" w:rsidP="00905409">
      <w:pPr>
        <w:pStyle w:val="Heading4"/>
        <w:tabs>
          <w:tab w:val="clear" w:pos="4680"/>
        </w:tabs>
        <w:rPr>
          <w:rFonts w:ascii="Arial" w:hAnsi="Arial" w:cs="Arial"/>
          <w:b w:val="0"/>
          <w:szCs w:val="24"/>
        </w:rPr>
      </w:pPr>
    </w:p>
    <w:p w:rsidR="00886692" w:rsidRPr="006C2E78" w:rsidRDefault="00886692" w:rsidP="00905409">
      <w:pPr>
        <w:pStyle w:val="Heading4"/>
        <w:tabs>
          <w:tab w:val="clear" w:pos="4680"/>
        </w:tabs>
        <w:rPr>
          <w:rFonts w:ascii="Arial" w:hAnsi="Arial" w:cs="Arial"/>
          <w:b w:val="0"/>
          <w:szCs w:val="24"/>
        </w:rPr>
      </w:pPr>
    </w:p>
    <w:p w:rsidR="00886692" w:rsidRPr="006C2E78" w:rsidRDefault="00886692" w:rsidP="00905409">
      <w:pPr>
        <w:pStyle w:val="Heading4"/>
        <w:tabs>
          <w:tab w:val="clear" w:pos="4680"/>
        </w:tabs>
        <w:rPr>
          <w:rFonts w:ascii="Arial" w:hAnsi="Arial" w:cs="Arial"/>
          <w:b w:val="0"/>
          <w:szCs w:val="24"/>
        </w:rPr>
      </w:pPr>
    </w:p>
    <w:p w:rsidR="00886692" w:rsidRPr="006C2E78" w:rsidRDefault="00886692" w:rsidP="00905409">
      <w:pPr>
        <w:pStyle w:val="Heading4"/>
        <w:tabs>
          <w:tab w:val="clear" w:pos="4680"/>
        </w:tabs>
        <w:rPr>
          <w:rFonts w:ascii="Arial" w:hAnsi="Arial" w:cs="Arial"/>
          <w:sz w:val="36"/>
          <w:szCs w:val="36"/>
          <w:u w:val="none"/>
        </w:rPr>
      </w:pPr>
      <w:r w:rsidRPr="006C2E78">
        <w:rPr>
          <w:rFonts w:ascii="Arial" w:hAnsi="Arial" w:cs="Arial"/>
          <w:sz w:val="36"/>
          <w:szCs w:val="36"/>
          <w:u w:val="none"/>
        </w:rPr>
        <w:t>BACKGROUND</w:t>
      </w:r>
    </w:p>
    <w:p w:rsidR="00886692" w:rsidRPr="006C2E78" w:rsidRDefault="00886692" w:rsidP="00905409">
      <w:pPr>
        <w:pStyle w:val="EndnoteText"/>
        <w:tabs>
          <w:tab w:val="left" w:pos="331"/>
          <w:tab w:val="left" w:pos="4680"/>
        </w:tabs>
        <w:suppressAutoHyphens/>
        <w:jc w:val="center"/>
        <w:rPr>
          <w:rFonts w:ascii="Arial" w:hAnsi="Arial" w:cs="Arial"/>
          <w:b/>
          <w:szCs w:val="24"/>
          <w:u w:val="single"/>
        </w:rPr>
      </w:pPr>
    </w:p>
    <w:p w:rsidR="00886692" w:rsidRPr="006C2E78" w:rsidRDefault="00886692" w:rsidP="00905409">
      <w:pPr>
        <w:pStyle w:val="EndnoteText"/>
        <w:tabs>
          <w:tab w:val="left" w:pos="331"/>
          <w:tab w:val="left" w:pos="4680"/>
        </w:tabs>
        <w:suppressAutoHyphens/>
        <w:jc w:val="center"/>
        <w:rPr>
          <w:rFonts w:ascii="Arial" w:hAnsi="Arial" w:cs="Arial"/>
          <w:b/>
          <w:szCs w:val="24"/>
          <w:u w:val="single"/>
        </w:rPr>
      </w:pPr>
    </w:p>
    <w:p w:rsidR="00886692" w:rsidRPr="006C2E78" w:rsidRDefault="00886692" w:rsidP="00905409">
      <w:pPr>
        <w:pStyle w:val="Heading4"/>
        <w:tabs>
          <w:tab w:val="clear" w:pos="4680"/>
        </w:tabs>
        <w:rPr>
          <w:rFonts w:ascii="Arial" w:hAnsi="Arial" w:cs="Arial"/>
          <w:sz w:val="36"/>
          <w:szCs w:val="36"/>
          <w:u w:val="none"/>
        </w:rPr>
      </w:pPr>
      <w:r w:rsidRPr="006C2E78">
        <w:rPr>
          <w:rFonts w:ascii="Arial" w:hAnsi="Arial" w:cs="Arial"/>
          <w:sz w:val="36"/>
          <w:szCs w:val="36"/>
          <w:u w:val="none"/>
        </w:rPr>
        <w:t>AND</w:t>
      </w:r>
    </w:p>
    <w:p w:rsidR="00886692" w:rsidRPr="006C2E78" w:rsidRDefault="00886692" w:rsidP="00905409">
      <w:pPr>
        <w:pStyle w:val="EndnoteText"/>
        <w:tabs>
          <w:tab w:val="left" w:pos="331"/>
          <w:tab w:val="left" w:pos="4680"/>
        </w:tabs>
        <w:suppressAutoHyphens/>
        <w:jc w:val="center"/>
        <w:rPr>
          <w:rFonts w:ascii="Arial" w:hAnsi="Arial" w:cs="Arial"/>
          <w:b/>
          <w:szCs w:val="24"/>
          <w:u w:val="single"/>
        </w:rPr>
      </w:pPr>
    </w:p>
    <w:p w:rsidR="00886692" w:rsidRPr="006C2E78" w:rsidRDefault="00886692" w:rsidP="00905409">
      <w:pPr>
        <w:pStyle w:val="EndnoteText"/>
        <w:tabs>
          <w:tab w:val="left" w:pos="331"/>
          <w:tab w:val="left" w:pos="4680"/>
        </w:tabs>
        <w:suppressAutoHyphens/>
        <w:jc w:val="center"/>
        <w:rPr>
          <w:rFonts w:ascii="Arial" w:hAnsi="Arial" w:cs="Arial"/>
          <w:b/>
          <w:szCs w:val="24"/>
          <w:u w:val="single"/>
        </w:rPr>
      </w:pPr>
    </w:p>
    <w:p w:rsidR="00886692" w:rsidRPr="006C2E78" w:rsidRDefault="00886692" w:rsidP="00905409">
      <w:pPr>
        <w:pStyle w:val="Heading4"/>
        <w:tabs>
          <w:tab w:val="clear" w:pos="4680"/>
        </w:tabs>
        <w:rPr>
          <w:rFonts w:ascii="Arial" w:hAnsi="Arial" w:cs="Arial"/>
          <w:sz w:val="36"/>
          <w:szCs w:val="36"/>
          <w:u w:val="none"/>
        </w:rPr>
      </w:pPr>
      <w:r w:rsidRPr="006C2E78">
        <w:rPr>
          <w:rFonts w:ascii="Arial" w:hAnsi="Arial" w:cs="Arial"/>
          <w:sz w:val="36"/>
          <w:szCs w:val="36"/>
          <w:u w:val="none"/>
        </w:rPr>
        <w:t>OPERATIONAL REVIEW</w:t>
      </w:r>
    </w:p>
    <w:p w:rsidR="004F0882" w:rsidRPr="006C2E78" w:rsidRDefault="004F0882" w:rsidP="00905409">
      <w:pPr>
        <w:pStyle w:val="EndnoteText"/>
        <w:tabs>
          <w:tab w:val="left" w:pos="331"/>
          <w:tab w:val="left" w:pos="4680"/>
        </w:tabs>
        <w:suppressAutoHyphens/>
        <w:jc w:val="center"/>
        <w:rPr>
          <w:rFonts w:ascii="Arial" w:hAnsi="Arial" w:cs="Arial"/>
          <w:b/>
          <w:szCs w:val="24"/>
          <w:u w:val="single"/>
        </w:rPr>
      </w:pPr>
    </w:p>
    <w:p w:rsidR="007E4643" w:rsidRDefault="007E4643" w:rsidP="00905409">
      <w:pPr>
        <w:pStyle w:val="EndnoteText"/>
        <w:tabs>
          <w:tab w:val="left" w:pos="331"/>
          <w:tab w:val="left" w:pos="4680"/>
        </w:tabs>
        <w:suppressAutoHyphens/>
        <w:jc w:val="center"/>
        <w:rPr>
          <w:rFonts w:ascii="Arial" w:hAnsi="Arial" w:cs="Arial"/>
          <w:b/>
          <w:szCs w:val="24"/>
          <w:u w:val="single"/>
        </w:rPr>
        <w:sectPr w:rsidR="007E4643" w:rsidSect="00FE1737">
          <w:headerReference w:type="even" r:id="rId36"/>
          <w:headerReference w:type="default" r:id="rId37"/>
          <w:footerReference w:type="default" r:id="rId38"/>
          <w:headerReference w:type="first" r:id="rId39"/>
          <w:endnotePr>
            <w:numFmt w:val="decimal"/>
          </w:endnotePr>
          <w:pgSz w:w="12240" w:h="15840" w:code="1"/>
          <w:pgMar w:top="1440" w:right="1440" w:bottom="1152" w:left="1440" w:header="0" w:footer="720" w:gutter="0"/>
          <w:pgNumType w:start="2"/>
          <w:cols w:space="720"/>
          <w:noEndnote/>
        </w:sectPr>
      </w:pPr>
    </w:p>
    <w:p w:rsidR="0074546C" w:rsidRPr="006C2E78" w:rsidRDefault="0074546C" w:rsidP="0074546C">
      <w:pPr>
        <w:pStyle w:val="EndnoteText"/>
        <w:tabs>
          <w:tab w:val="left" w:pos="331"/>
          <w:tab w:val="left" w:pos="4680"/>
        </w:tabs>
        <w:suppressAutoHyphens/>
        <w:jc w:val="center"/>
        <w:rPr>
          <w:rFonts w:ascii="Arial" w:hAnsi="Arial" w:cs="Arial"/>
          <w:b/>
          <w:sz w:val="26"/>
          <w:szCs w:val="26"/>
          <w:u w:val="single"/>
        </w:rPr>
      </w:pPr>
      <w:r w:rsidRPr="006C2E78">
        <w:rPr>
          <w:rFonts w:ascii="Arial" w:hAnsi="Arial" w:cs="Arial"/>
          <w:b/>
          <w:sz w:val="26"/>
          <w:szCs w:val="26"/>
          <w:u w:val="single"/>
        </w:rPr>
        <w:lastRenderedPageBreak/>
        <w:t>P</w:t>
      </w:r>
      <w:r>
        <w:rPr>
          <w:rFonts w:ascii="Arial" w:hAnsi="Arial" w:cs="Arial"/>
          <w:b/>
          <w:sz w:val="26"/>
          <w:szCs w:val="26"/>
          <w:u w:val="single"/>
        </w:rPr>
        <w:t xml:space="preserve">PL </w:t>
      </w:r>
      <w:r w:rsidR="002F639C">
        <w:rPr>
          <w:rFonts w:ascii="Arial" w:hAnsi="Arial" w:cs="Arial"/>
          <w:b/>
          <w:sz w:val="26"/>
          <w:szCs w:val="26"/>
          <w:u w:val="single"/>
        </w:rPr>
        <w:t>ELECTRIC UTILITIES CORPORATION</w:t>
      </w:r>
    </w:p>
    <w:p w:rsidR="0074546C" w:rsidRPr="006C2E78" w:rsidRDefault="0074546C" w:rsidP="0074546C">
      <w:pPr>
        <w:tabs>
          <w:tab w:val="center" w:pos="4680"/>
          <w:tab w:val="left" w:pos="5040"/>
          <w:tab w:val="left" w:pos="5760"/>
          <w:tab w:val="left" w:pos="6480"/>
          <w:tab w:val="left" w:pos="7200"/>
          <w:tab w:val="left" w:pos="7920"/>
          <w:tab w:val="left" w:pos="8640"/>
          <w:tab w:val="left" w:pos="9360"/>
        </w:tabs>
        <w:jc w:val="center"/>
        <w:outlineLvl w:val="0"/>
        <w:rPr>
          <w:rFonts w:ascii="Arial" w:hAnsi="Arial" w:cs="Arial"/>
          <w:b/>
          <w:sz w:val="26"/>
          <w:szCs w:val="26"/>
          <w:u w:val="single"/>
        </w:rPr>
      </w:pPr>
    </w:p>
    <w:p w:rsidR="0074546C" w:rsidRPr="00DB0C82" w:rsidRDefault="0074546C" w:rsidP="0074546C">
      <w:pPr>
        <w:tabs>
          <w:tab w:val="left" w:pos="-1440"/>
          <w:tab w:val="left" w:pos="-720"/>
        </w:tabs>
        <w:suppressAutoHyphens/>
        <w:jc w:val="center"/>
        <w:rPr>
          <w:rFonts w:ascii="Arial" w:hAnsi="Arial" w:cs="Arial"/>
          <w:szCs w:val="24"/>
        </w:rPr>
      </w:pPr>
      <w:r w:rsidRPr="00DB0C82">
        <w:rPr>
          <w:rFonts w:ascii="Arial" w:hAnsi="Arial" w:cs="Arial"/>
          <w:b/>
          <w:szCs w:val="24"/>
          <w:u w:val="single"/>
        </w:rPr>
        <w:t>Background</w:t>
      </w:r>
    </w:p>
    <w:p w:rsidR="0074546C" w:rsidRPr="00DB0C82" w:rsidRDefault="0074546C" w:rsidP="0074546C">
      <w:pPr>
        <w:tabs>
          <w:tab w:val="left" w:pos="-1440"/>
          <w:tab w:val="left" w:pos="-720"/>
        </w:tabs>
        <w:suppressAutoHyphens/>
        <w:rPr>
          <w:rFonts w:ascii="Arial" w:hAnsi="Arial" w:cs="Arial"/>
          <w:szCs w:val="24"/>
        </w:rPr>
      </w:pPr>
    </w:p>
    <w:p w:rsidR="0074546C" w:rsidRPr="00DB0C82" w:rsidRDefault="0074546C" w:rsidP="0074546C">
      <w:pPr>
        <w:tabs>
          <w:tab w:val="left" w:pos="-1440"/>
          <w:tab w:val="left" w:pos="-720"/>
        </w:tabs>
        <w:suppressAutoHyphens/>
        <w:rPr>
          <w:rFonts w:ascii="Arial" w:hAnsi="Arial" w:cs="Arial"/>
          <w:szCs w:val="24"/>
        </w:rPr>
      </w:pPr>
    </w:p>
    <w:p w:rsidR="0074546C" w:rsidRPr="00DB0C82" w:rsidRDefault="0074546C" w:rsidP="0074546C">
      <w:pPr>
        <w:rPr>
          <w:rFonts w:ascii="Arial" w:hAnsi="Arial" w:cs="Arial"/>
          <w:szCs w:val="24"/>
        </w:rPr>
      </w:pPr>
      <w:r w:rsidRPr="00DB0C82">
        <w:rPr>
          <w:rFonts w:ascii="Arial" w:hAnsi="Arial" w:cs="Arial"/>
          <w:szCs w:val="24"/>
        </w:rPr>
        <w:tab/>
        <w:t>On May 17, 2007, the Commission entered a Final Order at Docket No. P</w:t>
      </w:r>
      <w:r w:rsidR="00982B76">
        <w:rPr>
          <w:rFonts w:ascii="Arial" w:hAnsi="Arial" w:cs="Arial"/>
          <w:szCs w:val="24"/>
        </w:rPr>
        <w:noBreakHyphen/>
      </w:r>
      <w:r w:rsidRPr="00DB0C82">
        <w:rPr>
          <w:rFonts w:ascii="Arial" w:hAnsi="Arial" w:cs="Arial"/>
          <w:szCs w:val="24"/>
        </w:rPr>
        <w:t xml:space="preserve">00062227, granting the Petition of PPL Electric Utilities Corporation (PPL </w:t>
      </w:r>
      <w:r w:rsidR="00132861">
        <w:rPr>
          <w:rFonts w:ascii="Arial" w:hAnsi="Arial" w:cs="Arial"/>
          <w:szCs w:val="24"/>
        </w:rPr>
        <w:t xml:space="preserve">Electric </w:t>
      </w:r>
      <w:r w:rsidRPr="00DB0C82">
        <w:rPr>
          <w:rFonts w:ascii="Arial" w:hAnsi="Arial" w:cs="Arial"/>
          <w:szCs w:val="24"/>
        </w:rPr>
        <w:t xml:space="preserve">or </w:t>
      </w:r>
      <w:r w:rsidR="00132861">
        <w:rPr>
          <w:rFonts w:ascii="Arial" w:hAnsi="Arial" w:cs="Arial"/>
          <w:szCs w:val="24"/>
        </w:rPr>
        <w:t xml:space="preserve">the </w:t>
      </w:r>
      <w:r w:rsidRPr="00DB0C82">
        <w:rPr>
          <w:rFonts w:ascii="Arial" w:hAnsi="Arial" w:cs="Arial"/>
          <w:szCs w:val="24"/>
        </w:rPr>
        <w:t xml:space="preserve">Company) for Approval of a Competitive Bridge Plan.  </w:t>
      </w:r>
      <w:r>
        <w:rPr>
          <w:rFonts w:ascii="Arial" w:hAnsi="Arial" w:cs="Arial"/>
          <w:szCs w:val="24"/>
        </w:rPr>
        <w:t>The Final Order approved</w:t>
      </w:r>
      <w:r w:rsidRPr="00DB0C82">
        <w:rPr>
          <w:rFonts w:ascii="Arial" w:hAnsi="Arial" w:cs="Arial"/>
          <w:szCs w:val="24"/>
        </w:rPr>
        <w:t xml:space="preserve"> PPL</w:t>
      </w:r>
      <w:r w:rsidR="00132861">
        <w:rPr>
          <w:rFonts w:ascii="Arial" w:hAnsi="Arial" w:cs="Arial"/>
          <w:szCs w:val="24"/>
        </w:rPr>
        <w:t xml:space="preserve"> Electric</w:t>
      </w:r>
      <w:r w:rsidRPr="00DB0C82">
        <w:rPr>
          <w:rFonts w:ascii="Arial" w:hAnsi="Arial" w:cs="Arial"/>
          <w:szCs w:val="24"/>
        </w:rPr>
        <w:t xml:space="preserve">’s request to establish a Generation Supply Charge (GSC) Rider in order to recover the direct and indirect costs incurred by the Company to acquire generation supply from any source on behalf of Basic Utility Supply Service (BUSS), or default service, customers.  </w:t>
      </w:r>
    </w:p>
    <w:p w:rsidR="0074546C" w:rsidRPr="00DB0C82" w:rsidRDefault="0074546C" w:rsidP="0074546C">
      <w:pPr>
        <w:rPr>
          <w:rFonts w:ascii="Arial" w:hAnsi="Arial" w:cs="Arial"/>
          <w:szCs w:val="24"/>
        </w:rPr>
      </w:pPr>
    </w:p>
    <w:p w:rsidR="0074546C" w:rsidRDefault="0074546C" w:rsidP="00A1597B">
      <w:pPr>
        <w:ind w:firstLine="720"/>
        <w:rPr>
          <w:rFonts w:ascii="Arial" w:hAnsi="Arial" w:cs="Arial"/>
          <w:szCs w:val="24"/>
        </w:rPr>
      </w:pPr>
      <w:r w:rsidRPr="00DB0C82">
        <w:rPr>
          <w:rFonts w:ascii="Arial" w:hAnsi="Arial" w:cs="Arial"/>
          <w:szCs w:val="24"/>
        </w:rPr>
        <w:t>The GSC Rider permits PPL</w:t>
      </w:r>
      <w:r w:rsidR="00132861">
        <w:rPr>
          <w:rFonts w:ascii="Arial" w:hAnsi="Arial" w:cs="Arial"/>
          <w:szCs w:val="24"/>
        </w:rPr>
        <w:t xml:space="preserve"> Electric</w:t>
      </w:r>
      <w:r w:rsidRPr="00DB0C82">
        <w:rPr>
          <w:rFonts w:ascii="Arial" w:hAnsi="Arial" w:cs="Arial"/>
          <w:szCs w:val="24"/>
        </w:rPr>
        <w:t xml:space="preserve"> to recover not only the generation supply costs associated with providing BUSS service</w:t>
      </w:r>
      <w:r w:rsidR="00132861">
        <w:rPr>
          <w:rFonts w:ascii="Arial" w:hAnsi="Arial" w:cs="Arial"/>
          <w:szCs w:val="24"/>
        </w:rPr>
        <w:t>,</w:t>
      </w:r>
      <w:r w:rsidRPr="00DB0C82">
        <w:rPr>
          <w:rFonts w:ascii="Arial" w:hAnsi="Arial" w:cs="Arial"/>
          <w:szCs w:val="24"/>
        </w:rPr>
        <w:t xml:space="preserve"> but also the costs associated with the Company’s competitive market solicitations made in 2007, 2008 and 2009, plus administrative costs of conducting and implementing these solicitations</w:t>
      </w:r>
      <w:r w:rsidR="003167FA">
        <w:rPr>
          <w:rFonts w:ascii="Arial" w:hAnsi="Arial" w:cs="Arial"/>
          <w:szCs w:val="24"/>
        </w:rPr>
        <w:t>.  The initial GSC rate became effective January 1, 2010</w:t>
      </w:r>
      <w:r w:rsidRPr="00DB0C82">
        <w:rPr>
          <w:rFonts w:ascii="Arial" w:hAnsi="Arial" w:cs="Arial"/>
          <w:szCs w:val="24"/>
        </w:rPr>
        <w:t xml:space="preserve">.  </w:t>
      </w:r>
      <w:r w:rsidR="003167FA">
        <w:rPr>
          <w:rFonts w:ascii="Arial" w:hAnsi="Arial" w:cs="Arial"/>
          <w:szCs w:val="24"/>
        </w:rPr>
        <w:t>As provided in the GSC Rider, the GSC rate is adjusted quarterly.</w:t>
      </w:r>
    </w:p>
    <w:p w:rsidR="00531203" w:rsidRDefault="00531203" w:rsidP="00A1597B">
      <w:pPr>
        <w:ind w:firstLine="720"/>
        <w:rPr>
          <w:rFonts w:ascii="Arial" w:hAnsi="Arial" w:cs="Arial"/>
          <w:szCs w:val="24"/>
        </w:rPr>
      </w:pPr>
    </w:p>
    <w:p w:rsidR="00531203" w:rsidRDefault="00531203" w:rsidP="00A1597B">
      <w:pPr>
        <w:ind w:firstLine="720"/>
        <w:rPr>
          <w:rFonts w:ascii="Arial" w:hAnsi="Arial" w:cs="Arial"/>
          <w:szCs w:val="24"/>
        </w:rPr>
      </w:pPr>
      <w:r>
        <w:rPr>
          <w:rFonts w:ascii="Arial" w:hAnsi="Arial" w:cs="Arial"/>
          <w:szCs w:val="24"/>
        </w:rPr>
        <w:t>By Order entered November 19, 2009, at Docket No. P-2009-2129502, the Commission granted PPL</w:t>
      </w:r>
      <w:r w:rsidR="00132861">
        <w:rPr>
          <w:rFonts w:ascii="Arial" w:hAnsi="Arial" w:cs="Arial"/>
          <w:szCs w:val="24"/>
        </w:rPr>
        <w:t xml:space="preserve"> Electric</w:t>
      </w:r>
      <w:r>
        <w:rPr>
          <w:rFonts w:ascii="Arial" w:hAnsi="Arial" w:cs="Arial"/>
          <w:szCs w:val="24"/>
        </w:rPr>
        <w:t xml:space="preserve">’s Petition Requesting Approval of a Voluntary Purchase of Accounts Receivable Program and Merchant Function Charge (MFC).  Pursuant to the MFC, the Company </w:t>
      </w:r>
      <w:r w:rsidR="00863840">
        <w:rPr>
          <w:rFonts w:ascii="Arial" w:hAnsi="Arial" w:cs="Arial"/>
          <w:szCs w:val="24"/>
        </w:rPr>
        <w:t>is</w:t>
      </w:r>
      <w:r>
        <w:rPr>
          <w:rFonts w:ascii="Arial" w:hAnsi="Arial" w:cs="Arial"/>
          <w:szCs w:val="24"/>
        </w:rPr>
        <w:t xml:space="preserve"> permitted to unbundle its generation related uncollectible accounts expense from distribution rates and collect it from default service customers through the MFC, effective January 1, 2010.  The MFC is applied as a percentage to total generation supply costs of the </w:t>
      </w:r>
      <w:r w:rsidR="00834796">
        <w:rPr>
          <w:rFonts w:ascii="Arial" w:hAnsi="Arial" w:cs="Arial"/>
          <w:szCs w:val="24"/>
        </w:rPr>
        <w:t>R</w:t>
      </w:r>
      <w:r>
        <w:rPr>
          <w:rFonts w:ascii="Arial" w:hAnsi="Arial" w:cs="Arial"/>
          <w:szCs w:val="24"/>
        </w:rPr>
        <w:t xml:space="preserve">esidential and </w:t>
      </w:r>
      <w:r w:rsidR="00834796">
        <w:rPr>
          <w:rFonts w:ascii="Arial" w:hAnsi="Arial" w:cs="Arial"/>
          <w:szCs w:val="24"/>
        </w:rPr>
        <w:t>S</w:t>
      </w:r>
      <w:r>
        <w:rPr>
          <w:rFonts w:ascii="Arial" w:hAnsi="Arial" w:cs="Arial"/>
          <w:szCs w:val="24"/>
        </w:rPr>
        <w:t>mall</w:t>
      </w:r>
      <w:r w:rsidR="00834796">
        <w:rPr>
          <w:rFonts w:ascii="Arial" w:hAnsi="Arial" w:cs="Arial"/>
          <w:szCs w:val="24"/>
        </w:rPr>
        <w:t xml:space="preserve"> Commercial and Industrial</w:t>
      </w:r>
      <w:r>
        <w:rPr>
          <w:rFonts w:ascii="Arial" w:hAnsi="Arial" w:cs="Arial"/>
          <w:szCs w:val="24"/>
        </w:rPr>
        <w:t xml:space="preserve"> </w:t>
      </w:r>
      <w:r w:rsidR="00834796">
        <w:rPr>
          <w:rFonts w:ascii="Arial" w:hAnsi="Arial" w:cs="Arial"/>
          <w:szCs w:val="24"/>
        </w:rPr>
        <w:t>(</w:t>
      </w:r>
      <w:r>
        <w:rPr>
          <w:rFonts w:ascii="Arial" w:hAnsi="Arial" w:cs="Arial"/>
          <w:szCs w:val="24"/>
        </w:rPr>
        <w:t>C&amp; I</w:t>
      </w:r>
      <w:r w:rsidR="00834796">
        <w:rPr>
          <w:rFonts w:ascii="Arial" w:hAnsi="Arial" w:cs="Arial"/>
          <w:szCs w:val="24"/>
        </w:rPr>
        <w:t>)</w:t>
      </w:r>
      <w:r>
        <w:rPr>
          <w:rFonts w:ascii="Arial" w:hAnsi="Arial" w:cs="Arial"/>
          <w:szCs w:val="24"/>
        </w:rPr>
        <w:t xml:space="preserve"> </w:t>
      </w:r>
      <w:r w:rsidR="00445F81">
        <w:rPr>
          <w:rFonts w:ascii="Arial" w:hAnsi="Arial" w:cs="Arial"/>
          <w:szCs w:val="24"/>
        </w:rPr>
        <w:t>Customer</w:t>
      </w:r>
      <w:r w:rsidR="00834796">
        <w:rPr>
          <w:rFonts w:ascii="Arial" w:hAnsi="Arial" w:cs="Arial"/>
          <w:szCs w:val="24"/>
        </w:rPr>
        <w:t xml:space="preserve"> Classes</w:t>
      </w:r>
      <w:r>
        <w:rPr>
          <w:rFonts w:ascii="Arial" w:hAnsi="Arial" w:cs="Arial"/>
          <w:szCs w:val="24"/>
        </w:rPr>
        <w:t xml:space="preserve"> at the rates of 1.32% and 0.12%, respectively, to calculate each customer classes MFC costs.  The MFC costs are then recovered through the applied GSC of the </w:t>
      </w:r>
      <w:r w:rsidR="00A21809">
        <w:rPr>
          <w:rFonts w:ascii="Arial" w:hAnsi="Arial" w:cs="Arial"/>
          <w:szCs w:val="24"/>
        </w:rPr>
        <w:t>R</w:t>
      </w:r>
      <w:r>
        <w:rPr>
          <w:rFonts w:ascii="Arial" w:hAnsi="Arial" w:cs="Arial"/>
          <w:szCs w:val="24"/>
        </w:rPr>
        <w:t xml:space="preserve">esidential and </w:t>
      </w:r>
      <w:r w:rsidR="00A21809">
        <w:rPr>
          <w:rFonts w:ascii="Arial" w:hAnsi="Arial" w:cs="Arial"/>
          <w:szCs w:val="24"/>
        </w:rPr>
        <w:t>S</w:t>
      </w:r>
      <w:r>
        <w:rPr>
          <w:rFonts w:ascii="Arial" w:hAnsi="Arial" w:cs="Arial"/>
          <w:szCs w:val="24"/>
        </w:rPr>
        <w:t>mall C</w:t>
      </w:r>
      <w:r w:rsidR="00834796">
        <w:rPr>
          <w:rFonts w:ascii="Arial" w:hAnsi="Arial" w:cs="Arial"/>
          <w:szCs w:val="24"/>
        </w:rPr>
        <w:t>&amp;</w:t>
      </w:r>
      <w:r w:rsidR="00A21809">
        <w:rPr>
          <w:rFonts w:ascii="Arial" w:hAnsi="Arial" w:cs="Arial"/>
          <w:szCs w:val="24"/>
        </w:rPr>
        <w:t xml:space="preserve"> </w:t>
      </w:r>
      <w:r>
        <w:rPr>
          <w:rFonts w:ascii="Arial" w:hAnsi="Arial" w:cs="Arial"/>
          <w:szCs w:val="24"/>
        </w:rPr>
        <w:t xml:space="preserve">I </w:t>
      </w:r>
      <w:r w:rsidR="00A21809">
        <w:rPr>
          <w:rFonts w:ascii="Arial" w:hAnsi="Arial" w:cs="Arial"/>
          <w:szCs w:val="24"/>
        </w:rPr>
        <w:t>C</w:t>
      </w:r>
      <w:r>
        <w:rPr>
          <w:rFonts w:ascii="Arial" w:hAnsi="Arial" w:cs="Arial"/>
          <w:szCs w:val="24"/>
        </w:rPr>
        <w:t xml:space="preserve">ustomer </w:t>
      </w:r>
      <w:r w:rsidR="00A21809">
        <w:rPr>
          <w:rFonts w:ascii="Arial" w:hAnsi="Arial" w:cs="Arial"/>
          <w:szCs w:val="24"/>
        </w:rPr>
        <w:t>C</w:t>
      </w:r>
      <w:r>
        <w:rPr>
          <w:rFonts w:ascii="Arial" w:hAnsi="Arial" w:cs="Arial"/>
          <w:szCs w:val="24"/>
        </w:rPr>
        <w:t>lasses.</w:t>
      </w:r>
    </w:p>
    <w:p w:rsidR="00531203" w:rsidRPr="00DB0C82" w:rsidRDefault="00531203" w:rsidP="00A1597B">
      <w:pPr>
        <w:ind w:firstLine="720"/>
        <w:rPr>
          <w:szCs w:val="24"/>
        </w:rPr>
      </w:pPr>
    </w:p>
    <w:p w:rsidR="00B367EE" w:rsidRDefault="0074546C" w:rsidP="0074546C">
      <w:pPr>
        <w:ind w:firstLine="720"/>
        <w:rPr>
          <w:rFonts w:ascii="Arial" w:hAnsi="Arial" w:cs="Arial"/>
          <w:szCs w:val="24"/>
        </w:rPr>
      </w:pPr>
      <w:r w:rsidRPr="00DB0C82">
        <w:rPr>
          <w:rFonts w:ascii="Arial" w:hAnsi="Arial" w:cs="Arial"/>
          <w:szCs w:val="24"/>
        </w:rPr>
        <w:t>By Order entered on June 30, 2009, at Docket No. P-2008-2060309, the Commission approved PPL</w:t>
      </w:r>
      <w:r w:rsidR="00132861">
        <w:rPr>
          <w:rFonts w:ascii="Arial" w:hAnsi="Arial" w:cs="Arial"/>
          <w:szCs w:val="24"/>
        </w:rPr>
        <w:t xml:space="preserve"> Electric</w:t>
      </w:r>
      <w:r w:rsidRPr="00DB0C82">
        <w:rPr>
          <w:rFonts w:ascii="Arial" w:hAnsi="Arial" w:cs="Arial"/>
          <w:szCs w:val="24"/>
        </w:rPr>
        <w:t>’s Default Service Program and Procurement Plan (DSPP) for the period January 1, 2011 through May 31, 2013.  Beginning on January 1, 2011</w:t>
      </w:r>
      <w:r w:rsidR="00132861">
        <w:rPr>
          <w:rFonts w:ascii="Arial" w:hAnsi="Arial" w:cs="Arial"/>
          <w:szCs w:val="24"/>
        </w:rPr>
        <w:t>,</w:t>
      </w:r>
      <w:r w:rsidRPr="00DB0C82">
        <w:rPr>
          <w:rFonts w:ascii="Arial" w:hAnsi="Arial" w:cs="Arial"/>
          <w:szCs w:val="24"/>
        </w:rPr>
        <w:t xml:space="preserve"> the GSC Rider was replaced with a GSC</w:t>
      </w:r>
      <w:r w:rsidR="00E321EA">
        <w:rPr>
          <w:rFonts w:ascii="Arial" w:hAnsi="Arial" w:cs="Arial"/>
          <w:szCs w:val="24"/>
        </w:rPr>
        <w:t xml:space="preserve"> </w:t>
      </w:r>
      <w:r w:rsidRPr="00DB0C82">
        <w:rPr>
          <w:rFonts w:ascii="Arial" w:hAnsi="Arial" w:cs="Arial"/>
          <w:szCs w:val="24"/>
        </w:rPr>
        <w:t>-</w:t>
      </w:r>
      <w:r w:rsidR="00E321EA">
        <w:rPr>
          <w:rFonts w:ascii="Arial" w:hAnsi="Arial" w:cs="Arial"/>
          <w:szCs w:val="24"/>
        </w:rPr>
        <w:t xml:space="preserve"> </w:t>
      </w:r>
      <w:r w:rsidRPr="00DB0C82">
        <w:rPr>
          <w:rFonts w:ascii="Arial" w:hAnsi="Arial" w:cs="Arial"/>
          <w:szCs w:val="24"/>
        </w:rPr>
        <w:t>1 Rider and a GSC</w:t>
      </w:r>
      <w:r w:rsidR="00E321EA">
        <w:rPr>
          <w:rFonts w:ascii="Arial" w:hAnsi="Arial" w:cs="Arial"/>
          <w:szCs w:val="24"/>
        </w:rPr>
        <w:t xml:space="preserve"> </w:t>
      </w:r>
      <w:r w:rsidRPr="00DB0C82">
        <w:rPr>
          <w:rFonts w:ascii="Arial" w:hAnsi="Arial" w:cs="Arial"/>
          <w:szCs w:val="24"/>
        </w:rPr>
        <w:t>-</w:t>
      </w:r>
      <w:r w:rsidR="00E321EA">
        <w:rPr>
          <w:rFonts w:ascii="Arial" w:hAnsi="Arial" w:cs="Arial"/>
          <w:szCs w:val="24"/>
        </w:rPr>
        <w:t xml:space="preserve"> </w:t>
      </w:r>
      <w:r w:rsidRPr="00DB0C82">
        <w:rPr>
          <w:rFonts w:ascii="Arial" w:hAnsi="Arial" w:cs="Arial"/>
          <w:szCs w:val="24"/>
        </w:rPr>
        <w:t>2 Rider.  Under these Riders, the recovery of the DSPP costs is broken down by rate group into either the GSC</w:t>
      </w:r>
      <w:r w:rsidR="00E321EA">
        <w:rPr>
          <w:rFonts w:ascii="Arial" w:hAnsi="Arial" w:cs="Arial"/>
          <w:szCs w:val="24"/>
        </w:rPr>
        <w:t xml:space="preserve"> </w:t>
      </w:r>
      <w:r w:rsidRPr="00DB0C82">
        <w:rPr>
          <w:rFonts w:ascii="Arial" w:hAnsi="Arial" w:cs="Arial"/>
          <w:szCs w:val="24"/>
        </w:rPr>
        <w:t>-</w:t>
      </w:r>
      <w:r w:rsidR="00E321EA">
        <w:rPr>
          <w:rFonts w:ascii="Arial" w:hAnsi="Arial" w:cs="Arial"/>
          <w:szCs w:val="24"/>
        </w:rPr>
        <w:t xml:space="preserve"> </w:t>
      </w:r>
      <w:r w:rsidRPr="00DB0C82">
        <w:rPr>
          <w:rFonts w:ascii="Arial" w:hAnsi="Arial" w:cs="Arial"/>
          <w:szCs w:val="24"/>
        </w:rPr>
        <w:t>1 or GSC</w:t>
      </w:r>
      <w:r w:rsidR="00E321EA">
        <w:rPr>
          <w:rFonts w:ascii="Arial" w:hAnsi="Arial" w:cs="Arial"/>
          <w:szCs w:val="24"/>
        </w:rPr>
        <w:t xml:space="preserve"> </w:t>
      </w:r>
      <w:r w:rsidRPr="00DB0C82">
        <w:rPr>
          <w:rFonts w:ascii="Arial" w:hAnsi="Arial" w:cs="Arial"/>
          <w:szCs w:val="24"/>
        </w:rPr>
        <w:t>-</w:t>
      </w:r>
      <w:r w:rsidR="00E321EA">
        <w:rPr>
          <w:rFonts w:ascii="Arial" w:hAnsi="Arial" w:cs="Arial"/>
          <w:szCs w:val="24"/>
        </w:rPr>
        <w:t xml:space="preserve"> </w:t>
      </w:r>
      <w:r w:rsidRPr="00DB0C82">
        <w:rPr>
          <w:rFonts w:ascii="Arial" w:hAnsi="Arial" w:cs="Arial"/>
          <w:szCs w:val="24"/>
        </w:rPr>
        <w:t>2.</w:t>
      </w:r>
    </w:p>
    <w:p w:rsidR="00B367EE" w:rsidRDefault="00B367EE" w:rsidP="0074546C">
      <w:pPr>
        <w:ind w:firstLine="720"/>
        <w:rPr>
          <w:rFonts w:ascii="Arial" w:hAnsi="Arial" w:cs="Arial"/>
          <w:szCs w:val="24"/>
        </w:rPr>
      </w:pPr>
    </w:p>
    <w:p w:rsidR="0074546C" w:rsidRDefault="00B367EE" w:rsidP="0074546C">
      <w:pPr>
        <w:ind w:firstLine="720"/>
        <w:rPr>
          <w:rFonts w:ascii="Arial" w:hAnsi="Arial" w:cs="Arial"/>
          <w:szCs w:val="24"/>
        </w:rPr>
      </w:pPr>
      <w:r>
        <w:rPr>
          <w:rFonts w:ascii="Arial" w:hAnsi="Arial" w:cs="Arial"/>
          <w:szCs w:val="24"/>
        </w:rPr>
        <w:t>The GSC</w:t>
      </w:r>
      <w:r w:rsidR="00E321EA">
        <w:rPr>
          <w:rFonts w:ascii="Arial" w:hAnsi="Arial" w:cs="Arial"/>
          <w:szCs w:val="24"/>
        </w:rPr>
        <w:t xml:space="preserve"> </w:t>
      </w:r>
      <w:r>
        <w:rPr>
          <w:rFonts w:ascii="Arial" w:hAnsi="Arial" w:cs="Arial"/>
          <w:szCs w:val="24"/>
        </w:rPr>
        <w:t>-</w:t>
      </w:r>
      <w:r w:rsidR="00E321EA">
        <w:rPr>
          <w:rFonts w:ascii="Arial" w:hAnsi="Arial" w:cs="Arial"/>
          <w:szCs w:val="24"/>
        </w:rPr>
        <w:t xml:space="preserve"> </w:t>
      </w:r>
      <w:r>
        <w:rPr>
          <w:rFonts w:ascii="Arial" w:hAnsi="Arial" w:cs="Arial"/>
          <w:szCs w:val="24"/>
        </w:rPr>
        <w:t xml:space="preserve">1 Rider permits PPL </w:t>
      </w:r>
      <w:r w:rsidR="00132861">
        <w:rPr>
          <w:rFonts w:ascii="Arial" w:hAnsi="Arial" w:cs="Arial"/>
          <w:szCs w:val="24"/>
        </w:rPr>
        <w:t xml:space="preserve">Electric </w:t>
      </w:r>
      <w:r>
        <w:rPr>
          <w:rFonts w:ascii="Arial" w:hAnsi="Arial" w:cs="Arial"/>
          <w:szCs w:val="24"/>
        </w:rPr>
        <w:t>to recover the projected generation supply costs associated with providing B</w:t>
      </w:r>
      <w:r w:rsidR="00834796">
        <w:rPr>
          <w:rFonts w:ascii="Arial" w:hAnsi="Arial" w:cs="Arial"/>
          <w:szCs w:val="24"/>
        </w:rPr>
        <w:t>USS</w:t>
      </w:r>
      <w:r>
        <w:rPr>
          <w:rFonts w:ascii="Arial" w:hAnsi="Arial" w:cs="Arial"/>
          <w:szCs w:val="24"/>
        </w:rPr>
        <w:t xml:space="preserve"> service</w:t>
      </w:r>
      <w:r w:rsidR="00F74DE0">
        <w:rPr>
          <w:rFonts w:ascii="Arial" w:hAnsi="Arial" w:cs="Arial"/>
          <w:szCs w:val="24"/>
        </w:rPr>
        <w:t xml:space="preserve"> to </w:t>
      </w:r>
      <w:r w:rsidR="00834796">
        <w:rPr>
          <w:rFonts w:ascii="Arial" w:hAnsi="Arial" w:cs="Arial"/>
          <w:szCs w:val="24"/>
        </w:rPr>
        <w:t>R</w:t>
      </w:r>
      <w:r w:rsidR="00F74DE0">
        <w:rPr>
          <w:rFonts w:ascii="Arial" w:hAnsi="Arial" w:cs="Arial"/>
          <w:szCs w:val="24"/>
        </w:rPr>
        <w:t xml:space="preserve">esidential and </w:t>
      </w:r>
      <w:r w:rsidR="00834796">
        <w:rPr>
          <w:rFonts w:ascii="Arial" w:hAnsi="Arial" w:cs="Arial"/>
          <w:szCs w:val="24"/>
        </w:rPr>
        <w:t>S</w:t>
      </w:r>
      <w:r w:rsidR="00F74DE0">
        <w:rPr>
          <w:rFonts w:ascii="Arial" w:hAnsi="Arial" w:cs="Arial"/>
          <w:szCs w:val="24"/>
        </w:rPr>
        <w:t xml:space="preserve">mall C&amp;I </w:t>
      </w:r>
      <w:r w:rsidR="00834796">
        <w:rPr>
          <w:rFonts w:ascii="Arial" w:hAnsi="Arial" w:cs="Arial"/>
          <w:szCs w:val="24"/>
        </w:rPr>
        <w:t>C</w:t>
      </w:r>
      <w:r w:rsidR="00F74DE0">
        <w:rPr>
          <w:rFonts w:ascii="Arial" w:hAnsi="Arial" w:cs="Arial"/>
          <w:szCs w:val="24"/>
        </w:rPr>
        <w:t>ustomers</w:t>
      </w:r>
      <w:r>
        <w:rPr>
          <w:rFonts w:ascii="Arial" w:hAnsi="Arial" w:cs="Arial"/>
          <w:szCs w:val="24"/>
        </w:rPr>
        <w:t>, adjusted for losses and including Alternative Energy Credits.  Also included are the costs associated with the Company’s competitive market solicitations plus administrative costs of conducting and implementing these solicitations.</w:t>
      </w:r>
    </w:p>
    <w:p w:rsidR="00B367EE" w:rsidRDefault="00B367EE" w:rsidP="0074546C">
      <w:pPr>
        <w:ind w:firstLine="720"/>
        <w:rPr>
          <w:rFonts w:ascii="Arial" w:hAnsi="Arial" w:cs="Arial"/>
          <w:szCs w:val="24"/>
        </w:rPr>
      </w:pPr>
    </w:p>
    <w:p w:rsidR="00F74DE0" w:rsidRDefault="00F74DE0" w:rsidP="00F74DE0">
      <w:pPr>
        <w:pStyle w:val="EndnoteText"/>
        <w:tabs>
          <w:tab w:val="left" w:pos="90"/>
          <w:tab w:val="left" w:pos="331"/>
          <w:tab w:val="left" w:pos="4680"/>
        </w:tabs>
        <w:suppressAutoHyphens/>
        <w:jc w:val="center"/>
        <w:rPr>
          <w:rFonts w:ascii="Arial" w:hAnsi="Arial" w:cs="Arial"/>
          <w:szCs w:val="24"/>
          <w:lang w:val="en-US"/>
        </w:rPr>
      </w:pPr>
    </w:p>
    <w:p w:rsidR="00036D9D" w:rsidRDefault="00036D9D" w:rsidP="00F74DE0">
      <w:pPr>
        <w:pStyle w:val="EndnoteText"/>
        <w:tabs>
          <w:tab w:val="left" w:pos="90"/>
          <w:tab w:val="left" w:pos="331"/>
          <w:tab w:val="left" w:pos="4680"/>
        </w:tabs>
        <w:suppressAutoHyphens/>
        <w:jc w:val="center"/>
        <w:rPr>
          <w:rFonts w:ascii="Arial" w:hAnsi="Arial" w:cs="Arial"/>
          <w:szCs w:val="24"/>
          <w:lang w:val="en-US"/>
        </w:rPr>
      </w:pPr>
    </w:p>
    <w:p w:rsidR="00036D9D" w:rsidRDefault="00036D9D" w:rsidP="00F74DE0">
      <w:pPr>
        <w:pStyle w:val="EndnoteText"/>
        <w:tabs>
          <w:tab w:val="left" w:pos="90"/>
          <w:tab w:val="left" w:pos="331"/>
          <w:tab w:val="left" w:pos="4680"/>
        </w:tabs>
        <w:suppressAutoHyphens/>
        <w:jc w:val="center"/>
        <w:rPr>
          <w:rFonts w:ascii="Arial" w:hAnsi="Arial" w:cs="Arial"/>
          <w:szCs w:val="24"/>
          <w:lang w:val="en-US"/>
        </w:rPr>
      </w:pPr>
    </w:p>
    <w:p w:rsidR="00F74DE0" w:rsidRPr="006C2E78" w:rsidRDefault="00F74DE0" w:rsidP="00F74DE0">
      <w:pPr>
        <w:pStyle w:val="EndnoteText"/>
        <w:tabs>
          <w:tab w:val="left" w:pos="331"/>
          <w:tab w:val="left" w:pos="4680"/>
        </w:tabs>
        <w:suppressAutoHyphens/>
        <w:jc w:val="center"/>
        <w:rPr>
          <w:rFonts w:ascii="Arial" w:hAnsi="Arial" w:cs="Arial"/>
          <w:b/>
          <w:sz w:val="26"/>
          <w:szCs w:val="26"/>
          <w:u w:val="single"/>
        </w:rPr>
      </w:pPr>
      <w:r w:rsidRPr="006C2E78">
        <w:rPr>
          <w:rFonts w:ascii="Arial" w:hAnsi="Arial" w:cs="Arial"/>
          <w:b/>
          <w:sz w:val="26"/>
          <w:szCs w:val="26"/>
          <w:u w:val="single"/>
        </w:rPr>
        <w:lastRenderedPageBreak/>
        <w:t>P</w:t>
      </w:r>
      <w:r>
        <w:rPr>
          <w:rFonts w:ascii="Arial" w:hAnsi="Arial" w:cs="Arial"/>
          <w:b/>
          <w:sz w:val="26"/>
          <w:szCs w:val="26"/>
          <w:u w:val="single"/>
        </w:rPr>
        <w:t>PL ELECTRIC UTILITIES CORPORATION</w:t>
      </w:r>
    </w:p>
    <w:p w:rsidR="00F74DE0" w:rsidRPr="006C2E78" w:rsidRDefault="00F74DE0" w:rsidP="00F74DE0">
      <w:pPr>
        <w:tabs>
          <w:tab w:val="center" w:pos="4680"/>
          <w:tab w:val="left" w:pos="5040"/>
          <w:tab w:val="left" w:pos="5760"/>
          <w:tab w:val="left" w:pos="6480"/>
          <w:tab w:val="left" w:pos="7200"/>
          <w:tab w:val="left" w:pos="7920"/>
          <w:tab w:val="left" w:pos="8640"/>
          <w:tab w:val="left" w:pos="9360"/>
        </w:tabs>
        <w:jc w:val="center"/>
        <w:outlineLvl w:val="0"/>
        <w:rPr>
          <w:rFonts w:ascii="Arial" w:hAnsi="Arial" w:cs="Arial"/>
          <w:b/>
          <w:sz w:val="26"/>
          <w:szCs w:val="26"/>
          <w:u w:val="single"/>
        </w:rPr>
      </w:pPr>
    </w:p>
    <w:p w:rsidR="00F74DE0" w:rsidRPr="00DB0C82" w:rsidRDefault="00F74DE0" w:rsidP="00F74DE0">
      <w:pPr>
        <w:tabs>
          <w:tab w:val="left" w:pos="-1440"/>
          <w:tab w:val="left" w:pos="-720"/>
        </w:tabs>
        <w:suppressAutoHyphens/>
        <w:jc w:val="center"/>
        <w:rPr>
          <w:rFonts w:ascii="Arial" w:hAnsi="Arial" w:cs="Arial"/>
          <w:szCs w:val="24"/>
        </w:rPr>
      </w:pPr>
      <w:r w:rsidRPr="00DB0C82">
        <w:rPr>
          <w:rFonts w:ascii="Arial" w:hAnsi="Arial" w:cs="Arial"/>
          <w:b/>
          <w:szCs w:val="24"/>
          <w:u w:val="single"/>
        </w:rPr>
        <w:t>Background</w:t>
      </w:r>
      <w:r>
        <w:rPr>
          <w:rFonts w:ascii="Arial" w:hAnsi="Arial" w:cs="Arial"/>
          <w:b/>
          <w:szCs w:val="24"/>
          <w:u w:val="single"/>
        </w:rPr>
        <w:t xml:space="preserve"> (continued)</w:t>
      </w:r>
    </w:p>
    <w:p w:rsidR="00F74DE0" w:rsidRDefault="00F74DE0" w:rsidP="00F74DE0">
      <w:pPr>
        <w:pStyle w:val="EndnoteText"/>
        <w:tabs>
          <w:tab w:val="left" w:pos="90"/>
          <w:tab w:val="left" w:pos="331"/>
          <w:tab w:val="left" w:pos="4680"/>
        </w:tabs>
        <w:suppressAutoHyphens/>
        <w:jc w:val="center"/>
        <w:rPr>
          <w:rFonts w:ascii="Arial" w:hAnsi="Arial" w:cs="Arial"/>
          <w:szCs w:val="24"/>
          <w:lang w:val="en-US"/>
        </w:rPr>
      </w:pPr>
    </w:p>
    <w:p w:rsidR="00F74DE0" w:rsidRDefault="00F74DE0" w:rsidP="00F74DE0">
      <w:pPr>
        <w:pStyle w:val="EndnoteText"/>
        <w:tabs>
          <w:tab w:val="left" w:pos="90"/>
          <w:tab w:val="left" w:pos="331"/>
          <w:tab w:val="left" w:pos="4680"/>
        </w:tabs>
        <w:suppressAutoHyphens/>
        <w:jc w:val="center"/>
        <w:rPr>
          <w:rFonts w:ascii="Arial" w:hAnsi="Arial" w:cs="Arial"/>
          <w:szCs w:val="24"/>
          <w:lang w:val="en-US"/>
        </w:rPr>
      </w:pPr>
    </w:p>
    <w:p w:rsidR="00834796" w:rsidRPr="00DB0C82" w:rsidRDefault="00036D9D" w:rsidP="00A1597B">
      <w:pPr>
        <w:pStyle w:val="EndnoteText"/>
        <w:rPr>
          <w:rFonts w:ascii="Arial" w:hAnsi="Arial" w:cs="Arial"/>
          <w:szCs w:val="24"/>
        </w:rPr>
      </w:pPr>
      <w:r>
        <w:rPr>
          <w:rFonts w:ascii="Arial" w:hAnsi="Arial" w:cs="Arial"/>
          <w:szCs w:val="24"/>
          <w:lang w:val="en-US"/>
        </w:rPr>
        <w:tab/>
      </w:r>
      <w:r>
        <w:rPr>
          <w:rFonts w:ascii="Arial" w:hAnsi="Arial" w:cs="Arial"/>
          <w:szCs w:val="24"/>
        </w:rPr>
        <w:t>The GSC</w:t>
      </w:r>
      <w:r w:rsidR="00E321EA">
        <w:rPr>
          <w:rFonts w:ascii="Arial" w:hAnsi="Arial" w:cs="Arial"/>
          <w:szCs w:val="24"/>
          <w:lang w:val="en-US"/>
        </w:rPr>
        <w:t xml:space="preserve"> </w:t>
      </w:r>
      <w:r>
        <w:rPr>
          <w:rFonts w:ascii="Arial" w:hAnsi="Arial" w:cs="Arial"/>
          <w:szCs w:val="24"/>
        </w:rPr>
        <w:t>-</w:t>
      </w:r>
      <w:r w:rsidR="00E321EA">
        <w:rPr>
          <w:rFonts w:ascii="Arial" w:hAnsi="Arial" w:cs="Arial"/>
          <w:szCs w:val="24"/>
          <w:lang w:val="en-US"/>
        </w:rPr>
        <w:t xml:space="preserve"> </w:t>
      </w:r>
      <w:r>
        <w:rPr>
          <w:rFonts w:ascii="Arial" w:hAnsi="Arial" w:cs="Arial"/>
          <w:szCs w:val="24"/>
        </w:rPr>
        <w:t xml:space="preserve">2 has two service provisions for large C&amp;I customers: Hourly </w:t>
      </w:r>
      <w:r w:rsidR="00513D2B">
        <w:rPr>
          <w:rFonts w:ascii="Arial" w:hAnsi="Arial" w:cs="Arial"/>
          <w:szCs w:val="24"/>
        </w:rPr>
        <w:t>Defa</w:t>
      </w:r>
      <w:r w:rsidR="00513D2B">
        <w:rPr>
          <w:rFonts w:ascii="Arial" w:hAnsi="Arial" w:cs="Arial"/>
          <w:szCs w:val="24"/>
          <w:lang w:val="en-US"/>
        </w:rPr>
        <w:t>ult</w:t>
      </w:r>
      <w:r>
        <w:rPr>
          <w:rFonts w:ascii="Arial" w:hAnsi="Arial" w:cs="Arial"/>
          <w:szCs w:val="24"/>
        </w:rPr>
        <w:t>t Service and Optional Monthly Pricing Service (O</w:t>
      </w:r>
      <w:r w:rsidR="000F0D7B">
        <w:rPr>
          <w:rFonts w:ascii="Arial" w:hAnsi="Arial" w:cs="Arial"/>
          <w:szCs w:val="24"/>
          <w:lang w:val="en-US"/>
        </w:rPr>
        <w:t>MP</w:t>
      </w:r>
      <w:r>
        <w:rPr>
          <w:rFonts w:ascii="Arial" w:hAnsi="Arial" w:cs="Arial"/>
          <w:szCs w:val="24"/>
        </w:rPr>
        <w:t>S).  The GSC</w:t>
      </w:r>
      <w:r w:rsidR="002326C1">
        <w:rPr>
          <w:rFonts w:ascii="Arial" w:hAnsi="Arial" w:cs="Arial"/>
          <w:szCs w:val="24"/>
          <w:lang w:val="en-US"/>
        </w:rPr>
        <w:t xml:space="preserve"> - 2</w:t>
      </w:r>
      <w:r>
        <w:rPr>
          <w:rFonts w:ascii="Arial" w:hAnsi="Arial" w:cs="Arial"/>
          <w:szCs w:val="24"/>
        </w:rPr>
        <w:t xml:space="preserve"> Hourly Default Service Rate </w:t>
      </w:r>
      <w:r w:rsidR="00A21809">
        <w:rPr>
          <w:rFonts w:ascii="Arial" w:hAnsi="Arial" w:cs="Arial"/>
          <w:szCs w:val="24"/>
        </w:rPr>
        <w:t xml:space="preserve">Option provides electric </w:t>
      </w:r>
      <w:r w:rsidR="00F74DE0">
        <w:rPr>
          <w:rFonts w:ascii="Arial" w:hAnsi="Arial" w:cs="Arial"/>
          <w:szCs w:val="24"/>
        </w:rPr>
        <w:t>g</w:t>
      </w:r>
      <w:r w:rsidR="00A21809">
        <w:rPr>
          <w:rFonts w:ascii="Arial" w:hAnsi="Arial" w:cs="Arial"/>
          <w:szCs w:val="24"/>
        </w:rPr>
        <w:t xml:space="preserve">eneration service to eligible customers who have not selected the </w:t>
      </w:r>
      <w:r w:rsidR="000F0D7B">
        <w:rPr>
          <w:rFonts w:ascii="Arial" w:hAnsi="Arial" w:cs="Arial"/>
          <w:szCs w:val="24"/>
          <w:lang w:val="en-US"/>
        </w:rPr>
        <w:t>OMPS</w:t>
      </w:r>
      <w:r w:rsidR="00A21809">
        <w:rPr>
          <w:rFonts w:ascii="Arial" w:hAnsi="Arial" w:cs="Arial"/>
          <w:szCs w:val="24"/>
        </w:rPr>
        <w:t xml:space="preserve"> or an alternative generation supplier.  </w:t>
      </w:r>
      <w:r w:rsidR="00834796">
        <w:rPr>
          <w:rFonts w:ascii="Arial" w:hAnsi="Arial" w:cs="Arial"/>
          <w:szCs w:val="24"/>
        </w:rPr>
        <w:t>Under the Hourly Default Service Option</w:t>
      </w:r>
      <w:r w:rsidR="004C7E03">
        <w:rPr>
          <w:rFonts w:ascii="Arial" w:hAnsi="Arial" w:cs="Arial"/>
          <w:szCs w:val="24"/>
        </w:rPr>
        <w:t>,</w:t>
      </w:r>
      <w:r w:rsidR="00834796">
        <w:rPr>
          <w:rFonts w:ascii="Arial" w:hAnsi="Arial" w:cs="Arial"/>
          <w:szCs w:val="24"/>
        </w:rPr>
        <w:t xml:space="preserve"> </w:t>
      </w:r>
      <w:r w:rsidR="00C90CAA">
        <w:rPr>
          <w:rFonts w:ascii="Arial" w:hAnsi="Arial" w:cs="Arial"/>
          <w:szCs w:val="24"/>
        </w:rPr>
        <w:t>each</w:t>
      </w:r>
      <w:r w:rsidR="00834796">
        <w:rPr>
          <w:rFonts w:ascii="Arial" w:hAnsi="Arial" w:cs="Arial"/>
          <w:szCs w:val="24"/>
        </w:rPr>
        <w:t xml:space="preserve"> customer will be </w:t>
      </w:r>
      <w:r w:rsidR="00C90CAA">
        <w:rPr>
          <w:rFonts w:ascii="Arial" w:hAnsi="Arial" w:cs="Arial"/>
          <w:szCs w:val="24"/>
        </w:rPr>
        <w:t xml:space="preserve">billed </w:t>
      </w:r>
      <w:r w:rsidR="000F0D7B">
        <w:rPr>
          <w:rFonts w:ascii="Arial" w:hAnsi="Arial" w:cs="Arial"/>
          <w:szCs w:val="24"/>
          <w:lang w:val="en-US"/>
        </w:rPr>
        <w:t xml:space="preserve">directly </w:t>
      </w:r>
      <w:r w:rsidR="00C90CAA">
        <w:rPr>
          <w:rFonts w:ascii="Arial" w:hAnsi="Arial" w:cs="Arial"/>
          <w:szCs w:val="24"/>
        </w:rPr>
        <w:t>for</w:t>
      </w:r>
      <w:r w:rsidR="00834796">
        <w:rPr>
          <w:rFonts w:ascii="Arial" w:hAnsi="Arial" w:cs="Arial"/>
          <w:szCs w:val="24"/>
        </w:rPr>
        <w:t xml:space="preserve"> the</w:t>
      </w:r>
      <w:r w:rsidR="00C90CAA">
        <w:rPr>
          <w:rFonts w:ascii="Arial" w:hAnsi="Arial" w:cs="Arial"/>
          <w:szCs w:val="24"/>
        </w:rPr>
        <w:t>ir actual</w:t>
      </w:r>
      <w:r w:rsidR="00834796">
        <w:rPr>
          <w:rFonts w:ascii="Arial" w:hAnsi="Arial" w:cs="Arial"/>
          <w:szCs w:val="24"/>
        </w:rPr>
        <w:t xml:space="preserve"> energy </w:t>
      </w:r>
      <w:r w:rsidR="00C90CAA">
        <w:rPr>
          <w:rFonts w:ascii="Arial" w:hAnsi="Arial" w:cs="Arial"/>
          <w:szCs w:val="24"/>
        </w:rPr>
        <w:t xml:space="preserve">usage </w:t>
      </w:r>
      <w:r w:rsidR="000F0D7B">
        <w:rPr>
          <w:rFonts w:ascii="Arial" w:hAnsi="Arial" w:cs="Arial"/>
          <w:szCs w:val="24"/>
          <w:lang w:val="en-US"/>
        </w:rPr>
        <w:t>using</w:t>
      </w:r>
      <w:r w:rsidR="00C90CAA">
        <w:rPr>
          <w:rFonts w:ascii="Arial" w:hAnsi="Arial" w:cs="Arial"/>
          <w:szCs w:val="24"/>
        </w:rPr>
        <w:t xml:space="preserve"> a real time charge</w:t>
      </w:r>
      <w:r w:rsidR="00834796">
        <w:rPr>
          <w:rFonts w:ascii="Arial" w:hAnsi="Arial" w:cs="Arial"/>
          <w:szCs w:val="24"/>
        </w:rPr>
        <w:t xml:space="preserve"> per KWH </w:t>
      </w:r>
      <w:r w:rsidR="004C7E03">
        <w:rPr>
          <w:rFonts w:ascii="Arial" w:hAnsi="Arial" w:cs="Arial"/>
          <w:szCs w:val="24"/>
        </w:rPr>
        <w:t xml:space="preserve">for each hour of the billing month </w:t>
      </w:r>
      <w:r w:rsidR="00834796">
        <w:rPr>
          <w:rFonts w:ascii="Arial" w:hAnsi="Arial" w:cs="Arial"/>
          <w:szCs w:val="24"/>
        </w:rPr>
        <w:t xml:space="preserve">based on PJM Zone Locational Marginal Prices. </w:t>
      </w:r>
    </w:p>
    <w:p w:rsidR="00B544AF" w:rsidRPr="0075647E" w:rsidRDefault="00B544AF" w:rsidP="0075647E">
      <w:pPr>
        <w:ind w:firstLine="720"/>
        <w:rPr>
          <w:rFonts w:ascii="Arial" w:hAnsi="Arial" w:cs="Arial"/>
          <w:szCs w:val="26"/>
        </w:rPr>
      </w:pPr>
    </w:p>
    <w:p w:rsidR="002F639C" w:rsidRPr="00F63C8B" w:rsidRDefault="0075647E" w:rsidP="002F639C">
      <w:pPr>
        <w:pStyle w:val="Heading1"/>
        <w:tabs>
          <w:tab w:val="clear" w:pos="4680"/>
          <w:tab w:val="left" w:pos="360"/>
        </w:tabs>
        <w:rPr>
          <w:rFonts w:ascii="Arial" w:hAnsi="Arial" w:cs="Arial"/>
          <w:sz w:val="26"/>
          <w:szCs w:val="26"/>
        </w:rPr>
      </w:pPr>
      <w:r w:rsidRPr="0075647E">
        <w:rPr>
          <w:rFonts w:ascii="Arial" w:hAnsi="Arial" w:cs="Arial"/>
          <w:b w:val="0"/>
          <w:sz w:val="26"/>
          <w:szCs w:val="26"/>
        </w:rPr>
        <w:br w:type="page"/>
      </w:r>
      <w:r w:rsidR="002F639C" w:rsidRPr="00F63C8B">
        <w:rPr>
          <w:rFonts w:ascii="Arial" w:hAnsi="Arial" w:cs="Arial"/>
          <w:sz w:val="26"/>
          <w:szCs w:val="26"/>
        </w:rPr>
        <w:lastRenderedPageBreak/>
        <w:t xml:space="preserve">PPL ELECTRIC UTILITIES </w:t>
      </w:r>
      <w:r w:rsidR="002F639C">
        <w:rPr>
          <w:rFonts w:ascii="Arial" w:hAnsi="Arial" w:cs="Arial"/>
          <w:sz w:val="26"/>
          <w:szCs w:val="26"/>
        </w:rPr>
        <w:t>CORPORATION</w:t>
      </w:r>
    </w:p>
    <w:p w:rsidR="002F639C" w:rsidRPr="00E25FDB" w:rsidRDefault="002F639C" w:rsidP="002F639C">
      <w:pPr>
        <w:pStyle w:val="Heading1"/>
        <w:tabs>
          <w:tab w:val="clear" w:pos="4680"/>
          <w:tab w:val="left" w:pos="360"/>
        </w:tabs>
        <w:jc w:val="left"/>
        <w:rPr>
          <w:rFonts w:ascii="Arial" w:hAnsi="Arial" w:cs="Arial"/>
          <w:szCs w:val="24"/>
        </w:rPr>
      </w:pPr>
    </w:p>
    <w:p w:rsidR="002F639C" w:rsidRPr="00E25FDB" w:rsidRDefault="00926C42" w:rsidP="002F639C">
      <w:pPr>
        <w:pStyle w:val="Heading1"/>
        <w:tabs>
          <w:tab w:val="clear" w:pos="4680"/>
          <w:tab w:val="left" w:pos="360"/>
        </w:tabs>
        <w:rPr>
          <w:rFonts w:ascii="Arial" w:hAnsi="Arial" w:cs="Arial"/>
          <w:szCs w:val="24"/>
        </w:rPr>
      </w:pPr>
      <w:r>
        <w:rPr>
          <w:rFonts w:ascii="Arial" w:hAnsi="Arial" w:cs="Arial"/>
          <w:szCs w:val="24"/>
        </w:rPr>
        <w:t xml:space="preserve">Current </w:t>
      </w:r>
      <w:r w:rsidR="002326C1">
        <w:rPr>
          <w:rFonts w:ascii="Arial" w:hAnsi="Arial" w:cs="Arial"/>
          <w:szCs w:val="24"/>
        </w:rPr>
        <w:t>Periods’</w:t>
      </w:r>
      <w:r w:rsidR="00445F81">
        <w:rPr>
          <w:rFonts w:ascii="Arial" w:hAnsi="Arial" w:cs="Arial"/>
          <w:szCs w:val="24"/>
        </w:rPr>
        <w:t xml:space="preserve"> </w:t>
      </w:r>
      <w:r>
        <w:rPr>
          <w:rFonts w:ascii="Arial" w:hAnsi="Arial" w:cs="Arial"/>
          <w:szCs w:val="24"/>
        </w:rPr>
        <w:t>Audit Finding</w:t>
      </w:r>
    </w:p>
    <w:p w:rsidR="002F639C" w:rsidRDefault="002F639C" w:rsidP="002F639C">
      <w:pPr>
        <w:rPr>
          <w:rFonts w:ascii="Arial" w:hAnsi="Arial" w:cs="Arial"/>
          <w:szCs w:val="24"/>
        </w:rPr>
      </w:pPr>
    </w:p>
    <w:p w:rsidR="002F639C" w:rsidRPr="00E25FDB" w:rsidRDefault="002F639C" w:rsidP="002F639C">
      <w:pPr>
        <w:rPr>
          <w:rFonts w:ascii="Arial" w:hAnsi="Arial" w:cs="Arial"/>
          <w:szCs w:val="24"/>
        </w:rPr>
      </w:pPr>
    </w:p>
    <w:p w:rsidR="002F639C" w:rsidRPr="00E25FDB" w:rsidRDefault="002F639C" w:rsidP="002F639C">
      <w:pPr>
        <w:pStyle w:val="Heading1"/>
        <w:tabs>
          <w:tab w:val="clear" w:pos="4680"/>
          <w:tab w:val="left" w:pos="-2880"/>
          <w:tab w:val="left" w:pos="1080"/>
        </w:tabs>
        <w:jc w:val="left"/>
        <w:rPr>
          <w:rFonts w:ascii="Arial" w:hAnsi="Arial" w:cs="Arial"/>
          <w:szCs w:val="24"/>
        </w:rPr>
      </w:pPr>
      <w:r w:rsidRPr="00E25FDB">
        <w:rPr>
          <w:rFonts w:ascii="Arial" w:hAnsi="Arial" w:cs="Arial"/>
          <w:szCs w:val="24"/>
        </w:rPr>
        <w:t xml:space="preserve">Finding – Historical Data For Outdoor Lighting Service Customers Is Not </w:t>
      </w:r>
      <w:r w:rsidRPr="00E25FDB">
        <w:rPr>
          <w:rFonts w:ascii="Arial" w:hAnsi="Arial" w:cs="Arial"/>
          <w:szCs w:val="24"/>
          <w:u w:val="none"/>
        </w:rPr>
        <w:tab/>
      </w:r>
      <w:r w:rsidRPr="00E25FDB">
        <w:rPr>
          <w:rFonts w:ascii="Arial" w:hAnsi="Arial" w:cs="Arial"/>
          <w:szCs w:val="24"/>
        </w:rPr>
        <w:t>Maintained</w:t>
      </w:r>
    </w:p>
    <w:p w:rsidR="002F639C" w:rsidRPr="00E25FDB" w:rsidRDefault="002F639C" w:rsidP="002F639C">
      <w:pPr>
        <w:pStyle w:val="Heading1"/>
        <w:tabs>
          <w:tab w:val="clear" w:pos="4680"/>
          <w:tab w:val="left" w:pos="-2880"/>
        </w:tabs>
        <w:jc w:val="left"/>
        <w:rPr>
          <w:rFonts w:ascii="Arial" w:hAnsi="Arial" w:cs="Arial"/>
          <w:szCs w:val="24"/>
        </w:rPr>
      </w:pPr>
    </w:p>
    <w:p w:rsidR="002F639C" w:rsidRPr="00E25FDB" w:rsidRDefault="002F639C" w:rsidP="002F639C">
      <w:pPr>
        <w:pStyle w:val="Heading1"/>
        <w:tabs>
          <w:tab w:val="clear" w:pos="4680"/>
          <w:tab w:val="left" w:pos="-2880"/>
        </w:tabs>
        <w:jc w:val="left"/>
        <w:rPr>
          <w:rFonts w:ascii="Arial" w:hAnsi="Arial" w:cs="Arial"/>
          <w:b w:val="0"/>
          <w:szCs w:val="24"/>
          <w:u w:val="none"/>
        </w:rPr>
      </w:pPr>
      <w:r>
        <w:rPr>
          <w:rFonts w:ascii="Arial" w:hAnsi="Arial" w:cs="Arial"/>
          <w:b w:val="0"/>
          <w:szCs w:val="24"/>
          <w:u w:val="none"/>
        </w:rPr>
        <w:tab/>
      </w:r>
      <w:r w:rsidRPr="00E25FDB">
        <w:rPr>
          <w:rFonts w:ascii="Arial" w:hAnsi="Arial" w:cs="Arial"/>
          <w:b w:val="0"/>
          <w:szCs w:val="24"/>
          <w:u w:val="none"/>
        </w:rPr>
        <w:t xml:space="preserve">In determining the accuracy of reported </w:t>
      </w:r>
      <w:r w:rsidR="00A05BF1">
        <w:rPr>
          <w:rFonts w:ascii="Arial" w:hAnsi="Arial" w:cs="Arial"/>
          <w:b w:val="0"/>
          <w:szCs w:val="24"/>
          <w:u w:val="none"/>
        </w:rPr>
        <w:t>Generation Supply Charge (GSC)</w:t>
      </w:r>
      <w:r w:rsidRPr="00E25FDB">
        <w:rPr>
          <w:rFonts w:ascii="Arial" w:hAnsi="Arial" w:cs="Arial"/>
          <w:b w:val="0"/>
          <w:szCs w:val="24"/>
          <w:u w:val="none"/>
        </w:rPr>
        <w:t xml:space="preserve"> revenue, </w:t>
      </w:r>
      <w:r w:rsidR="00A64846">
        <w:rPr>
          <w:rFonts w:ascii="Arial" w:hAnsi="Arial" w:cs="Arial"/>
          <w:b w:val="0"/>
          <w:szCs w:val="24"/>
          <w:u w:val="none"/>
        </w:rPr>
        <w:t>our audit included the recalculation, on a limited sampling</w:t>
      </w:r>
      <w:r w:rsidR="00863840">
        <w:rPr>
          <w:rFonts w:ascii="Arial" w:hAnsi="Arial" w:cs="Arial"/>
          <w:b w:val="0"/>
          <w:szCs w:val="24"/>
          <w:u w:val="none"/>
        </w:rPr>
        <w:t>,</w:t>
      </w:r>
      <w:r w:rsidRPr="00E25FDB">
        <w:rPr>
          <w:rFonts w:ascii="Arial" w:hAnsi="Arial" w:cs="Arial"/>
          <w:b w:val="0"/>
          <w:szCs w:val="24"/>
          <w:u w:val="none"/>
        </w:rPr>
        <w:t xml:space="preserve"> </w:t>
      </w:r>
      <w:r>
        <w:rPr>
          <w:rFonts w:ascii="Arial" w:hAnsi="Arial" w:cs="Arial"/>
          <w:b w:val="0"/>
          <w:szCs w:val="24"/>
          <w:u w:val="none"/>
        </w:rPr>
        <w:t xml:space="preserve">of </w:t>
      </w:r>
      <w:r w:rsidRPr="00E25FDB">
        <w:rPr>
          <w:rFonts w:ascii="Arial" w:hAnsi="Arial" w:cs="Arial"/>
          <w:b w:val="0"/>
          <w:szCs w:val="24"/>
          <w:u w:val="none"/>
        </w:rPr>
        <w:t>customer bills based upon the properly assigned tariff rate schedule and KWH usage.  Billing recalculation was possible for all</w:t>
      </w:r>
      <w:r w:rsidR="00863840">
        <w:rPr>
          <w:rFonts w:ascii="Arial" w:hAnsi="Arial" w:cs="Arial"/>
          <w:b w:val="0"/>
          <w:szCs w:val="24"/>
          <w:u w:val="none"/>
        </w:rPr>
        <w:t xml:space="preserve"> rate schedule customer billings</w:t>
      </w:r>
      <w:r w:rsidRPr="00E25FDB">
        <w:rPr>
          <w:rFonts w:ascii="Arial" w:hAnsi="Arial" w:cs="Arial"/>
          <w:b w:val="0"/>
          <w:szCs w:val="24"/>
          <w:u w:val="none"/>
        </w:rPr>
        <w:t xml:space="preserve"> but lighting service customer billing.</w:t>
      </w:r>
      <w:r>
        <w:rPr>
          <w:rFonts w:ascii="Arial" w:hAnsi="Arial" w:cs="Arial"/>
          <w:b w:val="0"/>
          <w:szCs w:val="24"/>
          <w:u w:val="none"/>
        </w:rPr>
        <w:t xml:space="preserve">  </w:t>
      </w:r>
      <w:r w:rsidRPr="00E25FDB">
        <w:rPr>
          <w:rFonts w:ascii="Arial" w:hAnsi="Arial" w:cs="Arial"/>
          <w:b w:val="0"/>
          <w:szCs w:val="24"/>
          <w:u w:val="none"/>
        </w:rPr>
        <w:t>Staff noted that the Company did not maintain the details necessary for verification of customer billing under the following tariff rate schedules:</w:t>
      </w:r>
    </w:p>
    <w:p w:rsidR="002F639C" w:rsidRPr="00E25FDB" w:rsidRDefault="002F639C" w:rsidP="002F639C">
      <w:pPr>
        <w:pStyle w:val="Heading1"/>
        <w:tabs>
          <w:tab w:val="clear" w:pos="4680"/>
          <w:tab w:val="left" w:pos="-2880"/>
        </w:tabs>
        <w:jc w:val="left"/>
        <w:rPr>
          <w:rFonts w:ascii="Arial" w:hAnsi="Arial" w:cs="Arial"/>
          <w:b w:val="0"/>
          <w:szCs w:val="24"/>
          <w:u w:val="none"/>
        </w:rPr>
      </w:pPr>
      <w:r w:rsidRPr="00E25FDB">
        <w:rPr>
          <w:rFonts w:ascii="Arial" w:hAnsi="Arial" w:cs="Arial"/>
          <w:b w:val="0"/>
          <w:szCs w:val="24"/>
          <w:u w:val="none"/>
        </w:rPr>
        <w:t xml:space="preserve">  </w:t>
      </w:r>
    </w:p>
    <w:p w:rsidR="002F639C" w:rsidRPr="00E25FDB" w:rsidRDefault="002F639C" w:rsidP="002F639C">
      <w:pPr>
        <w:pStyle w:val="Heading1"/>
        <w:tabs>
          <w:tab w:val="clear" w:pos="4680"/>
          <w:tab w:val="left" w:pos="-2880"/>
        </w:tabs>
        <w:jc w:val="left"/>
        <w:rPr>
          <w:rFonts w:ascii="Arial" w:hAnsi="Arial" w:cs="Arial"/>
          <w:b w:val="0"/>
          <w:szCs w:val="24"/>
          <w:u w:val="none"/>
        </w:rPr>
      </w:pPr>
      <w:r w:rsidRPr="00E25FDB">
        <w:rPr>
          <w:rFonts w:ascii="Arial" w:hAnsi="Arial" w:cs="Arial"/>
          <w:b w:val="0"/>
          <w:szCs w:val="24"/>
          <w:u w:val="none"/>
        </w:rPr>
        <w:tab/>
      </w:r>
      <w:r w:rsidRPr="00E25FDB">
        <w:rPr>
          <w:rFonts w:ascii="Arial" w:hAnsi="Arial" w:cs="Arial"/>
          <w:b w:val="0"/>
          <w:szCs w:val="24"/>
          <w:u w:val="none"/>
        </w:rPr>
        <w:tab/>
        <w:t xml:space="preserve"> • SA – Private Area Lighting Service</w:t>
      </w:r>
    </w:p>
    <w:p w:rsidR="002F639C" w:rsidRPr="00E25FDB" w:rsidRDefault="002F639C" w:rsidP="002F639C">
      <w:pPr>
        <w:pStyle w:val="Heading1"/>
        <w:tabs>
          <w:tab w:val="clear" w:pos="4680"/>
          <w:tab w:val="left" w:pos="-2880"/>
        </w:tabs>
        <w:jc w:val="left"/>
        <w:rPr>
          <w:rFonts w:ascii="Arial" w:hAnsi="Arial" w:cs="Arial"/>
          <w:b w:val="0"/>
          <w:szCs w:val="24"/>
          <w:u w:val="none"/>
        </w:rPr>
      </w:pPr>
      <w:r w:rsidRPr="00E25FDB">
        <w:rPr>
          <w:rFonts w:ascii="Arial" w:hAnsi="Arial" w:cs="Arial"/>
          <w:b w:val="0"/>
          <w:szCs w:val="24"/>
          <w:u w:val="none"/>
        </w:rPr>
        <w:tab/>
      </w:r>
      <w:r w:rsidRPr="00E25FDB">
        <w:rPr>
          <w:rFonts w:ascii="Arial" w:hAnsi="Arial" w:cs="Arial"/>
          <w:b w:val="0"/>
          <w:szCs w:val="24"/>
          <w:u w:val="none"/>
        </w:rPr>
        <w:tab/>
        <w:t xml:space="preserve"> • SM – Mercury Vapor Street Lighting Service</w:t>
      </w:r>
    </w:p>
    <w:p w:rsidR="002F639C" w:rsidRPr="00E25FDB" w:rsidRDefault="002F639C" w:rsidP="002F639C">
      <w:pPr>
        <w:pStyle w:val="Heading1"/>
        <w:tabs>
          <w:tab w:val="clear" w:pos="4680"/>
          <w:tab w:val="left" w:pos="-2880"/>
        </w:tabs>
        <w:jc w:val="left"/>
        <w:rPr>
          <w:rFonts w:ascii="Arial" w:hAnsi="Arial" w:cs="Arial"/>
          <w:b w:val="0"/>
          <w:szCs w:val="24"/>
          <w:u w:val="none"/>
        </w:rPr>
      </w:pPr>
      <w:r w:rsidRPr="00E25FDB">
        <w:rPr>
          <w:rFonts w:ascii="Arial" w:hAnsi="Arial" w:cs="Arial"/>
          <w:b w:val="0"/>
          <w:szCs w:val="24"/>
          <w:u w:val="none"/>
        </w:rPr>
        <w:tab/>
      </w:r>
      <w:r w:rsidRPr="00E25FDB">
        <w:rPr>
          <w:rFonts w:ascii="Arial" w:hAnsi="Arial" w:cs="Arial"/>
          <w:b w:val="0"/>
          <w:szCs w:val="24"/>
          <w:u w:val="none"/>
        </w:rPr>
        <w:tab/>
        <w:t xml:space="preserve"> • SHS – High Pressure Sodium Street Lighting Service</w:t>
      </w:r>
    </w:p>
    <w:p w:rsidR="002F639C" w:rsidRPr="00E25FDB" w:rsidRDefault="002F639C" w:rsidP="002F639C">
      <w:pPr>
        <w:pStyle w:val="Heading1"/>
        <w:tabs>
          <w:tab w:val="clear" w:pos="4680"/>
          <w:tab w:val="left" w:pos="-2880"/>
        </w:tabs>
        <w:jc w:val="left"/>
        <w:rPr>
          <w:rFonts w:ascii="Arial" w:hAnsi="Arial" w:cs="Arial"/>
          <w:b w:val="0"/>
          <w:szCs w:val="24"/>
          <w:u w:val="none"/>
        </w:rPr>
      </w:pPr>
      <w:r w:rsidRPr="00E25FDB">
        <w:rPr>
          <w:rFonts w:ascii="Arial" w:hAnsi="Arial" w:cs="Arial"/>
          <w:b w:val="0"/>
          <w:szCs w:val="24"/>
          <w:u w:val="none"/>
        </w:rPr>
        <w:tab/>
      </w:r>
      <w:r w:rsidRPr="00E25FDB">
        <w:rPr>
          <w:rFonts w:ascii="Arial" w:hAnsi="Arial" w:cs="Arial"/>
          <w:b w:val="0"/>
          <w:szCs w:val="24"/>
          <w:u w:val="none"/>
        </w:rPr>
        <w:tab/>
        <w:t xml:space="preserve"> • SE – Energy Only Street Lighting Service</w:t>
      </w:r>
    </w:p>
    <w:p w:rsidR="002F639C" w:rsidRPr="00E25FDB" w:rsidRDefault="002F639C" w:rsidP="002F639C">
      <w:pPr>
        <w:pStyle w:val="Heading1"/>
        <w:tabs>
          <w:tab w:val="clear" w:pos="4680"/>
          <w:tab w:val="left" w:pos="-2880"/>
        </w:tabs>
        <w:jc w:val="left"/>
        <w:rPr>
          <w:rFonts w:ascii="Arial" w:hAnsi="Arial" w:cs="Arial"/>
          <w:b w:val="0"/>
          <w:szCs w:val="24"/>
          <w:u w:val="none"/>
        </w:rPr>
      </w:pPr>
      <w:r w:rsidRPr="00E25FDB">
        <w:rPr>
          <w:rFonts w:ascii="Arial" w:hAnsi="Arial" w:cs="Arial"/>
          <w:b w:val="0"/>
          <w:szCs w:val="24"/>
          <w:u w:val="none"/>
        </w:rPr>
        <w:tab/>
      </w:r>
      <w:r w:rsidRPr="00E25FDB">
        <w:rPr>
          <w:rFonts w:ascii="Arial" w:hAnsi="Arial" w:cs="Arial"/>
          <w:b w:val="0"/>
          <w:szCs w:val="24"/>
          <w:u w:val="none"/>
        </w:rPr>
        <w:tab/>
        <w:t xml:space="preserve"> • SI-1 – Municipal Street Lighting Service</w:t>
      </w:r>
    </w:p>
    <w:p w:rsidR="002F639C" w:rsidRPr="00E25FDB" w:rsidRDefault="002F639C" w:rsidP="002F639C">
      <w:pPr>
        <w:pStyle w:val="Heading1"/>
        <w:tabs>
          <w:tab w:val="clear" w:pos="4680"/>
          <w:tab w:val="left" w:pos="-2880"/>
        </w:tabs>
        <w:jc w:val="left"/>
        <w:rPr>
          <w:rFonts w:ascii="Arial" w:hAnsi="Arial" w:cs="Arial"/>
          <w:b w:val="0"/>
          <w:szCs w:val="24"/>
          <w:u w:val="none"/>
        </w:rPr>
      </w:pPr>
      <w:r w:rsidRPr="00E25FDB">
        <w:rPr>
          <w:rFonts w:ascii="Arial" w:hAnsi="Arial" w:cs="Arial"/>
          <w:b w:val="0"/>
          <w:szCs w:val="24"/>
          <w:u w:val="none"/>
        </w:rPr>
        <w:tab/>
      </w:r>
      <w:r w:rsidRPr="00E25FDB">
        <w:rPr>
          <w:rFonts w:ascii="Arial" w:hAnsi="Arial" w:cs="Arial"/>
          <w:b w:val="0"/>
          <w:szCs w:val="24"/>
          <w:u w:val="none"/>
        </w:rPr>
        <w:tab/>
        <w:t xml:space="preserve"> • TS – Municipal Traffic Signal Lighting Service.  </w:t>
      </w:r>
    </w:p>
    <w:p w:rsidR="002F639C" w:rsidRPr="00E25FDB" w:rsidRDefault="002F639C" w:rsidP="002F639C">
      <w:pPr>
        <w:pStyle w:val="Heading1"/>
        <w:tabs>
          <w:tab w:val="clear" w:pos="4680"/>
          <w:tab w:val="left" w:pos="-2880"/>
        </w:tabs>
        <w:jc w:val="left"/>
        <w:rPr>
          <w:rFonts w:ascii="Arial" w:hAnsi="Arial" w:cs="Arial"/>
          <w:b w:val="0"/>
          <w:szCs w:val="24"/>
          <w:u w:val="none"/>
        </w:rPr>
      </w:pPr>
    </w:p>
    <w:p w:rsidR="002F639C" w:rsidRPr="00E25FDB" w:rsidRDefault="002F639C" w:rsidP="002F639C">
      <w:pPr>
        <w:pStyle w:val="Heading1"/>
        <w:tabs>
          <w:tab w:val="clear" w:pos="4680"/>
          <w:tab w:val="left" w:pos="-2880"/>
        </w:tabs>
        <w:jc w:val="left"/>
        <w:rPr>
          <w:rFonts w:ascii="Arial" w:hAnsi="Arial" w:cs="Arial"/>
          <w:b w:val="0"/>
          <w:szCs w:val="24"/>
          <w:u w:val="none"/>
        </w:rPr>
      </w:pPr>
      <w:r>
        <w:rPr>
          <w:rFonts w:ascii="Arial" w:hAnsi="Arial" w:cs="Arial"/>
          <w:b w:val="0"/>
          <w:szCs w:val="24"/>
          <w:u w:val="none"/>
        </w:rPr>
        <w:tab/>
      </w:r>
      <w:r w:rsidRPr="00E25FDB">
        <w:rPr>
          <w:rFonts w:ascii="Arial" w:hAnsi="Arial" w:cs="Arial"/>
          <w:b w:val="0"/>
          <w:szCs w:val="24"/>
          <w:u w:val="none"/>
        </w:rPr>
        <w:t xml:space="preserve">With some exceptions, lighting service customer billing is based upon the number of lamps, the lamp description, number of lumens and type of supply, either overhead or underground.  These details are not maintained in the customer billing system, </w:t>
      </w:r>
      <w:r w:rsidR="00863840">
        <w:rPr>
          <w:rFonts w:ascii="Arial" w:hAnsi="Arial" w:cs="Arial"/>
          <w:b w:val="0"/>
          <w:szCs w:val="24"/>
          <w:u w:val="none"/>
        </w:rPr>
        <w:t>there</w:t>
      </w:r>
      <w:r w:rsidR="00B36E14">
        <w:rPr>
          <w:rFonts w:ascii="Arial" w:hAnsi="Arial" w:cs="Arial"/>
          <w:b w:val="0"/>
          <w:szCs w:val="24"/>
          <w:u w:val="none"/>
        </w:rPr>
        <w:t>by</w:t>
      </w:r>
      <w:r w:rsidR="00863840">
        <w:rPr>
          <w:rFonts w:ascii="Arial" w:hAnsi="Arial" w:cs="Arial"/>
          <w:b w:val="0"/>
          <w:szCs w:val="24"/>
          <w:u w:val="none"/>
        </w:rPr>
        <w:t xml:space="preserve">, </w:t>
      </w:r>
      <w:r w:rsidRPr="00E25FDB">
        <w:rPr>
          <w:rFonts w:ascii="Arial" w:hAnsi="Arial" w:cs="Arial"/>
          <w:b w:val="0"/>
          <w:szCs w:val="24"/>
          <w:u w:val="none"/>
        </w:rPr>
        <w:t xml:space="preserve">preventing the verification of accurate customer billing and </w:t>
      </w:r>
      <w:r w:rsidR="00DA32C0">
        <w:rPr>
          <w:rFonts w:ascii="Arial" w:hAnsi="Arial" w:cs="Arial"/>
          <w:b w:val="0"/>
          <w:szCs w:val="24"/>
          <w:u w:val="none"/>
        </w:rPr>
        <w:t>GSC</w:t>
      </w:r>
      <w:r w:rsidRPr="00E25FDB">
        <w:rPr>
          <w:rFonts w:ascii="Arial" w:hAnsi="Arial" w:cs="Arial"/>
          <w:b w:val="0"/>
          <w:szCs w:val="24"/>
          <w:u w:val="none"/>
        </w:rPr>
        <w:t xml:space="preserve"> revenue.  </w:t>
      </w:r>
    </w:p>
    <w:p w:rsidR="002F639C" w:rsidRPr="00E25FDB" w:rsidRDefault="002F639C" w:rsidP="002F639C">
      <w:pPr>
        <w:pStyle w:val="Heading1"/>
        <w:tabs>
          <w:tab w:val="clear" w:pos="4680"/>
          <w:tab w:val="left" w:pos="-2880"/>
        </w:tabs>
        <w:jc w:val="left"/>
        <w:rPr>
          <w:rFonts w:ascii="Arial" w:hAnsi="Arial" w:cs="Arial"/>
          <w:b w:val="0"/>
          <w:szCs w:val="24"/>
          <w:u w:val="none"/>
        </w:rPr>
      </w:pPr>
    </w:p>
    <w:p w:rsidR="002F639C" w:rsidRPr="00E25FDB" w:rsidRDefault="002F639C" w:rsidP="002F639C">
      <w:pPr>
        <w:pStyle w:val="Heading1"/>
        <w:tabs>
          <w:tab w:val="clear" w:pos="4680"/>
          <w:tab w:val="left" w:pos="-2880"/>
        </w:tabs>
        <w:jc w:val="left"/>
        <w:rPr>
          <w:rFonts w:ascii="Arial" w:hAnsi="Arial" w:cs="Arial"/>
          <w:b w:val="0"/>
          <w:szCs w:val="24"/>
          <w:u w:val="none"/>
        </w:rPr>
      </w:pPr>
      <w:r>
        <w:rPr>
          <w:rFonts w:ascii="Arial" w:hAnsi="Arial" w:cs="Arial"/>
          <w:b w:val="0"/>
          <w:szCs w:val="24"/>
          <w:u w:val="none"/>
        </w:rPr>
        <w:tab/>
      </w:r>
      <w:r w:rsidRPr="00E25FDB">
        <w:rPr>
          <w:rFonts w:ascii="Arial" w:hAnsi="Arial" w:cs="Arial"/>
          <w:b w:val="0"/>
          <w:szCs w:val="24"/>
          <w:u w:val="none"/>
        </w:rPr>
        <w:t>A 2005 CTC audit report included this finding and a recommendation to make historical customer data available.  The Company’s response to the prior audit recommendation indicated that a project was initiated to reformat customer bills and to maintain historical customer bill data.  However</w:t>
      </w:r>
      <w:r>
        <w:rPr>
          <w:rFonts w:ascii="Arial" w:hAnsi="Arial" w:cs="Arial"/>
          <w:b w:val="0"/>
          <w:szCs w:val="24"/>
          <w:u w:val="none"/>
        </w:rPr>
        <w:t>, during our audit,</w:t>
      </w:r>
      <w:r w:rsidRPr="00E25FDB">
        <w:rPr>
          <w:rFonts w:ascii="Arial" w:hAnsi="Arial" w:cs="Arial"/>
          <w:b w:val="0"/>
          <w:szCs w:val="24"/>
          <w:u w:val="none"/>
        </w:rPr>
        <w:t xml:space="preserve"> </w:t>
      </w:r>
      <w:r>
        <w:rPr>
          <w:rFonts w:ascii="Arial" w:hAnsi="Arial" w:cs="Arial"/>
          <w:b w:val="0"/>
          <w:szCs w:val="24"/>
          <w:u w:val="none"/>
        </w:rPr>
        <w:t>A</w:t>
      </w:r>
      <w:r w:rsidRPr="00E25FDB">
        <w:rPr>
          <w:rFonts w:ascii="Arial" w:hAnsi="Arial" w:cs="Arial"/>
          <w:b w:val="0"/>
          <w:szCs w:val="24"/>
          <w:u w:val="none"/>
        </w:rPr>
        <w:t>udit staff</w:t>
      </w:r>
      <w:r>
        <w:rPr>
          <w:rFonts w:ascii="Arial" w:hAnsi="Arial" w:cs="Arial"/>
          <w:b w:val="0"/>
          <w:szCs w:val="24"/>
          <w:u w:val="none"/>
        </w:rPr>
        <w:t>’s</w:t>
      </w:r>
      <w:r w:rsidRPr="00E25FDB">
        <w:rPr>
          <w:rFonts w:ascii="Arial" w:hAnsi="Arial" w:cs="Arial"/>
          <w:b w:val="0"/>
          <w:szCs w:val="24"/>
          <w:u w:val="none"/>
        </w:rPr>
        <w:t xml:space="preserve"> examination indicated that the project had not progressed to </w:t>
      </w:r>
      <w:r w:rsidR="00135EC4">
        <w:rPr>
          <w:rFonts w:ascii="Arial" w:hAnsi="Arial" w:cs="Arial"/>
          <w:b w:val="0"/>
          <w:szCs w:val="24"/>
          <w:u w:val="none"/>
        </w:rPr>
        <w:t xml:space="preserve">full </w:t>
      </w:r>
      <w:r w:rsidRPr="00E25FDB">
        <w:rPr>
          <w:rFonts w:ascii="Arial" w:hAnsi="Arial" w:cs="Arial"/>
          <w:b w:val="0"/>
          <w:szCs w:val="24"/>
          <w:u w:val="none"/>
        </w:rPr>
        <w:t xml:space="preserve">completion.   </w:t>
      </w:r>
    </w:p>
    <w:p w:rsidR="002F639C" w:rsidRPr="00E25FDB" w:rsidRDefault="002F639C" w:rsidP="002F639C">
      <w:pPr>
        <w:tabs>
          <w:tab w:val="left" w:pos="-2880"/>
        </w:tabs>
        <w:jc w:val="center"/>
        <w:rPr>
          <w:rFonts w:ascii="Arial" w:hAnsi="Arial" w:cs="Arial"/>
          <w:b/>
          <w:szCs w:val="24"/>
        </w:rPr>
      </w:pPr>
    </w:p>
    <w:p w:rsidR="002F639C" w:rsidRPr="00E25FDB" w:rsidRDefault="002F639C" w:rsidP="002F639C">
      <w:pPr>
        <w:tabs>
          <w:tab w:val="left" w:pos="-2880"/>
        </w:tabs>
        <w:rPr>
          <w:rFonts w:ascii="Arial" w:hAnsi="Arial" w:cs="Arial"/>
          <w:b/>
          <w:szCs w:val="24"/>
          <w:u w:val="single"/>
        </w:rPr>
      </w:pPr>
      <w:r w:rsidRPr="00E25FDB">
        <w:rPr>
          <w:rFonts w:ascii="Arial" w:hAnsi="Arial" w:cs="Arial"/>
          <w:b/>
          <w:szCs w:val="24"/>
          <w:u w:val="single"/>
        </w:rPr>
        <w:t>Recommendation</w:t>
      </w:r>
    </w:p>
    <w:p w:rsidR="002F639C" w:rsidRPr="00E25FDB" w:rsidRDefault="002F639C" w:rsidP="002F639C">
      <w:pPr>
        <w:tabs>
          <w:tab w:val="left" w:pos="-2880"/>
        </w:tabs>
        <w:rPr>
          <w:rFonts w:ascii="Arial" w:hAnsi="Arial" w:cs="Arial"/>
          <w:b/>
          <w:szCs w:val="24"/>
          <w:u w:val="single"/>
        </w:rPr>
      </w:pPr>
    </w:p>
    <w:p w:rsidR="002F639C" w:rsidRPr="00E25FDB" w:rsidRDefault="002F639C" w:rsidP="002F639C">
      <w:pPr>
        <w:tabs>
          <w:tab w:val="left" w:pos="-2880"/>
        </w:tabs>
        <w:rPr>
          <w:rFonts w:ascii="Arial" w:hAnsi="Arial" w:cs="Arial"/>
          <w:szCs w:val="24"/>
        </w:rPr>
      </w:pPr>
      <w:r>
        <w:rPr>
          <w:rFonts w:ascii="Arial" w:hAnsi="Arial" w:cs="Arial"/>
          <w:szCs w:val="24"/>
        </w:rPr>
        <w:tab/>
      </w:r>
      <w:r w:rsidRPr="00E25FDB">
        <w:rPr>
          <w:rFonts w:ascii="Arial" w:hAnsi="Arial" w:cs="Arial"/>
          <w:szCs w:val="24"/>
        </w:rPr>
        <w:t>We recommend that the Company develop and maintain a procedure provid</w:t>
      </w:r>
      <w:r w:rsidR="007D31BC">
        <w:rPr>
          <w:rFonts w:ascii="Arial" w:hAnsi="Arial" w:cs="Arial"/>
          <w:szCs w:val="24"/>
        </w:rPr>
        <w:t>ing</w:t>
      </w:r>
      <w:r w:rsidRPr="00E25FDB">
        <w:rPr>
          <w:rFonts w:ascii="Arial" w:hAnsi="Arial" w:cs="Arial"/>
          <w:szCs w:val="24"/>
        </w:rPr>
        <w:t xml:space="preserve"> for the </w:t>
      </w:r>
      <w:r w:rsidR="00BE651C" w:rsidRPr="00E25FDB">
        <w:rPr>
          <w:rFonts w:ascii="Arial" w:hAnsi="Arial" w:cs="Arial"/>
          <w:szCs w:val="24"/>
        </w:rPr>
        <w:t>maintena</w:t>
      </w:r>
      <w:r w:rsidR="00BE651C">
        <w:rPr>
          <w:rFonts w:ascii="Arial" w:hAnsi="Arial" w:cs="Arial"/>
          <w:szCs w:val="24"/>
        </w:rPr>
        <w:t>nce</w:t>
      </w:r>
      <w:r w:rsidRPr="00E25FDB">
        <w:rPr>
          <w:rFonts w:ascii="Arial" w:hAnsi="Arial" w:cs="Arial"/>
          <w:szCs w:val="24"/>
        </w:rPr>
        <w:t xml:space="preserve"> of historical billing data for all customer rate classes.  We also recommend that the Company establish an audit trail in the customer service system for outdoor lighting service customer billings.</w:t>
      </w:r>
    </w:p>
    <w:p w:rsidR="002F639C" w:rsidRPr="00E25FDB" w:rsidRDefault="002F639C" w:rsidP="002F639C">
      <w:pPr>
        <w:rPr>
          <w:rFonts w:ascii="Arial" w:hAnsi="Arial" w:cs="Arial"/>
          <w:szCs w:val="24"/>
        </w:rPr>
      </w:pPr>
    </w:p>
    <w:p w:rsidR="002F639C" w:rsidRPr="00B35EDE" w:rsidRDefault="00AE1829" w:rsidP="002F639C">
      <w:pPr>
        <w:pStyle w:val="Heading1"/>
        <w:tabs>
          <w:tab w:val="left" w:pos="-3060"/>
        </w:tabs>
        <w:jc w:val="left"/>
        <w:rPr>
          <w:rFonts w:ascii="Arial" w:hAnsi="Arial" w:cs="Arial"/>
          <w:szCs w:val="24"/>
        </w:rPr>
      </w:pPr>
      <w:r>
        <w:rPr>
          <w:rFonts w:ascii="Arial" w:hAnsi="Arial" w:cs="Arial"/>
          <w:szCs w:val="24"/>
        </w:rPr>
        <w:t>Auditor’s Note</w:t>
      </w:r>
    </w:p>
    <w:p w:rsidR="002F639C" w:rsidRDefault="002F639C" w:rsidP="002F639C">
      <w:pPr>
        <w:pStyle w:val="Heading1"/>
        <w:tabs>
          <w:tab w:val="left" w:pos="-3060"/>
        </w:tabs>
        <w:jc w:val="left"/>
        <w:rPr>
          <w:rFonts w:ascii="Arial" w:hAnsi="Arial" w:cs="Arial"/>
          <w:b w:val="0"/>
          <w:szCs w:val="24"/>
          <w:u w:val="none"/>
        </w:rPr>
      </w:pPr>
    </w:p>
    <w:p w:rsidR="002F639C" w:rsidRDefault="002F639C" w:rsidP="002F639C">
      <w:pPr>
        <w:ind w:firstLine="720"/>
        <w:rPr>
          <w:rFonts w:ascii="Arial" w:hAnsi="Arial" w:cs="Arial"/>
        </w:rPr>
      </w:pPr>
      <w:r w:rsidRPr="002F639C">
        <w:rPr>
          <w:rFonts w:ascii="Arial" w:hAnsi="Arial" w:cs="Arial"/>
        </w:rPr>
        <w:t xml:space="preserve">The Company </w:t>
      </w:r>
      <w:r>
        <w:rPr>
          <w:rFonts w:ascii="Arial" w:hAnsi="Arial" w:cs="Arial"/>
        </w:rPr>
        <w:t>is in the process of developing</w:t>
      </w:r>
      <w:r w:rsidRPr="002F639C">
        <w:rPr>
          <w:rFonts w:ascii="Arial" w:hAnsi="Arial" w:cs="Arial"/>
        </w:rPr>
        <w:t xml:space="preserve"> procedures for maintaining historical billing data for the above lighting service rate schedule customers.  </w:t>
      </w:r>
    </w:p>
    <w:p w:rsidR="002F639C" w:rsidRPr="002F639C" w:rsidRDefault="002F639C" w:rsidP="002F639C">
      <w:pPr>
        <w:ind w:firstLine="720"/>
        <w:rPr>
          <w:rFonts w:ascii="Arial" w:hAnsi="Arial" w:cs="Arial"/>
        </w:rPr>
      </w:pPr>
    </w:p>
    <w:p w:rsidR="002F639C" w:rsidRDefault="002F639C" w:rsidP="002F639C">
      <w:pPr>
        <w:ind w:left="1440" w:hanging="1620"/>
        <w:rPr>
          <w:rFonts w:ascii="Arial" w:hAnsi="Arial" w:cs="Arial"/>
          <w:b/>
          <w:szCs w:val="24"/>
        </w:rPr>
      </w:pPr>
    </w:p>
    <w:p w:rsidR="002F639C" w:rsidRDefault="002F639C" w:rsidP="002F639C">
      <w:pPr>
        <w:ind w:left="1440" w:hanging="1620"/>
        <w:jc w:val="center"/>
        <w:rPr>
          <w:rFonts w:ascii="Arial" w:hAnsi="Arial" w:cs="Arial"/>
          <w:b/>
          <w:sz w:val="26"/>
          <w:szCs w:val="26"/>
          <w:u w:val="single"/>
        </w:rPr>
      </w:pPr>
      <w:r w:rsidRPr="002F639C">
        <w:rPr>
          <w:rFonts w:ascii="Arial" w:hAnsi="Arial" w:cs="Arial"/>
          <w:b/>
          <w:sz w:val="26"/>
          <w:szCs w:val="26"/>
          <w:u w:val="single"/>
        </w:rPr>
        <w:lastRenderedPageBreak/>
        <w:t>PPL ELECTRIC UTILITIES CORPORATION</w:t>
      </w:r>
    </w:p>
    <w:p w:rsidR="002F639C" w:rsidRDefault="002F639C" w:rsidP="002F639C">
      <w:pPr>
        <w:ind w:left="1440" w:hanging="1620"/>
        <w:jc w:val="center"/>
        <w:rPr>
          <w:rFonts w:ascii="Arial" w:hAnsi="Arial" w:cs="Arial"/>
          <w:b/>
          <w:sz w:val="26"/>
          <w:szCs w:val="26"/>
          <w:u w:val="single"/>
        </w:rPr>
      </w:pPr>
    </w:p>
    <w:p w:rsidR="002F639C" w:rsidRPr="00927B82" w:rsidRDefault="00927B82" w:rsidP="002F639C">
      <w:pPr>
        <w:ind w:left="1440" w:hanging="1620"/>
        <w:jc w:val="center"/>
        <w:rPr>
          <w:rFonts w:ascii="Arial" w:hAnsi="Arial" w:cs="Arial"/>
          <w:b/>
          <w:u w:val="single"/>
        </w:rPr>
      </w:pPr>
      <w:r w:rsidRPr="00A1597B">
        <w:rPr>
          <w:rFonts w:ascii="Arial" w:hAnsi="Arial" w:cs="Arial"/>
          <w:b/>
          <w:szCs w:val="24"/>
          <w:u w:val="single"/>
        </w:rPr>
        <w:t xml:space="preserve">Current </w:t>
      </w:r>
      <w:r w:rsidR="00445F81">
        <w:rPr>
          <w:rFonts w:ascii="Arial" w:hAnsi="Arial" w:cs="Arial"/>
          <w:b/>
          <w:szCs w:val="24"/>
          <w:u w:val="single"/>
        </w:rPr>
        <w:t xml:space="preserve">Periods’ </w:t>
      </w:r>
      <w:r w:rsidRPr="00A1597B">
        <w:rPr>
          <w:rFonts w:ascii="Arial" w:hAnsi="Arial" w:cs="Arial"/>
          <w:b/>
          <w:szCs w:val="24"/>
          <w:u w:val="single"/>
        </w:rPr>
        <w:t>Observation</w:t>
      </w:r>
      <w:r w:rsidR="001D309F">
        <w:rPr>
          <w:rFonts w:ascii="Arial" w:hAnsi="Arial" w:cs="Arial"/>
          <w:b/>
          <w:szCs w:val="24"/>
          <w:u w:val="single"/>
        </w:rPr>
        <w:t>s</w:t>
      </w:r>
    </w:p>
    <w:p w:rsidR="00927B82" w:rsidRDefault="00927B82" w:rsidP="002F639C">
      <w:pPr>
        <w:ind w:left="1440" w:hanging="1620"/>
        <w:jc w:val="center"/>
        <w:rPr>
          <w:rFonts w:ascii="Arial" w:hAnsi="Arial" w:cs="Arial"/>
          <w:b/>
          <w:u w:val="single"/>
        </w:rPr>
      </w:pPr>
    </w:p>
    <w:p w:rsidR="00927B82" w:rsidRPr="002F639C" w:rsidRDefault="00927B82" w:rsidP="002F639C">
      <w:pPr>
        <w:ind w:left="1440" w:hanging="1620"/>
        <w:jc w:val="center"/>
        <w:rPr>
          <w:rFonts w:ascii="Arial" w:hAnsi="Arial" w:cs="Arial"/>
          <w:b/>
          <w:u w:val="single"/>
        </w:rPr>
      </w:pPr>
    </w:p>
    <w:p w:rsidR="009933AE" w:rsidRDefault="009933AE" w:rsidP="00B36E14">
      <w:pPr>
        <w:ind w:left="1980" w:hanging="2160"/>
        <w:rPr>
          <w:rFonts w:ascii="Arial" w:hAnsi="Arial" w:cs="Arial"/>
          <w:b/>
          <w:u w:val="single"/>
        </w:rPr>
      </w:pPr>
      <w:r w:rsidRPr="00C55793">
        <w:rPr>
          <w:rFonts w:ascii="Arial" w:hAnsi="Arial" w:cs="Arial"/>
          <w:b/>
          <w:u w:val="single"/>
        </w:rPr>
        <w:t>Observation</w:t>
      </w:r>
      <w:r>
        <w:rPr>
          <w:rFonts w:ascii="Arial" w:hAnsi="Arial" w:cs="Arial"/>
          <w:b/>
          <w:u w:val="single"/>
        </w:rPr>
        <w:t xml:space="preserve"> </w:t>
      </w:r>
      <w:r w:rsidR="00B36E14">
        <w:rPr>
          <w:rFonts w:ascii="Arial" w:hAnsi="Arial" w:cs="Arial"/>
          <w:b/>
          <w:u w:val="single"/>
        </w:rPr>
        <w:t>No. 1</w:t>
      </w:r>
      <w:r>
        <w:rPr>
          <w:rFonts w:ascii="Arial" w:hAnsi="Arial" w:cs="Arial"/>
          <w:b/>
          <w:u w:val="single"/>
        </w:rPr>
        <w:t>-</w:t>
      </w:r>
      <w:r w:rsidRPr="00C55793">
        <w:rPr>
          <w:rFonts w:ascii="Arial" w:hAnsi="Arial" w:cs="Arial"/>
          <w:b/>
          <w:u w:val="single"/>
        </w:rPr>
        <w:t xml:space="preserve"> PPL</w:t>
      </w:r>
      <w:r>
        <w:rPr>
          <w:rFonts w:ascii="Arial" w:hAnsi="Arial" w:cs="Arial"/>
          <w:b/>
          <w:u w:val="single"/>
        </w:rPr>
        <w:t xml:space="preserve"> Electric</w:t>
      </w:r>
      <w:r w:rsidRPr="00C55793">
        <w:rPr>
          <w:rFonts w:ascii="Arial" w:hAnsi="Arial" w:cs="Arial"/>
          <w:b/>
          <w:u w:val="single"/>
        </w:rPr>
        <w:t>’s Rate Stabilization Plan Has Been Conducted In Accordance With The Approved Ride</w:t>
      </w:r>
      <w:r w:rsidR="001D309F">
        <w:rPr>
          <w:rFonts w:ascii="Arial" w:hAnsi="Arial" w:cs="Arial"/>
          <w:b/>
          <w:u w:val="single"/>
        </w:rPr>
        <w:t>r</w:t>
      </w:r>
      <w:r w:rsidRPr="00C55793">
        <w:rPr>
          <w:rFonts w:ascii="Arial" w:hAnsi="Arial" w:cs="Arial"/>
          <w:b/>
          <w:u w:val="single"/>
        </w:rPr>
        <w:t xml:space="preserve"> </w:t>
      </w:r>
    </w:p>
    <w:p w:rsidR="009933AE" w:rsidRPr="00C55793" w:rsidRDefault="009933AE" w:rsidP="009933AE">
      <w:pPr>
        <w:rPr>
          <w:rFonts w:ascii="Arial" w:hAnsi="Arial" w:cs="Arial"/>
        </w:rPr>
      </w:pPr>
    </w:p>
    <w:p w:rsidR="009933AE" w:rsidRPr="00C55793" w:rsidRDefault="009933AE" w:rsidP="009933AE">
      <w:pPr>
        <w:rPr>
          <w:rFonts w:ascii="Arial" w:hAnsi="Arial" w:cs="Arial"/>
        </w:rPr>
      </w:pPr>
    </w:p>
    <w:p w:rsidR="009933AE" w:rsidRPr="00C55793" w:rsidRDefault="009933AE" w:rsidP="00A1597B">
      <w:pPr>
        <w:ind w:firstLine="720"/>
        <w:rPr>
          <w:rFonts w:ascii="Arial" w:hAnsi="Arial" w:cs="Arial"/>
        </w:rPr>
      </w:pPr>
      <w:r w:rsidRPr="00C55793">
        <w:rPr>
          <w:rFonts w:ascii="Arial" w:hAnsi="Arial" w:cs="Arial"/>
        </w:rPr>
        <w:t>By Order entered</w:t>
      </w:r>
      <w:r w:rsidR="00135EC4">
        <w:rPr>
          <w:rFonts w:ascii="Arial" w:hAnsi="Arial" w:cs="Arial"/>
        </w:rPr>
        <w:t xml:space="preserve"> on </w:t>
      </w:r>
      <w:r w:rsidRPr="00C55793">
        <w:rPr>
          <w:rFonts w:ascii="Arial" w:hAnsi="Arial" w:cs="Arial"/>
        </w:rPr>
        <w:t xml:space="preserve">August 7, 2008, at </w:t>
      </w:r>
      <w:r w:rsidR="00230BB1">
        <w:rPr>
          <w:rFonts w:ascii="Arial" w:hAnsi="Arial" w:cs="Arial"/>
        </w:rPr>
        <w:t>D</w:t>
      </w:r>
      <w:r w:rsidRPr="00C55793">
        <w:rPr>
          <w:rFonts w:ascii="Arial" w:hAnsi="Arial" w:cs="Arial"/>
        </w:rPr>
        <w:t xml:space="preserve">ocket </w:t>
      </w:r>
      <w:r w:rsidR="00230BB1">
        <w:rPr>
          <w:rFonts w:ascii="Arial" w:hAnsi="Arial" w:cs="Arial"/>
        </w:rPr>
        <w:t xml:space="preserve">No. </w:t>
      </w:r>
      <w:r w:rsidRPr="00C55793">
        <w:rPr>
          <w:rFonts w:ascii="Arial" w:hAnsi="Arial" w:cs="Arial"/>
        </w:rPr>
        <w:t>P-2008-2021776, the Commission approved the Joint Petition for Settlement of PPL</w:t>
      </w:r>
      <w:r>
        <w:rPr>
          <w:rFonts w:ascii="Arial" w:hAnsi="Arial" w:cs="Arial"/>
        </w:rPr>
        <w:t xml:space="preserve"> Electric</w:t>
      </w:r>
      <w:r w:rsidRPr="00C55793">
        <w:rPr>
          <w:rFonts w:ascii="Arial" w:hAnsi="Arial" w:cs="Arial"/>
        </w:rPr>
        <w:t>’s Rate Stabilization Plan</w:t>
      </w:r>
      <w:r>
        <w:rPr>
          <w:rFonts w:ascii="Arial" w:hAnsi="Arial" w:cs="Arial"/>
        </w:rPr>
        <w:t xml:space="preserve"> (RSP) proceeding</w:t>
      </w:r>
      <w:r w:rsidRPr="00C55793">
        <w:rPr>
          <w:rFonts w:ascii="Arial" w:hAnsi="Arial" w:cs="Arial"/>
        </w:rPr>
        <w:t>.  PPL</w:t>
      </w:r>
      <w:r>
        <w:rPr>
          <w:rFonts w:ascii="Arial" w:hAnsi="Arial" w:cs="Arial"/>
        </w:rPr>
        <w:t xml:space="preserve"> Electric</w:t>
      </w:r>
      <w:r w:rsidRPr="00C55793">
        <w:rPr>
          <w:rFonts w:ascii="Arial" w:hAnsi="Arial" w:cs="Arial"/>
        </w:rPr>
        <w:t>’s RSP provides for the following:</w:t>
      </w:r>
    </w:p>
    <w:p w:rsidR="009933AE" w:rsidRPr="00C55793" w:rsidRDefault="009933AE" w:rsidP="009933AE">
      <w:pPr>
        <w:rPr>
          <w:rFonts w:ascii="Arial" w:hAnsi="Arial" w:cs="Arial"/>
        </w:rPr>
      </w:pPr>
    </w:p>
    <w:p w:rsidR="009933AE" w:rsidRPr="00C55793" w:rsidRDefault="009933AE" w:rsidP="009933AE">
      <w:pPr>
        <w:numPr>
          <w:ilvl w:val="0"/>
          <w:numId w:val="7"/>
        </w:numPr>
        <w:rPr>
          <w:rFonts w:ascii="Arial" w:hAnsi="Arial" w:cs="Arial"/>
        </w:rPr>
      </w:pPr>
      <w:r w:rsidRPr="00C55793">
        <w:rPr>
          <w:rFonts w:ascii="Arial" w:hAnsi="Arial" w:cs="Arial"/>
        </w:rPr>
        <w:t>The RSP was provided to facilitate a gradual transition to market-based electric supply rates by applying additional flat charges/credits to bills of participating customers during the period October 1, 2008 through December 31, 2011.</w:t>
      </w:r>
      <w:r w:rsidR="00026A97">
        <w:rPr>
          <w:rFonts w:ascii="Arial" w:hAnsi="Arial" w:cs="Arial"/>
        </w:rPr>
        <w:t xml:space="preserve"> </w:t>
      </w:r>
      <w:r w:rsidRPr="00C55793">
        <w:rPr>
          <w:rFonts w:ascii="Arial" w:hAnsi="Arial" w:cs="Arial"/>
        </w:rPr>
        <w:t xml:space="preserve"> The RSP </w:t>
      </w:r>
      <w:r>
        <w:rPr>
          <w:rFonts w:ascii="Arial" w:hAnsi="Arial" w:cs="Arial"/>
        </w:rPr>
        <w:t xml:space="preserve">was to be </w:t>
      </w:r>
      <w:r w:rsidRPr="00C55793">
        <w:rPr>
          <w:rFonts w:ascii="Arial" w:hAnsi="Arial" w:cs="Arial"/>
        </w:rPr>
        <w:t>applied to participating customers’ bills on a non-by</w:t>
      </w:r>
      <w:r w:rsidR="00445F81">
        <w:rPr>
          <w:rFonts w:ascii="Arial" w:hAnsi="Arial" w:cs="Arial"/>
        </w:rPr>
        <w:t>-</w:t>
      </w:r>
      <w:r w:rsidRPr="00C55793">
        <w:rPr>
          <w:rFonts w:ascii="Arial" w:hAnsi="Arial" w:cs="Arial"/>
        </w:rPr>
        <w:t>passable basis.</w:t>
      </w:r>
    </w:p>
    <w:p w:rsidR="009933AE" w:rsidRPr="00C55793" w:rsidRDefault="009933AE" w:rsidP="009933AE">
      <w:pPr>
        <w:rPr>
          <w:rFonts w:ascii="Arial" w:hAnsi="Arial" w:cs="Arial"/>
        </w:rPr>
      </w:pPr>
    </w:p>
    <w:p w:rsidR="009933AE" w:rsidRPr="00C55793" w:rsidRDefault="009933AE" w:rsidP="009933AE">
      <w:pPr>
        <w:pStyle w:val="ListParagraph"/>
        <w:numPr>
          <w:ilvl w:val="0"/>
          <w:numId w:val="7"/>
        </w:numPr>
        <w:rPr>
          <w:rFonts w:ascii="Arial" w:hAnsi="Arial" w:cs="Arial"/>
        </w:rPr>
      </w:pPr>
      <w:r w:rsidRPr="00C55793">
        <w:rPr>
          <w:rFonts w:ascii="Arial" w:hAnsi="Arial" w:cs="Arial"/>
        </w:rPr>
        <w:t xml:space="preserve">The RSP </w:t>
      </w:r>
      <w:r>
        <w:rPr>
          <w:rFonts w:ascii="Arial" w:hAnsi="Arial" w:cs="Arial"/>
        </w:rPr>
        <w:t>was</w:t>
      </w:r>
      <w:r w:rsidRPr="00C55793">
        <w:rPr>
          <w:rFonts w:ascii="Arial" w:hAnsi="Arial" w:cs="Arial"/>
        </w:rPr>
        <w:t xml:space="preserve"> available to eligible Residential customers (Rate Schedules RS, RTS (R), and RTD (R)), Commercial and Industrial customers (Rate Schedules GS-1, GS-3, GH-1 (R), and GH-2 (R)), and Street Lighting customers (Rate Schedule SE) who take distribution service from the Company. </w:t>
      </w:r>
      <w:r>
        <w:rPr>
          <w:rFonts w:ascii="Arial" w:hAnsi="Arial" w:cs="Arial"/>
        </w:rPr>
        <w:t xml:space="preserve"> </w:t>
      </w:r>
      <w:r w:rsidRPr="00C55793">
        <w:rPr>
          <w:rFonts w:ascii="Arial" w:hAnsi="Arial" w:cs="Arial"/>
        </w:rPr>
        <w:t xml:space="preserve">All customers served under these Rate Schedules </w:t>
      </w:r>
      <w:r>
        <w:rPr>
          <w:rFonts w:ascii="Arial" w:hAnsi="Arial" w:cs="Arial"/>
        </w:rPr>
        <w:t>were</w:t>
      </w:r>
      <w:r w:rsidRPr="00C55793">
        <w:rPr>
          <w:rFonts w:ascii="Arial" w:hAnsi="Arial" w:cs="Arial"/>
        </w:rPr>
        <w:t xml:space="preserve"> eligible, except customers enrolled in the Company’s On-Track Program.</w:t>
      </w:r>
      <w:r w:rsidR="00026A97">
        <w:rPr>
          <w:rFonts w:ascii="Arial" w:hAnsi="Arial" w:cs="Arial"/>
        </w:rPr>
        <w:t xml:space="preserve"> </w:t>
      </w:r>
      <w:r w:rsidRPr="00C55793">
        <w:rPr>
          <w:rFonts w:ascii="Arial" w:hAnsi="Arial" w:cs="Arial"/>
        </w:rPr>
        <w:t xml:space="preserve"> The </w:t>
      </w:r>
      <w:r>
        <w:rPr>
          <w:rFonts w:ascii="Arial" w:hAnsi="Arial" w:cs="Arial"/>
        </w:rPr>
        <w:t xml:space="preserve">rate </w:t>
      </w:r>
      <w:r w:rsidRPr="00C55793">
        <w:rPr>
          <w:rFonts w:ascii="Arial" w:hAnsi="Arial" w:cs="Arial"/>
        </w:rPr>
        <w:t xml:space="preserve">stabilization charges began October 1, 2008 and continued through December 31, 2009. </w:t>
      </w:r>
      <w:r w:rsidR="00026A97">
        <w:rPr>
          <w:rFonts w:ascii="Arial" w:hAnsi="Arial" w:cs="Arial"/>
        </w:rPr>
        <w:t xml:space="preserve"> </w:t>
      </w:r>
      <w:r w:rsidRPr="00C55793">
        <w:rPr>
          <w:rFonts w:ascii="Arial" w:hAnsi="Arial" w:cs="Arial"/>
        </w:rPr>
        <w:t>Customers could enroll in the program at any time prior to December 31, 2009 by making a one-time catch-up payment on their electric bill</w:t>
      </w:r>
      <w:r w:rsidR="00B36E14">
        <w:rPr>
          <w:rFonts w:ascii="Arial" w:hAnsi="Arial" w:cs="Arial"/>
        </w:rPr>
        <w:t>,</w:t>
      </w:r>
      <w:r w:rsidR="00C7358E">
        <w:rPr>
          <w:rFonts w:ascii="Arial" w:hAnsi="Arial" w:cs="Arial"/>
        </w:rPr>
        <w:t xml:space="preserve"> if they enrolled</w:t>
      </w:r>
      <w:r w:rsidR="00036D9D">
        <w:rPr>
          <w:rFonts w:ascii="Arial" w:hAnsi="Arial" w:cs="Arial"/>
        </w:rPr>
        <w:t xml:space="preserve"> in billing periods subsequent to</w:t>
      </w:r>
      <w:r w:rsidR="00C7358E">
        <w:rPr>
          <w:rFonts w:ascii="Arial" w:hAnsi="Arial" w:cs="Arial"/>
        </w:rPr>
        <w:t xml:space="preserve"> </w:t>
      </w:r>
      <w:r w:rsidR="00036D9D">
        <w:rPr>
          <w:rFonts w:ascii="Arial" w:hAnsi="Arial" w:cs="Arial"/>
        </w:rPr>
        <w:t xml:space="preserve">the initial billing period beginning on </w:t>
      </w:r>
      <w:r w:rsidR="00C7358E">
        <w:rPr>
          <w:rFonts w:ascii="Arial" w:hAnsi="Arial" w:cs="Arial"/>
        </w:rPr>
        <w:t>October 1, 2008</w:t>
      </w:r>
      <w:r w:rsidRPr="00C55793">
        <w:rPr>
          <w:rFonts w:ascii="Arial" w:hAnsi="Arial" w:cs="Arial"/>
        </w:rPr>
        <w:t>.</w:t>
      </w:r>
      <w:r w:rsidR="00026A97">
        <w:rPr>
          <w:rFonts w:ascii="Arial" w:hAnsi="Arial" w:cs="Arial"/>
        </w:rPr>
        <w:t xml:space="preserve"> </w:t>
      </w:r>
      <w:r w:rsidRPr="00C55793">
        <w:rPr>
          <w:rFonts w:ascii="Arial" w:hAnsi="Arial" w:cs="Arial"/>
        </w:rPr>
        <w:t xml:space="preserve"> The amount of the payment was equal to the current balance in the charge/credit schedule for the appropriate rate schedule and usage strata for that customer at the time of the request.</w:t>
      </w:r>
    </w:p>
    <w:p w:rsidR="009933AE" w:rsidRPr="00C55793" w:rsidRDefault="009933AE" w:rsidP="009933AE">
      <w:pPr>
        <w:rPr>
          <w:rFonts w:ascii="Arial" w:hAnsi="Arial" w:cs="Arial"/>
        </w:rPr>
      </w:pPr>
    </w:p>
    <w:p w:rsidR="009933AE" w:rsidRPr="00C55793" w:rsidRDefault="009933AE" w:rsidP="009933AE">
      <w:pPr>
        <w:pStyle w:val="ListParagraph"/>
        <w:numPr>
          <w:ilvl w:val="0"/>
          <w:numId w:val="7"/>
        </w:numPr>
        <w:rPr>
          <w:rFonts w:ascii="Arial" w:hAnsi="Arial" w:cs="Arial"/>
        </w:rPr>
      </w:pPr>
      <w:r w:rsidRPr="00C55793">
        <w:rPr>
          <w:rFonts w:ascii="Arial" w:hAnsi="Arial" w:cs="Arial"/>
        </w:rPr>
        <w:t xml:space="preserve">All revenue received through the RSP accrued 6% annual interest, compounded monthly, and </w:t>
      </w:r>
      <w:r>
        <w:rPr>
          <w:rFonts w:ascii="Arial" w:hAnsi="Arial" w:cs="Arial"/>
        </w:rPr>
        <w:t>was to be</w:t>
      </w:r>
      <w:r w:rsidRPr="00C55793">
        <w:rPr>
          <w:rFonts w:ascii="Arial" w:hAnsi="Arial" w:cs="Arial"/>
        </w:rPr>
        <w:t xml:space="preserve"> returned to customers through a monthly credit that began January 1, 2010 and ends December 31, 2011.</w:t>
      </w:r>
    </w:p>
    <w:p w:rsidR="009933AE" w:rsidRPr="00C55793" w:rsidRDefault="009933AE" w:rsidP="009933AE">
      <w:pPr>
        <w:rPr>
          <w:rFonts w:ascii="Arial" w:hAnsi="Arial" w:cs="Arial"/>
        </w:rPr>
      </w:pPr>
    </w:p>
    <w:p w:rsidR="009933AE" w:rsidRPr="00C55793" w:rsidRDefault="009933AE" w:rsidP="009933AE">
      <w:pPr>
        <w:rPr>
          <w:rFonts w:ascii="Arial" w:hAnsi="Arial" w:cs="Arial"/>
        </w:rPr>
      </w:pPr>
    </w:p>
    <w:p w:rsidR="00A704B0" w:rsidRDefault="00A704B0" w:rsidP="00A1597B">
      <w:pPr>
        <w:ind w:firstLine="720"/>
        <w:rPr>
          <w:rFonts w:ascii="Arial" w:hAnsi="Arial" w:cs="Arial"/>
        </w:rPr>
      </w:pPr>
      <w:r>
        <w:rPr>
          <w:rFonts w:ascii="Arial" w:hAnsi="Arial" w:cs="Arial"/>
        </w:rPr>
        <w:t>As discussed in a prior TSC Audit report at Docket No. D-2009-2123023, we reviewed the application of the RSP Rider from inception through the end of September 2010.</w:t>
      </w:r>
    </w:p>
    <w:p w:rsidR="00A704B0" w:rsidRDefault="00A704B0" w:rsidP="009933AE">
      <w:pPr>
        <w:rPr>
          <w:rFonts w:ascii="Arial" w:hAnsi="Arial" w:cs="Arial"/>
        </w:rPr>
      </w:pPr>
    </w:p>
    <w:p w:rsidR="00036D9D" w:rsidRDefault="00036D9D" w:rsidP="00AE1829">
      <w:pPr>
        <w:ind w:firstLine="360"/>
        <w:rPr>
          <w:rFonts w:ascii="Arial" w:hAnsi="Arial" w:cs="Arial"/>
        </w:rPr>
      </w:pPr>
      <w:r>
        <w:rPr>
          <w:rFonts w:ascii="Arial" w:hAnsi="Arial" w:cs="Arial"/>
        </w:rPr>
        <w:t xml:space="preserve">    </w:t>
      </w:r>
      <w:r w:rsidR="009933AE" w:rsidRPr="00C55793">
        <w:rPr>
          <w:rFonts w:ascii="Arial" w:hAnsi="Arial" w:cs="Arial"/>
        </w:rPr>
        <w:t xml:space="preserve">Our </w:t>
      </w:r>
      <w:r w:rsidR="0081284B">
        <w:rPr>
          <w:rFonts w:ascii="Arial" w:hAnsi="Arial" w:cs="Arial"/>
        </w:rPr>
        <w:t xml:space="preserve">current </w:t>
      </w:r>
      <w:r w:rsidR="009933AE" w:rsidRPr="00C55793">
        <w:rPr>
          <w:rFonts w:ascii="Arial" w:hAnsi="Arial" w:cs="Arial"/>
        </w:rPr>
        <w:t xml:space="preserve">review consisted of the testing of several </w:t>
      </w:r>
      <w:r w:rsidR="009933AE">
        <w:rPr>
          <w:rFonts w:ascii="Arial" w:hAnsi="Arial" w:cs="Arial"/>
        </w:rPr>
        <w:t>c</w:t>
      </w:r>
      <w:r w:rsidR="009933AE" w:rsidRPr="00C55793">
        <w:rPr>
          <w:rFonts w:ascii="Arial" w:hAnsi="Arial" w:cs="Arial"/>
        </w:rPr>
        <w:t>ustomers</w:t>
      </w:r>
      <w:r w:rsidR="009933AE">
        <w:rPr>
          <w:rFonts w:ascii="Arial" w:hAnsi="Arial" w:cs="Arial"/>
        </w:rPr>
        <w:t>’ bills</w:t>
      </w:r>
      <w:r w:rsidR="009933AE" w:rsidRPr="00C55793">
        <w:rPr>
          <w:rFonts w:ascii="Arial" w:hAnsi="Arial" w:cs="Arial"/>
        </w:rPr>
        <w:t xml:space="preserve"> to verify that the RSP </w:t>
      </w:r>
      <w:r w:rsidR="009933AE">
        <w:rPr>
          <w:rFonts w:ascii="Arial" w:hAnsi="Arial" w:cs="Arial"/>
        </w:rPr>
        <w:t>credits</w:t>
      </w:r>
      <w:r w:rsidR="009933AE" w:rsidRPr="00C55793">
        <w:rPr>
          <w:rFonts w:ascii="Arial" w:hAnsi="Arial" w:cs="Arial"/>
        </w:rPr>
        <w:t xml:space="preserve"> were </w:t>
      </w:r>
      <w:r w:rsidR="009933AE">
        <w:rPr>
          <w:rFonts w:ascii="Arial" w:hAnsi="Arial" w:cs="Arial"/>
        </w:rPr>
        <w:t>applied</w:t>
      </w:r>
      <w:r w:rsidR="00135EC4">
        <w:rPr>
          <w:rFonts w:ascii="Arial" w:hAnsi="Arial" w:cs="Arial"/>
        </w:rPr>
        <w:t xml:space="preserve"> to the customers</w:t>
      </w:r>
      <w:r w:rsidR="009B13A6">
        <w:rPr>
          <w:rFonts w:ascii="Arial" w:hAnsi="Arial" w:cs="Arial"/>
        </w:rPr>
        <w:t>’</w:t>
      </w:r>
      <w:r w:rsidR="00135EC4">
        <w:rPr>
          <w:rFonts w:ascii="Arial" w:hAnsi="Arial" w:cs="Arial"/>
        </w:rPr>
        <w:t xml:space="preserve"> bill</w:t>
      </w:r>
      <w:r w:rsidR="009B13A6">
        <w:rPr>
          <w:rFonts w:ascii="Arial" w:hAnsi="Arial" w:cs="Arial"/>
        </w:rPr>
        <w:t>s</w:t>
      </w:r>
      <w:r w:rsidR="009933AE">
        <w:rPr>
          <w:rFonts w:ascii="Arial" w:hAnsi="Arial" w:cs="Arial"/>
        </w:rPr>
        <w:t xml:space="preserve"> </w:t>
      </w:r>
      <w:r w:rsidR="009933AE" w:rsidRPr="00C55793">
        <w:rPr>
          <w:rFonts w:ascii="Arial" w:hAnsi="Arial" w:cs="Arial"/>
        </w:rPr>
        <w:t xml:space="preserve">in agreement with the approved RSP Rider. </w:t>
      </w:r>
      <w:r w:rsidR="004A43B7">
        <w:rPr>
          <w:rFonts w:ascii="Arial" w:hAnsi="Arial" w:cs="Arial"/>
        </w:rPr>
        <w:t xml:space="preserve"> </w:t>
      </w:r>
      <w:r w:rsidR="009933AE" w:rsidRPr="00C55793">
        <w:rPr>
          <w:rFonts w:ascii="Arial" w:hAnsi="Arial" w:cs="Arial"/>
        </w:rPr>
        <w:t xml:space="preserve">For the selected test customers, we obtained customer billing histories from </w:t>
      </w:r>
      <w:r w:rsidR="009933AE">
        <w:rPr>
          <w:rFonts w:ascii="Arial" w:hAnsi="Arial" w:cs="Arial"/>
        </w:rPr>
        <w:t>October 2010 through April 2011</w:t>
      </w:r>
      <w:r w:rsidR="009933AE" w:rsidRPr="00C55793">
        <w:rPr>
          <w:rFonts w:ascii="Arial" w:hAnsi="Arial" w:cs="Arial"/>
        </w:rPr>
        <w:t>.</w:t>
      </w:r>
      <w:r w:rsidR="009933AE">
        <w:rPr>
          <w:rFonts w:ascii="Arial" w:hAnsi="Arial" w:cs="Arial"/>
        </w:rPr>
        <w:t xml:space="preserve">  </w:t>
      </w:r>
      <w:r w:rsidR="009933AE" w:rsidRPr="00C55793">
        <w:rPr>
          <w:rFonts w:ascii="Arial" w:hAnsi="Arial" w:cs="Arial"/>
        </w:rPr>
        <w:t xml:space="preserve">It should be noted that the credits to participating </w:t>
      </w:r>
    </w:p>
    <w:p w:rsidR="009B13A6" w:rsidRDefault="009B13A6" w:rsidP="00036D9D">
      <w:pPr>
        <w:ind w:left="1440" w:hanging="1620"/>
        <w:jc w:val="center"/>
        <w:rPr>
          <w:rFonts w:ascii="Arial" w:hAnsi="Arial" w:cs="Arial"/>
          <w:b/>
          <w:sz w:val="26"/>
          <w:szCs w:val="26"/>
          <w:u w:val="single"/>
        </w:rPr>
      </w:pPr>
    </w:p>
    <w:p w:rsidR="00036D9D" w:rsidRDefault="00036D9D" w:rsidP="00036D9D">
      <w:pPr>
        <w:ind w:left="1440" w:hanging="1620"/>
        <w:jc w:val="center"/>
        <w:rPr>
          <w:rFonts w:ascii="Arial" w:hAnsi="Arial" w:cs="Arial"/>
          <w:b/>
          <w:sz w:val="26"/>
          <w:szCs w:val="26"/>
          <w:u w:val="single"/>
        </w:rPr>
      </w:pPr>
      <w:r w:rsidRPr="002F639C">
        <w:rPr>
          <w:rFonts w:ascii="Arial" w:hAnsi="Arial" w:cs="Arial"/>
          <w:b/>
          <w:sz w:val="26"/>
          <w:szCs w:val="26"/>
          <w:u w:val="single"/>
        </w:rPr>
        <w:lastRenderedPageBreak/>
        <w:t>PPL ELECTRIC UTILITIES CORPORATION</w:t>
      </w:r>
    </w:p>
    <w:p w:rsidR="00036D9D" w:rsidRDefault="00036D9D" w:rsidP="00036D9D">
      <w:pPr>
        <w:ind w:left="1440" w:hanging="1620"/>
        <w:jc w:val="center"/>
        <w:rPr>
          <w:rFonts w:ascii="Arial" w:hAnsi="Arial" w:cs="Arial"/>
          <w:b/>
          <w:sz w:val="26"/>
          <w:szCs w:val="26"/>
          <w:u w:val="single"/>
        </w:rPr>
      </w:pPr>
    </w:p>
    <w:p w:rsidR="00927B82" w:rsidRPr="00CE3B0D" w:rsidRDefault="00445F81" w:rsidP="00927B82">
      <w:pPr>
        <w:ind w:left="1440" w:hanging="1620"/>
        <w:jc w:val="center"/>
        <w:rPr>
          <w:rFonts w:ascii="Arial" w:hAnsi="Arial" w:cs="Arial"/>
          <w:b/>
          <w:u w:val="single"/>
        </w:rPr>
      </w:pPr>
      <w:r>
        <w:rPr>
          <w:rFonts w:ascii="Arial" w:hAnsi="Arial" w:cs="Arial"/>
          <w:b/>
          <w:szCs w:val="24"/>
          <w:u w:val="single"/>
        </w:rPr>
        <w:t>Current Periods’</w:t>
      </w:r>
      <w:r w:rsidR="00927B82" w:rsidRPr="00CE3B0D">
        <w:rPr>
          <w:rFonts w:ascii="Arial" w:hAnsi="Arial" w:cs="Arial"/>
          <w:b/>
          <w:szCs w:val="24"/>
          <w:u w:val="single"/>
        </w:rPr>
        <w:t xml:space="preserve"> Observation</w:t>
      </w:r>
      <w:r w:rsidR="001D309F">
        <w:rPr>
          <w:rFonts w:ascii="Arial" w:hAnsi="Arial" w:cs="Arial"/>
          <w:b/>
          <w:szCs w:val="24"/>
          <w:u w:val="single"/>
        </w:rPr>
        <w:t>s</w:t>
      </w:r>
      <w:r w:rsidR="00927B82">
        <w:rPr>
          <w:rFonts w:ascii="Arial" w:hAnsi="Arial" w:cs="Arial"/>
          <w:b/>
          <w:szCs w:val="24"/>
          <w:u w:val="single"/>
        </w:rPr>
        <w:t xml:space="preserve"> (continued)</w:t>
      </w:r>
    </w:p>
    <w:p w:rsidR="00927B82" w:rsidRDefault="00927B82" w:rsidP="00036D9D">
      <w:pPr>
        <w:ind w:left="1440" w:hanging="1620"/>
        <w:jc w:val="center"/>
        <w:rPr>
          <w:rFonts w:ascii="Arial" w:hAnsi="Arial" w:cs="Arial"/>
          <w:b/>
          <w:sz w:val="26"/>
          <w:szCs w:val="26"/>
          <w:u w:val="single"/>
        </w:rPr>
      </w:pPr>
    </w:p>
    <w:p w:rsidR="00036D9D" w:rsidRPr="002F639C" w:rsidRDefault="00036D9D" w:rsidP="00036D9D">
      <w:pPr>
        <w:ind w:left="1440" w:hanging="1620"/>
        <w:jc w:val="center"/>
        <w:rPr>
          <w:rFonts w:ascii="Arial" w:hAnsi="Arial" w:cs="Arial"/>
          <w:b/>
          <w:u w:val="single"/>
        </w:rPr>
      </w:pPr>
    </w:p>
    <w:p w:rsidR="009933AE" w:rsidRDefault="009B13A6" w:rsidP="00A1597B">
      <w:pPr>
        <w:rPr>
          <w:rFonts w:ascii="Arial" w:hAnsi="Arial" w:cs="Arial"/>
          <w:b/>
          <w:sz w:val="26"/>
          <w:szCs w:val="26"/>
          <w:u w:val="single"/>
        </w:rPr>
      </w:pPr>
      <w:proofErr w:type="gramStart"/>
      <w:r w:rsidRPr="00C55793">
        <w:rPr>
          <w:rFonts w:ascii="Arial" w:hAnsi="Arial" w:cs="Arial"/>
        </w:rPr>
        <w:t>customers</w:t>
      </w:r>
      <w:proofErr w:type="gramEnd"/>
      <w:r w:rsidRPr="00C55793">
        <w:rPr>
          <w:rFonts w:ascii="Arial" w:hAnsi="Arial" w:cs="Arial"/>
        </w:rPr>
        <w:t xml:space="preserve"> will continue through December 31, 2011</w:t>
      </w:r>
      <w:r>
        <w:rPr>
          <w:rFonts w:ascii="Arial" w:hAnsi="Arial" w:cs="Arial"/>
        </w:rPr>
        <w:t>, as mentioned above</w:t>
      </w:r>
      <w:r w:rsidRPr="00C55793">
        <w:rPr>
          <w:rFonts w:ascii="Arial" w:hAnsi="Arial" w:cs="Arial"/>
        </w:rPr>
        <w:t>.</w:t>
      </w:r>
      <w:r>
        <w:rPr>
          <w:rFonts w:ascii="Arial" w:hAnsi="Arial" w:cs="Arial"/>
        </w:rPr>
        <w:t xml:space="preserve">  In addition, we reviewed a list of credits to final accounts to see that the credits were properly passed back to customers.</w:t>
      </w:r>
      <w:r w:rsidRPr="00C55793">
        <w:rPr>
          <w:rFonts w:ascii="Arial" w:hAnsi="Arial" w:cs="Arial"/>
        </w:rPr>
        <w:t xml:space="preserve"> </w:t>
      </w:r>
      <w:r w:rsidR="00E8132E">
        <w:rPr>
          <w:rFonts w:ascii="Arial" w:hAnsi="Arial" w:cs="Arial"/>
        </w:rPr>
        <w:t xml:space="preserve"> </w:t>
      </w:r>
      <w:r w:rsidRPr="00C55793">
        <w:rPr>
          <w:rFonts w:ascii="Arial" w:hAnsi="Arial" w:cs="Arial"/>
        </w:rPr>
        <w:t xml:space="preserve">Based on our limited review, we conclude that the RSP </w:t>
      </w:r>
      <w:r w:rsidR="00135EC4">
        <w:rPr>
          <w:rFonts w:ascii="Arial" w:hAnsi="Arial" w:cs="Arial"/>
        </w:rPr>
        <w:t>credits, to applicable customer</w:t>
      </w:r>
      <w:r w:rsidR="009933AE" w:rsidRPr="00C55793">
        <w:rPr>
          <w:rFonts w:ascii="Arial" w:hAnsi="Arial" w:cs="Arial"/>
        </w:rPr>
        <w:t>s</w:t>
      </w:r>
      <w:r w:rsidR="00135EC4">
        <w:rPr>
          <w:rFonts w:ascii="Arial" w:hAnsi="Arial" w:cs="Arial"/>
        </w:rPr>
        <w:t>’</w:t>
      </w:r>
      <w:r w:rsidR="009933AE" w:rsidRPr="00C55793">
        <w:rPr>
          <w:rFonts w:ascii="Arial" w:hAnsi="Arial" w:cs="Arial"/>
        </w:rPr>
        <w:t xml:space="preserve"> billings, were in accordance with the approved RSP Rider. </w:t>
      </w:r>
    </w:p>
    <w:p w:rsidR="005A1156" w:rsidRDefault="005A1156">
      <w:pPr>
        <w:overflowPunct/>
        <w:autoSpaceDE/>
        <w:autoSpaceDN/>
        <w:adjustRightInd/>
        <w:textAlignment w:val="auto"/>
        <w:rPr>
          <w:rFonts w:ascii="Arial" w:hAnsi="Arial" w:cs="Arial"/>
          <w:b/>
          <w:u w:val="single"/>
        </w:rPr>
      </w:pPr>
      <w:r>
        <w:rPr>
          <w:rFonts w:ascii="Arial" w:hAnsi="Arial" w:cs="Arial"/>
          <w:b/>
          <w:u w:val="single"/>
        </w:rPr>
        <w:br w:type="page"/>
      </w:r>
    </w:p>
    <w:p w:rsidR="001D309F" w:rsidRDefault="001D309F" w:rsidP="001D309F">
      <w:pPr>
        <w:ind w:left="1440" w:hanging="1620"/>
        <w:jc w:val="center"/>
        <w:rPr>
          <w:rFonts w:ascii="Arial" w:hAnsi="Arial" w:cs="Arial"/>
          <w:b/>
          <w:sz w:val="26"/>
          <w:szCs w:val="26"/>
          <w:u w:val="single"/>
        </w:rPr>
      </w:pPr>
      <w:r w:rsidRPr="002F639C">
        <w:rPr>
          <w:rFonts w:ascii="Arial" w:hAnsi="Arial" w:cs="Arial"/>
          <w:b/>
          <w:sz w:val="26"/>
          <w:szCs w:val="26"/>
          <w:u w:val="single"/>
        </w:rPr>
        <w:lastRenderedPageBreak/>
        <w:t>PPL ELECTRIC UTILITIES CORPORATION</w:t>
      </w:r>
    </w:p>
    <w:p w:rsidR="001D309F" w:rsidRDefault="001D309F" w:rsidP="001D309F">
      <w:pPr>
        <w:ind w:left="1440" w:hanging="1620"/>
        <w:jc w:val="center"/>
        <w:rPr>
          <w:rFonts w:ascii="Arial" w:hAnsi="Arial" w:cs="Arial"/>
          <w:b/>
          <w:sz w:val="26"/>
          <w:szCs w:val="26"/>
          <w:u w:val="single"/>
        </w:rPr>
      </w:pPr>
    </w:p>
    <w:p w:rsidR="001D309F" w:rsidRPr="00CE3B0D" w:rsidRDefault="00445F81" w:rsidP="001D309F">
      <w:pPr>
        <w:ind w:left="1440" w:hanging="1620"/>
        <w:jc w:val="center"/>
        <w:rPr>
          <w:rFonts w:ascii="Arial" w:hAnsi="Arial" w:cs="Arial"/>
          <w:b/>
          <w:u w:val="single"/>
        </w:rPr>
      </w:pPr>
      <w:r>
        <w:rPr>
          <w:rFonts w:ascii="Arial" w:hAnsi="Arial" w:cs="Arial"/>
          <w:b/>
          <w:szCs w:val="24"/>
          <w:u w:val="single"/>
        </w:rPr>
        <w:t xml:space="preserve">Current Periods’ </w:t>
      </w:r>
      <w:r w:rsidR="001D309F" w:rsidRPr="00CE3B0D">
        <w:rPr>
          <w:rFonts w:ascii="Arial" w:hAnsi="Arial" w:cs="Arial"/>
          <w:b/>
          <w:szCs w:val="24"/>
          <w:u w:val="single"/>
        </w:rPr>
        <w:t>Observation</w:t>
      </w:r>
      <w:r w:rsidR="001D309F">
        <w:rPr>
          <w:rFonts w:ascii="Arial" w:hAnsi="Arial" w:cs="Arial"/>
          <w:b/>
          <w:szCs w:val="24"/>
          <w:u w:val="single"/>
        </w:rPr>
        <w:t>s (continued)</w:t>
      </w:r>
    </w:p>
    <w:p w:rsidR="001D309F" w:rsidRDefault="001D309F" w:rsidP="001D309F">
      <w:pPr>
        <w:ind w:left="2250" w:hanging="2250"/>
        <w:rPr>
          <w:rFonts w:ascii="Arial" w:hAnsi="Arial" w:cs="Arial"/>
          <w:b/>
          <w:u w:val="single"/>
        </w:rPr>
      </w:pPr>
    </w:p>
    <w:p w:rsidR="001D309F" w:rsidRDefault="001D309F" w:rsidP="001D309F">
      <w:pPr>
        <w:ind w:left="2250" w:hanging="2250"/>
        <w:rPr>
          <w:rFonts w:ascii="Arial" w:hAnsi="Arial" w:cs="Arial"/>
          <w:b/>
          <w:u w:val="single"/>
        </w:rPr>
      </w:pPr>
    </w:p>
    <w:p w:rsidR="001D309F" w:rsidRPr="005A28FD" w:rsidRDefault="001D309F" w:rsidP="001D309F">
      <w:pPr>
        <w:ind w:left="2250" w:hanging="2250"/>
        <w:rPr>
          <w:rFonts w:ascii="Arial" w:hAnsi="Arial" w:cs="Arial"/>
          <w:b/>
          <w:u w:val="single"/>
        </w:rPr>
      </w:pPr>
      <w:r w:rsidRPr="005A28FD">
        <w:rPr>
          <w:rFonts w:ascii="Arial" w:hAnsi="Arial" w:cs="Arial"/>
          <w:b/>
          <w:u w:val="single"/>
        </w:rPr>
        <w:t xml:space="preserve">Observation </w:t>
      </w:r>
      <w:r>
        <w:rPr>
          <w:rFonts w:ascii="Arial" w:hAnsi="Arial" w:cs="Arial"/>
          <w:b/>
          <w:u w:val="single"/>
        </w:rPr>
        <w:t xml:space="preserve">No. </w:t>
      </w:r>
      <w:r w:rsidRPr="005A28FD">
        <w:rPr>
          <w:rFonts w:ascii="Arial" w:hAnsi="Arial" w:cs="Arial"/>
          <w:b/>
          <w:u w:val="single"/>
        </w:rPr>
        <w:t>2 - PPL Electric’s GSC Reported Revenues Agree With Their Accounting Records</w:t>
      </w:r>
    </w:p>
    <w:p w:rsidR="001D309F" w:rsidRPr="005A28FD" w:rsidRDefault="001D309F" w:rsidP="001D309F">
      <w:pPr>
        <w:rPr>
          <w:rFonts w:ascii="Arial" w:hAnsi="Arial" w:cs="Arial"/>
        </w:rPr>
      </w:pPr>
    </w:p>
    <w:p w:rsidR="001D309F" w:rsidRPr="005A28FD" w:rsidRDefault="001D309F" w:rsidP="001D309F">
      <w:pPr>
        <w:rPr>
          <w:rFonts w:ascii="Arial" w:hAnsi="Arial" w:cs="Arial"/>
        </w:rPr>
      </w:pPr>
    </w:p>
    <w:p w:rsidR="001D309F" w:rsidRPr="005A28FD" w:rsidRDefault="001D309F" w:rsidP="001D309F">
      <w:pPr>
        <w:ind w:firstLine="720"/>
        <w:rPr>
          <w:rFonts w:ascii="Arial" w:hAnsi="Arial" w:cs="Arial"/>
        </w:rPr>
      </w:pPr>
      <w:r w:rsidRPr="005A28FD">
        <w:rPr>
          <w:rFonts w:ascii="Arial" w:hAnsi="Arial" w:cs="Arial"/>
        </w:rPr>
        <w:t>At its Public Meeting held on May 5, 2011, the Commission considered the Recommended Decision (RD) of ALJ Susan D. Colwell regarding PPL Electric’s Transmission Service Charge (TSC) Reconciliation Statement for the twelve months ended November 30, 2010 in the proceeding at Docket No. M-2010-2213754.  When considering the RD, the Commission adopted a Motion proposed by Commissioner Cawley.  Inter alia, the Motion directed the Bureau of Audits to advance its schedule for the audits of PPL Electric’s 2010 TSC and Generation Supply Charge (GSC) reconciliation statements</w:t>
      </w:r>
      <w:r>
        <w:rPr>
          <w:rFonts w:ascii="Arial" w:hAnsi="Arial" w:cs="Arial"/>
        </w:rPr>
        <w:t>.  The Motion also</w:t>
      </w:r>
      <w:r w:rsidRPr="005A28FD">
        <w:rPr>
          <w:rFonts w:ascii="Arial" w:hAnsi="Arial" w:cs="Arial"/>
        </w:rPr>
        <w:t xml:space="preserve"> deferred the Commission’s consideration of the RD until the completion of the audits so that the Audit Reports and the RD could be considered together at a future Public Meeting.  By Order entered on May 19, 2011 at Docket No. M-2010-2213754, the Commission noted that the Bureau of Audits had </w:t>
      </w:r>
      <w:r>
        <w:rPr>
          <w:rFonts w:ascii="Arial" w:hAnsi="Arial" w:cs="Arial"/>
        </w:rPr>
        <w:t>advanced</w:t>
      </w:r>
      <w:r w:rsidRPr="005A28FD">
        <w:rPr>
          <w:rFonts w:ascii="Arial" w:hAnsi="Arial" w:cs="Arial"/>
        </w:rPr>
        <w:t xml:space="preserve"> its schedule for the audits.</w:t>
      </w:r>
    </w:p>
    <w:p w:rsidR="001D309F" w:rsidRPr="005A28FD" w:rsidRDefault="001D309F" w:rsidP="001D309F">
      <w:pPr>
        <w:ind w:firstLine="720"/>
        <w:rPr>
          <w:rFonts w:ascii="Arial" w:hAnsi="Arial" w:cs="Arial"/>
        </w:rPr>
      </w:pPr>
    </w:p>
    <w:p w:rsidR="001D309F" w:rsidRPr="005A28FD" w:rsidRDefault="001D309F" w:rsidP="001D309F">
      <w:pPr>
        <w:rPr>
          <w:rFonts w:ascii="Arial" w:hAnsi="Arial" w:cs="Arial"/>
        </w:rPr>
      </w:pPr>
      <w:r w:rsidRPr="005A28FD">
        <w:rPr>
          <w:rFonts w:ascii="Arial" w:hAnsi="Arial" w:cs="Arial"/>
        </w:rPr>
        <w:tab/>
        <w:t>The GSC reconciliation statement submitted</w:t>
      </w:r>
      <w:r>
        <w:rPr>
          <w:rFonts w:ascii="Arial" w:hAnsi="Arial" w:cs="Arial"/>
        </w:rPr>
        <w:t xml:space="preserve"> on</w:t>
      </w:r>
      <w:r w:rsidRPr="005A28FD">
        <w:rPr>
          <w:rFonts w:ascii="Arial" w:hAnsi="Arial" w:cs="Arial"/>
        </w:rPr>
        <w:t xml:space="preserve"> December 14, 2010 at Docket No. M-2009-2213731, for the period January 1, 2010 through December 31, 2010, reported a large </w:t>
      </w:r>
      <w:r>
        <w:rPr>
          <w:rFonts w:ascii="Arial" w:hAnsi="Arial" w:cs="Arial"/>
        </w:rPr>
        <w:t xml:space="preserve">net </w:t>
      </w:r>
      <w:r w:rsidRPr="005A28FD">
        <w:rPr>
          <w:rFonts w:ascii="Arial" w:hAnsi="Arial" w:cs="Arial"/>
        </w:rPr>
        <w:t>under collection of GSC expenses for all rate classes totaling $78,156,877, excluding interest (see the Statement of GSC Over/(Under) Collections Section 1307(e) For the Twelve Months Ended December 31, 2010 on page 4 of this report).  The net under collection</w:t>
      </w:r>
      <w:r>
        <w:rPr>
          <w:rFonts w:ascii="Arial" w:hAnsi="Arial" w:cs="Arial"/>
        </w:rPr>
        <w:t xml:space="preserve"> amounts</w:t>
      </w:r>
      <w:r w:rsidRPr="005A28FD">
        <w:rPr>
          <w:rFonts w:ascii="Arial" w:hAnsi="Arial" w:cs="Arial"/>
        </w:rPr>
        <w:t xml:space="preserve"> by rate class w</w:t>
      </w:r>
      <w:r>
        <w:rPr>
          <w:rFonts w:ascii="Arial" w:hAnsi="Arial" w:cs="Arial"/>
        </w:rPr>
        <w:t>ere</w:t>
      </w:r>
      <w:r w:rsidRPr="005A28FD">
        <w:rPr>
          <w:rFonts w:ascii="Arial" w:hAnsi="Arial" w:cs="Arial"/>
        </w:rPr>
        <w:t xml:space="preserve"> $47,512,986 for Residential; $22,689,169 for Small C&amp;I; $4,403,919 for Large C&amp;I Fixed – Primary</w:t>
      </w:r>
      <w:r>
        <w:rPr>
          <w:rFonts w:ascii="Arial" w:hAnsi="Arial" w:cs="Arial"/>
        </w:rPr>
        <w:t>;</w:t>
      </w:r>
      <w:r w:rsidRPr="005A28FD">
        <w:rPr>
          <w:rFonts w:ascii="Arial" w:hAnsi="Arial" w:cs="Arial"/>
        </w:rPr>
        <w:t xml:space="preserve"> $943,353 for Large C&amp;I Fixed – Transmission; and $2,607,450 for Large C&amp;I – RTP customers.  The under collections are mostly related to January 2010 GSC revenues being prorated for the initial GSC rates that became effective</w:t>
      </w:r>
      <w:r>
        <w:rPr>
          <w:rFonts w:ascii="Arial" w:hAnsi="Arial" w:cs="Arial"/>
        </w:rPr>
        <w:t xml:space="preserve"> on</w:t>
      </w:r>
      <w:r w:rsidRPr="005A28FD">
        <w:rPr>
          <w:rFonts w:ascii="Arial" w:hAnsi="Arial" w:cs="Arial"/>
        </w:rPr>
        <w:t xml:space="preserve"> January 1, 2010</w:t>
      </w:r>
      <w:r>
        <w:rPr>
          <w:rFonts w:ascii="Arial" w:hAnsi="Arial" w:cs="Arial"/>
        </w:rPr>
        <w:t>,</w:t>
      </w:r>
      <w:r w:rsidRPr="005A28FD">
        <w:rPr>
          <w:rFonts w:ascii="Arial" w:hAnsi="Arial" w:cs="Arial"/>
        </w:rPr>
        <w:t xml:space="preserve"> following the end of generation rate caps on December 31, 2009.  The </w:t>
      </w:r>
      <w:r>
        <w:rPr>
          <w:rFonts w:ascii="Arial" w:hAnsi="Arial" w:cs="Arial"/>
        </w:rPr>
        <w:t xml:space="preserve">reported </w:t>
      </w:r>
      <w:r w:rsidRPr="005A28FD">
        <w:rPr>
          <w:rFonts w:ascii="Arial" w:hAnsi="Arial" w:cs="Arial"/>
        </w:rPr>
        <w:t>under collection amounts for the month of January 2010</w:t>
      </w:r>
      <w:r>
        <w:rPr>
          <w:rFonts w:ascii="Arial" w:hAnsi="Arial" w:cs="Arial"/>
        </w:rPr>
        <w:t>,</w:t>
      </w:r>
      <w:r w:rsidRPr="005A28FD">
        <w:rPr>
          <w:rFonts w:ascii="Arial" w:hAnsi="Arial" w:cs="Arial"/>
        </w:rPr>
        <w:t xml:space="preserve"> by rate class</w:t>
      </w:r>
      <w:r>
        <w:rPr>
          <w:rFonts w:ascii="Arial" w:hAnsi="Arial" w:cs="Arial"/>
        </w:rPr>
        <w:t>,</w:t>
      </w:r>
      <w:r w:rsidRPr="005A28FD">
        <w:rPr>
          <w:rFonts w:ascii="Arial" w:hAnsi="Arial" w:cs="Arial"/>
        </w:rPr>
        <w:t xml:space="preserve"> </w:t>
      </w:r>
      <w:r>
        <w:rPr>
          <w:rFonts w:ascii="Arial" w:hAnsi="Arial" w:cs="Arial"/>
        </w:rPr>
        <w:t>were</w:t>
      </w:r>
      <w:r w:rsidRPr="005A28FD">
        <w:rPr>
          <w:rFonts w:ascii="Arial" w:hAnsi="Arial" w:cs="Arial"/>
        </w:rPr>
        <w:t xml:space="preserve"> $77,051,816 for Residential; $29,221,975 for Small C&amp;I; $4,097,284 for Large C&amp;I Fixed – Primary; $3,412,811 for Large C&amp;I Fixed – Transmission; and $6,600,012 for Large C&amp;I – RTP customers.</w:t>
      </w:r>
    </w:p>
    <w:p w:rsidR="001D309F" w:rsidRPr="005A28FD" w:rsidRDefault="001D309F" w:rsidP="001D309F">
      <w:pPr>
        <w:rPr>
          <w:rFonts w:ascii="Arial" w:hAnsi="Arial" w:cs="Arial"/>
        </w:rPr>
      </w:pPr>
    </w:p>
    <w:p w:rsidR="001D309F" w:rsidRDefault="001D309F" w:rsidP="001D309F">
      <w:pPr>
        <w:rPr>
          <w:rFonts w:ascii="Arial" w:hAnsi="Arial" w:cs="Arial"/>
        </w:rPr>
      </w:pPr>
      <w:r>
        <w:rPr>
          <w:rFonts w:ascii="Arial" w:hAnsi="Arial" w:cs="Arial"/>
        </w:rPr>
        <w:tab/>
        <w:t xml:space="preserve">A significant portion of the reported under collections is related to cycle billing.  </w:t>
      </w:r>
      <w:r w:rsidRPr="005A28FD">
        <w:rPr>
          <w:rFonts w:ascii="Arial" w:hAnsi="Arial" w:cs="Arial"/>
        </w:rPr>
        <w:t>PPL Electric’s electric generation suppliers bill on a calendar month</w:t>
      </w:r>
      <w:r w:rsidR="00902CDA">
        <w:rPr>
          <w:rFonts w:ascii="Arial" w:hAnsi="Arial" w:cs="Arial"/>
        </w:rPr>
        <w:t>,</w:t>
      </w:r>
      <w:r w:rsidRPr="005A28FD">
        <w:rPr>
          <w:rFonts w:ascii="Arial" w:hAnsi="Arial" w:cs="Arial"/>
        </w:rPr>
        <w:t xml:space="preserve"> however</w:t>
      </w:r>
      <w:r>
        <w:rPr>
          <w:rFonts w:ascii="Arial" w:hAnsi="Arial" w:cs="Arial"/>
        </w:rPr>
        <w:t xml:space="preserve"> </w:t>
      </w:r>
      <w:r w:rsidRPr="005A28FD">
        <w:rPr>
          <w:rFonts w:ascii="Arial" w:hAnsi="Arial" w:cs="Arial"/>
        </w:rPr>
        <w:t>PPL Electric’s customer</w:t>
      </w:r>
      <w:r>
        <w:rPr>
          <w:rFonts w:ascii="Arial" w:hAnsi="Arial" w:cs="Arial"/>
        </w:rPr>
        <w:t>s</w:t>
      </w:r>
      <w:r w:rsidRPr="005A28FD">
        <w:rPr>
          <w:rFonts w:ascii="Arial" w:hAnsi="Arial" w:cs="Arial"/>
        </w:rPr>
        <w:t xml:space="preserve"> are billed </w:t>
      </w:r>
      <w:r>
        <w:rPr>
          <w:rFonts w:ascii="Arial" w:hAnsi="Arial" w:cs="Arial"/>
        </w:rPr>
        <w:t xml:space="preserve">throughout the month </w:t>
      </w:r>
      <w:r w:rsidRPr="005A28FD">
        <w:rPr>
          <w:rFonts w:ascii="Arial" w:hAnsi="Arial" w:cs="Arial"/>
        </w:rPr>
        <w:t xml:space="preserve">on a cycle that does not coincide with a calendar month.  This cycle billing methodology produces timing differences between monthly reported expenses and revenues for services rendered during the </w:t>
      </w:r>
    </w:p>
    <w:p w:rsidR="001D309F" w:rsidRDefault="00976146" w:rsidP="001D309F">
      <w:pPr>
        <w:rPr>
          <w:rFonts w:ascii="Arial" w:hAnsi="Arial" w:cs="Arial"/>
        </w:rPr>
      </w:pPr>
      <w:r w:rsidRPr="005A28FD">
        <w:rPr>
          <w:rFonts w:ascii="Arial" w:hAnsi="Arial" w:cs="Arial"/>
        </w:rPr>
        <w:t>month.  In the instance of the January 2010 GSC reconciliation, the first reconciliation</w:t>
      </w:r>
    </w:p>
    <w:p w:rsidR="00976146" w:rsidRDefault="00976146" w:rsidP="00976146">
      <w:pPr>
        <w:rPr>
          <w:rFonts w:ascii="Arial" w:hAnsi="Arial" w:cs="Arial"/>
        </w:rPr>
      </w:pPr>
      <w:r w:rsidRPr="005A28FD">
        <w:rPr>
          <w:rFonts w:ascii="Arial" w:hAnsi="Arial" w:cs="Arial"/>
        </w:rPr>
        <w:t xml:space="preserve">month following the initiation of the GSC </w:t>
      </w:r>
      <w:r>
        <w:rPr>
          <w:rFonts w:ascii="Arial" w:hAnsi="Arial" w:cs="Arial"/>
        </w:rPr>
        <w:t xml:space="preserve">rates and the </w:t>
      </w:r>
      <w:r w:rsidRPr="005A28FD">
        <w:rPr>
          <w:rFonts w:ascii="Arial" w:hAnsi="Arial" w:cs="Arial"/>
        </w:rPr>
        <w:t>reconcilable adjustment clause,</w:t>
      </w:r>
      <w:r>
        <w:rPr>
          <w:rFonts w:ascii="Arial" w:hAnsi="Arial" w:cs="Arial"/>
        </w:rPr>
        <w:t xml:space="preserve"> </w:t>
      </w:r>
    </w:p>
    <w:p w:rsidR="001D309F" w:rsidRDefault="00976146" w:rsidP="001D309F">
      <w:pPr>
        <w:rPr>
          <w:rFonts w:ascii="Arial" w:hAnsi="Arial" w:cs="Arial"/>
        </w:rPr>
      </w:pPr>
      <w:r>
        <w:rPr>
          <w:rFonts w:ascii="Arial" w:hAnsi="Arial" w:cs="Arial"/>
        </w:rPr>
        <w:t>PPL Electric prorated its bills to separate revenues billed for service rendered in</w:t>
      </w:r>
    </w:p>
    <w:p w:rsidR="001D309F" w:rsidRDefault="001D309F" w:rsidP="001D309F">
      <w:pPr>
        <w:rPr>
          <w:rFonts w:ascii="Arial" w:hAnsi="Arial" w:cs="Arial"/>
        </w:rPr>
      </w:pPr>
    </w:p>
    <w:p w:rsidR="001D309F" w:rsidRDefault="001D309F" w:rsidP="001D309F">
      <w:pPr>
        <w:ind w:left="1440" w:hanging="1620"/>
        <w:jc w:val="center"/>
        <w:rPr>
          <w:rFonts w:ascii="Arial" w:hAnsi="Arial" w:cs="Arial"/>
          <w:b/>
          <w:sz w:val="26"/>
          <w:szCs w:val="26"/>
          <w:u w:val="single"/>
        </w:rPr>
      </w:pPr>
      <w:r w:rsidRPr="002F639C">
        <w:rPr>
          <w:rFonts w:ascii="Arial" w:hAnsi="Arial" w:cs="Arial"/>
          <w:b/>
          <w:sz w:val="26"/>
          <w:szCs w:val="26"/>
          <w:u w:val="single"/>
        </w:rPr>
        <w:lastRenderedPageBreak/>
        <w:t>PPL ELECTRIC UTILITIES CORPORATION</w:t>
      </w:r>
    </w:p>
    <w:p w:rsidR="001D309F" w:rsidRDefault="001D309F" w:rsidP="001D309F">
      <w:pPr>
        <w:ind w:left="1440" w:hanging="1620"/>
        <w:jc w:val="center"/>
        <w:rPr>
          <w:rFonts w:ascii="Arial" w:hAnsi="Arial" w:cs="Arial"/>
          <w:b/>
          <w:sz w:val="26"/>
          <w:szCs w:val="26"/>
          <w:u w:val="single"/>
        </w:rPr>
      </w:pPr>
    </w:p>
    <w:p w:rsidR="001D309F" w:rsidRPr="00CE3B0D" w:rsidRDefault="00445F81" w:rsidP="001D309F">
      <w:pPr>
        <w:ind w:left="1440" w:hanging="1620"/>
        <w:jc w:val="center"/>
        <w:rPr>
          <w:rFonts w:ascii="Arial" w:hAnsi="Arial" w:cs="Arial"/>
          <w:b/>
          <w:u w:val="single"/>
        </w:rPr>
      </w:pPr>
      <w:r>
        <w:rPr>
          <w:rFonts w:ascii="Arial" w:hAnsi="Arial" w:cs="Arial"/>
          <w:b/>
          <w:szCs w:val="24"/>
          <w:u w:val="single"/>
        </w:rPr>
        <w:t>Current Periods’</w:t>
      </w:r>
      <w:r w:rsidR="001D309F" w:rsidRPr="00CE3B0D">
        <w:rPr>
          <w:rFonts w:ascii="Arial" w:hAnsi="Arial" w:cs="Arial"/>
          <w:b/>
          <w:szCs w:val="24"/>
          <w:u w:val="single"/>
        </w:rPr>
        <w:t xml:space="preserve"> Observation</w:t>
      </w:r>
      <w:r w:rsidR="001D309F">
        <w:rPr>
          <w:rFonts w:ascii="Arial" w:hAnsi="Arial" w:cs="Arial"/>
          <w:b/>
          <w:szCs w:val="24"/>
          <w:u w:val="single"/>
        </w:rPr>
        <w:t>s (continued)</w:t>
      </w:r>
    </w:p>
    <w:p w:rsidR="001D309F" w:rsidRDefault="001D309F" w:rsidP="001D309F">
      <w:pPr>
        <w:rPr>
          <w:rFonts w:ascii="Arial" w:hAnsi="Arial" w:cs="Arial"/>
        </w:rPr>
      </w:pPr>
    </w:p>
    <w:p w:rsidR="005406EA" w:rsidRDefault="005406EA" w:rsidP="001D309F">
      <w:pPr>
        <w:rPr>
          <w:rFonts w:ascii="Arial" w:hAnsi="Arial" w:cs="Arial"/>
        </w:rPr>
      </w:pPr>
    </w:p>
    <w:p w:rsidR="001D309F" w:rsidRDefault="001D309F" w:rsidP="001D309F">
      <w:pPr>
        <w:rPr>
          <w:rFonts w:ascii="Arial" w:hAnsi="Arial" w:cs="Arial"/>
        </w:rPr>
      </w:pPr>
      <w:r>
        <w:rPr>
          <w:rFonts w:ascii="Arial" w:hAnsi="Arial" w:cs="Arial"/>
        </w:rPr>
        <w:t xml:space="preserve">December 2009 </w:t>
      </w:r>
      <w:r w:rsidR="00445F81">
        <w:rPr>
          <w:rFonts w:ascii="Arial" w:hAnsi="Arial" w:cs="Arial"/>
        </w:rPr>
        <w:t xml:space="preserve">(pre rate cap expiration) </w:t>
      </w:r>
      <w:r>
        <w:rPr>
          <w:rFonts w:ascii="Arial" w:hAnsi="Arial" w:cs="Arial"/>
        </w:rPr>
        <w:t xml:space="preserve">and service rendered beginning January 1, 2010. </w:t>
      </w:r>
      <w:r w:rsidR="00942352">
        <w:rPr>
          <w:rFonts w:ascii="Arial" w:hAnsi="Arial" w:cs="Arial"/>
        </w:rPr>
        <w:t xml:space="preserve"> </w:t>
      </w:r>
      <w:r>
        <w:rPr>
          <w:rFonts w:ascii="Arial" w:hAnsi="Arial" w:cs="Arial"/>
        </w:rPr>
        <w:t>As a result,</w:t>
      </w:r>
      <w:r w:rsidRPr="005A28FD">
        <w:rPr>
          <w:rFonts w:ascii="Arial" w:hAnsi="Arial" w:cs="Arial"/>
        </w:rPr>
        <w:t xml:space="preserve"> the Company reported a full month of </w:t>
      </w:r>
      <w:r>
        <w:rPr>
          <w:rFonts w:ascii="Arial" w:hAnsi="Arial" w:cs="Arial"/>
        </w:rPr>
        <w:t xml:space="preserve">generation-related </w:t>
      </w:r>
      <w:r w:rsidRPr="005A28FD">
        <w:rPr>
          <w:rFonts w:ascii="Arial" w:hAnsi="Arial" w:cs="Arial"/>
        </w:rPr>
        <w:t>expenses</w:t>
      </w:r>
      <w:r>
        <w:rPr>
          <w:rFonts w:ascii="Arial" w:hAnsi="Arial" w:cs="Arial"/>
        </w:rPr>
        <w:t xml:space="preserve"> incurred in January 2010</w:t>
      </w:r>
      <w:r w:rsidRPr="005A28FD">
        <w:rPr>
          <w:rFonts w:ascii="Arial" w:hAnsi="Arial" w:cs="Arial"/>
        </w:rPr>
        <w:t xml:space="preserve"> and approximately</w:t>
      </w:r>
      <w:r>
        <w:rPr>
          <w:rFonts w:ascii="Arial" w:hAnsi="Arial" w:cs="Arial"/>
        </w:rPr>
        <w:t xml:space="preserve"> one-</w:t>
      </w:r>
      <w:r w:rsidRPr="005A28FD">
        <w:rPr>
          <w:rFonts w:ascii="Arial" w:hAnsi="Arial" w:cs="Arial"/>
        </w:rPr>
        <w:t>half month of revenues</w:t>
      </w:r>
      <w:r>
        <w:rPr>
          <w:rFonts w:ascii="Arial" w:hAnsi="Arial" w:cs="Arial"/>
        </w:rPr>
        <w:t xml:space="preserve"> billed for service rendered in January 2010</w:t>
      </w:r>
      <w:r w:rsidRPr="005A28FD">
        <w:rPr>
          <w:rFonts w:ascii="Arial" w:hAnsi="Arial" w:cs="Arial"/>
        </w:rPr>
        <w:t>.  This cycle billing approach</w:t>
      </w:r>
      <w:r>
        <w:rPr>
          <w:rFonts w:ascii="Arial" w:hAnsi="Arial" w:cs="Arial"/>
        </w:rPr>
        <w:t xml:space="preserve"> for reporting revenues</w:t>
      </w:r>
      <w:r w:rsidRPr="005A28FD">
        <w:rPr>
          <w:rFonts w:ascii="Arial" w:hAnsi="Arial" w:cs="Arial"/>
        </w:rPr>
        <w:t xml:space="preserve"> is consistent with all</w:t>
      </w:r>
      <w:r>
        <w:rPr>
          <w:rFonts w:ascii="Arial" w:hAnsi="Arial" w:cs="Arial"/>
        </w:rPr>
        <w:t xml:space="preserve"> the </w:t>
      </w:r>
      <w:r w:rsidRPr="005A28FD">
        <w:rPr>
          <w:rFonts w:ascii="Arial" w:hAnsi="Arial" w:cs="Arial"/>
        </w:rPr>
        <w:t xml:space="preserve">adjustment clauses </w:t>
      </w:r>
      <w:r>
        <w:rPr>
          <w:rFonts w:ascii="Arial" w:hAnsi="Arial" w:cs="Arial"/>
        </w:rPr>
        <w:t>utilized</w:t>
      </w:r>
      <w:r w:rsidRPr="005A28FD">
        <w:rPr>
          <w:rFonts w:ascii="Arial" w:hAnsi="Arial" w:cs="Arial"/>
        </w:rPr>
        <w:t xml:space="preserve"> by the Company and </w:t>
      </w:r>
      <w:r>
        <w:rPr>
          <w:rFonts w:ascii="Arial" w:hAnsi="Arial" w:cs="Arial"/>
        </w:rPr>
        <w:t>is an</w:t>
      </w:r>
      <w:r w:rsidRPr="005A28FD">
        <w:rPr>
          <w:rFonts w:ascii="Arial" w:hAnsi="Arial" w:cs="Arial"/>
        </w:rPr>
        <w:t xml:space="preserve"> accepted </w:t>
      </w:r>
      <w:r>
        <w:rPr>
          <w:rFonts w:ascii="Arial" w:hAnsi="Arial" w:cs="Arial"/>
        </w:rPr>
        <w:t xml:space="preserve">practice </w:t>
      </w:r>
      <w:r w:rsidRPr="005A28FD">
        <w:rPr>
          <w:rFonts w:ascii="Arial" w:hAnsi="Arial" w:cs="Arial"/>
        </w:rPr>
        <w:t xml:space="preserve">for </w:t>
      </w:r>
      <w:r>
        <w:rPr>
          <w:rFonts w:ascii="Arial" w:hAnsi="Arial" w:cs="Arial"/>
        </w:rPr>
        <w:t>the reporting of revenues for reconciliation purposes under</w:t>
      </w:r>
      <w:r w:rsidRPr="005A7761">
        <w:rPr>
          <w:rFonts w:ascii="Arial" w:hAnsi="Arial" w:cs="Arial"/>
        </w:rPr>
        <w:t xml:space="preserve"> </w:t>
      </w:r>
      <w:r>
        <w:rPr>
          <w:rFonts w:ascii="Arial" w:hAnsi="Arial" w:cs="Arial"/>
        </w:rPr>
        <w:t>Section 1307(e) of the Public Utility Code, 66 Pa. C. S. § 1307(e)</w:t>
      </w:r>
      <w:r w:rsidRPr="005A28FD">
        <w:rPr>
          <w:rFonts w:ascii="Arial" w:hAnsi="Arial" w:cs="Arial"/>
        </w:rPr>
        <w:t xml:space="preserve">. </w:t>
      </w:r>
    </w:p>
    <w:p w:rsidR="001D309F" w:rsidRDefault="001D309F" w:rsidP="001D309F">
      <w:pPr>
        <w:rPr>
          <w:rFonts w:ascii="Arial" w:hAnsi="Arial" w:cs="Arial"/>
        </w:rPr>
      </w:pPr>
    </w:p>
    <w:p w:rsidR="001D309F" w:rsidRDefault="001D309F" w:rsidP="001D309F">
      <w:pPr>
        <w:ind w:firstLine="720"/>
        <w:rPr>
          <w:rFonts w:ascii="Arial" w:hAnsi="Arial" w:cs="Arial"/>
        </w:rPr>
      </w:pPr>
      <w:r>
        <w:rPr>
          <w:rFonts w:ascii="Arial" w:hAnsi="Arial" w:cs="Arial"/>
        </w:rPr>
        <w:t>On March 1, 2010 at Docket No. M-2009-2145482, PPL Electric submitted its first reconciliation and quarterly adjustment of its GSC rates that were to become effective on April 1, 2010.  On March 8, 2010, PPL Electric submitted a revision to the filing submitted on March 1, 2010.  The March 8, 2010 revision included a request to withdraw the proposed GSC rates scheduled to become effective on April 1, 2010, as submitted in the March 1, 2010 filing, and also requested that the</w:t>
      </w:r>
      <w:r w:rsidRPr="005A28FD">
        <w:rPr>
          <w:rFonts w:ascii="Arial" w:hAnsi="Arial" w:cs="Arial"/>
        </w:rPr>
        <w:t xml:space="preserve"> </w:t>
      </w:r>
      <w:r>
        <w:rPr>
          <w:rFonts w:ascii="Arial" w:hAnsi="Arial" w:cs="Arial"/>
        </w:rPr>
        <w:t xml:space="preserve">then currently effective GSC rates remain in effect for the April 1, 2010 through June 30, 2010 application period. </w:t>
      </w:r>
      <w:r w:rsidR="004B301C">
        <w:rPr>
          <w:rFonts w:ascii="Arial" w:hAnsi="Arial" w:cs="Arial"/>
        </w:rPr>
        <w:t xml:space="preserve"> </w:t>
      </w:r>
      <w:r>
        <w:rPr>
          <w:rFonts w:ascii="Arial" w:hAnsi="Arial" w:cs="Arial"/>
        </w:rPr>
        <w:t xml:space="preserve">At its Public Meeting on March 25, 2010, the Commission approved the Company’s request.                                           </w:t>
      </w:r>
    </w:p>
    <w:p w:rsidR="001D309F" w:rsidRDefault="001D309F" w:rsidP="001D309F">
      <w:pPr>
        <w:ind w:firstLine="720"/>
        <w:rPr>
          <w:rFonts w:ascii="Arial" w:hAnsi="Arial" w:cs="Arial"/>
        </w:rPr>
      </w:pPr>
    </w:p>
    <w:p w:rsidR="001D309F" w:rsidRDefault="001D309F" w:rsidP="001D309F">
      <w:pPr>
        <w:ind w:firstLine="720"/>
        <w:rPr>
          <w:rFonts w:ascii="Arial" w:hAnsi="Arial" w:cs="Arial"/>
        </w:rPr>
      </w:pPr>
      <w:r>
        <w:rPr>
          <w:rFonts w:ascii="Arial" w:hAnsi="Arial" w:cs="Arial"/>
        </w:rPr>
        <w:t>PPL Electric submitted the March 8, 2010 request because the March 1, 2010 filing reflected a substantial net under collection amount of approximately $125.5 million for the month of January 2010.  Part of the explanation for the significant under collection was the cycle billing effect of reporting a whole month of expenses while only reporting approximately one-half month of revenues following the initiation of an adjustment clause, where no clause previously</w:t>
      </w:r>
      <w:r w:rsidRPr="00AB7101">
        <w:rPr>
          <w:rFonts w:ascii="Arial" w:hAnsi="Arial" w:cs="Arial"/>
        </w:rPr>
        <w:t xml:space="preserve"> </w:t>
      </w:r>
      <w:r>
        <w:rPr>
          <w:rFonts w:ascii="Arial" w:hAnsi="Arial" w:cs="Arial"/>
        </w:rPr>
        <w:t>existed.  PPL Electric also reported that the transition from a capped generation rate to a competitive market, which became effective on January 1, 2010, also had created temporary billing issues that made uncertain the reliability of the booked January 2010 GSC revenues.  PPL Electric stated that because of the many changes to the Company’s billing system that were required for the transition to competition, the substantial and rapid number of customers electing service from electric generation suppliers in January 2010, and the increasing number of new suppliers whose rates had to be incorporated in consolidated bills, the Company experienced a number of billing errors in January 2010, resulting in bills that were inaccurate or not rendered.  The Company stated that the errors were in the process of being corrected.  Subsequent quarterly GSC reconciliations and rate adjustments reflected the revised January 2010 revenues.</w:t>
      </w:r>
    </w:p>
    <w:p w:rsidR="001D309F" w:rsidRDefault="001D309F" w:rsidP="001D309F">
      <w:pPr>
        <w:ind w:firstLine="720"/>
        <w:rPr>
          <w:rFonts w:ascii="Arial" w:hAnsi="Arial" w:cs="Arial"/>
        </w:rPr>
      </w:pPr>
    </w:p>
    <w:p w:rsidR="00D9324E" w:rsidRDefault="001D309F" w:rsidP="00654719">
      <w:pPr>
        <w:ind w:firstLine="720"/>
        <w:rPr>
          <w:rFonts w:ascii="Arial" w:hAnsi="Arial" w:cs="Arial"/>
        </w:rPr>
      </w:pPr>
      <w:r w:rsidRPr="005A28FD">
        <w:rPr>
          <w:rFonts w:ascii="Arial" w:hAnsi="Arial" w:cs="Arial"/>
        </w:rPr>
        <w:t>During the course of our audit</w:t>
      </w:r>
      <w:r>
        <w:rPr>
          <w:rFonts w:ascii="Arial" w:hAnsi="Arial" w:cs="Arial"/>
        </w:rPr>
        <w:t>,</w:t>
      </w:r>
      <w:r w:rsidRPr="005A28FD">
        <w:rPr>
          <w:rFonts w:ascii="Arial" w:hAnsi="Arial" w:cs="Arial"/>
        </w:rPr>
        <w:t xml:space="preserve"> we reconciled GSC, GSC</w:t>
      </w:r>
      <w:r w:rsidR="00E321EA">
        <w:rPr>
          <w:rFonts w:ascii="Arial" w:hAnsi="Arial" w:cs="Arial"/>
        </w:rPr>
        <w:t xml:space="preserve"> </w:t>
      </w:r>
      <w:r w:rsidRPr="005A28FD">
        <w:rPr>
          <w:rFonts w:ascii="Arial" w:hAnsi="Arial" w:cs="Arial"/>
        </w:rPr>
        <w:t>-</w:t>
      </w:r>
      <w:r w:rsidR="00E321EA">
        <w:rPr>
          <w:rFonts w:ascii="Arial" w:hAnsi="Arial" w:cs="Arial"/>
        </w:rPr>
        <w:t xml:space="preserve"> </w:t>
      </w:r>
      <w:r w:rsidRPr="005A28FD">
        <w:rPr>
          <w:rFonts w:ascii="Arial" w:hAnsi="Arial" w:cs="Arial"/>
        </w:rPr>
        <w:t>1 and GSC</w:t>
      </w:r>
      <w:r w:rsidR="00E321EA">
        <w:rPr>
          <w:rFonts w:ascii="Arial" w:hAnsi="Arial" w:cs="Arial"/>
        </w:rPr>
        <w:t xml:space="preserve"> </w:t>
      </w:r>
      <w:r w:rsidRPr="005A28FD">
        <w:rPr>
          <w:rFonts w:ascii="Arial" w:hAnsi="Arial" w:cs="Arial"/>
        </w:rPr>
        <w:t>-</w:t>
      </w:r>
      <w:r w:rsidR="00E321EA">
        <w:rPr>
          <w:rFonts w:ascii="Arial" w:hAnsi="Arial" w:cs="Arial"/>
        </w:rPr>
        <w:t xml:space="preserve"> </w:t>
      </w:r>
      <w:r w:rsidRPr="005A28FD">
        <w:rPr>
          <w:rFonts w:ascii="Arial" w:hAnsi="Arial" w:cs="Arial"/>
        </w:rPr>
        <w:t>2 reported</w:t>
      </w:r>
      <w:r>
        <w:rPr>
          <w:rFonts w:ascii="Arial" w:hAnsi="Arial" w:cs="Arial"/>
        </w:rPr>
        <w:t xml:space="preserve"> billed</w:t>
      </w:r>
      <w:r w:rsidRPr="005A28FD">
        <w:rPr>
          <w:rFonts w:ascii="Arial" w:hAnsi="Arial" w:cs="Arial"/>
        </w:rPr>
        <w:t xml:space="preserve"> revenues to the Company’s general ledger and </w:t>
      </w:r>
      <w:r>
        <w:rPr>
          <w:rFonts w:ascii="Arial" w:hAnsi="Arial" w:cs="Arial"/>
        </w:rPr>
        <w:t xml:space="preserve">performed, on a test basis, </w:t>
      </w:r>
      <w:r w:rsidR="00654719">
        <w:rPr>
          <w:rFonts w:ascii="Arial" w:hAnsi="Arial" w:cs="Arial"/>
        </w:rPr>
        <w:t xml:space="preserve">verification of customer billings and </w:t>
      </w:r>
      <w:r w:rsidR="00654719" w:rsidRPr="005A28FD">
        <w:rPr>
          <w:rFonts w:ascii="Arial" w:hAnsi="Arial" w:cs="Arial"/>
        </w:rPr>
        <w:t xml:space="preserve">found that </w:t>
      </w:r>
      <w:r w:rsidR="00654719">
        <w:rPr>
          <w:rFonts w:ascii="Arial" w:hAnsi="Arial" w:cs="Arial"/>
        </w:rPr>
        <w:t xml:space="preserve">the </w:t>
      </w:r>
      <w:r w:rsidR="00654719" w:rsidRPr="005A28FD">
        <w:rPr>
          <w:rFonts w:ascii="Arial" w:hAnsi="Arial" w:cs="Arial"/>
        </w:rPr>
        <w:t>reported</w:t>
      </w:r>
      <w:r w:rsidR="00654719">
        <w:rPr>
          <w:rFonts w:ascii="Arial" w:hAnsi="Arial" w:cs="Arial"/>
        </w:rPr>
        <w:t xml:space="preserve"> billed</w:t>
      </w:r>
      <w:r w:rsidR="00654719" w:rsidRPr="005A28FD">
        <w:rPr>
          <w:rFonts w:ascii="Arial" w:hAnsi="Arial" w:cs="Arial"/>
        </w:rPr>
        <w:t xml:space="preserve"> revenues</w:t>
      </w:r>
      <w:r w:rsidR="00654719">
        <w:rPr>
          <w:rFonts w:ascii="Arial" w:hAnsi="Arial" w:cs="Arial"/>
        </w:rPr>
        <w:t xml:space="preserve"> </w:t>
      </w:r>
      <w:r w:rsidR="00654719" w:rsidRPr="005A28FD">
        <w:rPr>
          <w:rFonts w:ascii="Arial" w:hAnsi="Arial" w:cs="Arial"/>
        </w:rPr>
        <w:t>were</w:t>
      </w:r>
    </w:p>
    <w:p w:rsidR="00654719" w:rsidRDefault="00654719" w:rsidP="00654719">
      <w:pPr>
        <w:ind w:firstLine="720"/>
        <w:rPr>
          <w:rFonts w:ascii="Arial" w:hAnsi="Arial" w:cs="Arial"/>
        </w:rPr>
      </w:pPr>
    </w:p>
    <w:p w:rsidR="00654719" w:rsidRDefault="00654719" w:rsidP="00D9324E">
      <w:pPr>
        <w:ind w:left="1440" w:hanging="1620"/>
        <w:jc w:val="center"/>
        <w:rPr>
          <w:rFonts w:ascii="Arial" w:hAnsi="Arial" w:cs="Arial"/>
          <w:b/>
          <w:sz w:val="26"/>
          <w:szCs w:val="26"/>
          <w:u w:val="single"/>
        </w:rPr>
      </w:pPr>
    </w:p>
    <w:p w:rsidR="00654719" w:rsidRDefault="00654719" w:rsidP="00D9324E">
      <w:pPr>
        <w:ind w:left="1440" w:hanging="1620"/>
        <w:jc w:val="center"/>
        <w:rPr>
          <w:rFonts w:ascii="Arial" w:hAnsi="Arial" w:cs="Arial"/>
          <w:b/>
          <w:sz w:val="26"/>
          <w:szCs w:val="26"/>
          <w:u w:val="single"/>
        </w:rPr>
      </w:pPr>
    </w:p>
    <w:p w:rsidR="00D9324E" w:rsidRDefault="00D9324E" w:rsidP="00D9324E">
      <w:pPr>
        <w:ind w:left="1440" w:hanging="1620"/>
        <w:jc w:val="center"/>
        <w:rPr>
          <w:rFonts w:ascii="Arial" w:hAnsi="Arial" w:cs="Arial"/>
          <w:b/>
          <w:sz w:val="26"/>
          <w:szCs w:val="26"/>
          <w:u w:val="single"/>
        </w:rPr>
      </w:pPr>
      <w:r w:rsidRPr="002F639C">
        <w:rPr>
          <w:rFonts w:ascii="Arial" w:hAnsi="Arial" w:cs="Arial"/>
          <w:b/>
          <w:sz w:val="26"/>
          <w:szCs w:val="26"/>
          <w:u w:val="single"/>
        </w:rPr>
        <w:lastRenderedPageBreak/>
        <w:t>PPL ELECTRIC UTILITIES CORPORATION</w:t>
      </w:r>
    </w:p>
    <w:p w:rsidR="00D9324E" w:rsidRDefault="00D9324E" w:rsidP="00D9324E">
      <w:pPr>
        <w:ind w:left="1440" w:hanging="1620"/>
        <w:jc w:val="center"/>
        <w:rPr>
          <w:rFonts w:ascii="Arial" w:hAnsi="Arial" w:cs="Arial"/>
          <w:b/>
          <w:sz w:val="26"/>
          <w:szCs w:val="26"/>
          <w:u w:val="single"/>
        </w:rPr>
      </w:pPr>
    </w:p>
    <w:p w:rsidR="00D9324E" w:rsidRPr="00CE3B0D" w:rsidRDefault="00445F81" w:rsidP="00D9324E">
      <w:pPr>
        <w:ind w:left="1440" w:hanging="1620"/>
        <w:jc w:val="center"/>
        <w:rPr>
          <w:rFonts w:ascii="Arial" w:hAnsi="Arial" w:cs="Arial"/>
          <w:b/>
          <w:u w:val="single"/>
        </w:rPr>
      </w:pPr>
      <w:r>
        <w:rPr>
          <w:rFonts w:ascii="Arial" w:hAnsi="Arial" w:cs="Arial"/>
          <w:b/>
          <w:szCs w:val="24"/>
          <w:u w:val="single"/>
        </w:rPr>
        <w:t xml:space="preserve">Current Periods’ </w:t>
      </w:r>
      <w:r w:rsidR="00D9324E" w:rsidRPr="00CE3B0D">
        <w:rPr>
          <w:rFonts w:ascii="Arial" w:hAnsi="Arial" w:cs="Arial"/>
          <w:b/>
          <w:szCs w:val="24"/>
          <w:u w:val="single"/>
        </w:rPr>
        <w:t>Observation</w:t>
      </w:r>
      <w:r w:rsidR="00D9324E">
        <w:rPr>
          <w:rFonts w:ascii="Arial" w:hAnsi="Arial" w:cs="Arial"/>
          <w:b/>
          <w:szCs w:val="24"/>
          <w:u w:val="single"/>
        </w:rPr>
        <w:t>s (continued)</w:t>
      </w:r>
    </w:p>
    <w:p w:rsidR="00D9324E" w:rsidRDefault="00D9324E" w:rsidP="00A1597B">
      <w:pPr>
        <w:rPr>
          <w:rFonts w:ascii="Arial" w:hAnsi="Arial" w:cs="Arial"/>
        </w:rPr>
      </w:pPr>
    </w:p>
    <w:p w:rsidR="005406EA" w:rsidRDefault="005406EA" w:rsidP="00A1597B">
      <w:pPr>
        <w:rPr>
          <w:rFonts w:ascii="Arial" w:hAnsi="Arial" w:cs="Arial"/>
        </w:rPr>
      </w:pPr>
    </w:p>
    <w:p w:rsidR="001D309F" w:rsidRPr="00845A50" w:rsidRDefault="001D309F" w:rsidP="00A1597B">
      <w:pPr>
        <w:rPr>
          <w:rFonts w:ascii="Arial" w:hAnsi="Arial" w:cs="Arial"/>
        </w:rPr>
      </w:pPr>
      <w:r w:rsidRPr="005A28FD">
        <w:rPr>
          <w:rFonts w:ascii="Arial" w:hAnsi="Arial" w:cs="Arial"/>
        </w:rPr>
        <w:t xml:space="preserve">reasonable.  Additionally, we performed a detailed analysis of the January 2010 </w:t>
      </w:r>
      <w:r>
        <w:rPr>
          <w:rFonts w:ascii="Arial" w:hAnsi="Arial" w:cs="Arial"/>
        </w:rPr>
        <w:t>reported billed</w:t>
      </w:r>
      <w:r w:rsidRPr="005A28FD">
        <w:rPr>
          <w:rFonts w:ascii="Arial" w:hAnsi="Arial" w:cs="Arial"/>
        </w:rPr>
        <w:t xml:space="preserve"> revenues</w:t>
      </w:r>
      <w:r>
        <w:rPr>
          <w:rFonts w:ascii="Arial" w:hAnsi="Arial" w:cs="Arial"/>
        </w:rPr>
        <w:t>, as ultimately revised and used for reconciliation of the GSC,</w:t>
      </w:r>
      <w:r w:rsidRPr="005A28FD">
        <w:rPr>
          <w:rFonts w:ascii="Arial" w:hAnsi="Arial" w:cs="Arial"/>
        </w:rPr>
        <w:t xml:space="preserve"> and found no exceptions.</w:t>
      </w:r>
    </w:p>
    <w:p w:rsidR="00AE1829" w:rsidRDefault="00AE1829" w:rsidP="0075647E">
      <w:pPr>
        <w:tabs>
          <w:tab w:val="left" w:pos="-1440"/>
          <w:tab w:val="left" w:pos="-720"/>
        </w:tabs>
        <w:suppressAutoHyphens/>
        <w:jc w:val="center"/>
        <w:rPr>
          <w:rFonts w:ascii="Arial" w:hAnsi="Arial" w:cs="Arial"/>
          <w:b/>
          <w:sz w:val="26"/>
          <w:szCs w:val="26"/>
          <w:u w:val="single"/>
        </w:rPr>
      </w:pPr>
    </w:p>
    <w:p w:rsidR="00B36E14" w:rsidRDefault="00B36E14" w:rsidP="0075647E">
      <w:pPr>
        <w:tabs>
          <w:tab w:val="left" w:pos="-1440"/>
          <w:tab w:val="left" w:pos="-720"/>
        </w:tabs>
        <w:suppressAutoHyphens/>
        <w:jc w:val="center"/>
        <w:rPr>
          <w:rFonts w:ascii="Arial" w:hAnsi="Arial" w:cs="Arial"/>
          <w:b/>
          <w:sz w:val="26"/>
          <w:szCs w:val="26"/>
          <w:u w:val="single"/>
        </w:rPr>
      </w:pPr>
    </w:p>
    <w:p w:rsidR="00B36E14" w:rsidRDefault="00B36E14" w:rsidP="0075647E">
      <w:pPr>
        <w:tabs>
          <w:tab w:val="left" w:pos="-1440"/>
          <w:tab w:val="left" w:pos="-720"/>
        </w:tabs>
        <w:suppressAutoHyphens/>
        <w:jc w:val="center"/>
        <w:rPr>
          <w:rFonts w:ascii="Arial" w:hAnsi="Arial" w:cs="Arial"/>
          <w:b/>
          <w:sz w:val="26"/>
          <w:szCs w:val="26"/>
          <w:u w:val="single"/>
        </w:rPr>
      </w:pPr>
    </w:p>
    <w:p w:rsidR="00B36E14" w:rsidRDefault="00B36E14" w:rsidP="0075647E">
      <w:pPr>
        <w:tabs>
          <w:tab w:val="left" w:pos="-1440"/>
          <w:tab w:val="left" w:pos="-720"/>
        </w:tabs>
        <w:suppressAutoHyphens/>
        <w:jc w:val="center"/>
        <w:rPr>
          <w:rFonts w:ascii="Arial" w:hAnsi="Arial" w:cs="Arial"/>
          <w:b/>
          <w:sz w:val="26"/>
          <w:szCs w:val="26"/>
          <w:u w:val="single"/>
        </w:rPr>
      </w:pPr>
    </w:p>
    <w:p w:rsidR="00B36E14" w:rsidRDefault="00B36E14" w:rsidP="0075647E">
      <w:pPr>
        <w:tabs>
          <w:tab w:val="left" w:pos="-1440"/>
          <w:tab w:val="left" w:pos="-720"/>
        </w:tabs>
        <w:suppressAutoHyphens/>
        <w:jc w:val="center"/>
        <w:rPr>
          <w:rFonts w:ascii="Arial" w:hAnsi="Arial" w:cs="Arial"/>
          <w:b/>
          <w:sz w:val="26"/>
          <w:szCs w:val="26"/>
          <w:u w:val="single"/>
        </w:rPr>
      </w:pPr>
    </w:p>
    <w:p w:rsidR="00B36E14" w:rsidRDefault="00B36E14" w:rsidP="0075647E">
      <w:pPr>
        <w:tabs>
          <w:tab w:val="left" w:pos="-1440"/>
          <w:tab w:val="left" w:pos="-720"/>
        </w:tabs>
        <w:suppressAutoHyphens/>
        <w:jc w:val="center"/>
        <w:rPr>
          <w:rFonts w:ascii="Arial" w:hAnsi="Arial" w:cs="Arial"/>
          <w:b/>
          <w:sz w:val="26"/>
          <w:szCs w:val="26"/>
          <w:u w:val="single"/>
        </w:rPr>
      </w:pPr>
    </w:p>
    <w:p w:rsidR="00B36E14" w:rsidRDefault="00B36E14" w:rsidP="0075647E">
      <w:pPr>
        <w:tabs>
          <w:tab w:val="left" w:pos="-1440"/>
          <w:tab w:val="left" w:pos="-720"/>
        </w:tabs>
        <w:suppressAutoHyphens/>
        <w:jc w:val="center"/>
        <w:rPr>
          <w:rFonts w:ascii="Arial" w:hAnsi="Arial" w:cs="Arial"/>
          <w:b/>
          <w:sz w:val="26"/>
          <w:szCs w:val="26"/>
          <w:u w:val="single"/>
        </w:rPr>
      </w:pPr>
    </w:p>
    <w:p w:rsidR="00B36E14" w:rsidRDefault="00B36E14" w:rsidP="0075647E">
      <w:pPr>
        <w:tabs>
          <w:tab w:val="left" w:pos="-1440"/>
          <w:tab w:val="left" w:pos="-720"/>
        </w:tabs>
        <w:suppressAutoHyphens/>
        <w:jc w:val="center"/>
        <w:rPr>
          <w:rFonts w:ascii="Arial" w:hAnsi="Arial" w:cs="Arial"/>
          <w:b/>
          <w:sz w:val="26"/>
          <w:szCs w:val="26"/>
          <w:u w:val="single"/>
        </w:rPr>
      </w:pPr>
    </w:p>
    <w:p w:rsidR="00B36E14" w:rsidRDefault="00B36E14" w:rsidP="0075647E">
      <w:pPr>
        <w:tabs>
          <w:tab w:val="left" w:pos="-1440"/>
          <w:tab w:val="left" w:pos="-720"/>
        </w:tabs>
        <w:suppressAutoHyphens/>
        <w:jc w:val="center"/>
        <w:rPr>
          <w:rFonts w:ascii="Arial" w:hAnsi="Arial" w:cs="Arial"/>
          <w:b/>
          <w:sz w:val="26"/>
          <w:szCs w:val="26"/>
          <w:u w:val="single"/>
        </w:rPr>
      </w:pPr>
    </w:p>
    <w:p w:rsidR="00B36E14" w:rsidRDefault="00B36E14" w:rsidP="0075647E">
      <w:pPr>
        <w:tabs>
          <w:tab w:val="left" w:pos="-1440"/>
          <w:tab w:val="left" w:pos="-720"/>
        </w:tabs>
        <w:suppressAutoHyphens/>
        <w:jc w:val="center"/>
        <w:rPr>
          <w:rFonts w:ascii="Arial" w:hAnsi="Arial" w:cs="Arial"/>
          <w:b/>
          <w:sz w:val="26"/>
          <w:szCs w:val="26"/>
          <w:u w:val="single"/>
        </w:rPr>
      </w:pPr>
    </w:p>
    <w:p w:rsidR="00B36E14" w:rsidRDefault="00B36E14" w:rsidP="0075647E">
      <w:pPr>
        <w:tabs>
          <w:tab w:val="left" w:pos="-1440"/>
          <w:tab w:val="left" w:pos="-720"/>
        </w:tabs>
        <w:suppressAutoHyphens/>
        <w:jc w:val="center"/>
        <w:rPr>
          <w:rFonts w:ascii="Arial" w:hAnsi="Arial" w:cs="Arial"/>
          <w:b/>
          <w:sz w:val="26"/>
          <w:szCs w:val="26"/>
          <w:u w:val="single"/>
        </w:rPr>
      </w:pPr>
    </w:p>
    <w:p w:rsidR="00B36E14" w:rsidRDefault="00B36E14" w:rsidP="0075647E">
      <w:pPr>
        <w:tabs>
          <w:tab w:val="left" w:pos="-1440"/>
          <w:tab w:val="left" w:pos="-720"/>
        </w:tabs>
        <w:suppressAutoHyphens/>
        <w:jc w:val="center"/>
        <w:rPr>
          <w:rFonts w:ascii="Arial" w:hAnsi="Arial" w:cs="Arial"/>
          <w:b/>
          <w:sz w:val="26"/>
          <w:szCs w:val="26"/>
          <w:u w:val="single"/>
        </w:rPr>
      </w:pPr>
    </w:p>
    <w:p w:rsidR="00B36E14" w:rsidRDefault="00B36E14" w:rsidP="0075647E">
      <w:pPr>
        <w:tabs>
          <w:tab w:val="left" w:pos="-1440"/>
          <w:tab w:val="left" w:pos="-720"/>
        </w:tabs>
        <w:suppressAutoHyphens/>
        <w:jc w:val="center"/>
        <w:rPr>
          <w:rFonts w:ascii="Arial" w:hAnsi="Arial" w:cs="Arial"/>
          <w:b/>
          <w:sz w:val="26"/>
          <w:szCs w:val="26"/>
          <w:u w:val="single"/>
        </w:rPr>
      </w:pPr>
    </w:p>
    <w:p w:rsidR="00B36E14" w:rsidRDefault="00B36E14" w:rsidP="0075647E">
      <w:pPr>
        <w:tabs>
          <w:tab w:val="left" w:pos="-1440"/>
          <w:tab w:val="left" w:pos="-720"/>
        </w:tabs>
        <w:suppressAutoHyphens/>
        <w:jc w:val="center"/>
        <w:rPr>
          <w:rFonts w:ascii="Arial" w:hAnsi="Arial" w:cs="Arial"/>
          <w:b/>
          <w:sz w:val="26"/>
          <w:szCs w:val="26"/>
          <w:u w:val="single"/>
        </w:rPr>
      </w:pPr>
    </w:p>
    <w:p w:rsidR="00B36E14" w:rsidRDefault="00B36E14" w:rsidP="0075647E">
      <w:pPr>
        <w:tabs>
          <w:tab w:val="left" w:pos="-1440"/>
          <w:tab w:val="left" w:pos="-720"/>
        </w:tabs>
        <w:suppressAutoHyphens/>
        <w:jc w:val="center"/>
        <w:rPr>
          <w:rFonts w:ascii="Arial" w:hAnsi="Arial" w:cs="Arial"/>
          <w:b/>
          <w:sz w:val="26"/>
          <w:szCs w:val="26"/>
          <w:u w:val="single"/>
        </w:rPr>
      </w:pPr>
    </w:p>
    <w:p w:rsidR="00B36E14" w:rsidRDefault="00B36E14" w:rsidP="0075647E">
      <w:pPr>
        <w:tabs>
          <w:tab w:val="left" w:pos="-1440"/>
          <w:tab w:val="left" w:pos="-720"/>
        </w:tabs>
        <w:suppressAutoHyphens/>
        <w:jc w:val="center"/>
        <w:rPr>
          <w:rFonts w:ascii="Arial" w:hAnsi="Arial" w:cs="Arial"/>
          <w:b/>
          <w:sz w:val="26"/>
          <w:szCs w:val="26"/>
          <w:u w:val="single"/>
        </w:rPr>
      </w:pPr>
    </w:p>
    <w:p w:rsidR="00B36E14" w:rsidRDefault="00B36E14" w:rsidP="0075647E">
      <w:pPr>
        <w:tabs>
          <w:tab w:val="left" w:pos="-1440"/>
          <w:tab w:val="left" w:pos="-720"/>
        </w:tabs>
        <w:suppressAutoHyphens/>
        <w:jc w:val="center"/>
        <w:rPr>
          <w:rFonts w:ascii="Arial" w:hAnsi="Arial" w:cs="Arial"/>
          <w:b/>
          <w:sz w:val="26"/>
          <w:szCs w:val="26"/>
          <w:u w:val="single"/>
        </w:rPr>
      </w:pPr>
    </w:p>
    <w:p w:rsidR="00B36E14" w:rsidRDefault="00B36E14" w:rsidP="0075647E">
      <w:pPr>
        <w:tabs>
          <w:tab w:val="left" w:pos="-1440"/>
          <w:tab w:val="left" w:pos="-720"/>
        </w:tabs>
        <w:suppressAutoHyphens/>
        <w:jc w:val="center"/>
        <w:rPr>
          <w:rFonts w:ascii="Arial" w:hAnsi="Arial" w:cs="Arial"/>
          <w:b/>
          <w:sz w:val="26"/>
          <w:szCs w:val="26"/>
          <w:u w:val="single"/>
        </w:rPr>
      </w:pPr>
    </w:p>
    <w:p w:rsidR="00B36E14" w:rsidRDefault="00B36E14" w:rsidP="0075647E">
      <w:pPr>
        <w:tabs>
          <w:tab w:val="left" w:pos="-1440"/>
          <w:tab w:val="left" w:pos="-720"/>
        </w:tabs>
        <w:suppressAutoHyphens/>
        <w:jc w:val="center"/>
        <w:rPr>
          <w:rFonts w:ascii="Arial" w:hAnsi="Arial" w:cs="Arial"/>
          <w:b/>
          <w:sz w:val="26"/>
          <w:szCs w:val="26"/>
          <w:u w:val="single"/>
        </w:rPr>
      </w:pPr>
    </w:p>
    <w:p w:rsidR="00B36E14" w:rsidRDefault="00B36E14" w:rsidP="0075647E">
      <w:pPr>
        <w:tabs>
          <w:tab w:val="left" w:pos="-1440"/>
          <w:tab w:val="left" w:pos="-720"/>
        </w:tabs>
        <w:suppressAutoHyphens/>
        <w:jc w:val="center"/>
        <w:rPr>
          <w:rFonts w:ascii="Arial" w:hAnsi="Arial" w:cs="Arial"/>
          <w:b/>
          <w:sz w:val="26"/>
          <w:szCs w:val="26"/>
          <w:u w:val="single"/>
        </w:rPr>
      </w:pPr>
    </w:p>
    <w:p w:rsidR="00B36E14" w:rsidRDefault="00B36E14" w:rsidP="0075647E">
      <w:pPr>
        <w:tabs>
          <w:tab w:val="left" w:pos="-1440"/>
          <w:tab w:val="left" w:pos="-720"/>
        </w:tabs>
        <w:suppressAutoHyphens/>
        <w:jc w:val="center"/>
        <w:rPr>
          <w:rFonts w:ascii="Arial" w:hAnsi="Arial" w:cs="Arial"/>
          <w:b/>
          <w:sz w:val="26"/>
          <w:szCs w:val="26"/>
          <w:u w:val="single"/>
        </w:rPr>
      </w:pPr>
    </w:p>
    <w:p w:rsidR="00B36E14" w:rsidRDefault="00B36E14" w:rsidP="0075647E">
      <w:pPr>
        <w:tabs>
          <w:tab w:val="left" w:pos="-1440"/>
          <w:tab w:val="left" w:pos="-720"/>
        </w:tabs>
        <w:suppressAutoHyphens/>
        <w:jc w:val="center"/>
        <w:rPr>
          <w:rFonts w:ascii="Arial" w:hAnsi="Arial" w:cs="Arial"/>
          <w:b/>
          <w:sz w:val="26"/>
          <w:szCs w:val="26"/>
          <w:u w:val="single"/>
        </w:rPr>
      </w:pPr>
    </w:p>
    <w:p w:rsidR="00B36E14" w:rsidRDefault="00B36E14" w:rsidP="0075647E">
      <w:pPr>
        <w:tabs>
          <w:tab w:val="left" w:pos="-1440"/>
          <w:tab w:val="left" w:pos="-720"/>
        </w:tabs>
        <w:suppressAutoHyphens/>
        <w:jc w:val="center"/>
        <w:rPr>
          <w:rFonts w:ascii="Arial" w:hAnsi="Arial" w:cs="Arial"/>
          <w:b/>
          <w:sz w:val="26"/>
          <w:szCs w:val="26"/>
          <w:u w:val="single"/>
        </w:rPr>
      </w:pPr>
    </w:p>
    <w:p w:rsidR="00B36E14" w:rsidRDefault="00B36E14" w:rsidP="0075647E">
      <w:pPr>
        <w:tabs>
          <w:tab w:val="left" w:pos="-1440"/>
          <w:tab w:val="left" w:pos="-720"/>
        </w:tabs>
        <w:suppressAutoHyphens/>
        <w:jc w:val="center"/>
        <w:rPr>
          <w:rFonts w:ascii="Arial" w:hAnsi="Arial" w:cs="Arial"/>
          <w:b/>
          <w:sz w:val="26"/>
          <w:szCs w:val="26"/>
          <w:u w:val="single"/>
        </w:rPr>
      </w:pPr>
    </w:p>
    <w:p w:rsidR="00B36E14" w:rsidRDefault="00B36E14" w:rsidP="0075647E">
      <w:pPr>
        <w:tabs>
          <w:tab w:val="left" w:pos="-1440"/>
          <w:tab w:val="left" w:pos="-720"/>
        </w:tabs>
        <w:suppressAutoHyphens/>
        <w:jc w:val="center"/>
        <w:rPr>
          <w:rFonts w:ascii="Arial" w:hAnsi="Arial" w:cs="Arial"/>
          <w:b/>
          <w:sz w:val="26"/>
          <w:szCs w:val="26"/>
          <w:u w:val="single"/>
        </w:rPr>
      </w:pPr>
    </w:p>
    <w:p w:rsidR="00B36E14" w:rsidRDefault="00B36E14" w:rsidP="0075647E">
      <w:pPr>
        <w:tabs>
          <w:tab w:val="left" w:pos="-1440"/>
          <w:tab w:val="left" w:pos="-720"/>
        </w:tabs>
        <w:suppressAutoHyphens/>
        <w:jc w:val="center"/>
        <w:rPr>
          <w:rFonts w:ascii="Arial" w:hAnsi="Arial" w:cs="Arial"/>
          <w:b/>
          <w:sz w:val="26"/>
          <w:szCs w:val="26"/>
          <w:u w:val="single"/>
        </w:rPr>
      </w:pPr>
    </w:p>
    <w:p w:rsidR="00B36E14" w:rsidRDefault="00B36E14" w:rsidP="0075647E">
      <w:pPr>
        <w:tabs>
          <w:tab w:val="left" w:pos="-1440"/>
          <w:tab w:val="left" w:pos="-720"/>
        </w:tabs>
        <w:suppressAutoHyphens/>
        <w:jc w:val="center"/>
        <w:rPr>
          <w:rFonts w:ascii="Arial" w:hAnsi="Arial" w:cs="Arial"/>
          <w:b/>
          <w:sz w:val="26"/>
          <w:szCs w:val="26"/>
          <w:u w:val="single"/>
        </w:rPr>
      </w:pPr>
    </w:p>
    <w:p w:rsidR="00B36E14" w:rsidRDefault="00B36E14" w:rsidP="0075647E">
      <w:pPr>
        <w:tabs>
          <w:tab w:val="left" w:pos="-1440"/>
          <w:tab w:val="left" w:pos="-720"/>
        </w:tabs>
        <w:suppressAutoHyphens/>
        <w:jc w:val="center"/>
        <w:rPr>
          <w:rFonts w:ascii="Arial" w:hAnsi="Arial" w:cs="Arial"/>
          <w:b/>
          <w:sz w:val="26"/>
          <w:szCs w:val="26"/>
          <w:u w:val="single"/>
        </w:rPr>
      </w:pPr>
    </w:p>
    <w:p w:rsidR="00B36E14" w:rsidRDefault="00B36E14" w:rsidP="0075647E">
      <w:pPr>
        <w:tabs>
          <w:tab w:val="left" w:pos="-1440"/>
          <w:tab w:val="left" w:pos="-720"/>
        </w:tabs>
        <w:suppressAutoHyphens/>
        <w:jc w:val="center"/>
        <w:rPr>
          <w:rFonts w:ascii="Arial" w:hAnsi="Arial" w:cs="Arial"/>
          <w:b/>
          <w:sz w:val="26"/>
          <w:szCs w:val="26"/>
          <w:u w:val="single"/>
        </w:rPr>
      </w:pPr>
    </w:p>
    <w:p w:rsidR="00B36E14" w:rsidRDefault="00B36E14" w:rsidP="0075647E">
      <w:pPr>
        <w:tabs>
          <w:tab w:val="left" w:pos="-1440"/>
          <w:tab w:val="left" w:pos="-720"/>
        </w:tabs>
        <w:suppressAutoHyphens/>
        <w:jc w:val="center"/>
        <w:rPr>
          <w:rFonts w:ascii="Arial" w:hAnsi="Arial" w:cs="Arial"/>
          <w:b/>
          <w:sz w:val="26"/>
          <w:szCs w:val="26"/>
          <w:u w:val="single"/>
        </w:rPr>
      </w:pPr>
    </w:p>
    <w:p w:rsidR="00B36E14" w:rsidRDefault="00B36E14" w:rsidP="0075647E">
      <w:pPr>
        <w:tabs>
          <w:tab w:val="left" w:pos="-1440"/>
          <w:tab w:val="left" w:pos="-720"/>
        </w:tabs>
        <w:suppressAutoHyphens/>
        <w:jc w:val="center"/>
        <w:rPr>
          <w:rFonts w:ascii="Arial" w:hAnsi="Arial" w:cs="Arial"/>
          <w:b/>
          <w:sz w:val="26"/>
          <w:szCs w:val="26"/>
          <w:u w:val="single"/>
        </w:rPr>
      </w:pPr>
    </w:p>
    <w:p w:rsidR="00B36E14" w:rsidRDefault="00B36E14" w:rsidP="0075647E">
      <w:pPr>
        <w:tabs>
          <w:tab w:val="left" w:pos="-1440"/>
          <w:tab w:val="left" w:pos="-720"/>
        </w:tabs>
        <w:suppressAutoHyphens/>
        <w:jc w:val="center"/>
        <w:rPr>
          <w:rFonts w:ascii="Arial" w:hAnsi="Arial" w:cs="Arial"/>
          <w:b/>
          <w:sz w:val="26"/>
          <w:szCs w:val="26"/>
          <w:u w:val="single"/>
        </w:rPr>
      </w:pPr>
    </w:p>
    <w:p w:rsidR="00B36E14" w:rsidRDefault="00B36E14" w:rsidP="0075647E">
      <w:pPr>
        <w:tabs>
          <w:tab w:val="left" w:pos="-1440"/>
          <w:tab w:val="left" w:pos="-720"/>
        </w:tabs>
        <w:suppressAutoHyphens/>
        <w:jc w:val="center"/>
        <w:rPr>
          <w:rFonts w:ascii="Arial" w:hAnsi="Arial" w:cs="Arial"/>
          <w:b/>
          <w:sz w:val="26"/>
          <w:szCs w:val="26"/>
          <w:u w:val="single"/>
        </w:rPr>
      </w:pPr>
    </w:p>
    <w:p w:rsidR="00B36E14" w:rsidRDefault="00B36E14" w:rsidP="0075647E">
      <w:pPr>
        <w:tabs>
          <w:tab w:val="left" w:pos="-1440"/>
          <w:tab w:val="left" w:pos="-720"/>
        </w:tabs>
        <w:suppressAutoHyphens/>
        <w:jc w:val="center"/>
        <w:rPr>
          <w:rFonts w:ascii="Arial" w:hAnsi="Arial" w:cs="Arial"/>
          <w:b/>
          <w:sz w:val="26"/>
          <w:szCs w:val="26"/>
          <w:u w:val="single"/>
        </w:rPr>
      </w:pPr>
    </w:p>
    <w:p w:rsidR="00B36E14" w:rsidRDefault="00B36E14" w:rsidP="0075647E">
      <w:pPr>
        <w:tabs>
          <w:tab w:val="left" w:pos="-1440"/>
          <w:tab w:val="left" w:pos="-720"/>
        </w:tabs>
        <w:suppressAutoHyphens/>
        <w:jc w:val="center"/>
        <w:rPr>
          <w:rFonts w:ascii="Arial" w:hAnsi="Arial" w:cs="Arial"/>
          <w:b/>
          <w:sz w:val="26"/>
          <w:szCs w:val="26"/>
          <w:u w:val="single"/>
        </w:rPr>
      </w:pPr>
    </w:p>
    <w:p w:rsidR="008270E7" w:rsidRDefault="008270E7" w:rsidP="0075647E">
      <w:pPr>
        <w:tabs>
          <w:tab w:val="left" w:pos="-1440"/>
          <w:tab w:val="left" w:pos="-720"/>
        </w:tabs>
        <w:suppressAutoHyphens/>
        <w:jc w:val="center"/>
        <w:rPr>
          <w:rFonts w:ascii="Arial" w:hAnsi="Arial" w:cs="Arial"/>
          <w:b/>
          <w:sz w:val="26"/>
          <w:szCs w:val="26"/>
          <w:u w:val="single"/>
        </w:rPr>
      </w:pPr>
    </w:p>
    <w:p w:rsidR="005D711E" w:rsidRPr="0075647E" w:rsidRDefault="007603E9" w:rsidP="0075647E">
      <w:pPr>
        <w:tabs>
          <w:tab w:val="left" w:pos="-1440"/>
          <w:tab w:val="left" w:pos="-720"/>
        </w:tabs>
        <w:suppressAutoHyphens/>
        <w:jc w:val="center"/>
        <w:rPr>
          <w:rFonts w:ascii="Arial" w:hAnsi="Arial" w:cs="Arial"/>
          <w:b/>
          <w:sz w:val="26"/>
          <w:szCs w:val="26"/>
          <w:u w:val="single"/>
        </w:rPr>
      </w:pPr>
      <w:r w:rsidRPr="0075647E">
        <w:rPr>
          <w:rFonts w:ascii="Arial" w:hAnsi="Arial" w:cs="Arial"/>
          <w:b/>
          <w:sz w:val="26"/>
          <w:szCs w:val="26"/>
          <w:u w:val="single"/>
        </w:rPr>
        <w:lastRenderedPageBreak/>
        <w:t>ACKNOWLEDGEMENTS</w:t>
      </w:r>
    </w:p>
    <w:p w:rsidR="007603E9" w:rsidRPr="006C2E78" w:rsidRDefault="007603E9" w:rsidP="00905409">
      <w:pPr>
        <w:rPr>
          <w:rFonts w:ascii="Arial" w:hAnsi="Arial" w:cs="Arial"/>
          <w:b/>
          <w:szCs w:val="24"/>
          <w:u w:val="single"/>
        </w:rPr>
      </w:pPr>
    </w:p>
    <w:p w:rsidR="003612E7" w:rsidRPr="006C2E78" w:rsidRDefault="003612E7" w:rsidP="00905409">
      <w:pPr>
        <w:rPr>
          <w:rFonts w:ascii="Arial" w:hAnsi="Arial" w:cs="Arial"/>
          <w:b/>
          <w:szCs w:val="24"/>
          <w:u w:val="single"/>
        </w:rPr>
      </w:pPr>
    </w:p>
    <w:p w:rsidR="007603E9" w:rsidRPr="007A206B" w:rsidRDefault="007603E9" w:rsidP="00905409">
      <w:pPr>
        <w:rPr>
          <w:rFonts w:ascii="Arial" w:hAnsi="Arial" w:cs="Arial"/>
          <w:szCs w:val="24"/>
        </w:rPr>
      </w:pPr>
      <w:r w:rsidRPr="006C2E78">
        <w:rPr>
          <w:rFonts w:ascii="Arial" w:hAnsi="Arial" w:cs="Arial"/>
          <w:szCs w:val="24"/>
        </w:rPr>
        <w:tab/>
        <w:t xml:space="preserve">We wish to express our appreciation to the officers and staff of </w:t>
      </w:r>
      <w:r w:rsidR="0074546C">
        <w:rPr>
          <w:rFonts w:ascii="Arial" w:hAnsi="Arial" w:cs="Arial"/>
          <w:szCs w:val="24"/>
        </w:rPr>
        <w:t>PPL Electric Utilities Corporation</w:t>
      </w:r>
      <w:r w:rsidRPr="006C2E78">
        <w:rPr>
          <w:rFonts w:ascii="Arial" w:hAnsi="Arial" w:cs="Arial"/>
          <w:szCs w:val="24"/>
        </w:rPr>
        <w:t xml:space="preserve"> for the cooperation and assistance given</w:t>
      </w:r>
      <w:r w:rsidR="00CF7432" w:rsidRPr="006C2E78">
        <w:rPr>
          <w:rFonts w:ascii="Arial" w:hAnsi="Arial" w:cs="Arial"/>
          <w:szCs w:val="24"/>
        </w:rPr>
        <w:t xml:space="preserve"> to </w:t>
      </w:r>
      <w:r w:rsidRPr="006C2E78">
        <w:rPr>
          <w:rFonts w:ascii="Arial" w:hAnsi="Arial" w:cs="Arial"/>
          <w:szCs w:val="24"/>
        </w:rPr>
        <w:t xml:space="preserve">us during the course of our examination.  </w:t>
      </w:r>
      <w:r w:rsidR="00C208DE" w:rsidRPr="006C2E78">
        <w:rPr>
          <w:rFonts w:ascii="Arial" w:hAnsi="Arial" w:cs="Arial"/>
          <w:szCs w:val="24"/>
        </w:rPr>
        <w:t xml:space="preserve">The audit was conducted by </w:t>
      </w:r>
      <w:r w:rsidR="0074546C">
        <w:rPr>
          <w:rFonts w:ascii="Arial" w:hAnsi="Arial" w:cs="Arial"/>
          <w:szCs w:val="24"/>
        </w:rPr>
        <w:t>Brian T. Shuey</w:t>
      </w:r>
      <w:r w:rsidR="003B7861" w:rsidRPr="006C2E78">
        <w:rPr>
          <w:rFonts w:ascii="Arial" w:hAnsi="Arial" w:cs="Arial"/>
          <w:szCs w:val="24"/>
        </w:rPr>
        <w:t>, assisted</w:t>
      </w:r>
      <w:r w:rsidR="00C208DE" w:rsidRPr="006C2E78">
        <w:rPr>
          <w:rFonts w:ascii="Arial" w:hAnsi="Arial" w:cs="Arial"/>
          <w:szCs w:val="24"/>
        </w:rPr>
        <w:t xml:space="preserve"> by</w:t>
      </w:r>
      <w:r w:rsidR="003E644B" w:rsidRPr="006C2E78">
        <w:rPr>
          <w:rFonts w:ascii="Arial" w:hAnsi="Arial" w:cs="Arial"/>
          <w:szCs w:val="24"/>
        </w:rPr>
        <w:t xml:space="preserve"> </w:t>
      </w:r>
      <w:r w:rsidR="0074546C">
        <w:rPr>
          <w:rFonts w:ascii="Arial" w:hAnsi="Arial" w:cs="Arial"/>
          <w:szCs w:val="24"/>
        </w:rPr>
        <w:t>Michael B. Daley</w:t>
      </w:r>
      <w:r w:rsidR="00DC511E" w:rsidRPr="006C2E78">
        <w:rPr>
          <w:rFonts w:ascii="Arial" w:hAnsi="Arial" w:cs="Arial"/>
          <w:szCs w:val="24"/>
        </w:rPr>
        <w:t>.</w:t>
      </w:r>
      <w:r w:rsidRPr="007A206B">
        <w:rPr>
          <w:rFonts w:ascii="Arial" w:hAnsi="Arial" w:cs="Arial"/>
          <w:szCs w:val="24"/>
        </w:rPr>
        <w:t xml:space="preserve">  </w:t>
      </w:r>
    </w:p>
    <w:p w:rsidR="00D21BB1" w:rsidRPr="007A206B" w:rsidRDefault="00D21BB1" w:rsidP="00905409">
      <w:pPr>
        <w:rPr>
          <w:rFonts w:ascii="Arial" w:hAnsi="Arial" w:cs="Arial"/>
          <w:szCs w:val="24"/>
        </w:rPr>
      </w:pPr>
    </w:p>
    <w:sectPr w:rsidR="00D21BB1" w:rsidRPr="007A206B" w:rsidSect="005A1156">
      <w:headerReference w:type="even" r:id="rId40"/>
      <w:headerReference w:type="default" r:id="rId41"/>
      <w:footerReference w:type="default" r:id="rId42"/>
      <w:headerReference w:type="first" r:id="rId43"/>
      <w:endnotePr>
        <w:numFmt w:val="decimal"/>
      </w:endnotePr>
      <w:pgSz w:w="12240" w:h="15840" w:code="1"/>
      <w:pgMar w:top="1440" w:right="1440" w:bottom="1152" w:left="1440" w:header="0" w:footer="720" w:gutter="0"/>
      <w:pgNumType w:start="7"/>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4C7" w:rsidRDefault="003664C7">
      <w:r>
        <w:separator/>
      </w:r>
    </w:p>
  </w:endnote>
  <w:endnote w:type="continuationSeparator" w:id="0">
    <w:p w:rsidR="003664C7" w:rsidRDefault="00366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D63AF9" w:rsidP="004858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63AF9" w:rsidRDefault="00D63AF9">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2846356"/>
      <w:docPartObj>
        <w:docPartGallery w:val="Page Numbers (Bottom of Page)"/>
        <w:docPartUnique/>
      </w:docPartObj>
    </w:sdtPr>
    <w:sdtEndPr>
      <w:rPr>
        <w:noProof/>
      </w:rPr>
    </w:sdtEndPr>
    <w:sdtContent>
      <w:p w:rsidR="00D63AF9" w:rsidRDefault="00D63AF9">
        <w:pPr>
          <w:pStyle w:val="Footer"/>
          <w:jc w:val="center"/>
        </w:pPr>
        <w:r w:rsidRPr="005D03F3">
          <w:rPr>
            <w:rFonts w:ascii="Arial" w:hAnsi="Arial" w:cs="Arial"/>
          </w:rPr>
          <w:fldChar w:fldCharType="begin"/>
        </w:r>
        <w:r w:rsidRPr="005D03F3">
          <w:rPr>
            <w:rFonts w:ascii="Arial" w:hAnsi="Arial" w:cs="Arial"/>
          </w:rPr>
          <w:instrText xml:space="preserve"> PAGE   \* MERGEFORMAT </w:instrText>
        </w:r>
        <w:r w:rsidRPr="005D03F3">
          <w:rPr>
            <w:rFonts w:ascii="Arial" w:hAnsi="Arial" w:cs="Arial"/>
          </w:rPr>
          <w:fldChar w:fldCharType="separate"/>
        </w:r>
        <w:r w:rsidR="00702104">
          <w:rPr>
            <w:rFonts w:ascii="Arial" w:hAnsi="Arial" w:cs="Arial"/>
            <w:noProof/>
          </w:rPr>
          <w:t>15</w:t>
        </w:r>
        <w:r w:rsidRPr="005D03F3">
          <w:rPr>
            <w:rFonts w:ascii="Arial" w:hAnsi="Arial" w:cs="Arial"/>
            <w:noProof/>
          </w:rPr>
          <w:fldChar w:fldCharType="end"/>
        </w:r>
      </w:p>
    </w:sdtContent>
  </w:sdt>
  <w:p w:rsidR="00D63AF9" w:rsidRPr="005A1156" w:rsidRDefault="00D63AF9" w:rsidP="006C0231">
    <w:pPr>
      <w:pStyle w:val="Footer"/>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D63AF9">
    <w:pPr>
      <w:pStyle w:val="Footer"/>
      <w:tabs>
        <w:tab w:val="clear" w:pos="4320"/>
        <w:tab w:val="clear" w:pos="86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D63AF9">
    <w:pPr>
      <w:pStyle w:val="Footer"/>
      <w:tabs>
        <w:tab w:val="clear" w:pos="4320"/>
        <w:tab w:val="clear" w:pos="8640"/>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D63AF9" w:rsidP="007C7EC0">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Pr="00A1597B" w:rsidRDefault="00D63AF9" w:rsidP="007C7EC0">
    <w:pPr>
      <w:pStyle w:val="Footer"/>
      <w:jc w:val="center"/>
      <w:rPr>
        <w:rFonts w:ascii="Arial" w:hAnsi="Arial" w:cs="Arial"/>
      </w:rPr>
    </w:pPr>
    <w:r w:rsidRPr="00A1597B">
      <w:rPr>
        <w:rFonts w:ascii="Arial" w:hAnsi="Arial" w:cs="Arial"/>
      </w:rPr>
      <w:fldChar w:fldCharType="begin"/>
    </w:r>
    <w:r w:rsidRPr="00A1597B">
      <w:rPr>
        <w:rFonts w:ascii="Arial" w:hAnsi="Arial" w:cs="Arial"/>
      </w:rPr>
      <w:instrText xml:space="preserve"> PAGE   \* MERGEFORMAT </w:instrText>
    </w:r>
    <w:r w:rsidRPr="00A1597B">
      <w:rPr>
        <w:rFonts w:ascii="Arial" w:hAnsi="Arial" w:cs="Arial"/>
      </w:rPr>
      <w:fldChar w:fldCharType="separate"/>
    </w:r>
    <w:r w:rsidR="00702104">
      <w:rPr>
        <w:rFonts w:ascii="Arial" w:hAnsi="Arial" w:cs="Arial"/>
        <w:noProof/>
      </w:rPr>
      <w:t>3</w:t>
    </w:r>
    <w:r w:rsidRPr="00A1597B">
      <w:rPr>
        <w:rFonts w:ascii="Arial" w:hAnsi="Arial" w:cs="Arial"/>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Pr="00A1597B" w:rsidRDefault="00D63AF9" w:rsidP="007C7EC0">
    <w:pPr>
      <w:pStyle w:val="Footer"/>
      <w:jc w:val="center"/>
      <w:rPr>
        <w:rFonts w:ascii="Arial" w:hAnsi="Arial" w:cs="Arial"/>
        <w:lang w:val="en-US"/>
      </w:rPr>
    </w:pPr>
    <w:r w:rsidRPr="00A1597B">
      <w:rPr>
        <w:rFonts w:ascii="Arial" w:hAnsi="Arial" w:cs="Arial"/>
        <w:lang w:val="en-US"/>
      </w:rPr>
      <w:t>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Pr="00A1597B" w:rsidRDefault="00D63AF9" w:rsidP="007C7EC0">
    <w:pPr>
      <w:pStyle w:val="Footer"/>
      <w:jc w:val="center"/>
      <w:rPr>
        <w:rFonts w:ascii="Arial" w:hAnsi="Arial" w:cs="Arial"/>
        <w:lang w:val="en-US"/>
      </w:rPr>
    </w:pPr>
    <w:r w:rsidRPr="00A1597B">
      <w:rPr>
        <w:rFonts w:ascii="Arial" w:hAnsi="Arial" w:cs="Arial"/>
        <w:lang w:val="en-US"/>
      </w:rPr>
      <w:t>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Pr="00A1597B" w:rsidRDefault="00D63AF9" w:rsidP="007C7EC0">
    <w:pPr>
      <w:pStyle w:val="Footer"/>
      <w:jc w:val="center"/>
      <w:rPr>
        <w:rFonts w:ascii="Arial" w:hAnsi="Arial" w:cs="Arial"/>
      </w:rPr>
    </w:pPr>
    <w:r w:rsidRPr="00A1597B">
      <w:rPr>
        <w:rFonts w:ascii="Arial" w:hAnsi="Arial" w:cs="Arial"/>
      </w:rPr>
      <w:t>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D63AF9" w:rsidP="007C7EC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4C7" w:rsidRDefault="003664C7">
      <w:r>
        <w:separator/>
      </w:r>
    </w:p>
  </w:footnote>
  <w:footnote w:type="continuationSeparator" w:id="0">
    <w:p w:rsidR="003664C7" w:rsidRDefault="003664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D63AF9">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D63AF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D63AF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D63AF9">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D63AF9">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D63AF9">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D63AF9">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D63AF9">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D63AF9">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D63AF9">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D63A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D63AF9">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D63AF9">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D63AF9">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D63AF9">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D63AF9">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D63A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D63AF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D63AF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D63AF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D63AF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3664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0" type="#_x0000_t136" style="position:absolute;margin-left:0;margin-top:0;width:461.85pt;height:197.95pt;rotation:315;z-index:-251594752;mso-position-horizontal:center;mso-position-horizontal-relative:margin;mso-position-vertical:center;mso-position-vertical-relative:margin" o:allowincell="f" fillcolor="silver" stroked="f">
          <v:textpath style="font-family:&quot;Book Antiqua&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D63AF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F9" w:rsidRDefault="003664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9" type="#_x0000_t136" style="position:absolute;margin-left:0;margin-top:0;width:461.85pt;height:197.95pt;rotation:315;z-index:-251595776;mso-position-horizontal:center;mso-position-horizontal-relative:margin;mso-position-vertical:center;mso-position-vertical-relative:margin" o:allowincell="f" fillcolor="silver" stroked="f">
          <v:textpath style="font-family:&quot;Book Antiqua&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1906"/>
    <w:multiLevelType w:val="hybridMultilevel"/>
    <w:tmpl w:val="EF541E3E"/>
    <w:lvl w:ilvl="0" w:tplc="635C27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613C82"/>
    <w:multiLevelType w:val="hybridMultilevel"/>
    <w:tmpl w:val="DB56208C"/>
    <w:lvl w:ilvl="0" w:tplc="C92E73D2">
      <w:numFmt w:val="bullet"/>
      <w:lvlText w:val="•"/>
      <w:lvlJc w:val="left"/>
      <w:pPr>
        <w:ind w:left="720" w:hanging="390"/>
      </w:pPr>
      <w:rPr>
        <w:rFonts w:ascii="Arial" w:eastAsia="Times New Roman" w:hAnsi="Arial" w:cs="Aria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2">
    <w:nsid w:val="08031871"/>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3">
    <w:nsid w:val="08636445"/>
    <w:multiLevelType w:val="hybridMultilevel"/>
    <w:tmpl w:val="4C560E7C"/>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4">
    <w:nsid w:val="12FC74CF"/>
    <w:multiLevelType w:val="hybridMultilevel"/>
    <w:tmpl w:val="E5EC32CA"/>
    <w:lvl w:ilvl="0" w:tplc="26C0ED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887742"/>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6">
    <w:nsid w:val="381675DB"/>
    <w:multiLevelType w:val="hybridMultilevel"/>
    <w:tmpl w:val="14D0DD74"/>
    <w:lvl w:ilvl="0" w:tplc="FB824B2A">
      <w:start w:val="2005"/>
      <w:numFmt w:val="decimal"/>
      <w:lvlText w:val="%1"/>
      <w:lvlJc w:val="left"/>
      <w:pPr>
        <w:tabs>
          <w:tab w:val="num" w:pos="5040"/>
        </w:tabs>
        <w:ind w:left="5040" w:hanging="72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7">
    <w:nsid w:val="38E6146A"/>
    <w:multiLevelType w:val="singleLevel"/>
    <w:tmpl w:val="0409000F"/>
    <w:lvl w:ilvl="0">
      <w:start w:val="6"/>
      <w:numFmt w:val="decimal"/>
      <w:lvlText w:val="%1."/>
      <w:lvlJc w:val="left"/>
      <w:pPr>
        <w:tabs>
          <w:tab w:val="num" w:pos="360"/>
        </w:tabs>
        <w:ind w:left="360" w:hanging="360"/>
      </w:pPr>
      <w:rPr>
        <w:rFonts w:hint="default"/>
      </w:rPr>
    </w:lvl>
  </w:abstractNum>
  <w:abstractNum w:abstractNumId="8">
    <w:nsid w:val="58092178"/>
    <w:multiLevelType w:val="hybridMultilevel"/>
    <w:tmpl w:val="4EC65186"/>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9">
    <w:nsid w:val="5A6238D9"/>
    <w:multiLevelType w:val="hybridMultilevel"/>
    <w:tmpl w:val="AC189328"/>
    <w:lvl w:ilvl="0" w:tplc="AFE67E38">
      <w:start w:val="3"/>
      <w:numFmt w:val="bullet"/>
      <w:lvlText w:val="•"/>
      <w:lvlJc w:val="left"/>
      <w:pPr>
        <w:ind w:left="690" w:hanging="360"/>
      </w:pPr>
      <w:rPr>
        <w:rFonts w:ascii="Times New Roman" w:eastAsia="Times New Roman" w:hAnsi="Times New Roman" w:cs="Times New Roman" w:hint="default"/>
        <w:sz w:val="26"/>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0">
    <w:nsid w:val="63DA6CED"/>
    <w:multiLevelType w:val="hybridMultilevel"/>
    <w:tmpl w:val="6BE83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2"/>
  </w:num>
  <w:num w:numId="5">
    <w:abstractNumId w:val="5"/>
  </w:num>
  <w:num w:numId="6">
    <w:abstractNumId w:val="4"/>
  </w:num>
  <w:num w:numId="7">
    <w:abstractNumId w:val="10"/>
  </w:num>
  <w:num w:numId="8">
    <w:abstractNumId w:val="9"/>
  </w:num>
  <w:num w:numId="9">
    <w:abstractNumId w:val="8"/>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8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11E"/>
    <w:rsid w:val="00000053"/>
    <w:rsid w:val="000008D8"/>
    <w:rsid w:val="000014E9"/>
    <w:rsid w:val="00002E7F"/>
    <w:rsid w:val="000058DD"/>
    <w:rsid w:val="0000657F"/>
    <w:rsid w:val="000065D6"/>
    <w:rsid w:val="000068CE"/>
    <w:rsid w:val="000069D5"/>
    <w:rsid w:val="00006F7C"/>
    <w:rsid w:val="00011623"/>
    <w:rsid w:val="00011810"/>
    <w:rsid w:val="00013201"/>
    <w:rsid w:val="00015CB1"/>
    <w:rsid w:val="000162AB"/>
    <w:rsid w:val="000166C7"/>
    <w:rsid w:val="000170BD"/>
    <w:rsid w:val="00020E5C"/>
    <w:rsid w:val="00021880"/>
    <w:rsid w:val="00021C53"/>
    <w:rsid w:val="00023F02"/>
    <w:rsid w:val="000244C4"/>
    <w:rsid w:val="0002626A"/>
    <w:rsid w:val="00026A97"/>
    <w:rsid w:val="00027AC3"/>
    <w:rsid w:val="0003068B"/>
    <w:rsid w:val="00031D01"/>
    <w:rsid w:val="0003354D"/>
    <w:rsid w:val="00033937"/>
    <w:rsid w:val="00033ECB"/>
    <w:rsid w:val="00036C2A"/>
    <w:rsid w:val="00036D9D"/>
    <w:rsid w:val="00037B79"/>
    <w:rsid w:val="000419CC"/>
    <w:rsid w:val="000442F2"/>
    <w:rsid w:val="00044F2B"/>
    <w:rsid w:val="000453E2"/>
    <w:rsid w:val="0004663E"/>
    <w:rsid w:val="00046640"/>
    <w:rsid w:val="00047EF9"/>
    <w:rsid w:val="000502A5"/>
    <w:rsid w:val="000505BE"/>
    <w:rsid w:val="00052156"/>
    <w:rsid w:val="00052968"/>
    <w:rsid w:val="00053070"/>
    <w:rsid w:val="00054EF6"/>
    <w:rsid w:val="000577C0"/>
    <w:rsid w:val="00060885"/>
    <w:rsid w:val="00061843"/>
    <w:rsid w:val="00064A95"/>
    <w:rsid w:val="00066F74"/>
    <w:rsid w:val="00070064"/>
    <w:rsid w:val="00080FED"/>
    <w:rsid w:val="000827D8"/>
    <w:rsid w:val="00082BDC"/>
    <w:rsid w:val="000830F4"/>
    <w:rsid w:val="000843E7"/>
    <w:rsid w:val="000862EE"/>
    <w:rsid w:val="00086D47"/>
    <w:rsid w:val="000925FB"/>
    <w:rsid w:val="000935FF"/>
    <w:rsid w:val="00097B77"/>
    <w:rsid w:val="000A09E9"/>
    <w:rsid w:val="000A3382"/>
    <w:rsid w:val="000A47F7"/>
    <w:rsid w:val="000B0498"/>
    <w:rsid w:val="000B5397"/>
    <w:rsid w:val="000B76B7"/>
    <w:rsid w:val="000B7AA4"/>
    <w:rsid w:val="000C0673"/>
    <w:rsid w:val="000C1019"/>
    <w:rsid w:val="000C7C23"/>
    <w:rsid w:val="000D3162"/>
    <w:rsid w:val="000D36EC"/>
    <w:rsid w:val="000D389D"/>
    <w:rsid w:val="000D4E11"/>
    <w:rsid w:val="000D7ED0"/>
    <w:rsid w:val="000E1CF4"/>
    <w:rsid w:val="000E3141"/>
    <w:rsid w:val="000E3E48"/>
    <w:rsid w:val="000E4B0D"/>
    <w:rsid w:val="000E6571"/>
    <w:rsid w:val="000E7FF1"/>
    <w:rsid w:val="000F0D7B"/>
    <w:rsid w:val="000F11FD"/>
    <w:rsid w:val="000F237D"/>
    <w:rsid w:val="000F2F3B"/>
    <w:rsid w:val="000F6CC8"/>
    <w:rsid w:val="00101D15"/>
    <w:rsid w:val="001032C8"/>
    <w:rsid w:val="00103CB4"/>
    <w:rsid w:val="0010499E"/>
    <w:rsid w:val="001066B1"/>
    <w:rsid w:val="001067A5"/>
    <w:rsid w:val="00106ADD"/>
    <w:rsid w:val="00107CAA"/>
    <w:rsid w:val="00114448"/>
    <w:rsid w:val="00116AA0"/>
    <w:rsid w:val="001175DC"/>
    <w:rsid w:val="0012026E"/>
    <w:rsid w:val="00123DA5"/>
    <w:rsid w:val="00124112"/>
    <w:rsid w:val="0012782C"/>
    <w:rsid w:val="0013081F"/>
    <w:rsid w:val="00131E66"/>
    <w:rsid w:val="00132861"/>
    <w:rsid w:val="00133126"/>
    <w:rsid w:val="00135C0E"/>
    <w:rsid w:val="00135EC4"/>
    <w:rsid w:val="00137C3B"/>
    <w:rsid w:val="00137DB9"/>
    <w:rsid w:val="001428D7"/>
    <w:rsid w:val="00143115"/>
    <w:rsid w:val="0014334C"/>
    <w:rsid w:val="0014482D"/>
    <w:rsid w:val="00144BDA"/>
    <w:rsid w:val="0014537E"/>
    <w:rsid w:val="00150332"/>
    <w:rsid w:val="00150CFD"/>
    <w:rsid w:val="001528D4"/>
    <w:rsid w:val="00154DD2"/>
    <w:rsid w:val="001572A6"/>
    <w:rsid w:val="00157380"/>
    <w:rsid w:val="00157397"/>
    <w:rsid w:val="00157BF1"/>
    <w:rsid w:val="00160FFA"/>
    <w:rsid w:val="00161B74"/>
    <w:rsid w:val="001635FF"/>
    <w:rsid w:val="0016361B"/>
    <w:rsid w:val="00164754"/>
    <w:rsid w:val="001657F8"/>
    <w:rsid w:val="0016639F"/>
    <w:rsid w:val="00170113"/>
    <w:rsid w:val="001704DD"/>
    <w:rsid w:val="0017305E"/>
    <w:rsid w:val="00173A1E"/>
    <w:rsid w:val="00173D64"/>
    <w:rsid w:val="00173F1D"/>
    <w:rsid w:val="0017608D"/>
    <w:rsid w:val="00177533"/>
    <w:rsid w:val="00180395"/>
    <w:rsid w:val="0018149E"/>
    <w:rsid w:val="001814C1"/>
    <w:rsid w:val="00186FF1"/>
    <w:rsid w:val="0018725D"/>
    <w:rsid w:val="001877B4"/>
    <w:rsid w:val="0019208C"/>
    <w:rsid w:val="00192144"/>
    <w:rsid w:val="00193D8E"/>
    <w:rsid w:val="001A032C"/>
    <w:rsid w:val="001A1B0A"/>
    <w:rsid w:val="001A3EEE"/>
    <w:rsid w:val="001B0888"/>
    <w:rsid w:val="001B2CA6"/>
    <w:rsid w:val="001B42BE"/>
    <w:rsid w:val="001B78F9"/>
    <w:rsid w:val="001B7B5B"/>
    <w:rsid w:val="001C1B3F"/>
    <w:rsid w:val="001C26EA"/>
    <w:rsid w:val="001C347D"/>
    <w:rsid w:val="001C37D9"/>
    <w:rsid w:val="001C5737"/>
    <w:rsid w:val="001C70EA"/>
    <w:rsid w:val="001C7D51"/>
    <w:rsid w:val="001D1537"/>
    <w:rsid w:val="001D24EC"/>
    <w:rsid w:val="001D309F"/>
    <w:rsid w:val="001D52A4"/>
    <w:rsid w:val="001D60BF"/>
    <w:rsid w:val="001D6360"/>
    <w:rsid w:val="001D6F30"/>
    <w:rsid w:val="001D7FF5"/>
    <w:rsid w:val="001E0223"/>
    <w:rsid w:val="001E14C1"/>
    <w:rsid w:val="001E1879"/>
    <w:rsid w:val="001E3A8D"/>
    <w:rsid w:val="001F176D"/>
    <w:rsid w:val="001F1FC1"/>
    <w:rsid w:val="001F3F08"/>
    <w:rsid w:val="001F5E83"/>
    <w:rsid w:val="001F781E"/>
    <w:rsid w:val="002065CF"/>
    <w:rsid w:val="00212D01"/>
    <w:rsid w:val="00213F93"/>
    <w:rsid w:val="002162F1"/>
    <w:rsid w:val="00216F99"/>
    <w:rsid w:val="002203F7"/>
    <w:rsid w:val="00220474"/>
    <w:rsid w:val="0022155A"/>
    <w:rsid w:val="00230BB1"/>
    <w:rsid w:val="002326C1"/>
    <w:rsid w:val="0023522A"/>
    <w:rsid w:val="00235BB8"/>
    <w:rsid w:val="002377F4"/>
    <w:rsid w:val="00240719"/>
    <w:rsid w:val="002429F0"/>
    <w:rsid w:val="0024555E"/>
    <w:rsid w:val="00245AE1"/>
    <w:rsid w:val="00246B54"/>
    <w:rsid w:val="00250177"/>
    <w:rsid w:val="002506E9"/>
    <w:rsid w:val="0025251F"/>
    <w:rsid w:val="0025257D"/>
    <w:rsid w:val="00252B00"/>
    <w:rsid w:val="00252B74"/>
    <w:rsid w:val="00253B13"/>
    <w:rsid w:val="0025512F"/>
    <w:rsid w:val="0025778E"/>
    <w:rsid w:val="00257C99"/>
    <w:rsid w:val="00260F97"/>
    <w:rsid w:val="00261451"/>
    <w:rsid w:val="002675D2"/>
    <w:rsid w:val="00273213"/>
    <w:rsid w:val="00273FE8"/>
    <w:rsid w:val="00275DC6"/>
    <w:rsid w:val="002763DC"/>
    <w:rsid w:val="002802CB"/>
    <w:rsid w:val="002831D2"/>
    <w:rsid w:val="00285B4A"/>
    <w:rsid w:val="002910CA"/>
    <w:rsid w:val="00291895"/>
    <w:rsid w:val="00291BD5"/>
    <w:rsid w:val="00292717"/>
    <w:rsid w:val="0029497C"/>
    <w:rsid w:val="00295927"/>
    <w:rsid w:val="00297D96"/>
    <w:rsid w:val="002A0000"/>
    <w:rsid w:val="002A31D3"/>
    <w:rsid w:val="002A3361"/>
    <w:rsid w:val="002A34FC"/>
    <w:rsid w:val="002A38F4"/>
    <w:rsid w:val="002A476C"/>
    <w:rsid w:val="002B2DD6"/>
    <w:rsid w:val="002B3D52"/>
    <w:rsid w:val="002B5E39"/>
    <w:rsid w:val="002B6A49"/>
    <w:rsid w:val="002B751E"/>
    <w:rsid w:val="002C0E2D"/>
    <w:rsid w:val="002C1FC4"/>
    <w:rsid w:val="002C554A"/>
    <w:rsid w:val="002C6C45"/>
    <w:rsid w:val="002D08B0"/>
    <w:rsid w:val="002D0900"/>
    <w:rsid w:val="002D15BF"/>
    <w:rsid w:val="002D27C7"/>
    <w:rsid w:val="002D3DD6"/>
    <w:rsid w:val="002D42ED"/>
    <w:rsid w:val="002E0448"/>
    <w:rsid w:val="002E0F06"/>
    <w:rsid w:val="002E32E8"/>
    <w:rsid w:val="002E4072"/>
    <w:rsid w:val="002E4AFD"/>
    <w:rsid w:val="002E55D4"/>
    <w:rsid w:val="002E6D73"/>
    <w:rsid w:val="002F4079"/>
    <w:rsid w:val="002F42DE"/>
    <w:rsid w:val="002F5D20"/>
    <w:rsid w:val="002F5E97"/>
    <w:rsid w:val="002F639C"/>
    <w:rsid w:val="002F7968"/>
    <w:rsid w:val="002F7AC1"/>
    <w:rsid w:val="0030137D"/>
    <w:rsid w:val="003016FA"/>
    <w:rsid w:val="00301D0E"/>
    <w:rsid w:val="00304C93"/>
    <w:rsid w:val="00307929"/>
    <w:rsid w:val="0031351C"/>
    <w:rsid w:val="0031644D"/>
    <w:rsid w:val="003167FA"/>
    <w:rsid w:val="00316BC6"/>
    <w:rsid w:val="00316D8B"/>
    <w:rsid w:val="0032010E"/>
    <w:rsid w:val="003203FA"/>
    <w:rsid w:val="00324335"/>
    <w:rsid w:val="00324407"/>
    <w:rsid w:val="00325922"/>
    <w:rsid w:val="003262ED"/>
    <w:rsid w:val="003276AC"/>
    <w:rsid w:val="003324CF"/>
    <w:rsid w:val="003344D7"/>
    <w:rsid w:val="00342746"/>
    <w:rsid w:val="003430EA"/>
    <w:rsid w:val="00344493"/>
    <w:rsid w:val="00344C6D"/>
    <w:rsid w:val="00345D80"/>
    <w:rsid w:val="0035017F"/>
    <w:rsid w:val="003505DA"/>
    <w:rsid w:val="00350731"/>
    <w:rsid w:val="0035218A"/>
    <w:rsid w:val="003552E3"/>
    <w:rsid w:val="00355B6F"/>
    <w:rsid w:val="00356922"/>
    <w:rsid w:val="00357222"/>
    <w:rsid w:val="003612E7"/>
    <w:rsid w:val="00361CAF"/>
    <w:rsid w:val="00361DBA"/>
    <w:rsid w:val="00362F3F"/>
    <w:rsid w:val="00363254"/>
    <w:rsid w:val="00363CAE"/>
    <w:rsid w:val="00365D36"/>
    <w:rsid w:val="00366497"/>
    <w:rsid w:val="003664C7"/>
    <w:rsid w:val="00367C8F"/>
    <w:rsid w:val="003731A5"/>
    <w:rsid w:val="00374716"/>
    <w:rsid w:val="00375D18"/>
    <w:rsid w:val="003802FE"/>
    <w:rsid w:val="00383E58"/>
    <w:rsid w:val="0038505A"/>
    <w:rsid w:val="00386B86"/>
    <w:rsid w:val="00387064"/>
    <w:rsid w:val="0039358B"/>
    <w:rsid w:val="00393F19"/>
    <w:rsid w:val="003A4AC6"/>
    <w:rsid w:val="003A4AFE"/>
    <w:rsid w:val="003A576B"/>
    <w:rsid w:val="003A6C20"/>
    <w:rsid w:val="003B0FA3"/>
    <w:rsid w:val="003B303A"/>
    <w:rsid w:val="003B3611"/>
    <w:rsid w:val="003B4193"/>
    <w:rsid w:val="003B443E"/>
    <w:rsid w:val="003B7861"/>
    <w:rsid w:val="003C3017"/>
    <w:rsid w:val="003C35C7"/>
    <w:rsid w:val="003C3DC4"/>
    <w:rsid w:val="003C52E3"/>
    <w:rsid w:val="003D2564"/>
    <w:rsid w:val="003D6279"/>
    <w:rsid w:val="003D633B"/>
    <w:rsid w:val="003D6418"/>
    <w:rsid w:val="003D6478"/>
    <w:rsid w:val="003D667A"/>
    <w:rsid w:val="003D6F58"/>
    <w:rsid w:val="003D7154"/>
    <w:rsid w:val="003E0515"/>
    <w:rsid w:val="003E2493"/>
    <w:rsid w:val="003E2E29"/>
    <w:rsid w:val="003E33E2"/>
    <w:rsid w:val="003E391F"/>
    <w:rsid w:val="003E5960"/>
    <w:rsid w:val="003E644B"/>
    <w:rsid w:val="003F35F8"/>
    <w:rsid w:val="003F5D4D"/>
    <w:rsid w:val="003F746B"/>
    <w:rsid w:val="0040154A"/>
    <w:rsid w:val="00403569"/>
    <w:rsid w:val="00410BE2"/>
    <w:rsid w:val="00411C7F"/>
    <w:rsid w:val="00414C3A"/>
    <w:rsid w:val="00415430"/>
    <w:rsid w:val="00420F93"/>
    <w:rsid w:val="0042256B"/>
    <w:rsid w:val="00423EEA"/>
    <w:rsid w:val="004245EE"/>
    <w:rsid w:val="004250E6"/>
    <w:rsid w:val="004318ED"/>
    <w:rsid w:val="00432453"/>
    <w:rsid w:val="00432B2F"/>
    <w:rsid w:val="00436C21"/>
    <w:rsid w:val="004377B1"/>
    <w:rsid w:val="00437890"/>
    <w:rsid w:val="00440563"/>
    <w:rsid w:val="00441128"/>
    <w:rsid w:val="00442806"/>
    <w:rsid w:val="00445300"/>
    <w:rsid w:val="00445F81"/>
    <w:rsid w:val="004470AA"/>
    <w:rsid w:val="00450495"/>
    <w:rsid w:val="00450B25"/>
    <w:rsid w:val="00455785"/>
    <w:rsid w:val="00460158"/>
    <w:rsid w:val="004602B7"/>
    <w:rsid w:val="0046263E"/>
    <w:rsid w:val="00470D7A"/>
    <w:rsid w:val="00472039"/>
    <w:rsid w:val="00472C70"/>
    <w:rsid w:val="0047509D"/>
    <w:rsid w:val="004755F0"/>
    <w:rsid w:val="00480FF5"/>
    <w:rsid w:val="0048119C"/>
    <w:rsid w:val="00484357"/>
    <w:rsid w:val="00484654"/>
    <w:rsid w:val="0048492A"/>
    <w:rsid w:val="004857D7"/>
    <w:rsid w:val="004858E3"/>
    <w:rsid w:val="0048643E"/>
    <w:rsid w:val="00486C56"/>
    <w:rsid w:val="00487733"/>
    <w:rsid w:val="00490825"/>
    <w:rsid w:val="004927B0"/>
    <w:rsid w:val="00492AC9"/>
    <w:rsid w:val="00492B32"/>
    <w:rsid w:val="00495071"/>
    <w:rsid w:val="004A0144"/>
    <w:rsid w:val="004A0472"/>
    <w:rsid w:val="004A139F"/>
    <w:rsid w:val="004A3A3E"/>
    <w:rsid w:val="004A43B7"/>
    <w:rsid w:val="004A4D15"/>
    <w:rsid w:val="004A55AF"/>
    <w:rsid w:val="004B0140"/>
    <w:rsid w:val="004B301C"/>
    <w:rsid w:val="004B3085"/>
    <w:rsid w:val="004B31BE"/>
    <w:rsid w:val="004B3F28"/>
    <w:rsid w:val="004B4861"/>
    <w:rsid w:val="004C17E2"/>
    <w:rsid w:val="004C298F"/>
    <w:rsid w:val="004C386C"/>
    <w:rsid w:val="004C4015"/>
    <w:rsid w:val="004C4B10"/>
    <w:rsid w:val="004C7E03"/>
    <w:rsid w:val="004D1051"/>
    <w:rsid w:val="004D1784"/>
    <w:rsid w:val="004D239C"/>
    <w:rsid w:val="004D2740"/>
    <w:rsid w:val="004D28EA"/>
    <w:rsid w:val="004E07DC"/>
    <w:rsid w:val="004E2BC7"/>
    <w:rsid w:val="004E6B95"/>
    <w:rsid w:val="004F0882"/>
    <w:rsid w:val="004F0B95"/>
    <w:rsid w:val="004F263B"/>
    <w:rsid w:val="004F79E7"/>
    <w:rsid w:val="00500349"/>
    <w:rsid w:val="005005F5"/>
    <w:rsid w:val="00500E36"/>
    <w:rsid w:val="00501A6C"/>
    <w:rsid w:val="00501E12"/>
    <w:rsid w:val="00502FE2"/>
    <w:rsid w:val="005039E5"/>
    <w:rsid w:val="00513D2B"/>
    <w:rsid w:val="005146DA"/>
    <w:rsid w:val="00515CD6"/>
    <w:rsid w:val="005173A0"/>
    <w:rsid w:val="005207FB"/>
    <w:rsid w:val="00520E00"/>
    <w:rsid w:val="005225DA"/>
    <w:rsid w:val="005234BE"/>
    <w:rsid w:val="005258AF"/>
    <w:rsid w:val="00525BF4"/>
    <w:rsid w:val="00530748"/>
    <w:rsid w:val="00531203"/>
    <w:rsid w:val="00531263"/>
    <w:rsid w:val="00532849"/>
    <w:rsid w:val="00534870"/>
    <w:rsid w:val="00535AD0"/>
    <w:rsid w:val="00535ADD"/>
    <w:rsid w:val="005374DD"/>
    <w:rsid w:val="00537A1F"/>
    <w:rsid w:val="005406EA"/>
    <w:rsid w:val="005407AE"/>
    <w:rsid w:val="00540EA9"/>
    <w:rsid w:val="00542143"/>
    <w:rsid w:val="005421EE"/>
    <w:rsid w:val="005447BA"/>
    <w:rsid w:val="00544883"/>
    <w:rsid w:val="0054539C"/>
    <w:rsid w:val="00545F3E"/>
    <w:rsid w:val="00546A14"/>
    <w:rsid w:val="00552A73"/>
    <w:rsid w:val="00552C84"/>
    <w:rsid w:val="00554B9B"/>
    <w:rsid w:val="00555001"/>
    <w:rsid w:val="00555F8F"/>
    <w:rsid w:val="0055754B"/>
    <w:rsid w:val="005578AA"/>
    <w:rsid w:val="00561001"/>
    <w:rsid w:val="005614D4"/>
    <w:rsid w:val="00564043"/>
    <w:rsid w:val="00566C8A"/>
    <w:rsid w:val="0056727E"/>
    <w:rsid w:val="00567A39"/>
    <w:rsid w:val="00570381"/>
    <w:rsid w:val="00574F4B"/>
    <w:rsid w:val="00576E48"/>
    <w:rsid w:val="0057703F"/>
    <w:rsid w:val="00580574"/>
    <w:rsid w:val="00580B56"/>
    <w:rsid w:val="005818DF"/>
    <w:rsid w:val="0058323E"/>
    <w:rsid w:val="00583FDA"/>
    <w:rsid w:val="00585989"/>
    <w:rsid w:val="005871D3"/>
    <w:rsid w:val="0058722F"/>
    <w:rsid w:val="00590BA2"/>
    <w:rsid w:val="00590DC8"/>
    <w:rsid w:val="00592663"/>
    <w:rsid w:val="00592F8D"/>
    <w:rsid w:val="00596D2E"/>
    <w:rsid w:val="00597B73"/>
    <w:rsid w:val="005A1156"/>
    <w:rsid w:val="005A15AA"/>
    <w:rsid w:val="005A1809"/>
    <w:rsid w:val="005A1973"/>
    <w:rsid w:val="005A3481"/>
    <w:rsid w:val="005A6827"/>
    <w:rsid w:val="005B113F"/>
    <w:rsid w:val="005B158C"/>
    <w:rsid w:val="005B3483"/>
    <w:rsid w:val="005B35E4"/>
    <w:rsid w:val="005B43E1"/>
    <w:rsid w:val="005B54A8"/>
    <w:rsid w:val="005B64A1"/>
    <w:rsid w:val="005C0C8F"/>
    <w:rsid w:val="005C0FBD"/>
    <w:rsid w:val="005C1AEC"/>
    <w:rsid w:val="005C2521"/>
    <w:rsid w:val="005C33C4"/>
    <w:rsid w:val="005C34C8"/>
    <w:rsid w:val="005C3A56"/>
    <w:rsid w:val="005C5771"/>
    <w:rsid w:val="005C6620"/>
    <w:rsid w:val="005C66F7"/>
    <w:rsid w:val="005C6AF7"/>
    <w:rsid w:val="005C748D"/>
    <w:rsid w:val="005D01B9"/>
    <w:rsid w:val="005D03F3"/>
    <w:rsid w:val="005D0648"/>
    <w:rsid w:val="005D3AB8"/>
    <w:rsid w:val="005D52DB"/>
    <w:rsid w:val="005D711E"/>
    <w:rsid w:val="005E0BC1"/>
    <w:rsid w:val="005E1292"/>
    <w:rsid w:val="005E4A85"/>
    <w:rsid w:val="005E5817"/>
    <w:rsid w:val="005E5F65"/>
    <w:rsid w:val="005E7842"/>
    <w:rsid w:val="005F18B4"/>
    <w:rsid w:val="005F3595"/>
    <w:rsid w:val="005F5037"/>
    <w:rsid w:val="00600004"/>
    <w:rsid w:val="0060335E"/>
    <w:rsid w:val="00603C35"/>
    <w:rsid w:val="00605269"/>
    <w:rsid w:val="00605511"/>
    <w:rsid w:val="0061371D"/>
    <w:rsid w:val="00614C95"/>
    <w:rsid w:val="00615083"/>
    <w:rsid w:val="006176F2"/>
    <w:rsid w:val="00621118"/>
    <w:rsid w:val="00621867"/>
    <w:rsid w:val="00623D78"/>
    <w:rsid w:val="00625F07"/>
    <w:rsid w:val="00630251"/>
    <w:rsid w:val="00633063"/>
    <w:rsid w:val="0063521D"/>
    <w:rsid w:val="006355A7"/>
    <w:rsid w:val="00635D06"/>
    <w:rsid w:val="00640450"/>
    <w:rsid w:val="00643356"/>
    <w:rsid w:val="00645654"/>
    <w:rsid w:val="0065070F"/>
    <w:rsid w:val="006545F0"/>
    <w:rsid w:val="00654719"/>
    <w:rsid w:val="00654F7C"/>
    <w:rsid w:val="00655DB5"/>
    <w:rsid w:val="00662297"/>
    <w:rsid w:val="00662A08"/>
    <w:rsid w:val="00664314"/>
    <w:rsid w:val="0066596A"/>
    <w:rsid w:val="00665AF5"/>
    <w:rsid w:val="0066693F"/>
    <w:rsid w:val="00667A9A"/>
    <w:rsid w:val="00672A0F"/>
    <w:rsid w:val="00672AE0"/>
    <w:rsid w:val="0067371F"/>
    <w:rsid w:val="0067451B"/>
    <w:rsid w:val="006753BD"/>
    <w:rsid w:val="006813F0"/>
    <w:rsid w:val="00682435"/>
    <w:rsid w:val="006831C8"/>
    <w:rsid w:val="00684737"/>
    <w:rsid w:val="006854D1"/>
    <w:rsid w:val="006867DB"/>
    <w:rsid w:val="00686D06"/>
    <w:rsid w:val="00691323"/>
    <w:rsid w:val="00691DAF"/>
    <w:rsid w:val="006A0815"/>
    <w:rsid w:val="006A11B8"/>
    <w:rsid w:val="006A2462"/>
    <w:rsid w:val="006A2F2D"/>
    <w:rsid w:val="006A32F2"/>
    <w:rsid w:val="006A41BF"/>
    <w:rsid w:val="006A7D65"/>
    <w:rsid w:val="006B0A81"/>
    <w:rsid w:val="006B2E63"/>
    <w:rsid w:val="006B3E0C"/>
    <w:rsid w:val="006C0231"/>
    <w:rsid w:val="006C166D"/>
    <w:rsid w:val="006C2439"/>
    <w:rsid w:val="006C2E78"/>
    <w:rsid w:val="006C3490"/>
    <w:rsid w:val="006C420E"/>
    <w:rsid w:val="006C5E25"/>
    <w:rsid w:val="006D05E0"/>
    <w:rsid w:val="006D0AB8"/>
    <w:rsid w:val="006D1F5A"/>
    <w:rsid w:val="006D2A3F"/>
    <w:rsid w:val="006D2D2F"/>
    <w:rsid w:val="006D3F92"/>
    <w:rsid w:val="006D4292"/>
    <w:rsid w:val="006E01E4"/>
    <w:rsid w:val="006E1E8D"/>
    <w:rsid w:val="006E2CE6"/>
    <w:rsid w:val="006E2EF4"/>
    <w:rsid w:val="006E4A8B"/>
    <w:rsid w:val="006E62CD"/>
    <w:rsid w:val="006F00E9"/>
    <w:rsid w:val="006F3515"/>
    <w:rsid w:val="006F4759"/>
    <w:rsid w:val="006F4C5F"/>
    <w:rsid w:val="006F5A5E"/>
    <w:rsid w:val="006F61BC"/>
    <w:rsid w:val="007001C9"/>
    <w:rsid w:val="00700693"/>
    <w:rsid w:val="0070132F"/>
    <w:rsid w:val="007015D2"/>
    <w:rsid w:val="00702104"/>
    <w:rsid w:val="007025CC"/>
    <w:rsid w:val="0071251C"/>
    <w:rsid w:val="00712A0F"/>
    <w:rsid w:val="00716960"/>
    <w:rsid w:val="00721408"/>
    <w:rsid w:val="00722322"/>
    <w:rsid w:val="00723477"/>
    <w:rsid w:val="007238A4"/>
    <w:rsid w:val="0072553E"/>
    <w:rsid w:val="00727532"/>
    <w:rsid w:val="007309D7"/>
    <w:rsid w:val="00730A92"/>
    <w:rsid w:val="0073359D"/>
    <w:rsid w:val="007350A5"/>
    <w:rsid w:val="00735C95"/>
    <w:rsid w:val="00740C7A"/>
    <w:rsid w:val="0074208D"/>
    <w:rsid w:val="00742A08"/>
    <w:rsid w:val="0074546C"/>
    <w:rsid w:val="00750DBA"/>
    <w:rsid w:val="00753A79"/>
    <w:rsid w:val="007541A8"/>
    <w:rsid w:val="0075566B"/>
    <w:rsid w:val="0075647E"/>
    <w:rsid w:val="007573DC"/>
    <w:rsid w:val="007603E9"/>
    <w:rsid w:val="00760ECD"/>
    <w:rsid w:val="00765AFD"/>
    <w:rsid w:val="00767729"/>
    <w:rsid w:val="007715E0"/>
    <w:rsid w:val="00771692"/>
    <w:rsid w:val="0077185A"/>
    <w:rsid w:val="00775F5F"/>
    <w:rsid w:val="0077606C"/>
    <w:rsid w:val="007763C0"/>
    <w:rsid w:val="007806A6"/>
    <w:rsid w:val="007834DA"/>
    <w:rsid w:val="00783BBE"/>
    <w:rsid w:val="007848C4"/>
    <w:rsid w:val="007853E5"/>
    <w:rsid w:val="00785BF2"/>
    <w:rsid w:val="007879DD"/>
    <w:rsid w:val="00792451"/>
    <w:rsid w:val="007931ED"/>
    <w:rsid w:val="007944A4"/>
    <w:rsid w:val="00794D80"/>
    <w:rsid w:val="00795B38"/>
    <w:rsid w:val="007973A3"/>
    <w:rsid w:val="007A06B9"/>
    <w:rsid w:val="007A160D"/>
    <w:rsid w:val="007A206B"/>
    <w:rsid w:val="007A50AF"/>
    <w:rsid w:val="007A5A37"/>
    <w:rsid w:val="007B2F04"/>
    <w:rsid w:val="007B3F93"/>
    <w:rsid w:val="007B6A6F"/>
    <w:rsid w:val="007B77B9"/>
    <w:rsid w:val="007C5192"/>
    <w:rsid w:val="007C59F8"/>
    <w:rsid w:val="007C7EC0"/>
    <w:rsid w:val="007D10AA"/>
    <w:rsid w:val="007D123A"/>
    <w:rsid w:val="007D1B26"/>
    <w:rsid w:val="007D31BC"/>
    <w:rsid w:val="007D3802"/>
    <w:rsid w:val="007D4D59"/>
    <w:rsid w:val="007D7CA5"/>
    <w:rsid w:val="007E00E3"/>
    <w:rsid w:val="007E4643"/>
    <w:rsid w:val="007E4BF9"/>
    <w:rsid w:val="007F50E7"/>
    <w:rsid w:val="007F5D10"/>
    <w:rsid w:val="007F65D9"/>
    <w:rsid w:val="007F73D3"/>
    <w:rsid w:val="007F7EFC"/>
    <w:rsid w:val="00801743"/>
    <w:rsid w:val="00803654"/>
    <w:rsid w:val="00804367"/>
    <w:rsid w:val="00805024"/>
    <w:rsid w:val="00806715"/>
    <w:rsid w:val="0080708D"/>
    <w:rsid w:val="008074D5"/>
    <w:rsid w:val="00811797"/>
    <w:rsid w:val="00811B9B"/>
    <w:rsid w:val="0081284B"/>
    <w:rsid w:val="00813F37"/>
    <w:rsid w:val="00816EBC"/>
    <w:rsid w:val="00816F02"/>
    <w:rsid w:val="0081700E"/>
    <w:rsid w:val="00821BDE"/>
    <w:rsid w:val="00822ADF"/>
    <w:rsid w:val="00826570"/>
    <w:rsid w:val="008270E7"/>
    <w:rsid w:val="00827D4B"/>
    <w:rsid w:val="00831498"/>
    <w:rsid w:val="008339FC"/>
    <w:rsid w:val="00834796"/>
    <w:rsid w:val="00835C89"/>
    <w:rsid w:val="008402FB"/>
    <w:rsid w:val="008461BF"/>
    <w:rsid w:val="0084700B"/>
    <w:rsid w:val="008508E4"/>
    <w:rsid w:val="008531DF"/>
    <w:rsid w:val="00853BB8"/>
    <w:rsid w:val="00854102"/>
    <w:rsid w:val="00854316"/>
    <w:rsid w:val="00855B52"/>
    <w:rsid w:val="00855CF7"/>
    <w:rsid w:val="00863840"/>
    <w:rsid w:val="00872000"/>
    <w:rsid w:val="00872343"/>
    <w:rsid w:val="008735C8"/>
    <w:rsid w:val="00874DA9"/>
    <w:rsid w:val="00875C91"/>
    <w:rsid w:val="00876BA5"/>
    <w:rsid w:val="008818F3"/>
    <w:rsid w:val="00882AB8"/>
    <w:rsid w:val="00886692"/>
    <w:rsid w:val="008866BE"/>
    <w:rsid w:val="00887D4B"/>
    <w:rsid w:val="00887FFB"/>
    <w:rsid w:val="00890E99"/>
    <w:rsid w:val="00891368"/>
    <w:rsid w:val="008913DB"/>
    <w:rsid w:val="00892639"/>
    <w:rsid w:val="0089271B"/>
    <w:rsid w:val="008939C1"/>
    <w:rsid w:val="008A00F3"/>
    <w:rsid w:val="008A14FF"/>
    <w:rsid w:val="008A2423"/>
    <w:rsid w:val="008A327E"/>
    <w:rsid w:val="008A409C"/>
    <w:rsid w:val="008A48B8"/>
    <w:rsid w:val="008A7B02"/>
    <w:rsid w:val="008B2A09"/>
    <w:rsid w:val="008B36EA"/>
    <w:rsid w:val="008B48D8"/>
    <w:rsid w:val="008B72FD"/>
    <w:rsid w:val="008B7FFA"/>
    <w:rsid w:val="008C0DBE"/>
    <w:rsid w:val="008C1241"/>
    <w:rsid w:val="008C25A7"/>
    <w:rsid w:val="008C3229"/>
    <w:rsid w:val="008C5757"/>
    <w:rsid w:val="008C71B4"/>
    <w:rsid w:val="008D078A"/>
    <w:rsid w:val="008D14D4"/>
    <w:rsid w:val="008D1FB8"/>
    <w:rsid w:val="008D47F8"/>
    <w:rsid w:val="008D6987"/>
    <w:rsid w:val="008D6BA7"/>
    <w:rsid w:val="008D7534"/>
    <w:rsid w:val="008D7927"/>
    <w:rsid w:val="008E00F3"/>
    <w:rsid w:val="008E15F8"/>
    <w:rsid w:val="008E2C9F"/>
    <w:rsid w:val="008E2E2A"/>
    <w:rsid w:val="008E6056"/>
    <w:rsid w:val="008E662D"/>
    <w:rsid w:val="008E692F"/>
    <w:rsid w:val="008E7347"/>
    <w:rsid w:val="008F666E"/>
    <w:rsid w:val="008F66C5"/>
    <w:rsid w:val="00900FEF"/>
    <w:rsid w:val="00901A3F"/>
    <w:rsid w:val="00902770"/>
    <w:rsid w:val="00902CDA"/>
    <w:rsid w:val="00903B35"/>
    <w:rsid w:val="00904907"/>
    <w:rsid w:val="00905409"/>
    <w:rsid w:val="009075E7"/>
    <w:rsid w:val="009112B6"/>
    <w:rsid w:val="009114C4"/>
    <w:rsid w:val="0091649F"/>
    <w:rsid w:val="0091691E"/>
    <w:rsid w:val="00921F7D"/>
    <w:rsid w:val="00923635"/>
    <w:rsid w:val="0092487F"/>
    <w:rsid w:val="00926789"/>
    <w:rsid w:val="00926C42"/>
    <w:rsid w:val="0092798C"/>
    <w:rsid w:val="00927B82"/>
    <w:rsid w:val="00932ECB"/>
    <w:rsid w:val="00936392"/>
    <w:rsid w:val="00937F1C"/>
    <w:rsid w:val="00941EBC"/>
    <w:rsid w:val="00942352"/>
    <w:rsid w:val="00947F96"/>
    <w:rsid w:val="0095013E"/>
    <w:rsid w:val="009502AF"/>
    <w:rsid w:val="00950B59"/>
    <w:rsid w:val="0095153A"/>
    <w:rsid w:val="00953A95"/>
    <w:rsid w:val="0095585F"/>
    <w:rsid w:val="0095798D"/>
    <w:rsid w:val="00965C18"/>
    <w:rsid w:val="00966F11"/>
    <w:rsid w:val="0096766A"/>
    <w:rsid w:val="00967E77"/>
    <w:rsid w:val="00970F02"/>
    <w:rsid w:val="00970FEF"/>
    <w:rsid w:val="00971FF2"/>
    <w:rsid w:val="00973B32"/>
    <w:rsid w:val="00973D31"/>
    <w:rsid w:val="00973ECE"/>
    <w:rsid w:val="0097505A"/>
    <w:rsid w:val="00976146"/>
    <w:rsid w:val="0097630B"/>
    <w:rsid w:val="00982534"/>
    <w:rsid w:val="00982B42"/>
    <w:rsid w:val="00982B76"/>
    <w:rsid w:val="00984CD8"/>
    <w:rsid w:val="0098587E"/>
    <w:rsid w:val="00991813"/>
    <w:rsid w:val="00991BAA"/>
    <w:rsid w:val="009933AE"/>
    <w:rsid w:val="00993A1D"/>
    <w:rsid w:val="00995400"/>
    <w:rsid w:val="00997736"/>
    <w:rsid w:val="009A09E2"/>
    <w:rsid w:val="009A6AFD"/>
    <w:rsid w:val="009A7234"/>
    <w:rsid w:val="009B0770"/>
    <w:rsid w:val="009B0F62"/>
    <w:rsid w:val="009B13A6"/>
    <w:rsid w:val="009B5259"/>
    <w:rsid w:val="009B5558"/>
    <w:rsid w:val="009B5AD2"/>
    <w:rsid w:val="009B5DF2"/>
    <w:rsid w:val="009B6835"/>
    <w:rsid w:val="009B6A80"/>
    <w:rsid w:val="009B6E0D"/>
    <w:rsid w:val="009B7A49"/>
    <w:rsid w:val="009C05E4"/>
    <w:rsid w:val="009C0A77"/>
    <w:rsid w:val="009C34FB"/>
    <w:rsid w:val="009D1319"/>
    <w:rsid w:val="009D2E47"/>
    <w:rsid w:val="009D5AB4"/>
    <w:rsid w:val="009D7C78"/>
    <w:rsid w:val="009E1499"/>
    <w:rsid w:val="009E3032"/>
    <w:rsid w:val="009E32C6"/>
    <w:rsid w:val="009E4A85"/>
    <w:rsid w:val="009E7B26"/>
    <w:rsid w:val="009E7FA6"/>
    <w:rsid w:val="009F253A"/>
    <w:rsid w:val="009F4795"/>
    <w:rsid w:val="009F536A"/>
    <w:rsid w:val="009F6631"/>
    <w:rsid w:val="009F6861"/>
    <w:rsid w:val="009F6BA4"/>
    <w:rsid w:val="009F7ADE"/>
    <w:rsid w:val="00A00D16"/>
    <w:rsid w:val="00A05BF1"/>
    <w:rsid w:val="00A11529"/>
    <w:rsid w:val="00A127FC"/>
    <w:rsid w:val="00A143F7"/>
    <w:rsid w:val="00A1597B"/>
    <w:rsid w:val="00A178D9"/>
    <w:rsid w:val="00A21075"/>
    <w:rsid w:val="00A21809"/>
    <w:rsid w:val="00A260E6"/>
    <w:rsid w:val="00A27F48"/>
    <w:rsid w:val="00A30008"/>
    <w:rsid w:val="00A339F3"/>
    <w:rsid w:val="00A357AE"/>
    <w:rsid w:val="00A36A73"/>
    <w:rsid w:val="00A402F0"/>
    <w:rsid w:val="00A409D0"/>
    <w:rsid w:val="00A433B9"/>
    <w:rsid w:val="00A462F1"/>
    <w:rsid w:val="00A47EAF"/>
    <w:rsid w:val="00A50962"/>
    <w:rsid w:val="00A54E38"/>
    <w:rsid w:val="00A564C8"/>
    <w:rsid w:val="00A5723D"/>
    <w:rsid w:val="00A60756"/>
    <w:rsid w:val="00A61F16"/>
    <w:rsid w:val="00A62BBB"/>
    <w:rsid w:val="00A64342"/>
    <w:rsid w:val="00A64846"/>
    <w:rsid w:val="00A66005"/>
    <w:rsid w:val="00A67E13"/>
    <w:rsid w:val="00A704B0"/>
    <w:rsid w:val="00A71A0F"/>
    <w:rsid w:val="00A74669"/>
    <w:rsid w:val="00A75438"/>
    <w:rsid w:val="00A755A3"/>
    <w:rsid w:val="00A755B0"/>
    <w:rsid w:val="00A8202D"/>
    <w:rsid w:val="00A86D8B"/>
    <w:rsid w:val="00A878D5"/>
    <w:rsid w:val="00A87FC2"/>
    <w:rsid w:val="00A909BC"/>
    <w:rsid w:val="00A91FC5"/>
    <w:rsid w:val="00A93E54"/>
    <w:rsid w:val="00A9474F"/>
    <w:rsid w:val="00A96B4E"/>
    <w:rsid w:val="00AA0949"/>
    <w:rsid w:val="00AB1283"/>
    <w:rsid w:val="00AB1FC0"/>
    <w:rsid w:val="00AB3B4D"/>
    <w:rsid w:val="00AB3DBC"/>
    <w:rsid w:val="00AB3E64"/>
    <w:rsid w:val="00AC0C14"/>
    <w:rsid w:val="00AC1E23"/>
    <w:rsid w:val="00AC2CF8"/>
    <w:rsid w:val="00AC3AE9"/>
    <w:rsid w:val="00AC7708"/>
    <w:rsid w:val="00AC7F46"/>
    <w:rsid w:val="00AD0A95"/>
    <w:rsid w:val="00AD1CC6"/>
    <w:rsid w:val="00AD28DC"/>
    <w:rsid w:val="00AD6046"/>
    <w:rsid w:val="00AD70D0"/>
    <w:rsid w:val="00AD789F"/>
    <w:rsid w:val="00AD7C85"/>
    <w:rsid w:val="00AE0C38"/>
    <w:rsid w:val="00AE0F4C"/>
    <w:rsid w:val="00AE1829"/>
    <w:rsid w:val="00AE4091"/>
    <w:rsid w:val="00AE54C4"/>
    <w:rsid w:val="00AE59B4"/>
    <w:rsid w:val="00AE5C4B"/>
    <w:rsid w:val="00AF0CD9"/>
    <w:rsid w:val="00AF2A71"/>
    <w:rsid w:val="00AF5405"/>
    <w:rsid w:val="00B029A5"/>
    <w:rsid w:val="00B02F75"/>
    <w:rsid w:val="00B04CD4"/>
    <w:rsid w:val="00B06446"/>
    <w:rsid w:val="00B16550"/>
    <w:rsid w:val="00B176AF"/>
    <w:rsid w:val="00B17A40"/>
    <w:rsid w:val="00B202B2"/>
    <w:rsid w:val="00B2033F"/>
    <w:rsid w:val="00B21E1C"/>
    <w:rsid w:val="00B2231D"/>
    <w:rsid w:val="00B231D9"/>
    <w:rsid w:val="00B25D07"/>
    <w:rsid w:val="00B279C1"/>
    <w:rsid w:val="00B30887"/>
    <w:rsid w:val="00B33C1E"/>
    <w:rsid w:val="00B351B5"/>
    <w:rsid w:val="00B36665"/>
    <w:rsid w:val="00B367EE"/>
    <w:rsid w:val="00B36E14"/>
    <w:rsid w:val="00B40A2B"/>
    <w:rsid w:val="00B40DE3"/>
    <w:rsid w:val="00B40F27"/>
    <w:rsid w:val="00B42D1F"/>
    <w:rsid w:val="00B43023"/>
    <w:rsid w:val="00B44121"/>
    <w:rsid w:val="00B44E02"/>
    <w:rsid w:val="00B46D06"/>
    <w:rsid w:val="00B544AF"/>
    <w:rsid w:val="00B547C1"/>
    <w:rsid w:val="00B56DC9"/>
    <w:rsid w:val="00B57893"/>
    <w:rsid w:val="00B613F2"/>
    <w:rsid w:val="00B62271"/>
    <w:rsid w:val="00B62FEE"/>
    <w:rsid w:val="00B632A0"/>
    <w:rsid w:val="00B656E3"/>
    <w:rsid w:val="00B66F39"/>
    <w:rsid w:val="00B6715F"/>
    <w:rsid w:val="00B67B15"/>
    <w:rsid w:val="00B70CD5"/>
    <w:rsid w:val="00B72491"/>
    <w:rsid w:val="00B749E1"/>
    <w:rsid w:val="00B75F17"/>
    <w:rsid w:val="00B76653"/>
    <w:rsid w:val="00B7669E"/>
    <w:rsid w:val="00B779B0"/>
    <w:rsid w:val="00B82ABD"/>
    <w:rsid w:val="00B83265"/>
    <w:rsid w:val="00B835EC"/>
    <w:rsid w:val="00B8416D"/>
    <w:rsid w:val="00B852ED"/>
    <w:rsid w:val="00B8535D"/>
    <w:rsid w:val="00B87B2F"/>
    <w:rsid w:val="00B92825"/>
    <w:rsid w:val="00B9352E"/>
    <w:rsid w:val="00B94F97"/>
    <w:rsid w:val="00B958D6"/>
    <w:rsid w:val="00BA064A"/>
    <w:rsid w:val="00BA0B6E"/>
    <w:rsid w:val="00BA0E6D"/>
    <w:rsid w:val="00BA2497"/>
    <w:rsid w:val="00BA27E2"/>
    <w:rsid w:val="00BA5EAB"/>
    <w:rsid w:val="00BA6446"/>
    <w:rsid w:val="00BA6FD9"/>
    <w:rsid w:val="00BB133D"/>
    <w:rsid w:val="00BB1555"/>
    <w:rsid w:val="00BB2BCC"/>
    <w:rsid w:val="00BB40EF"/>
    <w:rsid w:val="00BB54FE"/>
    <w:rsid w:val="00BC2B50"/>
    <w:rsid w:val="00BC304C"/>
    <w:rsid w:val="00BC3611"/>
    <w:rsid w:val="00BC4B9B"/>
    <w:rsid w:val="00BC7C6B"/>
    <w:rsid w:val="00BD0DC7"/>
    <w:rsid w:val="00BD69A8"/>
    <w:rsid w:val="00BD72EB"/>
    <w:rsid w:val="00BE0337"/>
    <w:rsid w:val="00BE3E1B"/>
    <w:rsid w:val="00BE651C"/>
    <w:rsid w:val="00BE65CC"/>
    <w:rsid w:val="00BE74C6"/>
    <w:rsid w:val="00BF3573"/>
    <w:rsid w:val="00BF3BC1"/>
    <w:rsid w:val="00BF3FC7"/>
    <w:rsid w:val="00BF7CE0"/>
    <w:rsid w:val="00C01BC1"/>
    <w:rsid w:val="00C02622"/>
    <w:rsid w:val="00C030F7"/>
    <w:rsid w:val="00C03FA8"/>
    <w:rsid w:val="00C06521"/>
    <w:rsid w:val="00C0762F"/>
    <w:rsid w:val="00C07D99"/>
    <w:rsid w:val="00C1192D"/>
    <w:rsid w:val="00C1734A"/>
    <w:rsid w:val="00C176F5"/>
    <w:rsid w:val="00C17F49"/>
    <w:rsid w:val="00C208DE"/>
    <w:rsid w:val="00C21E07"/>
    <w:rsid w:val="00C22AD0"/>
    <w:rsid w:val="00C26D6D"/>
    <w:rsid w:val="00C31399"/>
    <w:rsid w:val="00C34D20"/>
    <w:rsid w:val="00C3535A"/>
    <w:rsid w:val="00C354B5"/>
    <w:rsid w:val="00C3560D"/>
    <w:rsid w:val="00C37D4B"/>
    <w:rsid w:val="00C429BC"/>
    <w:rsid w:val="00C46B81"/>
    <w:rsid w:val="00C4708F"/>
    <w:rsid w:val="00C5159E"/>
    <w:rsid w:val="00C539F2"/>
    <w:rsid w:val="00C54125"/>
    <w:rsid w:val="00C60192"/>
    <w:rsid w:val="00C6244A"/>
    <w:rsid w:val="00C62486"/>
    <w:rsid w:val="00C63626"/>
    <w:rsid w:val="00C64838"/>
    <w:rsid w:val="00C64898"/>
    <w:rsid w:val="00C6757C"/>
    <w:rsid w:val="00C67FAA"/>
    <w:rsid w:val="00C71115"/>
    <w:rsid w:val="00C71657"/>
    <w:rsid w:val="00C7358E"/>
    <w:rsid w:val="00C747A6"/>
    <w:rsid w:val="00C77242"/>
    <w:rsid w:val="00C77CE1"/>
    <w:rsid w:val="00C82D14"/>
    <w:rsid w:val="00C87DDC"/>
    <w:rsid w:val="00C90CAA"/>
    <w:rsid w:val="00C91090"/>
    <w:rsid w:val="00C9523D"/>
    <w:rsid w:val="00C967E2"/>
    <w:rsid w:val="00CA086C"/>
    <w:rsid w:val="00CA291D"/>
    <w:rsid w:val="00CA398C"/>
    <w:rsid w:val="00CA4FBC"/>
    <w:rsid w:val="00CB1158"/>
    <w:rsid w:val="00CB1A75"/>
    <w:rsid w:val="00CB3751"/>
    <w:rsid w:val="00CB389D"/>
    <w:rsid w:val="00CB396C"/>
    <w:rsid w:val="00CB4F2E"/>
    <w:rsid w:val="00CB6ED5"/>
    <w:rsid w:val="00CC0219"/>
    <w:rsid w:val="00CC1D99"/>
    <w:rsid w:val="00CC49A0"/>
    <w:rsid w:val="00CC58BC"/>
    <w:rsid w:val="00CC5CB9"/>
    <w:rsid w:val="00CC603E"/>
    <w:rsid w:val="00CC67ED"/>
    <w:rsid w:val="00CC702A"/>
    <w:rsid w:val="00CC70B3"/>
    <w:rsid w:val="00CD0C7B"/>
    <w:rsid w:val="00CD23B3"/>
    <w:rsid w:val="00CD3B02"/>
    <w:rsid w:val="00CD4959"/>
    <w:rsid w:val="00CD78D0"/>
    <w:rsid w:val="00CE0F32"/>
    <w:rsid w:val="00CE36AF"/>
    <w:rsid w:val="00CE3997"/>
    <w:rsid w:val="00CE6637"/>
    <w:rsid w:val="00CF2AC5"/>
    <w:rsid w:val="00CF2F5B"/>
    <w:rsid w:val="00CF40A5"/>
    <w:rsid w:val="00CF7432"/>
    <w:rsid w:val="00D0110A"/>
    <w:rsid w:val="00D0787B"/>
    <w:rsid w:val="00D107D0"/>
    <w:rsid w:val="00D112A6"/>
    <w:rsid w:val="00D134DB"/>
    <w:rsid w:val="00D14717"/>
    <w:rsid w:val="00D15A91"/>
    <w:rsid w:val="00D21BB1"/>
    <w:rsid w:val="00D21E7D"/>
    <w:rsid w:val="00D22128"/>
    <w:rsid w:val="00D226A6"/>
    <w:rsid w:val="00D261F6"/>
    <w:rsid w:val="00D26D5C"/>
    <w:rsid w:val="00D26F1B"/>
    <w:rsid w:val="00D27E49"/>
    <w:rsid w:val="00D308D9"/>
    <w:rsid w:val="00D32985"/>
    <w:rsid w:val="00D33E95"/>
    <w:rsid w:val="00D34249"/>
    <w:rsid w:val="00D359DA"/>
    <w:rsid w:val="00D4224D"/>
    <w:rsid w:val="00D434E9"/>
    <w:rsid w:val="00D45E0E"/>
    <w:rsid w:val="00D46B08"/>
    <w:rsid w:val="00D46B8E"/>
    <w:rsid w:val="00D55489"/>
    <w:rsid w:val="00D605BF"/>
    <w:rsid w:val="00D6163A"/>
    <w:rsid w:val="00D6216F"/>
    <w:rsid w:val="00D62A5C"/>
    <w:rsid w:val="00D63AF9"/>
    <w:rsid w:val="00D63C79"/>
    <w:rsid w:val="00D6412C"/>
    <w:rsid w:val="00D658FB"/>
    <w:rsid w:val="00D666B1"/>
    <w:rsid w:val="00D727AE"/>
    <w:rsid w:val="00D728B8"/>
    <w:rsid w:val="00D75032"/>
    <w:rsid w:val="00D80B41"/>
    <w:rsid w:val="00D81C55"/>
    <w:rsid w:val="00D826E4"/>
    <w:rsid w:val="00D83FC0"/>
    <w:rsid w:val="00D84158"/>
    <w:rsid w:val="00D84896"/>
    <w:rsid w:val="00D84CF7"/>
    <w:rsid w:val="00D85805"/>
    <w:rsid w:val="00D85C9F"/>
    <w:rsid w:val="00D8719C"/>
    <w:rsid w:val="00D9324E"/>
    <w:rsid w:val="00DA32C0"/>
    <w:rsid w:val="00DA4B8F"/>
    <w:rsid w:val="00DA5A00"/>
    <w:rsid w:val="00DA5A6B"/>
    <w:rsid w:val="00DA65B5"/>
    <w:rsid w:val="00DA6976"/>
    <w:rsid w:val="00DA72D2"/>
    <w:rsid w:val="00DA770C"/>
    <w:rsid w:val="00DB17A2"/>
    <w:rsid w:val="00DB309B"/>
    <w:rsid w:val="00DB33B5"/>
    <w:rsid w:val="00DB5E50"/>
    <w:rsid w:val="00DB5F21"/>
    <w:rsid w:val="00DB756A"/>
    <w:rsid w:val="00DC411C"/>
    <w:rsid w:val="00DC4DD6"/>
    <w:rsid w:val="00DC511E"/>
    <w:rsid w:val="00DC676F"/>
    <w:rsid w:val="00DD16B4"/>
    <w:rsid w:val="00DD1E89"/>
    <w:rsid w:val="00DD4E67"/>
    <w:rsid w:val="00DD5181"/>
    <w:rsid w:val="00DD5191"/>
    <w:rsid w:val="00DD5D89"/>
    <w:rsid w:val="00DD69F0"/>
    <w:rsid w:val="00DE1059"/>
    <w:rsid w:val="00DE14E0"/>
    <w:rsid w:val="00DE1518"/>
    <w:rsid w:val="00DE47DA"/>
    <w:rsid w:val="00DE588A"/>
    <w:rsid w:val="00DE6B96"/>
    <w:rsid w:val="00DE72B5"/>
    <w:rsid w:val="00DF071D"/>
    <w:rsid w:val="00DF4D27"/>
    <w:rsid w:val="00DF7DC3"/>
    <w:rsid w:val="00E011E8"/>
    <w:rsid w:val="00E022D2"/>
    <w:rsid w:val="00E03782"/>
    <w:rsid w:val="00E045AA"/>
    <w:rsid w:val="00E0488C"/>
    <w:rsid w:val="00E06C23"/>
    <w:rsid w:val="00E07837"/>
    <w:rsid w:val="00E07F14"/>
    <w:rsid w:val="00E1389A"/>
    <w:rsid w:val="00E139AD"/>
    <w:rsid w:val="00E14185"/>
    <w:rsid w:val="00E14255"/>
    <w:rsid w:val="00E1598C"/>
    <w:rsid w:val="00E16FCB"/>
    <w:rsid w:val="00E21FC2"/>
    <w:rsid w:val="00E22AB0"/>
    <w:rsid w:val="00E22EC4"/>
    <w:rsid w:val="00E24C01"/>
    <w:rsid w:val="00E27A52"/>
    <w:rsid w:val="00E304F3"/>
    <w:rsid w:val="00E30608"/>
    <w:rsid w:val="00E321EA"/>
    <w:rsid w:val="00E3642B"/>
    <w:rsid w:val="00E41DDB"/>
    <w:rsid w:val="00E42FEF"/>
    <w:rsid w:val="00E43E99"/>
    <w:rsid w:val="00E50BDE"/>
    <w:rsid w:val="00E51462"/>
    <w:rsid w:val="00E520D6"/>
    <w:rsid w:val="00E5265E"/>
    <w:rsid w:val="00E543AA"/>
    <w:rsid w:val="00E55749"/>
    <w:rsid w:val="00E55DE0"/>
    <w:rsid w:val="00E56A7B"/>
    <w:rsid w:val="00E605DA"/>
    <w:rsid w:val="00E63165"/>
    <w:rsid w:val="00E63726"/>
    <w:rsid w:val="00E73105"/>
    <w:rsid w:val="00E7451E"/>
    <w:rsid w:val="00E7504F"/>
    <w:rsid w:val="00E8132E"/>
    <w:rsid w:val="00E83460"/>
    <w:rsid w:val="00E84381"/>
    <w:rsid w:val="00E86BF0"/>
    <w:rsid w:val="00E86E29"/>
    <w:rsid w:val="00E94B67"/>
    <w:rsid w:val="00EA19B2"/>
    <w:rsid w:val="00EA268F"/>
    <w:rsid w:val="00EA26D1"/>
    <w:rsid w:val="00EA291D"/>
    <w:rsid w:val="00EA49E5"/>
    <w:rsid w:val="00EA5109"/>
    <w:rsid w:val="00EA5551"/>
    <w:rsid w:val="00EA5883"/>
    <w:rsid w:val="00EB1297"/>
    <w:rsid w:val="00EB4347"/>
    <w:rsid w:val="00EB6ECE"/>
    <w:rsid w:val="00EB7AEA"/>
    <w:rsid w:val="00EB7B39"/>
    <w:rsid w:val="00EC268F"/>
    <w:rsid w:val="00EC6E80"/>
    <w:rsid w:val="00EC6FE7"/>
    <w:rsid w:val="00ED741E"/>
    <w:rsid w:val="00EE6437"/>
    <w:rsid w:val="00EF0761"/>
    <w:rsid w:val="00EF1A16"/>
    <w:rsid w:val="00EF3E2A"/>
    <w:rsid w:val="00EF4396"/>
    <w:rsid w:val="00EF4E6D"/>
    <w:rsid w:val="00F00BDA"/>
    <w:rsid w:val="00F01268"/>
    <w:rsid w:val="00F024E1"/>
    <w:rsid w:val="00F049EA"/>
    <w:rsid w:val="00F1187A"/>
    <w:rsid w:val="00F1411B"/>
    <w:rsid w:val="00F141D9"/>
    <w:rsid w:val="00F211A1"/>
    <w:rsid w:val="00F21C72"/>
    <w:rsid w:val="00F27DDA"/>
    <w:rsid w:val="00F308CB"/>
    <w:rsid w:val="00F30BAB"/>
    <w:rsid w:val="00F31C69"/>
    <w:rsid w:val="00F35179"/>
    <w:rsid w:val="00F35C96"/>
    <w:rsid w:val="00F35F69"/>
    <w:rsid w:val="00F3650D"/>
    <w:rsid w:val="00F40DC0"/>
    <w:rsid w:val="00F4120B"/>
    <w:rsid w:val="00F42CA5"/>
    <w:rsid w:val="00F45DAA"/>
    <w:rsid w:val="00F4717D"/>
    <w:rsid w:val="00F47DED"/>
    <w:rsid w:val="00F51D4B"/>
    <w:rsid w:val="00F542D7"/>
    <w:rsid w:val="00F564F2"/>
    <w:rsid w:val="00F5721A"/>
    <w:rsid w:val="00F61145"/>
    <w:rsid w:val="00F61C4D"/>
    <w:rsid w:val="00F70523"/>
    <w:rsid w:val="00F707AC"/>
    <w:rsid w:val="00F72903"/>
    <w:rsid w:val="00F74DE0"/>
    <w:rsid w:val="00F757EB"/>
    <w:rsid w:val="00F765DD"/>
    <w:rsid w:val="00F801C7"/>
    <w:rsid w:val="00F85DCD"/>
    <w:rsid w:val="00F879B3"/>
    <w:rsid w:val="00F926B8"/>
    <w:rsid w:val="00F941D0"/>
    <w:rsid w:val="00F95475"/>
    <w:rsid w:val="00F954BD"/>
    <w:rsid w:val="00F97B0F"/>
    <w:rsid w:val="00FA05DA"/>
    <w:rsid w:val="00FA0B76"/>
    <w:rsid w:val="00FA1E47"/>
    <w:rsid w:val="00FA4C51"/>
    <w:rsid w:val="00FB11E2"/>
    <w:rsid w:val="00FB1D8B"/>
    <w:rsid w:val="00FB585C"/>
    <w:rsid w:val="00FB78B0"/>
    <w:rsid w:val="00FB79F7"/>
    <w:rsid w:val="00FC08D6"/>
    <w:rsid w:val="00FC2082"/>
    <w:rsid w:val="00FC380A"/>
    <w:rsid w:val="00FC3DE8"/>
    <w:rsid w:val="00FC43C8"/>
    <w:rsid w:val="00FC5333"/>
    <w:rsid w:val="00FC61D6"/>
    <w:rsid w:val="00FC6E36"/>
    <w:rsid w:val="00FC7657"/>
    <w:rsid w:val="00FC78F0"/>
    <w:rsid w:val="00FC7F94"/>
    <w:rsid w:val="00FD3DED"/>
    <w:rsid w:val="00FD5080"/>
    <w:rsid w:val="00FD53E0"/>
    <w:rsid w:val="00FD6001"/>
    <w:rsid w:val="00FD75D9"/>
    <w:rsid w:val="00FE1737"/>
    <w:rsid w:val="00FE3DCA"/>
    <w:rsid w:val="00FE473A"/>
    <w:rsid w:val="00FE7054"/>
    <w:rsid w:val="00FE7D3B"/>
    <w:rsid w:val="00FF236D"/>
    <w:rsid w:val="00FF6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Book Antiqua" w:hAnsi="Book Antiqua"/>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3">
    <w:name w:val="heading 3"/>
    <w:basedOn w:val="Normal"/>
    <w:next w:val="Normal"/>
    <w:qFormat/>
    <w:rsid w:val="004F79E7"/>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center" w:pos="4680"/>
      </w:tabs>
      <w:suppressAutoHyphens/>
      <w:jc w:val="center"/>
      <w:outlineLvl w:val="3"/>
    </w:pPr>
    <w:rPr>
      <w:b/>
      <w:sz w:val="32"/>
      <w:u w:val="single"/>
    </w:rPr>
  </w:style>
  <w:style w:type="paragraph" w:styleId="Heading8">
    <w:name w:val="heading 8"/>
    <w:basedOn w:val="Normal"/>
    <w:next w:val="Normal"/>
    <w:qFormat/>
    <w:pPr>
      <w:keepNext/>
      <w:suppressAutoHyphens/>
      <w:outlineLvl w:val="7"/>
    </w:pPr>
    <w:rPr>
      <w:b/>
      <w:sz w:val="36"/>
    </w:rPr>
  </w:style>
  <w:style w:type="paragraph" w:styleId="Heading9">
    <w:name w:val="heading 9"/>
    <w:basedOn w:val="Normal"/>
    <w:next w:val="Normal"/>
    <w:qFormat/>
    <w:pPr>
      <w:keepNext/>
      <w:tabs>
        <w:tab w:val="left" w:pos="-810"/>
        <w:tab w:val="center" w:pos="4680"/>
      </w:tabs>
      <w:suppressAutoHyphens/>
      <w:ind w:left="-810"/>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center" w:pos="4680"/>
      </w:tabs>
      <w:suppressAutoHyphens/>
      <w:jc w:val="center"/>
    </w:pPr>
    <w:rPr>
      <w:b/>
      <w:sz w:val="36"/>
    </w:rPr>
  </w:style>
  <w:style w:type="paragraph" w:styleId="EndnoteText">
    <w:name w:val="endnote text"/>
    <w:basedOn w:val="Normal"/>
    <w:link w:val="EndnoteTextChar"/>
    <w:semiHidden/>
    <w:rPr>
      <w:lang w:val="x-none" w:eastAsia="x-none"/>
    </w:rPr>
  </w:style>
  <w:style w:type="character" w:styleId="FootnoteReference">
    <w:name w:val="footnote reference"/>
    <w:semiHidden/>
    <w:rPr>
      <w:vertAlign w:val="superscript"/>
    </w:rPr>
  </w:style>
  <w:style w:type="paragraph" w:styleId="BodyTextIndent2">
    <w:name w:val="Body Text Indent 2"/>
    <w:basedOn w:val="Normal"/>
    <w:pPr>
      <w:tabs>
        <w:tab w:val="left" w:pos="-1440"/>
        <w:tab w:val="left" w:pos="-720"/>
        <w:tab w:val="left" w:pos="576"/>
        <w:tab w:val="left" w:pos="1008"/>
      </w:tabs>
      <w:suppressAutoHyphens/>
      <w:ind w:left="576" w:hanging="36"/>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lang w:val="x-none" w:eastAsia="x-none"/>
    </w:rPr>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295927"/>
    <w:rPr>
      <w:sz w:val="20"/>
    </w:rPr>
  </w:style>
  <w:style w:type="paragraph" w:styleId="BodyTextIndent">
    <w:name w:val="Body Text Indent"/>
    <w:basedOn w:val="Normal"/>
    <w:rsid w:val="00344C6D"/>
    <w:pPr>
      <w:spacing w:after="120"/>
      <w:ind w:left="360"/>
    </w:pPr>
  </w:style>
  <w:style w:type="paragraph" w:styleId="Title">
    <w:name w:val="Title"/>
    <w:basedOn w:val="Normal"/>
    <w:qFormat/>
    <w:rsid w:val="001032C8"/>
    <w:pPr>
      <w:overflowPunct/>
      <w:autoSpaceDE/>
      <w:autoSpaceDN/>
      <w:adjustRightInd/>
      <w:jc w:val="center"/>
      <w:textAlignment w:val="auto"/>
    </w:pPr>
    <w:rPr>
      <w:rFonts w:ascii="Times New Roman" w:hAnsi="Times New Roman"/>
      <w:b/>
      <w:sz w:val="32"/>
      <w:u w:val="single"/>
    </w:rPr>
  </w:style>
  <w:style w:type="table" w:styleId="TableGrid">
    <w:name w:val="Table Grid"/>
    <w:basedOn w:val="TableNormal"/>
    <w:rsid w:val="00CB11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Simple2">
    <w:name w:val="Table Simple 2"/>
    <w:basedOn w:val="TableNormal"/>
    <w:rsid w:val="009F4795"/>
    <w:pPr>
      <w:overflowPunct w:val="0"/>
      <w:autoSpaceDE w:val="0"/>
      <w:autoSpaceDN w:val="0"/>
      <w:adjustRightInd w:val="0"/>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FooterChar">
    <w:name w:val="Footer Char"/>
    <w:link w:val="Footer"/>
    <w:uiPriority w:val="99"/>
    <w:rsid w:val="006C2E78"/>
    <w:rPr>
      <w:rFonts w:ascii="Book Antiqua" w:hAnsi="Book Antiqua"/>
      <w:sz w:val="24"/>
    </w:rPr>
  </w:style>
  <w:style w:type="character" w:customStyle="1" w:styleId="EndnoteTextChar">
    <w:name w:val="Endnote Text Char"/>
    <w:link w:val="EndnoteText"/>
    <w:semiHidden/>
    <w:rsid w:val="0074546C"/>
    <w:rPr>
      <w:rFonts w:ascii="Book Antiqua" w:hAnsi="Book Antiqua"/>
      <w:sz w:val="24"/>
    </w:rPr>
  </w:style>
  <w:style w:type="paragraph" w:styleId="ListParagraph">
    <w:name w:val="List Paragraph"/>
    <w:basedOn w:val="Normal"/>
    <w:uiPriority w:val="34"/>
    <w:qFormat/>
    <w:rsid w:val="009933AE"/>
    <w:pPr>
      <w:ind w:left="720"/>
    </w:pPr>
  </w:style>
  <w:style w:type="character" w:styleId="CommentReference">
    <w:name w:val="annotation reference"/>
    <w:rsid w:val="00144BDA"/>
    <w:rPr>
      <w:sz w:val="16"/>
      <w:szCs w:val="16"/>
    </w:rPr>
  </w:style>
  <w:style w:type="paragraph" w:styleId="CommentText">
    <w:name w:val="annotation text"/>
    <w:basedOn w:val="Normal"/>
    <w:link w:val="CommentTextChar"/>
    <w:rsid w:val="00144BDA"/>
    <w:rPr>
      <w:sz w:val="20"/>
      <w:lang w:val="x-none" w:eastAsia="x-none"/>
    </w:rPr>
  </w:style>
  <w:style w:type="character" w:customStyle="1" w:styleId="CommentTextChar">
    <w:name w:val="Comment Text Char"/>
    <w:link w:val="CommentText"/>
    <w:rsid w:val="00144BDA"/>
    <w:rPr>
      <w:rFonts w:ascii="Book Antiqua" w:hAnsi="Book Antiqua"/>
    </w:rPr>
  </w:style>
  <w:style w:type="paragraph" w:styleId="CommentSubject">
    <w:name w:val="annotation subject"/>
    <w:basedOn w:val="CommentText"/>
    <w:next w:val="CommentText"/>
    <w:link w:val="CommentSubjectChar"/>
    <w:rsid w:val="00144BDA"/>
    <w:rPr>
      <w:b/>
      <w:bCs/>
    </w:rPr>
  </w:style>
  <w:style w:type="character" w:customStyle="1" w:styleId="CommentSubjectChar">
    <w:name w:val="Comment Subject Char"/>
    <w:link w:val="CommentSubject"/>
    <w:rsid w:val="00144BDA"/>
    <w:rPr>
      <w:rFonts w:ascii="Book Antiqua" w:hAnsi="Book Antiqu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Book Antiqua" w:hAnsi="Book Antiqua"/>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3">
    <w:name w:val="heading 3"/>
    <w:basedOn w:val="Normal"/>
    <w:next w:val="Normal"/>
    <w:qFormat/>
    <w:rsid w:val="004F79E7"/>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center" w:pos="4680"/>
      </w:tabs>
      <w:suppressAutoHyphens/>
      <w:jc w:val="center"/>
      <w:outlineLvl w:val="3"/>
    </w:pPr>
    <w:rPr>
      <w:b/>
      <w:sz w:val="32"/>
      <w:u w:val="single"/>
    </w:rPr>
  </w:style>
  <w:style w:type="paragraph" w:styleId="Heading8">
    <w:name w:val="heading 8"/>
    <w:basedOn w:val="Normal"/>
    <w:next w:val="Normal"/>
    <w:qFormat/>
    <w:pPr>
      <w:keepNext/>
      <w:suppressAutoHyphens/>
      <w:outlineLvl w:val="7"/>
    </w:pPr>
    <w:rPr>
      <w:b/>
      <w:sz w:val="36"/>
    </w:rPr>
  </w:style>
  <w:style w:type="paragraph" w:styleId="Heading9">
    <w:name w:val="heading 9"/>
    <w:basedOn w:val="Normal"/>
    <w:next w:val="Normal"/>
    <w:qFormat/>
    <w:pPr>
      <w:keepNext/>
      <w:tabs>
        <w:tab w:val="left" w:pos="-810"/>
        <w:tab w:val="center" w:pos="4680"/>
      </w:tabs>
      <w:suppressAutoHyphens/>
      <w:ind w:left="-810"/>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center" w:pos="4680"/>
      </w:tabs>
      <w:suppressAutoHyphens/>
      <w:jc w:val="center"/>
    </w:pPr>
    <w:rPr>
      <w:b/>
      <w:sz w:val="36"/>
    </w:rPr>
  </w:style>
  <w:style w:type="paragraph" w:styleId="EndnoteText">
    <w:name w:val="endnote text"/>
    <w:basedOn w:val="Normal"/>
    <w:link w:val="EndnoteTextChar"/>
    <w:semiHidden/>
    <w:rPr>
      <w:lang w:val="x-none" w:eastAsia="x-none"/>
    </w:rPr>
  </w:style>
  <w:style w:type="character" w:styleId="FootnoteReference">
    <w:name w:val="footnote reference"/>
    <w:semiHidden/>
    <w:rPr>
      <w:vertAlign w:val="superscript"/>
    </w:rPr>
  </w:style>
  <w:style w:type="paragraph" w:styleId="BodyTextIndent2">
    <w:name w:val="Body Text Indent 2"/>
    <w:basedOn w:val="Normal"/>
    <w:pPr>
      <w:tabs>
        <w:tab w:val="left" w:pos="-1440"/>
        <w:tab w:val="left" w:pos="-720"/>
        <w:tab w:val="left" w:pos="576"/>
        <w:tab w:val="left" w:pos="1008"/>
      </w:tabs>
      <w:suppressAutoHyphens/>
      <w:ind w:left="576" w:hanging="36"/>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lang w:val="x-none" w:eastAsia="x-none"/>
    </w:rPr>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295927"/>
    <w:rPr>
      <w:sz w:val="20"/>
    </w:rPr>
  </w:style>
  <w:style w:type="paragraph" w:styleId="BodyTextIndent">
    <w:name w:val="Body Text Indent"/>
    <w:basedOn w:val="Normal"/>
    <w:rsid w:val="00344C6D"/>
    <w:pPr>
      <w:spacing w:after="120"/>
      <w:ind w:left="360"/>
    </w:pPr>
  </w:style>
  <w:style w:type="paragraph" w:styleId="Title">
    <w:name w:val="Title"/>
    <w:basedOn w:val="Normal"/>
    <w:qFormat/>
    <w:rsid w:val="001032C8"/>
    <w:pPr>
      <w:overflowPunct/>
      <w:autoSpaceDE/>
      <w:autoSpaceDN/>
      <w:adjustRightInd/>
      <w:jc w:val="center"/>
      <w:textAlignment w:val="auto"/>
    </w:pPr>
    <w:rPr>
      <w:rFonts w:ascii="Times New Roman" w:hAnsi="Times New Roman"/>
      <w:b/>
      <w:sz w:val="32"/>
      <w:u w:val="single"/>
    </w:rPr>
  </w:style>
  <w:style w:type="table" w:styleId="TableGrid">
    <w:name w:val="Table Grid"/>
    <w:basedOn w:val="TableNormal"/>
    <w:rsid w:val="00CB11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Simple2">
    <w:name w:val="Table Simple 2"/>
    <w:basedOn w:val="TableNormal"/>
    <w:rsid w:val="009F4795"/>
    <w:pPr>
      <w:overflowPunct w:val="0"/>
      <w:autoSpaceDE w:val="0"/>
      <w:autoSpaceDN w:val="0"/>
      <w:adjustRightInd w:val="0"/>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FooterChar">
    <w:name w:val="Footer Char"/>
    <w:link w:val="Footer"/>
    <w:uiPriority w:val="99"/>
    <w:rsid w:val="006C2E78"/>
    <w:rPr>
      <w:rFonts w:ascii="Book Antiqua" w:hAnsi="Book Antiqua"/>
      <w:sz w:val="24"/>
    </w:rPr>
  </w:style>
  <w:style w:type="character" w:customStyle="1" w:styleId="EndnoteTextChar">
    <w:name w:val="Endnote Text Char"/>
    <w:link w:val="EndnoteText"/>
    <w:semiHidden/>
    <w:rsid w:val="0074546C"/>
    <w:rPr>
      <w:rFonts w:ascii="Book Antiqua" w:hAnsi="Book Antiqua"/>
      <w:sz w:val="24"/>
    </w:rPr>
  </w:style>
  <w:style w:type="paragraph" w:styleId="ListParagraph">
    <w:name w:val="List Paragraph"/>
    <w:basedOn w:val="Normal"/>
    <w:uiPriority w:val="34"/>
    <w:qFormat/>
    <w:rsid w:val="009933AE"/>
    <w:pPr>
      <w:ind w:left="720"/>
    </w:pPr>
  </w:style>
  <w:style w:type="character" w:styleId="CommentReference">
    <w:name w:val="annotation reference"/>
    <w:rsid w:val="00144BDA"/>
    <w:rPr>
      <w:sz w:val="16"/>
      <w:szCs w:val="16"/>
    </w:rPr>
  </w:style>
  <w:style w:type="paragraph" w:styleId="CommentText">
    <w:name w:val="annotation text"/>
    <w:basedOn w:val="Normal"/>
    <w:link w:val="CommentTextChar"/>
    <w:rsid w:val="00144BDA"/>
    <w:rPr>
      <w:sz w:val="20"/>
      <w:lang w:val="x-none" w:eastAsia="x-none"/>
    </w:rPr>
  </w:style>
  <w:style w:type="character" w:customStyle="1" w:styleId="CommentTextChar">
    <w:name w:val="Comment Text Char"/>
    <w:link w:val="CommentText"/>
    <w:rsid w:val="00144BDA"/>
    <w:rPr>
      <w:rFonts w:ascii="Book Antiqua" w:hAnsi="Book Antiqua"/>
    </w:rPr>
  </w:style>
  <w:style w:type="paragraph" w:styleId="CommentSubject">
    <w:name w:val="annotation subject"/>
    <w:basedOn w:val="CommentText"/>
    <w:next w:val="CommentText"/>
    <w:link w:val="CommentSubjectChar"/>
    <w:rsid w:val="00144BDA"/>
    <w:rPr>
      <w:b/>
      <w:bCs/>
    </w:rPr>
  </w:style>
  <w:style w:type="character" w:customStyle="1" w:styleId="CommentSubjectChar">
    <w:name w:val="Comment Subject Char"/>
    <w:link w:val="CommentSubject"/>
    <w:rsid w:val="00144BDA"/>
    <w:rPr>
      <w:rFonts w:ascii="Book Antiqua" w:hAnsi="Book Antiqu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5843">
      <w:bodyDiv w:val="1"/>
      <w:marLeft w:val="0"/>
      <w:marRight w:val="0"/>
      <w:marTop w:val="0"/>
      <w:marBottom w:val="0"/>
      <w:divBdr>
        <w:top w:val="none" w:sz="0" w:space="0" w:color="auto"/>
        <w:left w:val="none" w:sz="0" w:space="0" w:color="auto"/>
        <w:bottom w:val="none" w:sz="0" w:space="0" w:color="auto"/>
        <w:right w:val="none" w:sz="0" w:space="0" w:color="auto"/>
      </w:divBdr>
    </w:div>
    <w:div w:id="262689349">
      <w:bodyDiv w:val="1"/>
      <w:marLeft w:val="0"/>
      <w:marRight w:val="0"/>
      <w:marTop w:val="0"/>
      <w:marBottom w:val="0"/>
      <w:divBdr>
        <w:top w:val="none" w:sz="0" w:space="0" w:color="auto"/>
        <w:left w:val="none" w:sz="0" w:space="0" w:color="auto"/>
        <w:bottom w:val="none" w:sz="0" w:space="0" w:color="auto"/>
        <w:right w:val="none" w:sz="0" w:space="0" w:color="auto"/>
      </w:divBdr>
    </w:div>
    <w:div w:id="314140786">
      <w:bodyDiv w:val="1"/>
      <w:marLeft w:val="0"/>
      <w:marRight w:val="0"/>
      <w:marTop w:val="0"/>
      <w:marBottom w:val="0"/>
      <w:divBdr>
        <w:top w:val="none" w:sz="0" w:space="0" w:color="auto"/>
        <w:left w:val="none" w:sz="0" w:space="0" w:color="auto"/>
        <w:bottom w:val="none" w:sz="0" w:space="0" w:color="auto"/>
        <w:right w:val="none" w:sz="0" w:space="0" w:color="auto"/>
      </w:divBdr>
    </w:div>
    <w:div w:id="398089744">
      <w:bodyDiv w:val="1"/>
      <w:marLeft w:val="0"/>
      <w:marRight w:val="0"/>
      <w:marTop w:val="0"/>
      <w:marBottom w:val="0"/>
      <w:divBdr>
        <w:top w:val="none" w:sz="0" w:space="0" w:color="auto"/>
        <w:left w:val="none" w:sz="0" w:space="0" w:color="auto"/>
        <w:bottom w:val="none" w:sz="0" w:space="0" w:color="auto"/>
        <w:right w:val="none" w:sz="0" w:space="0" w:color="auto"/>
      </w:divBdr>
    </w:div>
    <w:div w:id="536743879">
      <w:bodyDiv w:val="1"/>
      <w:marLeft w:val="0"/>
      <w:marRight w:val="0"/>
      <w:marTop w:val="0"/>
      <w:marBottom w:val="0"/>
      <w:divBdr>
        <w:top w:val="none" w:sz="0" w:space="0" w:color="auto"/>
        <w:left w:val="none" w:sz="0" w:space="0" w:color="auto"/>
        <w:bottom w:val="none" w:sz="0" w:space="0" w:color="auto"/>
        <w:right w:val="none" w:sz="0" w:space="0" w:color="auto"/>
      </w:divBdr>
    </w:div>
    <w:div w:id="616374176">
      <w:bodyDiv w:val="1"/>
      <w:marLeft w:val="0"/>
      <w:marRight w:val="0"/>
      <w:marTop w:val="0"/>
      <w:marBottom w:val="0"/>
      <w:divBdr>
        <w:top w:val="none" w:sz="0" w:space="0" w:color="auto"/>
        <w:left w:val="none" w:sz="0" w:space="0" w:color="auto"/>
        <w:bottom w:val="none" w:sz="0" w:space="0" w:color="auto"/>
        <w:right w:val="none" w:sz="0" w:space="0" w:color="auto"/>
      </w:divBdr>
    </w:div>
    <w:div w:id="727269508">
      <w:bodyDiv w:val="1"/>
      <w:marLeft w:val="0"/>
      <w:marRight w:val="0"/>
      <w:marTop w:val="0"/>
      <w:marBottom w:val="0"/>
      <w:divBdr>
        <w:top w:val="none" w:sz="0" w:space="0" w:color="auto"/>
        <w:left w:val="none" w:sz="0" w:space="0" w:color="auto"/>
        <w:bottom w:val="none" w:sz="0" w:space="0" w:color="auto"/>
        <w:right w:val="none" w:sz="0" w:space="0" w:color="auto"/>
      </w:divBdr>
    </w:div>
    <w:div w:id="1046296128">
      <w:bodyDiv w:val="1"/>
      <w:marLeft w:val="0"/>
      <w:marRight w:val="0"/>
      <w:marTop w:val="0"/>
      <w:marBottom w:val="0"/>
      <w:divBdr>
        <w:top w:val="none" w:sz="0" w:space="0" w:color="auto"/>
        <w:left w:val="none" w:sz="0" w:space="0" w:color="auto"/>
        <w:bottom w:val="none" w:sz="0" w:space="0" w:color="auto"/>
        <w:right w:val="none" w:sz="0" w:space="0" w:color="auto"/>
      </w:divBdr>
    </w:div>
    <w:div w:id="1087505918">
      <w:bodyDiv w:val="1"/>
      <w:marLeft w:val="0"/>
      <w:marRight w:val="0"/>
      <w:marTop w:val="0"/>
      <w:marBottom w:val="0"/>
      <w:divBdr>
        <w:top w:val="none" w:sz="0" w:space="0" w:color="auto"/>
        <w:left w:val="none" w:sz="0" w:space="0" w:color="auto"/>
        <w:bottom w:val="none" w:sz="0" w:space="0" w:color="auto"/>
        <w:right w:val="none" w:sz="0" w:space="0" w:color="auto"/>
      </w:divBdr>
    </w:div>
    <w:div w:id="1109163140">
      <w:bodyDiv w:val="1"/>
      <w:marLeft w:val="0"/>
      <w:marRight w:val="0"/>
      <w:marTop w:val="0"/>
      <w:marBottom w:val="0"/>
      <w:divBdr>
        <w:top w:val="none" w:sz="0" w:space="0" w:color="auto"/>
        <w:left w:val="none" w:sz="0" w:space="0" w:color="auto"/>
        <w:bottom w:val="none" w:sz="0" w:space="0" w:color="auto"/>
        <w:right w:val="none" w:sz="0" w:space="0" w:color="auto"/>
      </w:divBdr>
    </w:div>
    <w:div w:id="1264846520">
      <w:bodyDiv w:val="1"/>
      <w:marLeft w:val="0"/>
      <w:marRight w:val="0"/>
      <w:marTop w:val="0"/>
      <w:marBottom w:val="0"/>
      <w:divBdr>
        <w:top w:val="none" w:sz="0" w:space="0" w:color="auto"/>
        <w:left w:val="none" w:sz="0" w:space="0" w:color="auto"/>
        <w:bottom w:val="none" w:sz="0" w:space="0" w:color="auto"/>
        <w:right w:val="none" w:sz="0" w:space="0" w:color="auto"/>
      </w:divBdr>
    </w:div>
    <w:div w:id="1281961056">
      <w:bodyDiv w:val="1"/>
      <w:marLeft w:val="0"/>
      <w:marRight w:val="0"/>
      <w:marTop w:val="0"/>
      <w:marBottom w:val="0"/>
      <w:divBdr>
        <w:top w:val="none" w:sz="0" w:space="0" w:color="auto"/>
        <w:left w:val="none" w:sz="0" w:space="0" w:color="auto"/>
        <w:bottom w:val="none" w:sz="0" w:space="0" w:color="auto"/>
        <w:right w:val="none" w:sz="0" w:space="0" w:color="auto"/>
      </w:divBdr>
    </w:div>
    <w:div w:id="1337071901">
      <w:bodyDiv w:val="1"/>
      <w:marLeft w:val="0"/>
      <w:marRight w:val="0"/>
      <w:marTop w:val="0"/>
      <w:marBottom w:val="0"/>
      <w:divBdr>
        <w:top w:val="none" w:sz="0" w:space="0" w:color="auto"/>
        <w:left w:val="none" w:sz="0" w:space="0" w:color="auto"/>
        <w:bottom w:val="none" w:sz="0" w:space="0" w:color="auto"/>
        <w:right w:val="none" w:sz="0" w:space="0" w:color="auto"/>
      </w:divBdr>
    </w:div>
    <w:div w:id="1397436909">
      <w:bodyDiv w:val="1"/>
      <w:marLeft w:val="0"/>
      <w:marRight w:val="0"/>
      <w:marTop w:val="0"/>
      <w:marBottom w:val="0"/>
      <w:divBdr>
        <w:top w:val="none" w:sz="0" w:space="0" w:color="auto"/>
        <w:left w:val="none" w:sz="0" w:space="0" w:color="auto"/>
        <w:bottom w:val="none" w:sz="0" w:space="0" w:color="auto"/>
        <w:right w:val="none" w:sz="0" w:space="0" w:color="auto"/>
      </w:divBdr>
    </w:div>
    <w:div w:id="1508322406">
      <w:bodyDiv w:val="1"/>
      <w:marLeft w:val="0"/>
      <w:marRight w:val="0"/>
      <w:marTop w:val="0"/>
      <w:marBottom w:val="0"/>
      <w:divBdr>
        <w:top w:val="none" w:sz="0" w:space="0" w:color="auto"/>
        <w:left w:val="none" w:sz="0" w:space="0" w:color="auto"/>
        <w:bottom w:val="none" w:sz="0" w:space="0" w:color="auto"/>
        <w:right w:val="none" w:sz="0" w:space="0" w:color="auto"/>
      </w:divBdr>
    </w:div>
    <w:div w:id="1820800725">
      <w:bodyDiv w:val="1"/>
      <w:marLeft w:val="0"/>
      <w:marRight w:val="0"/>
      <w:marTop w:val="0"/>
      <w:marBottom w:val="0"/>
      <w:divBdr>
        <w:top w:val="none" w:sz="0" w:space="0" w:color="auto"/>
        <w:left w:val="none" w:sz="0" w:space="0" w:color="auto"/>
        <w:bottom w:val="none" w:sz="0" w:space="0" w:color="auto"/>
        <w:right w:val="none" w:sz="0" w:space="0" w:color="auto"/>
      </w:divBdr>
    </w:div>
    <w:div w:id="194622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footer" Target="footer6.xml"/><Relationship Id="rId39" Type="http://schemas.openxmlformats.org/officeDocument/2006/relationships/header" Target="header21.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8.xml"/><Relationship Id="rId42"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7.xml"/><Relationship Id="rId38"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4.xml"/><Relationship Id="rId41"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header" Target="header20.xml"/><Relationship Id="rId40" Type="http://schemas.openxmlformats.org/officeDocument/2006/relationships/header" Target="header22.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19.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eader" Target="header15.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footer" Target="footer7.xml"/><Relationship Id="rId35" Type="http://schemas.openxmlformats.org/officeDocument/2006/relationships/header" Target="header18.xml"/><Relationship Id="rId43" Type="http://schemas.openxmlformats.org/officeDocument/2006/relationships/header" Target="head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58AE8-6D73-46F9-B45B-C9FEAFB48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19</Pages>
  <Words>3898</Words>
  <Characters>22220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PPL CTC - 2005</vt:lpstr>
    </vt:vector>
  </TitlesOfParts>
  <Company>PA Public Utility Commission</Company>
  <LinksUpToDate>false</LinksUpToDate>
  <CharactersWithSpaces>26066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PPL CTC - 2005</dc:title>
  <dc:creator>J  Hess</dc:creator>
  <cp:lastModifiedBy>Administrator</cp:lastModifiedBy>
  <cp:revision>38</cp:revision>
  <cp:lastPrinted>2012-04-19T13:05:00Z</cp:lastPrinted>
  <dcterms:created xsi:type="dcterms:W3CDTF">2012-04-18T13:59:00Z</dcterms:created>
  <dcterms:modified xsi:type="dcterms:W3CDTF">2013-07-01T17:07:00Z</dcterms:modified>
</cp:coreProperties>
</file>