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Times New Roman" w:hAnsi="Times New Roman"/>
          <w:sz w:val="24"/>
        </w:rPr>
      </w:pPr>
    </w:p>
    <w:p w:rsidR="008016CC" w:rsidRDefault="008016CC">
      <w:pPr>
        <w:jc w:val="both"/>
        <w:rPr>
          <w:rFonts w:ascii="Times New Roman" w:hAnsi="Times New Roman"/>
          <w:sz w:val="24"/>
        </w:rPr>
      </w:pPr>
    </w:p>
    <w:p w:rsidR="008016CC" w:rsidRDefault="008016CC">
      <w:pPr>
        <w:jc w:val="both"/>
        <w:rPr>
          <w:rFonts w:ascii="Times New Roman" w:hAnsi="Times New Roman"/>
          <w:sz w:val="24"/>
        </w:rPr>
      </w:pPr>
    </w:p>
    <w:p w:rsidR="008016CC" w:rsidRDefault="008016CC">
      <w:pPr>
        <w:jc w:val="both"/>
        <w:rPr>
          <w:rFonts w:ascii="Times New Roman" w:hAnsi="Times New Roman"/>
          <w:sz w:val="24"/>
        </w:rPr>
      </w:pPr>
    </w:p>
    <w:p w:rsidR="00121FA4" w:rsidRDefault="00121FA4">
      <w:pPr>
        <w:tabs>
          <w:tab w:val="center" w:pos="4680"/>
        </w:tabs>
        <w:jc w:val="center"/>
        <w:outlineLvl w:val="0"/>
        <w:rPr>
          <w:rFonts w:ascii="Arial" w:hAnsi="Arial" w:cs="Arial"/>
          <w:b/>
          <w:sz w:val="36"/>
          <w:szCs w:val="36"/>
        </w:rPr>
      </w:pPr>
    </w:p>
    <w:p w:rsidR="00121FA4" w:rsidRDefault="00121FA4">
      <w:pPr>
        <w:tabs>
          <w:tab w:val="center" w:pos="4680"/>
        </w:tabs>
        <w:jc w:val="center"/>
        <w:outlineLvl w:val="0"/>
        <w:rPr>
          <w:rFonts w:ascii="Arial" w:hAnsi="Arial" w:cs="Arial"/>
          <w:b/>
          <w:sz w:val="36"/>
          <w:szCs w:val="36"/>
        </w:rPr>
      </w:pPr>
    </w:p>
    <w:p w:rsidR="00121FA4" w:rsidRDefault="00121FA4">
      <w:pPr>
        <w:tabs>
          <w:tab w:val="center" w:pos="4680"/>
        </w:tabs>
        <w:jc w:val="center"/>
        <w:outlineLvl w:val="0"/>
        <w:rPr>
          <w:rFonts w:ascii="Arial" w:hAnsi="Arial" w:cs="Arial"/>
          <w:b/>
          <w:sz w:val="36"/>
          <w:szCs w:val="36"/>
        </w:rPr>
      </w:pPr>
    </w:p>
    <w:p w:rsidR="00EC58EA" w:rsidRPr="00C20F64" w:rsidRDefault="00EC58EA">
      <w:pPr>
        <w:tabs>
          <w:tab w:val="center" w:pos="4680"/>
        </w:tabs>
        <w:jc w:val="center"/>
        <w:outlineLvl w:val="0"/>
        <w:rPr>
          <w:rFonts w:ascii="Arial" w:hAnsi="Arial" w:cs="Arial"/>
          <w:b/>
          <w:sz w:val="36"/>
          <w:szCs w:val="36"/>
        </w:rPr>
      </w:pPr>
      <w:r w:rsidRPr="00C20F64">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EC58EA" w:rsidRPr="00E365CC" w:rsidRDefault="00EC58EA">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C20F64" w:rsidRDefault="00C20F64">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8016CC" w:rsidRDefault="008016CC">
      <w:pPr>
        <w:tabs>
          <w:tab w:val="left" w:pos="-720"/>
        </w:tabs>
        <w:jc w:val="both"/>
        <w:rPr>
          <w:rFonts w:ascii="Arial" w:hAnsi="Arial" w:cs="Arial"/>
          <w:b/>
          <w:sz w:val="28"/>
          <w:szCs w:val="28"/>
          <w:highlight w:val="lightGray"/>
        </w:rPr>
      </w:pPr>
    </w:p>
    <w:p w:rsidR="008016CC" w:rsidRPr="00E365CC" w:rsidRDefault="008016CC">
      <w:pPr>
        <w:tabs>
          <w:tab w:val="left" w:pos="-720"/>
        </w:tabs>
        <w:jc w:val="both"/>
        <w:rPr>
          <w:rFonts w:ascii="Arial" w:hAnsi="Arial" w:cs="Arial"/>
          <w:b/>
          <w:sz w:val="28"/>
          <w:szCs w:val="28"/>
          <w:highlight w:val="lightGray"/>
        </w:rPr>
      </w:pPr>
    </w:p>
    <w:p w:rsidR="00795B0B" w:rsidRPr="00976A67" w:rsidRDefault="00EC58EA" w:rsidP="00795B0B">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976A67" w:rsidRPr="00976A67">
        <w:rPr>
          <w:rFonts w:ascii="Arial" w:hAnsi="Arial" w:cs="Arial"/>
          <w:b/>
          <w:sz w:val="28"/>
          <w:szCs w:val="28"/>
        </w:rPr>
        <w:t>THE</w:t>
      </w:r>
    </w:p>
    <w:p w:rsidR="00976A67" w:rsidRPr="007E3C85" w:rsidRDefault="00976A67" w:rsidP="00795B0B">
      <w:pPr>
        <w:tabs>
          <w:tab w:val="center" w:pos="4680"/>
        </w:tabs>
        <w:spacing w:line="188" w:lineRule="atLeast"/>
        <w:jc w:val="center"/>
        <w:outlineLvl w:val="0"/>
        <w:rPr>
          <w:rFonts w:ascii="Arial" w:hAnsi="Arial" w:cs="Arial"/>
          <w:b/>
          <w:szCs w:val="28"/>
        </w:rPr>
      </w:pPr>
    </w:p>
    <w:p w:rsidR="000712BC" w:rsidRDefault="00EC58EA" w:rsidP="00795B0B">
      <w:pPr>
        <w:jc w:val="center"/>
        <w:rPr>
          <w:rFonts w:ascii="Arial" w:hAnsi="Arial" w:cs="Arial"/>
          <w:b/>
          <w:sz w:val="28"/>
          <w:szCs w:val="28"/>
        </w:rPr>
      </w:pPr>
      <w:r w:rsidRPr="000712BC">
        <w:rPr>
          <w:rFonts w:ascii="Arial" w:hAnsi="Arial" w:cs="Arial"/>
          <w:b/>
          <w:sz w:val="28"/>
          <w:szCs w:val="28"/>
        </w:rPr>
        <w:t>UNIVERSAL SERVICE</w:t>
      </w:r>
      <w:r w:rsidR="00E23F7B">
        <w:rPr>
          <w:rFonts w:ascii="Arial" w:hAnsi="Arial" w:cs="Arial"/>
          <w:b/>
          <w:sz w:val="28"/>
          <w:szCs w:val="28"/>
        </w:rPr>
        <w:t xml:space="preserve"> AND </w:t>
      </w:r>
      <w:r w:rsidRPr="000712BC">
        <w:rPr>
          <w:rFonts w:ascii="Arial" w:hAnsi="Arial" w:cs="Arial"/>
          <w:b/>
          <w:sz w:val="28"/>
          <w:szCs w:val="28"/>
        </w:rPr>
        <w:t>ENERGY CONSERVATION</w:t>
      </w:r>
      <w:r w:rsidR="000712BC">
        <w:rPr>
          <w:rFonts w:ascii="Arial" w:hAnsi="Arial" w:cs="Arial"/>
          <w:b/>
          <w:sz w:val="28"/>
          <w:szCs w:val="28"/>
        </w:rPr>
        <w:t xml:space="preserve"> </w:t>
      </w:r>
      <w:r w:rsidR="00795B0B" w:rsidRPr="000712BC">
        <w:rPr>
          <w:rFonts w:ascii="Arial" w:hAnsi="Arial" w:cs="Arial"/>
          <w:b/>
          <w:sz w:val="28"/>
          <w:szCs w:val="28"/>
        </w:rPr>
        <w:t>SURCHARGE</w:t>
      </w:r>
      <w:r w:rsidRPr="000712BC">
        <w:rPr>
          <w:rFonts w:ascii="Arial" w:hAnsi="Arial" w:cs="Arial"/>
          <w:b/>
          <w:sz w:val="28"/>
          <w:szCs w:val="28"/>
        </w:rPr>
        <w:t xml:space="preserve"> </w:t>
      </w:r>
    </w:p>
    <w:p w:rsidR="000712BC" w:rsidRPr="007E3C85" w:rsidRDefault="000712BC" w:rsidP="00795B0B">
      <w:pPr>
        <w:jc w:val="center"/>
        <w:rPr>
          <w:rFonts w:ascii="Arial" w:hAnsi="Arial" w:cs="Arial"/>
          <w:b/>
          <w:szCs w:val="28"/>
        </w:rPr>
      </w:pPr>
    </w:p>
    <w:p w:rsidR="00A30CD0"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w:t>
      </w:r>
      <w:r w:rsidR="00A30CD0" w:rsidRPr="000712BC">
        <w:rPr>
          <w:rFonts w:ascii="Arial" w:hAnsi="Arial" w:cs="Arial"/>
          <w:b/>
          <w:sz w:val="28"/>
          <w:szCs w:val="28"/>
        </w:rPr>
        <w:t>LVE</w:t>
      </w:r>
      <w:r w:rsidRPr="000712BC">
        <w:rPr>
          <w:rFonts w:ascii="Arial" w:hAnsi="Arial" w:cs="Arial"/>
          <w:b/>
          <w:sz w:val="28"/>
          <w:szCs w:val="28"/>
        </w:rPr>
        <w:t xml:space="preserve"> MONTHS ENDED</w:t>
      </w:r>
    </w:p>
    <w:p w:rsidR="00A30CD0" w:rsidRPr="007E3C85" w:rsidRDefault="00A30CD0">
      <w:pPr>
        <w:tabs>
          <w:tab w:val="center" w:pos="4680"/>
        </w:tabs>
        <w:spacing w:line="188" w:lineRule="atLeast"/>
        <w:jc w:val="center"/>
        <w:outlineLvl w:val="0"/>
        <w:rPr>
          <w:rFonts w:ascii="Arial" w:hAnsi="Arial" w:cs="Arial"/>
          <w:b/>
          <w:szCs w:val="28"/>
        </w:rPr>
      </w:pPr>
    </w:p>
    <w:p w:rsidR="00EC58EA" w:rsidRDefault="00297C11">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w:t>
      </w:r>
      <w:r w:rsidR="00145125">
        <w:rPr>
          <w:rFonts w:ascii="Arial" w:hAnsi="Arial" w:cs="Arial"/>
          <w:b/>
          <w:sz w:val="28"/>
          <w:szCs w:val="28"/>
        </w:rPr>
        <w:t>10</w:t>
      </w:r>
      <w:r w:rsidR="00A846B4" w:rsidRPr="000712BC">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EC58EA" w:rsidRPr="00E365CC" w:rsidRDefault="00EC58EA">
      <w:pPr>
        <w:tabs>
          <w:tab w:val="center" w:pos="4680"/>
        </w:tabs>
        <w:spacing w:line="188" w:lineRule="atLeast"/>
        <w:jc w:val="both"/>
        <w:rPr>
          <w:rFonts w:ascii="Times New Roman" w:hAnsi="Times New Roman"/>
          <w:b/>
          <w:sz w:val="24"/>
          <w:szCs w:val="24"/>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Default="00EC58EA">
      <w:pPr>
        <w:tabs>
          <w:tab w:val="left" w:pos="-720"/>
        </w:tabs>
        <w:spacing w:line="188" w:lineRule="atLeast"/>
        <w:jc w:val="both"/>
        <w:rPr>
          <w:rFonts w:ascii="Times New Roman" w:hAnsi="Times New Roman"/>
          <w:b/>
          <w:sz w:val="24"/>
          <w:highlight w:val="lightGray"/>
          <w:u w:val="single"/>
        </w:rPr>
      </w:pPr>
    </w:p>
    <w:p w:rsidR="00F73D95" w:rsidRDefault="00F73D95">
      <w:pPr>
        <w:tabs>
          <w:tab w:val="left" w:pos="-720"/>
        </w:tabs>
        <w:spacing w:line="188" w:lineRule="atLeast"/>
        <w:jc w:val="both"/>
        <w:rPr>
          <w:rFonts w:ascii="Times New Roman" w:hAnsi="Times New Roman"/>
          <w:b/>
          <w:sz w:val="24"/>
          <w:highlight w:val="lightGray"/>
          <w:u w:val="single"/>
        </w:rPr>
      </w:pPr>
    </w:p>
    <w:p w:rsidR="00C20F64" w:rsidRDefault="00C20F64">
      <w:pPr>
        <w:tabs>
          <w:tab w:val="left" w:pos="-720"/>
        </w:tabs>
        <w:spacing w:line="188" w:lineRule="atLeast"/>
        <w:jc w:val="both"/>
        <w:rPr>
          <w:rFonts w:ascii="Times New Roman" w:hAnsi="Times New Roman"/>
          <w:b/>
          <w:sz w:val="24"/>
          <w:highlight w:val="lightGray"/>
          <w:u w:val="single"/>
        </w:rPr>
      </w:pPr>
    </w:p>
    <w:p w:rsidR="007E3C85" w:rsidRDefault="007E3C85">
      <w:pPr>
        <w:tabs>
          <w:tab w:val="left" w:pos="-720"/>
        </w:tabs>
        <w:spacing w:line="188" w:lineRule="atLeast"/>
        <w:jc w:val="both"/>
        <w:rPr>
          <w:rFonts w:ascii="Times New Roman" w:hAnsi="Times New Roman"/>
          <w:b/>
          <w:sz w:val="24"/>
          <w:highlight w:val="lightGray"/>
          <w:u w:val="single"/>
        </w:rPr>
      </w:pPr>
    </w:p>
    <w:p w:rsidR="002C5E34" w:rsidRPr="00E365CC" w:rsidRDefault="002C5E34">
      <w:pPr>
        <w:tabs>
          <w:tab w:val="left" w:pos="-720"/>
        </w:tabs>
        <w:spacing w:line="188" w:lineRule="atLeast"/>
        <w:jc w:val="both"/>
        <w:rPr>
          <w:rFonts w:ascii="Times New Roman" w:hAnsi="Times New Roman"/>
          <w:b/>
          <w:sz w:val="24"/>
          <w:highlight w:val="lightGray"/>
          <w:u w:val="single"/>
        </w:rPr>
      </w:pPr>
    </w:p>
    <w:p w:rsidR="00380DE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380DEF" w:rsidRDefault="00380DEF" w:rsidP="00380DEF">
      <w:pPr>
        <w:tabs>
          <w:tab w:val="center" w:pos="4680"/>
        </w:tabs>
        <w:spacing w:line="188" w:lineRule="atLeast"/>
        <w:outlineLvl w:val="0"/>
        <w:rPr>
          <w:rFonts w:ascii="Arial" w:hAnsi="Arial" w:cs="Arial"/>
          <w:b/>
          <w:sz w:val="28"/>
        </w:rPr>
      </w:pPr>
    </w:p>
    <w:p w:rsidR="00EC58EA" w:rsidRPr="00E365CC"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r w:rsidR="00EC58EA"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BE6D81">
      <w:pPr>
        <w:tabs>
          <w:tab w:val="center" w:pos="4680"/>
        </w:tabs>
        <w:spacing w:line="188" w:lineRule="atLeast"/>
        <w:jc w:val="center"/>
        <w:rPr>
          <w:rFonts w:ascii="Arial" w:hAnsi="Arial" w:cs="Arial"/>
          <w:b/>
          <w:sz w:val="28"/>
        </w:rPr>
      </w:pPr>
      <w:r>
        <w:rPr>
          <w:rFonts w:ascii="Arial" w:hAnsi="Arial" w:cs="Arial"/>
          <w:b/>
          <w:sz w:val="28"/>
        </w:rPr>
        <w:t>Report Date:</w:t>
      </w:r>
      <w:r w:rsidR="00976A67">
        <w:rPr>
          <w:rFonts w:ascii="Arial" w:hAnsi="Arial" w:cs="Arial"/>
          <w:b/>
          <w:sz w:val="28"/>
        </w:rPr>
        <w:t xml:space="preserve"> </w:t>
      </w:r>
      <w:r w:rsidR="00121FA4">
        <w:rPr>
          <w:rFonts w:ascii="Arial" w:hAnsi="Arial" w:cs="Arial"/>
          <w:b/>
          <w:sz w:val="28"/>
        </w:rPr>
        <w:t>July 19</w:t>
      </w:r>
      <w:r w:rsidR="00976A67">
        <w:rPr>
          <w:rFonts w:ascii="Arial" w:hAnsi="Arial" w:cs="Arial"/>
          <w:b/>
          <w:sz w:val="28"/>
        </w:rPr>
        <w:t>,</w:t>
      </w:r>
      <w:r w:rsidR="00E365CC" w:rsidRPr="00E365CC">
        <w:rPr>
          <w:rFonts w:ascii="Arial" w:hAnsi="Arial" w:cs="Arial"/>
          <w:b/>
          <w:sz w:val="28"/>
        </w:rPr>
        <w:t xml:space="preserve"> 20</w:t>
      </w:r>
      <w:r w:rsidR="001849D4">
        <w:rPr>
          <w:rFonts w:ascii="Arial" w:hAnsi="Arial" w:cs="Arial"/>
          <w:b/>
          <w:sz w:val="28"/>
        </w:rPr>
        <w:t>1</w:t>
      </w:r>
      <w:r w:rsidR="00311EFD">
        <w:rPr>
          <w:rFonts w:ascii="Arial" w:hAnsi="Arial" w:cs="Arial"/>
          <w:b/>
          <w:sz w:val="28"/>
        </w:rPr>
        <w:t>3</w:t>
      </w:r>
    </w:p>
    <w:p w:rsidR="00EC58EA" w:rsidRPr="00E365CC" w:rsidRDefault="00EC58EA">
      <w:pPr>
        <w:tabs>
          <w:tab w:val="center" w:pos="4680"/>
        </w:tabs>
        <w:spacing w:line="188" w:lineRule="atLeast"/>
        <w:jc w:val="center"/>
        <w:rPr>
          <w:rFonts w:ascii="Arial" w:hAnsi="Arial" w:cs="Arial"/>
          <w:b/>
          <w:sz w:val="28"/>
          <w:highlight w:val="lightGray"/>
        </w:rPr>
      </w:pPr>
    </w:p>
    <w:p w:rsidR="00EC58EA" w:rsidRPr="00051545" w:rsidRDefault="00EC58EA">
      <w:pPr>
        <w:tabs>
          <w:tab w:val="center" w:pos="4680"/>
        </w:tabs>
        <w:spacing w:line="188" w:lineRule="atLeast"/>
        <w:jc w:val="center"/>
        <w:rPr>
          <w:rFonts w:ascii="Arial" w:hAnsi="Arial" w:cs="Arial"/>
          <w:b/>
          <w:sz w:val="28"/>
        </w:rPr>
      </w:pPr>
      <w:r w:rsidRPr="00051545">
        <w:rPr>
          <w:rFonts w:ascii="Arial" w:hAnsi="Arial" w:cs="Arial"/>
          <w:b/>
          <w:sz w:val="28"/>
        </w:rPr>
        <w:t>Docket No. D-</w:t>
      </w:r>
      <w:r w:rsidR="00051545" w:rsidRPr="00051545">
        <w:rPr>
          <w:rFonts w:ascii="Arial" w:hAnsi="Arial" w:cs="Arial"/>
          <w:b/>
          <w:sz w:val="28"/>
        </w:rPr>
        <w:t>20</w:t>
      </w:r>
      <w:r w:rsidR="00436990">
        <w:rPr>
          <w:rFonts w:ascii="Arial" w:hAnsi="Arial" w:cs="Arial"/>
          <w:b/>
          <w:sz w:val="28"/>
        </w:rPr>
        <w:t>1</w:t>
      </w:r>
      <w:r w:rsidR="00835625">
        <w:rPr>
          <w:rFonts w:ascii="Arial" w:hAnsi="Arial" w:cs="Arial"/>
          <w:b/>
          <w:sz w:val="28"/>
        </w:rPr>
        <w:t>2</w:t>
      </w:r>
      <w:r w:rsidR="0041125E">
        <w:rPr>
          <w:rFonts w:ascii="Arial" w:hAnsi="Arial" w:cs="Arial"/>
          <w:b/>
          <w:sz w:val="28"/>
        </w:rPr>
        <w:t>-</w:t>
      </w:r>
      <w:r w:rsidR="00051545" w:rsidRPr="00051545">
        <w:rPr>
          <w:rFonts w:ascii="Arial" w:hAnsi="Arial" w:cs="Arial"/>
          <w:b/>
          <w:sz w:val="28"/>
        </w:rPr>
        <w:t>2</w:t>
      </w:r>
      <w:r w:rsidR="00436990">
        <w:rPr>
          <w:rFonts w:ascii="Arial" w:hAnsi="Arial" w:cs="Arial"/>
          <w:b/>
          <w:sz w:val="28"/>
        </w:rPr>
        <w:t>2</w:t>
      </w:r>
      <w:r w:rsidR="00835625">
        <w:rPr>
          <w:rFonts w:ascii="Arial" w:hAnsi="Arial" w:cs="Arial"/>
          <w:b/>
          <w:sz w:val="28"/>
        </w:rPr>
        <w:t>85345</w:t>
      </w:r>
    </w:p>
    <w:p w:rsidR="002627D0" w:rsidRDefault="002627D0">
      <w:pPr>
        <w:jc w:val="center"/>
        <w:outlineLvl w:val="0"/>
        <w:rPr>
          <w:rFonts w:ascii="Arial" w:hAnsi="Arial" w:cs="Arial"/>
          <w:b/>
          <w:sz w:val="28"/>
          <w:szCs w:val="28"/>
          <w:u w:val="single"/>
        </w:rPr>
        <w:sectPr w:rsidR="002627D0" w:rsidSect="009B54DF">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440" w:right="1440" w:bottom="1152" w:left="1440" w:header="0" w:footer="720" w:gutter="0"/>
          <w:pgNumType w:start="1"/>
          <w:cols w:space="720"/>
          <w:noEndnote/>
          <w:titlePg/>
          <w:docGrid w:linePitch="272"/>
        </w:sectPr>
      </w:pPr>
    </w:p>
    <w:p w:rsidR="00EC58EA" w:rsidRPr="00046001" w:rsidRDefault="00EC58EA">
      <w:pPr>
        <w:jc w:val="center"/>
        <w:outlineLvl w:val="0"/>
        <w:rPr>
          <w:rFonts w:ascii="Arial" w:hAnsi="Arial" w:cs="Arial"/>
          <w:b/>
          <w:sz w:val="26"/>
          <w:szCs w:val="26"/>
          <w:u w:val="single"/>
        </w:rPr>
      </w:pPr>
      <w:r w:rsidRPr="00046001">
        <w:rPr>
          <w:rFonts w:ascii="Arial" w:hAnsi="Arial" w:cs="Arial"/>
          <w:b/>
          <w:sz w:val="26"/>
          <w:szCs w:val="26"/>
          <w:u w:val="single"/>
        </w:rPr>
        <w:lastRenderedPageBreak/>
        <w:t>PHILADELPHIA GAS WORKS</w:t>
      </w:r>
    </w:p>
    <w:p w:rsidR="00EC58EA" w:rsidRPr="00C20F64" w:rsidRDefault="00EC58EA">
      <w:pPr>
        <w:jc w:val="center"/>
        <w:rPr>
          <w:rFonts w:ascii="Arial" w:hAnsi="Arial" w:cs="Arial"/>
          <w:b/>
          <w:sz w:val="24"/>
          <w:szCs w:val="24"/>
          <w:u w:val="single"/>
        </w:rPr>
      </w:pPr>
    </w:p>
    <w:p w:rsidR="00EC58EA" w:rsidRPr="00C20F64" w:rsidRDefault="00EC58EA">
      <w:pPr>
        <w:jc w:val="center"/>
        <w:outlineLvl w:val="0"/>
        <w:rPr>
          <w:rFonts w:ascii="Arial" w:hAnsi="Arial" w:cs="Arial"/>
          <w:b/>
          <w:sz w:val="24"/>
          <w:szCs w:val="24"/>
        </w:rPr>
      </w:pPr>
      <w:r w:rsidRPr="00C20F64">
        <w:rPr>
          <w:rFonts w:ascii="Arial" w:hAnsi="Arial" w:cs="Arial"/>
          <w:b/>
          <w:sz w:val="24"/>
          <w:szCs w:val="24"/>
          <w:u w:val="single"/>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C20F64" w:rsidTr="007D5B2E">
        <w:trPr>
          <w:jc w:val="center"/>
        </w:trPr>
        <w:tc>
          <w:tcPr>
            <w:tcW w:w="8908" w:type="dxa"/>
            <w:gridSpan w:val="2"/>
          </w:tcPr>
          <w:p w:rsidR="00C15209" w:rsidRPr="00C20F64" w:rsidRDefault="00C15209" w:rsidP="007D5B2E">
            <w:pPr>
              <w:tabs>
                <w:tab w:val="left" w:pos="-720"/>
                <w:tab w:val="left" w:pos="8640"/>
              </w:tabs>
              <w:jc w:val="both"/>
              <w:outlineLvl w:val="0"/>
              <w:rPr>
                <w:rFonts w:ascii="Arial" w:hAnsi="Arial" w:cs="Arial"/>
                <w:b/>
                <w:sz w:val="24"/>
                <w:szCs w:val="24"/>
                <w:u w:val="single"/>
              </w:rPr>
            </w:pPr>
          </w:p>
        </w:tc>
        <w:tc>
          <w:tcPr>
            <w:tcW w:w="270" w:type="dxa"/>
          </w:tcPr>
          <w:p w:rsidR="00C15209" w:rsidRPr="00C20F64" w:rsidRDefault="00C15209" w:rsidP="007D5B2E">
            <w:pPr>
              <w:tabs>
                <w:tab w:val="left" w:pos="-720"/>
                <w:tab w:val="left" w:pos="8640"/>
              </w:tabs>
              <w:jc w:val="both"/>
              <w:outlineLvl w:val="0"/>
              <w:rPr>
                <w:rFonts w:ascii="Arial" w:hAnsi="Arial" w:cs="Arial"/>
                <w:sz w:val="24"/>
                <w:szCs w:val="24"/>
              </w:rPr>
            </w:pPr>
          </w:p>
        </w:tc>
        <w:tc>
          <w:tcPr>
            <w:tcW w:w="897" w:type="dxa"/>
          </w:tcPr>
          <w:p w:rsidR="00C15209" w:rsidRPr="00C20F64" w:rsidRDefault="00C15209" w:rsidP="007D5B2E">
            <w:pPr>
              <w:tabs>
                <w:tab w:val="left" w:pos="-720"/>
                <w:tab w:val="left" w:pos="8640"/>
              </w:tabs>
              <w:jc w:val="both"/>
              <w:outlineLvl w:val="0"/>
              <w:rPr>
                <w:rFonts w:ascii="Arial" w:hAnsi="Arial" w:cs="Arial"/>
                <w:b/>
                <w:sz w:val="24"/>
                <w:szCs w:val="24"/>
              </w:rPr>
            </w:pPr>
            <w:r w:rsidRPr="00C20F64">
              <w:rPr>
                <w:rFonts w:ascii="Arial" w:hAnsi="Arial" w:cs="Arial"/>
                <w:b/>
                <w:sz w:val="24"/>
                <w:szCs w:val="24"/>
              </w:rPr>
              <w:t>Page</w:t>
            </w:r>
          </w:p>
        </w:tc>
      </w:tr>
      <w:tr w:rsidR="00F208ED" w:rsidRPr="00C20F64" w:rsidTr="007D5B2E">
        <w:trPr>
          <w:jc w:val="center"/>
        </w:trPr>
        <w:tc>
          <w:tcPr>
            <w:tcW w:w="8908" w:type="dxa"/>
            <w:gridSpan w:val="2"/>
          </w:tcPr>
          <w:p w:rsidR="00F208ED" w:rsidRPr="00C20F64" w:rsidRDefault="00F208ED" w:rsidP="007D5B2E">
            <w:pPr>
              <w:tabs>
                <w:tab w:val="left" w:pos="-720"/>
                <w:tab w:val="left" w:pos="8640"/>
              </w:tabs>
              <w:jc w:val="both"/>
              <w:outlineLvl w:val="0"/>
              <w:rPr>
                <w:rFonts w:ascii="Arial" w:hAnsi="Arial" w:cs="Arial"/>
                <w:sz w:val="24"/>
                <w:szCs w:val="24"/>
              </w:rPr>
            </w:pPr>
            <w:r w:rsidRPr="00C20F64">
              <w:rPr>
                <w:rFonts w:ascii="Arial" w:hAnsi="Arial" w:cs="Arial"/>
                <w:b/>
                <w:sz w:val="24"/>
                <w:szCs w:val="24"/>
                <w:u w:val="single"/>
              </w:rPr>
              <w:t>FINANCIAL REVIEW</w:t>
            </w:r>
          </w:p>
        </w:tc>
        <w:tc>
          <w:tcPr>
            <w:tcW w:w="270" w:type="dxa"/>
          </w:tcPr>
          <w:p w:rsidR="00F208ED" w:rsidRPr="00C20F64"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C20F64" w:rsidRDefault="00F208ED" w:rsidP="007D5B2E">
            <w:pPr>
              <w:tabs>
                <w:tab w:val="left" w:pos="-720"/>
                <w:tab w:val="left" w:pos="8640"/>
              </w:tabs>
              <w:jc w:val="both"/>
              <w:outlineLvl w:val="0"/>
              <w:rPr>
                <w:rFonts w:ascii="Arial" w:hAnsi="Arial" w:cs="Arial"/>
                <w:sz w:val="24"/>
                <w:szCs w:val="24"/>
              </w:rPr>
            </w:pPr>
          </w:p>
        </w:tc>
      </w:tr>
      <w:tr w:rsidR="00FA1003" w:rsidRPr="00C20F64" w:rsidTr="009F6A59">
        <w:trPr>
          <w:cantSplit/>
          <w:trHeight w:hRule="exact" w:val="297"/>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FA1003" w:rsidP="007D5B2E">
            <w:pPr>
              <w:tabs>
                <w:tab w:val="left" w:pos="-720"/>
                <w:tab w:val="left" w:pos="8640"/>
              </w:tabs>
              <w:jc w:val="both"/>
              <w:outlineLvl w:val="0"/>
              <w:rPr>
                <w:rFonts w:ascii="Arial" w:hAnsi="Arial" w:cs="Arial"/>
                <w:sz w:val="24"/>
                <w:szCs w:val="24"/>
              </w:rPr>
            </w:pPr>
          </w:p>
        </w:tc>
      </w:tr>
      <w:tr w:rsidR="00FA1003" w:rsidRPr="00C20F64" w:rsidTr="007D5B2E">
        <w:trPr>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F208ED" w:rsidP="007D5B2E">
            <w:pPr>
              <w:tabs>
                <w:tab w:val="left" w:pos="-720"/>
                <w:tab w:val="left" w:pos="8640"/>
              </w:tabs>
              <w:outlineLvl w:val="0"/>
              <w:rPr>
                <w:rFonts w:ascii="Arial" w:hAnsi="Arial" w:cs="Arial"/>
                <w:sz w:val="24"/>
                <w:szCs w:val="24"/>
              </w:rPr>
            </w:pPr>
            <w:r w:rsidRPr="00C20F64">
              <w:rPr>
                <w:rFonts w:ascii="Arial" w:hAnsi="Arial" w:cs="Arial"/>
                <w:sz w:val="24"/>
                <w:szCs w:val="24"/>
              </w:rPr>
              <w:t>Independent Auditor's Report</w:t>
            </w: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960994" w:rsidP="007D5B2E">
            <w:pPr>
              <w:tabs>
                <w:tab w:val="left" w:pos="-720"/>
                <w:tab w:val="left" w:pos="8640"/>
              </w:tabs>
              <w:jc w:val="both"/>
              <w:outlineLvl w:val="0"/>
              <w:rPr>
                <w:rFonts w:ascii="Arial" w:hAnsi="Arial" w:cs="Arial"/>
                <w:sz w:val="24"/>
                <w:szCs w:val="24"/>
              </w:rPr>
            </w:pPr>
            <w:r w:rsidRPr="00C20F64">
              <w:rPr>
                <w:rFonts w:ascii="Arial" w:hAnsi="Arial" w:cs="Arial"/>
                <w:sz w:val="24"/>
                <w:szCs w:val="24"/>
              </w:rPr>
              <w:t xml:space="preserve"> </w:t>
            </w:r>
            <w:r w:rsidR="0091221E" w:rsidRPr="00C20F64">
              <w:rPr>
                <w:rFonts w:ascii="Arial" w:hAnsi="Arial" w:cs="Arial"/>
                <w:sz w:val="24"/>
                <w:szCs w:val="24"/>
              </w:rPr>
              <w:t xml:space="preserve"> </w:t>
            </w:r>
            <w:r w:rsidRPr="00C20F64">
              <w:rPr>
                <w:rFonts w:ascii="Arial" w:hAnsi="Arial" w:cs="Arial"/>
                <w:sz w:val="24"/>
                <w:szCs w:val="24"/>
              </w:rPr>
              <w:t xml:space="preserve">  </w:t>
            </w:r>
            <w:r w:rsidR="00FC40C3" w:rsidRPr="00C20F64">
              <w:rPr>
                <w:rFonts w:ascii="Arial" w:hAnsi="Arial" w:cs="Arial"/>
                <w:sz w:val="24"/>
                <w:szCs w:val="24"/>
              </w:rPr>
              <w:t>1</w:t>
            </w:r>
          </w:p>
        </w:tc>
      </w:tr>
      <w:tr w:rsidR="00274E4B" w:rsidRPr="00C20F64" w:rsidTr="00274E4B">
        <w:trPr>
          <w:trHeight w:val="342"/>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7D5B2E">
            <w:pPr>
              <w:tabs>
                <w:tab w:val="left" w:pos="-720"/>
                <w:tab w:val="left" w:pos="8640"/>
              </w:tabs>
              <w:jc w:val="both"/>
              <w:outlineLvl w:val="0"/>
              <w:rPr>
                <w:rFonts w:ascii="Arial" w:hAnsi="Arial" w:cs="Arial"/>
                <w:sz w:val="24"/>
                <w:szCs w:val="24"/>
              </w:rPr>
            </w:pPr>
          </w:p>
        </w:tc>
      </w:tr>
      <w:tr w:rsidR="00320203" w:rsidRPr="00C20F64" w:rsidTr="007D5B2E">
        <w:trPr>
          <w:jc w:val="center"/>
        </w:trPr>
        <w:tc>
          <w:tcPr>
            <w:tcW w:w="718" w:type="dxa"/>
          </w:tcPr>
          <w:p w:rsidR="00320203" w:rsidRPr="00C20F64"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C20F64" w:rsidRDefault="00320203" w:rsidP="007D5B2E">
            <w:pPr>
              <w:tabs>
                <w:tab w:val="left" w:pos="-720"/>
                <w:tab w:val="left" w:pos="8640"/>
              </w:tabs>
              <w:outlineLvl w:val="0"/>
              <w:rPr>
                <w:rFonts w:ascii="Arial" w:hAnsi="Arial" w:cs="Arial"/>
                <w:sz w:val="24"/>
                <w:szCs w:val="24"/>
              </w:rPr>
            </w:pPr>
            <w:r w:rsidRPr="00C20F64">
              <w:rPr>
                <w:rFonts w:ascii="Arial" w:hAnsi="Arial" w:cs="Arial"/>
                <w:sz w:val="24"/>
                <w:szCs w:val="24"/>
              </w:rPr>
              <w:t>Universal Service</w:t>
            </w:r>
            <w:r w:rsidR="00E23F7B">
              <w:rPr>
                <w:rFonts w:ascii="Arial" w:hAnsi="Arial" w:cs="Arial"/>
                <w:sz w:val="24"/>
                <w:szCs w:val="24"/>
              </w:rPr>
              <w:t xml:space="preserve"> And </w:t>
            </w:r>
            <w:r w:rsidRPr="00C20F64">
              <w:rPr>
                <w:rFonts w:ascii="Arial" w:hAnsi="Arial" w:cs="Arial"/>
                <w:sz w:val="24"/>
                <w:szCs w:val="24"/>
              </w:rPr>
              <w:t>Energy Conservation Surcharge Reconciliation</w:t>
            </w:r>
          </w:p>
          <w:p w:rsidR="00320203" w:rsidRPr="00C20F64" w:rsidRDefault="00E23F7B" w:rsidP="00145125">
            <w:pPr>
              <w:tabs>
                <w:tab w:val="left" w:pos="-720"/>
                <w:tab w:val="left" w:pos="8640"/>
              </w:tabs>
              <w:outlineLvl w:val="0"/>
              <w:rPr>
                <w:rFonts w:ascii="Arial" w:hAnsi="Arial" w:cs="Arial"/>
                <w:sz w:val="24"/>
                <w:szCs w:val="24"/>
              </w:rPr>
            </w:pPr>
            <w:r>
              <w:rPr>
                <w:rFonts w:ascii="Arial" w:hAnsi="Arial" w:cs="Arial"/>
                <w:sz w:val="24"/>
                <w:szCs w:val="24"/>
              </w:rPr>
              <w:t xml:space="preserve">Statement </w:t>
            </w:r>
            <w:r w:rsidR="00320203" w:rsidRPr="00C20F64">
              <w:rPr>
                <w:rFonts w:ascii="Arial" w:hAnsi="Arial" w:cs="Arial"/>
                <w:sz w:val="24"/>
                <w:szCs w:val="24"/>
              </w:rPr>
              <w:t xml:space="preserve">For The Twelve Months Ended August 31, </w:t>
            </w:r>
            <w:r w:rsidR="00A846B4" w:rsidRPr="00C20F64">
              <w:rPr>
                <w:rFonts w:ascii="Arial" w:hAnsi="Arial" w:cs="Arial"/>
                <w:sz w:val="24"/>
                <w:szCs w:val="24"/>
              </w:rPr>
              <w:t>20</w:t>
            </w:r>
            <w:r w:rsidR="00145125">
              <w:rPr>
                <w:rFonts w:ascii="Arial" w:hAnsi="Arial" w:cs="Arial"/>
                <w:sz w:val="24"/>
                <w:szCs w:val="24"/>
              </w:rPr>
              <w:t>10</w:t>
            </w:r>
            <w:r w:rsidR="00320203" w:rsidRPr="00C20F64">
              <w:rPr>
                <w:rFonts w:ascii="Arial" w:hAnsi="Arial" w:cs="Arial"/>
                <w:sz w:val="24"/>
                <w:szCs w:val="24"/>
              </w:rPr>
              <w:tab/>
              <w:t>Statement For The Twelve-Months Ended August 31, 2006</w:t>
            </w:r>
          </w:p>
        </w:tc>
        <w:tc>
          <w:tcPr>
            <w:tcW w:w="270" w:type="dxa"/>
          </w:tcPr>
          <w:p w:rsidR="00320203" w:rsidRPr="00C20F64"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C20F64" w:rsidRDefault="00320203" w:rsidP="007D5B2E">
            <w:pPr>
              <w:tabs>
                <w:tab w:val="left" w:pos="-720"/>
                <w:tab w:val="left" w:pos="8640"/>
              </w:tabs>
              <w:jc w:val="both"/>
              <w:outlineLvl w:val="0"/>
              <w:rPr>
                <w:rFonts w:ascii="Arial" w:hAnsi="Arial" w:cs="Arial"/>
                <w:sz w:val="24"/>
                <w:szCs w:val="24"/>
              </w:rPr>
            </w:pPr>
          </w:p>
          <w:p w:rsidR="00320203" w:rsidRPr="00C20F64" w:rsidRDefault="00614171" w:rsidP="00614171">
            <w:pPr>
              <w:tabs>
                <w:tab w:val="left" w:pos="-720"/>
                <w:tab w:val="left" w:pos="8640"/>
              </w:tabs>
              <w:jc w:val="center"/>
              <w:outlineLvl w:val="0"/>
              <w:rPr>
                <w:rFonts w:ascii="Arial" w:hAnsi="Arial" w:cs="Arial"/>
                <w:sz w:val="24"/>
                <w:szCs w:val="24"/>
              </w:rPr>
            </w:pPr>
            <w:r w:rsidRPr="00C20F64">
              <w:rPr>
                <w:rFonts w:ascii="Arial" w:hAnsi="Arial" w:cs="Arial"/>
                <w:sz w:val="24"/>
                <w:szCs w:val="24"/>
              </w:rPr>
              <w:t>2</w:t>
            </w:r>
          </w:p>
        </w:tc>
      </w:tr>
      <w:tr w:rsidR="00274E4B" w:rsidRPr="00C20F64" w:rsidTr="007D5B2E">
        <w:trPr>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7D5B2E">
            <w:pPr>
              <w:tabs>
                <w:tab w:val="left" w:pos="-720"/>
                <w:tab w:val="left" w:pos="8640"/>
              </w:tabs>
              <w:jc w:val="both"/>
              <w:outlineLvl w:val="0"/>
              <w:rPr>
                <w:rFonts w:ascii="Arial" w:hAnsi="Arial" w:cs="Arial"/>
                <w:sz w:val="24"/>
                <w:szCs w:val="24"/>
              </w:rPr>
            </w:pPr>
          </w:p>
        </w:tc>
      </w:tr>
      <w:tr w:rsidR="00FA1003" w:rsidRPr="00C20F64" w:rsidTr="007D5B2E">
        <w:trPr>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F208ED" w:rsidP="007D5B2E">
            <w:pPr>
              <w:tabs>
                <w:tab w:val="left" w:pos="-720"/>
                <w:tab w:val="left" w:pos="8640"/>
              </w:tabs>
              <w:outlineLvl w:val="0"/>
              <w:rPr>
                <w:rFonts w:ascii="Arial" w:hAnsi="Arial" w:cs="Arial"/>
                <w:sz w:val="24"/>
                <w:szCs w:val="24"/>
              </w:rPr>
            </w:pPr>
            <w:r w:rsidRPr="00C20F64">
              <w:rPr>
                <w:rFonts w:ascii="Arial" w:hAnsi="Arial" w:cs="Arial"/>
                <w:sz w:val="24"/>
                <w:szCs w:val="24"/>
              </w:rPr>
              <w:t>Notes To The Financial Statements</w:t>
            </w: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274E4B" w:rsidP="00274E4B">
            <w:pPr>
              <w:tabs>
                <w:tab w:val="left" w:pos="-720"/>
                <w:tab w:val="left" w:pos="8640"/>
              </w:tabs>
              <w:jc w:val="center"/>
              <w:outlineLvl w:val="0"/>
              <w:rPr>
                <w:rFonts w:ascii="Arial" w:hAnsi="Arial" w:cs="Arial"/>
                <w:sz w:val="24"/>
                <w:szCs w:val="24"/>
              </w:rPr>
            </w:pPr>
            <w:r w:rsidRPr="00C20F64">
              <w:rPr>
                <w:rFonts w:ascii="Arial" w:hAnsi="Arial" w:cs="Arial"/>
                <w:sz w:val="24"/>
                <w:szCs w:val="24"/>
              </w:rPr>
              <w:t>3</w:t>
            </w:r>
          </w:p>
        </w:tc>
      </w:tr>
      <w:tr w:rsidR="00274E4B" w:rsidRPr="00C20F64" w:rsidTr="007D5B2E">
        <w:trPr>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A04024">
            <w:pPr>
              <w:tabs>
                <w:tab w:val="left" w:pos="-720"/>
                <w:tab w:val="left" w:pos="8640"/>
              </w:tabs>
              <w:jc w:val="both"/>
              <w:outlineLvl w:val="0"/>
              <w:rPr>
                <w:rFonts w:ascii="Arial" w:hAnsi="Arial" w:cs="Arial"/>
                <w:sz w:val="24"/>
                <w:szCs w:val="24"/>
              </w:rPr>
            </w:pPr>
          </w:p>
        </w:tc>
      </w:tr>
      <w:tr w:rsidR="00933B61" w:rsidRPr="00C20F64" w:rsidTr="007D5B2E">
        <w:trPr>
          <w:jc w:val="center"/>
        </w:trPr>
        <w:tc>
          <w:tcPr>
            <w:tcW w:w="8908" w:type="dxa"/>
            <w:gridSpan w:val="2"/>
          </w:tcPr>
          <w:p w:rsidR="00933B61" w:rsidRPr="00C20F64" w:rsidRDefault="00E14488" w:rsidP="00046001">
            <w:pPr>
              <w:tabs>
                <w:tab w:val="left" w:pos="-720"/>
                <w:tab w:val="left" w:pos="8640"/>
              </w:tabs>
              <w:jc w:val="both"/>
              <w:outlineLvl w:val="0"/>
              <w:rPr>
                <w:rFonts w:ascii="Arial" w:hAnsi="Arial" w:cs="Arial"/>
                <w:sz w:val="24"/>
                <w:szCs w:val="24"/>
              </w:rPr>
            </w:pPr>
            <w:r>
              <w:rPr>
                <w:rFonts w:ascii="Arial" w:hAnsi="Arial" w:cs="Arial"/>
                <w:b/>
                <w:sz w:val="24"/>
                <w:szCs w:val="24"/>
                <w:u w:val="single"/>
              </w:rPr>
              <w:t>BACKGROUN</w:t>
            </w:r>
            <w:r w:rsidR="002560FA">
              <w:rPr>
                <w:rFonts w:ascii="Arial" w:hAnsi="Arial" w:cs="Arial"/>
                <w:b/>
                <w:sz w:val="24"/>
                <w:szCs w:val="24"/>
                <w:u w:val="single"/>
              </w:rPr>
              <w:t>D</w:t>
            </w:r>
            <w:r>
              <w:rPr>
                <w:rFonts w:ascii="Arial" w:hAnsi="Arial" w:cs="Arial"/>
                <w:b/>
                <w:sz w:val="24"/>
                <w:szCs w:val="24"/>
                <w:u w:val="single"/>
              </w:rPr>
              <w:t xml:space="preserve"> AND </w:t>
            </w:r>
            <w:r w:rsidR="00933B61" w:rsidRPr="00C20F64">
              <w:rPr>
                <w:rFonts w:ascii="Arial" w:hAnsi="Arial" w:cs="Arial"/>
                <w:b/>
                <w:sz w:val="24"/>
                <w:szCs w:val="24"/>
                <w:u w:val="single"/>
              </w:rPr>
              <w:t>OPERATIONAL REVIEW</w:t>
            </w:r>
          </w:p>
        </w:tc>
        <w:tc>
          <w:tcPr>
            <w:tcW w:w="270" w:type="dxa"/>
          </w:tcPr>
          <w:p w:rsidR="00933B61" w:rsidRPr="00C20F64" w:rsidRDefault="00933B61" w:rsidP="007D5B2E">
            <w:pPr>
              <w:tabs>
                <w:tab w:val="left" w:pos="-720"/>
                <w:tab w:val="left" w:pos="8640"/>
              </w:tabs>
              <w:jc w:val="both"/>
              <w:outlineLvl w:val="0"/>
              <w:rPr>
                <w:rFonts w:ascii="Arial" w:hAnsi="Arial" w:cs="Arial"/>
                <w:sz w:val="24"/>
                <w:szCs w:val="24"/>
              </w:rPr>
            </w:pPr>
          </w:p>
        </w:tc>
        <w:tc>
          <w:tcPr>
            <w:tcW w:w="897" w:type="dxa"/>
          </w:tcPr>
          <w:p w:rsidR="00933B61" w:rsidRPr="00C20F64" w:rsidRDefault="00933B61" w:rsidP="007D5B2E">
            <w:pPr>
              <w:tabs>
                <w:tab w:val="left" w:pos="-720"/>
                <w:tab w:val="left" w:pos="8640"/>
              </w:tabs>
              <w:jc w:val="both"/>
              <w:outlineLvl w:val="0"/>
              <w:rPr>
                <w:rFonts w:ascii="Arial" w:hAnsi="Arial" w:cs="Arial"/>
                <w:sz w:val="24"/>
                <w:szCs w:val="24"/>
              </w:rPr>
            </w:pPr>
          </w:p>
        </w:tc>
      </w:tr>
      <w:tr w:rsidR="00FA1003" w:rsidRPr="00C20F64" w:rsidTr="007D5B2E">
        <w:trPr>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FA1003" w:rsidP="007D5B2E">
            <w:pPr>
              <w:tabs>
                <w:tab w:val="left" w:pos="-720"/>
                <w:tab w:val="left" w:pos="8640"/>
              </w:tabs>
              <w:jc w:val="both"/>
              <w:outlineLvl w:val="0"/>
              <w:rPr>
                <w:rFonts w:ascii="Arial" w:hAnsi="Arial" w:cs="Arial"/>
                <w:sz w:val="24"/>
                <w:szCs w:val="24"/>
              </w:rPr>
            </w:pPr>
          </w:p>
        </w:tc>
      </w:tr>
      <w:tr w:rsidR="00FA1003" w:rsidRPr="00C20F64" w:rsidTr="007D5B2E">
        <w:trPr>
          <w:jc w:val="center"/>
        </w:trPr>
        <w:tc>
          <w:tcPr>
            <w:tcW w:w="718"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0F64" w:rsidRDefault="00933B61" w:rsidP="007D5B2E">
            <w:pPr>
              <w:tabs>
                <w:tab w:val="left" w:pos="-720"/>
                <w:tab w:val="left" w:pos="8640"/>
              </w:tabs>
              <w:outlineLvl w:val="0"/>
              <w:rPr>
                <w:rFonts w:ascii="Arial" w:hAnsi="Arial" w:cs="Arial"/>
                <w:sz w:val="24"/>
                <w:szCs w:val="24"/>
              </w:rPr>
            </w:pPr>
            <w:r w:rsidRPr="00C20F64">
              <w:rPr>
                <w:rFonts w:ascii="Arial" w:hAnsi="Arial" w:cs="Arial"/>
                <w:sz w:val="24"/>
                <w:szCs w:val="24"/>
              </w:rPr>
              <w:t>Company Background</w:t>
            </w:r>
          </w:p>
        </w:tc>
        <w:tc>
          <w:tcPr>
            <w:tcW w:w="270" w:type="dxa"/>
          </w:tcPr>
          <w:p w:rsidR="00FA1003" w:rsidRPr="00C20F64"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0F64" w:rsidRDefault="00DD4A28" w:rsidP="00274E4B">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274E4B" w:rsidRPr="00C20F64" w:rsidTr="007D5B2E">
        <w:trPr>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565D6E">
            <w:pPr>
              <w:tabs>
                <w:tab w:val="left" w:pos="-720"/>
                <w:tab w:val="left" w:pos="8640"/>
              </w:tabs>
              <w:jc w:val="both"/>
              <w:outlineLvl w:val="0"/>
              <w:rPr>
                <w:rFonts w:ascii="Arial" w:hAnsi="Arial" w:cs="Arial"/>
                <w:sz w:val="24"/>
                <w:szCs w:val="24"/>
              </w:rPr>
            </w:pPr>
          </w:p>
        </w:tc>
      </w:tr>
      <w:tr w:rsidR="00614171" w:rsidRPr="00C20F64" w:rsidTr="007D5B2E">
        <w:trPr>
          <w:jc w:val="center"/>
        </w:trPr>
        <w:tc>
          <w:tcPr>
            <w:tcW w:w="718" w:type="dxa"/>
          </w:tcPr>
          <w:p w:rsidR="00614171" w:rsidRPr="00C20F64" w:rsidRDefault="00614171" w:rsidP="007D5B2E">
            <w:pPr>
              <w:tabs>
                <w:tab w:val="left" w:pos="-720"/>
                <w:tab w:val="left" w:pos="8640"/>
              </w:tabs>
              <w:jc w:val="both"/>
              <w:outlineLvl w:val="0"/>
              <w:rPr>
                <w:rFonts w:ascii="Arial" w:hAnsi="Arial" w:cs="Arial"/>
                <w:sz w:val="24"/>
                <w:szCs w:val="24"/>
              </w:rPr>
            </w:pPr>
          </w:p>
        </w:tc>
        <w:tc>
          <w:tcPr>
            <w:tcW w:w="8190" w:type="dxa"/>
          </w:tcPr>
          <w:p w:rsidR="0039211D" w:rsidRPr="00E14488" w:rsidRDefault="00666457" w:rsidP="00666457">
            <w:pPr>
              <w:tabs>
                <w:tab w:val="left" w:pos="-720"/>
                <w:tab w:val="left" w:pos="8640"/>
              </w:tabs>
              <w:outlineLvl w:val="0"/>
              <w:rPr>
                <w:rFonts w:ascii="Arial" w:hAnsi="Arial" w:cs="Arial"/>
                <w:b/>
                <w:color w:val="FF0000"/>
                <w:sz w:val="24"/>
                <w:szCs w:val="24"/>
              </w:rPr>
            </w:pPr>
            <w:r>
              <w:rPr>
                <w:rFonts w:ascii="Arial" w:hAnsi="Arial" w:cs="Arial"/>
                <w:sz w:val="24"/>
                <w:szCs w:val="24"/>
              </w:rPr>
              <w:t>Disposition of Prior Year’s</w:t>
            </w:r>
            <w:r w:rsidR="00614171" w:rsidRPr="00C20F64">
              <w:rPr>
                <w:rFonts w:ascii="Arial" w:hAnsi="Arial" w:cs="Arial"/>
                <w:sz w:val="24"/>
                <w:szCs w:val="24"/>
              </w:rPr>
              <w:t xml:space="preserve"> Audit Finding</w:t>
            </w:r>
          </w:p>
        </w:tc>
        <w:tc>
          <w:tcPr>
            <w:tcW w:w="270" w:type="dxa"/>
          </w:tcPr>
          <w:p w:rsidR="00614171" w:rsidRPr="00C20F64" w:rsidRDefault="00614171" w:rsidP="007D5B2E">
            <w:pPr>
              <w:tabs>
                <w:tab w:val="left" w:pos="-720"/>
                <w:tab w:val="left" w:pos="8640"/>
              </w:tabs>
              <w:jc w:val="both"/>
              <w:outlineLvl w:val="0"/>
              <w:rPr>
                <w:rFonts w:ascii="Arial" w:hAnsi="Arial" w:cs="Arial"/>
                <w:sz w:val="24"/>
                <w:szCs w:val="24"/>
              </w:rPr>
            </w:pPr>
          </w:p>
        </w:tc>
        <w:tc>
          <w:tcPr>
            <w:tcW w:w="897" w:type="dxa"/>
          </w:tcPr>
          <w:p w:rsidR="00924014" w:rsidRPr="00C20F64" w:rsidRDefault="00924014" w:rsidP="00614171">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274E4B" w:rsidRPr="00C20F64" w:rsidTr="00C20F64">
        <w:trPr>
          <w:trHeight w:val="198"/>
          <w:jc w:val="center"/>
        </w:trPr>
        <w:tc>
          <w:tcPr>
            <w:tcW w:w="718"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0F64" w:rsidRDefault="00274E4B" w:rsidP="007D5B2E">
            <w:pPr>
              <w:tabs>
                <w:tab w:val="left" w:pos="-720"/>
                <w:tab w:val="left" w:pos="8640"/>
              </w:tabs>
              <w:outlineLvl w:val="0"/>
              <w:rPr>
                <w:rFonts w:ascii="Arial" w:hAnsi="Arial" w:cs="Arial"/>
                <w:sz w:val="24"/>
                <w:szCs w:val="24"/>
              </w:rPr>
            </w:pPr>
          </w:p>
        </w:tc>
        <w:tc>
          <w:tcPr>
            <w:tcW w:w="270" w:type="dxa"/>
          </w:tcPr>
          <w:p w:rsidR="00274E4B" w:rsidRPr="00C20F64"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0F64" w:rsidRDefault="00274E4B" w:rsidP="00565D6E">
            <w:pPr>
              <w:tabs>
                <w:tab w:val="left" w:pos="-720"/>
                <w:tab w:val="left" w:pos="8640"/>
              </w:tabs>
              <w:jc w:val="both"/>
              <w:outlineLvl w:val="0"/>
              <w:rPr>
                <w:rFonts w:ascii="Arial" w:hAnsi="Arial" w:cs="Arial"/>
                <w:sz w:val="24"/>
                <w:szCs w:val="24"/>
              </w:rPr>
            </w:pPr>
          </w:p>
        </w:tc>
      </w:tr>
      <w:tr w:rsidR="00367F28" w:rsidRPr="00C20F64" w:rsidTr="00025FA2">
        <w:trPr>
          <w:jc w:val="center"/>
        </w:trPr>
        <w:tc>
          <w:tcPr>
            <w:tcW w:w="8908" w:type="dxa"/>
            <w:gridSpan w:val="2"/>
          </w:tcPr>
          <w:p w:rsidR="00367F28" w:rsidRPr="00C20F64" w:rsidRDefault="00367F28" w:rsidP="00025FA2">
            <w:pPr>
              <w:tabs>
                <w:tab w:val="left" w:pos="-720"/>
                <w:tab w:val="left" w:pos="8640"/>
              </w:tabs>
              <w:outlineLvl w:val="0"/>
              <w:rPr>
                <w:rFonts w:ascii="Arial" w:hAnsi="Arial" w:cs="Arial"/>
                <w:b/>
                <w:sz w:val="24"/>
                <w:szCs w:val="24"/>
                <w:u w:val="single"/>
              </w:rPr>
            </w:pPr>
            <w:r w:rsidRPr="00C20F64">
              <w:rPr>
                <w:rFonts w:ascii="Arial" w:hAnsi="Arial" w:cs="Arial"/>
                <w:b/>
                <w:sz w:val="24"/>
                <w:szCs w:val="24"/>
                <w:u w:val="single"/>
              </w:rPr>
              <w:t>ACKNOWLEDGEMENTS</w:t>
            </w:r>
          </w:p>
          <w:p w:rsidR="002774E4" w:rsidRPr="00C20F64" w:rsidRDefault="002774E4" w:rsidP="00025FA2">
            <w:pPr>
              <w:tabs>
                <w:tab w:val="left" w:pos="-720"/>
                <w:tab w:val="left" w:pos="8640"/>
              </w:tabs>
              <w:outlineLvl w:val="0"/>
              <w:rPr>
                <w:rFonts w:ascii="Arial" w:hAnsi="Arial" w:cs="Arial"/>
                <w:sz w:val="24"/>
                <w:szCs w:val="24"/>
              </w:rPr>
            </w:pPr>
          </w:p>
        </w:tc>
        <w:tc>
          <w:tcPr>
            <w:tcW w:w="270" w:type="dxa"/>
          </w:tcPr>
          <w:p w:rsidR="00367F28" w:rsidRPr="00C20F64" w:rsidRDefault="00367F28" w:rsidP="00025FA2">
            <w:pPr>
              <w:tabs>
                <w:tab w:val="left" w:pos="-720"/>
                <w:tab w:val="left" w:pos="8640"/>
              </w:tabs>
              <w:jc w:val="both"/>
              <w:outlineLvl w:val="0"/>
              <w:rPr>
                <w:rFonts w:ascii="Arial" w:hAnsi="Arial" w:cs="Arial"/>
                <w:sz w:val="24"/>
                <w:szCs w:val="24"/>
              </w:rPr>
            </w:pPr>
          </w:p>
        </w:tc>
        <w:tc>
          <w:tcPr>
            <w:tcW w:w="897" w:type="dxa"/>
          </w:tcPr>
          <w:p w:rsidR="00367F28" w:rsidRPr="00C20F64" w:rsidRDefault="00924014" w:rsidP="00614171">
            <w:pPr>
              <w:tabs>
                <w:tab w:val="left" w:pos="-720"/>
                <w:tab w:val="left" w:pos="8640"/>
              </w:tabs>
              <w:jc w:val="center"/>
              <w:outlineLvl w:val="0"/>
              <w:rPr>
                <w:rFonts w:ascii="Arial" w:hAnsi="Arial" w:cs="Arial"/>
                <w:sz w:val="24"/>
                <w:szCs w:val="24"/>
              </w:rPr>
            </w:pPr>
            <w:r>
              <w:rPr>
                <w:rFonts w:ascii="Arial" w:hAnsi="Arial" w:cs="Arial"/>
                <w:sz w:val="24"/>
                <w:szCs w:val="24"/>
              </w:rPr>
              <w:t>8</w:t>
            </w:r>
          </w:p>
        </w:tc>
      </w:tr>
      <w:tr w:rsidR="00933B61" w:rsidRPr="007D5B2E" w:rsidTr="007D5B2E">
        <w:trPr>
          <w:jc w:val="center"/>
        </w:trPr>
        <w:tc>
          <w:tcPr>
            <w:tcW w:w="718" w:type="dxa"/>
          </w:tcPr>
          <w:p w:rsidR="00933B61" w:rsidRDefault="00933B61"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Default="0004362A" w:rsidP="007D5B2E">
            <w:pPr>
              <w:tabs>
                <w:tab w:val="left" w:pos="-720"/>
                <w:tab w:val="left" w:pos="8640"/>
              </w:tabs>
              <w:jc w:val="both"/>
              <w:outlineLvl w:val="0"/>
              <w:rPr>
                <w:rFonts w:ascii="Arial" w:hAnsi="Arial" w:cs="Arial"/>
                <w:sz w:val="26"/>
                <w:szCs w:val="26"/>
                <w:highlight w:val="lightGray"/>
              </w:rPr>
            </w:pPr>
          </w:p>
          <w:p w:rsidR="0004362A" w:rsidRPr="007D5B2E" w:rsidRDefault="0004362A" w:rsidP="007D5B2E">
            <w:pPr>
              <w:tabs>
                <w:tab w:val="left" w:pos="-720"/>
                <w:tab w:val="left" w:pos="8640"/>
              </w:tabs>
              <w:jc w:val="both"/>
              <w:outlineLvl w:val="0"/>
              <w:rPr>
                <w:rFonts w:ascii="Arial" w:hAnsi="Arial" w:cs="Arial"/>
                <w:sz w:val="26"/>
                <w:szCs w:val="26"/>
                <w:highlight w:val="lightGray"/>
              </w:rPr>
            </w:pPr>
          </w:p>
        </w:tc>
        <w:tc>
          <w:tcPr>
            <w:tcW w:w="8190" w:type="dxa"/>
          </w:tcPr>
          <w:p w:rsidR="00933B61" w:rsidRPr="007D5B2E" w:rsidRDefault="00933B61" w:rsidP="007D5B2E">
            <w:pPr>
              <w:tabs>
                <w:tab w:val="left" w:pos="-720"/>
                <w:tab w:val="left" w:pos="8640"/>
              </w:tabs>
              <w:outlineLvl w:val="0"/>
              <w:rPr>
                <w:rFonts w:ascii="Arial" w:hAnsi="Arial" w:cs="Arial"/>
                <w:sz w:val="26"/>
                <w:szCs w:val="26"/>
                <w:highlight w:val="lightGray"/>
              </w:rPr>
            </w:pPr>
          </w:p>
        </w:tc>
        <w:tc>
          <w:tcPr>
            <w:tcW w:w="270" w:type="dxa"/>
          </w:tcPr>
          <w:p w:rsidR="00933B61" w:rsidRPr="007D5B2E" w:rsidRDefault="00933B61" w:rsidP="007D5B2E">
            <w:pPr>
              <w:tabs>
                <w:tab w:val="left" w:pos="-720"/>
                <w:tab w:val="left" w:pos="8640"/>
              </w:tabs>
              <w:jc w:val="both"/>
              <w:outlineLvl w:val="0"/>
              <w:rPr>
                <w:rFonts w:ascii="Arial" w:hAnsi="Arial" w:cs="Arial"/>
                <w:sz w:val="26"/>
                <w:szCs w:val="26"/>
                <w:highlight w:val="lightGray"/>
              </w:rPr>
            </w:pPr>
          </w:p>
        </w:tc>
        <w:tc>
          <w:tcPr>
            <w:tcW w:w="897" w:type="dxa"/>
          </w:tcPr>
          <w:p w:rsidR="00933B61" w:rsidRPr="007D5B2E" w:rsidRDefault="00933B61" w:rsidP="00565D6E">
            <w:pPr>
              <w:tabs>
                <w:tab w:val="left" w:pos="-720"/>
                <w:tab w:val="left" w:pos="8640"/>
              </w:tabs>
              <w:jc w:val="both"/>
              <w:outlineLvl w:val="0"/>
              <w:rPr>
                <w:rFonts w:ascii="Arial" w:hAnsi="Arial" w:cs="Arial"/>
                <w:sz w:val="26"/>
                <w:szCs w:val="26"/>
                <w:highlight w:val="lightGray"/>
              </w:rPr>
            </w:pPr>
          </w:p>
        </w:tc>
      </w:tr>
    </w:tbl>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60BBC803" wp14:editId="1EF500B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D0219E" w:rsidRPr="00411B9D" w:rsidRDefault="00D0219E">
      <w:pPr>
        <w:tabs>
          <w:tab w:val="left" w:pos="-720"/>
          <w:tab w:val="left" w:pos="8820"/>
        </w:tabs>
        <w:rPr>
          <w:rFonts w:ascii="Arial" w:hAnsi="Arial" w:cs="Arial"/>
          <w:sz w:val="26"/>
          <w:szCs w:val="26"/>
        </w:rPr>
      </w:pPr>
    </w:p>
    <w:p w:rsidR="00EC58EA" w:rsidRPr="0004362A" w:rsidRDefault="00EC58EA">
      <w:pPr>
        <w:tabs>
          <w:tab w:val="center" w:pos="4680"/>
          <w:tab w:val="left" w:pos="8820"/>
        </w:tabs>
        <w:jc w:val="center"/>
        <w:outlineLvl w:val="0"/>
        <w:rPr>
          <w:rFonts w:ascii="Arial" w:hAnsi="Arial" w:cs="Arial"/>
          <w:b/>
          <w:sz w:val="26"/>
          <w:szCs w:val="26"/>
        </w:rPr>
      </w:pPr>
      <w:r w:rsidRPr="0004362A">
        <w:rPr>
          <w:rFonts w:ascii="Arial" w:hAnsi="Arial" w:cs="Arial"/>
          <w:b/>
          <w:sz w:val="26"/>
          <w:szCs w:val="26"/>
          <w:u w:val="single"/>
        </w:rPr>
        <w:t>INDEPENDENT AUDITOR'S REPORT</w:t>
      </w:r>
    </w:p>
    <w:p w:rsidR="00EC58EA" w:rsidRPr="001849D4" w:rsidRDefault="00EC58EA">
      <w:pPr>
        <w:tabs>
          <w:tab w:val="left" w:pos="-720"/>
          <w:tab w:val="left" w:pos="8820"/>
        </w:tabs>
        <w:rPr>
          <w:rFonts w:ascii="Arial" w:hAnsi="Arial" w:cs="Arial"/>
          <w:sz w:val="26"/>
          <w:szCs w:val="26"/>
        </w:rPr>
      </w:pPr>
    </w:p>
    <w:p w:rsidR="00EC58EA" w:rsidRPr="00C20F64" w:rsidRDefault="00EC58EA">
      <w:pPr>
        <w:tabs>
          <w:tab w:val="center" w:pos="4680"/>
          <w:tab w:val="left" w:pos="8820"/>
        </w:tabs>
        <w:jc w:val="center"/>
        <w:outlineLvl w:val="0"/>
        <w:rPr>
          <w:rFonts w:ascii="Arial" w:hAnsi="Arial" w:cs="Arial"/>
          <w:sz w:val="24"/>
          <w:szCs w:val="24"/>
        </w:rPr>
      </w:pPr>
      <w:r w:rsidRPr="00C20F64">
        <w:rPr>
          <w:rFonts w:ascii="Arial" w:hAnsi="Arial" w:cs="Arial"/>
          <w:b/>
          <w:sz w:val="24"/>
          <w:szCs w:val="24"/>
          <w:u w:val="single"/>
        </w:rPr>
        <w:t>To The</w:t>
      </w:r>
      <w:r w:rsidR="00F1331A" w:rsidRPr="00C20F64">
        <w:rPr>
          <w:rFonts w:ascii="Arial" w:hAnsi="Arial" w:cs="Arial"/>
          <w:b/>
          <w:sz w:val="24"/>
          <w:szCs w:val="24"/>
          <w:u w:val="single"/>
        </w:rPr>
        <w:t xml:space="preserve"> Pennsylvania</w:t>
      </w:r>
      <w:r w:rsidRPr="00C20F64">
        <w:rPr>
          <w:rFonts w:ascii="Arial" w:hAnsi="Arial" w:cs="Arial"/>
          <w:b/>
          <w:sz w:val="24"/>
          <w:szCs w:val="24"/>
          <w:u w:val="single"/>
        </w:rPr>
        <w:t xml:space="preserve"> Public Utility Commission</w:t>
      </w:r>
    </w:p>
    <w:p w:rsidR="00EC58EA" w:rsidRPr="00C20F64" w:rsidRDefault="00EC58EA">
      <w:pPr>
        <w:tabs>
          <w:tab w:val="left" w:pos="-720"/>
          <w:tab w:val="left" w:pos="8820"/>
        </w:tabs>
        <w:rPr>
          <w:rFonts w:ascii="Arial" w:hAnsi="Arial" w:cs="Arial"/>
          <w:sz w:val="24"/>
          <w:szCs w:val="24"/>
        </w:rPr>
      </w:pPr>
    </w:p>
    <w:p w:rsidR="00EC58EA" w:rsidRPr="00C20F64" w:rsidRDefault="00EC58EA">
      <w:pPr>
        <w:pStyle w:val="BodyText"/>
        <w:tabs>
          <w:tab w:val="clear" w:pos="900"/>
          <w:tab w:val="clear" w:pos="8820"/>
          <w:tab w:val="left" w:pos="720"/>
          <w:tab w:val="left" w:pos="1440"/>
        </w:tabs>
        <w:jc w:val="left"/>
        <w:rPr>
          <w:rFonts w:ascii="Arial" w:hAnsi="Arial" w:cs="Arial"/>
          <w:szCs w:val="24"/>
        </w:rPr>
      </w:pPr>
      <w:r w:rsidRPr="00C20F64">
        <w:rPr>
          <w:rFonts w:ascii="Arial" w:hAnsi="Arial" w:cs="Arial"/>
          <w:szCs w:val="24"/>
        </w:rPr>
        <w:tab/>
        <w:t>We have audited Philadelphia Gas Works’ Universal Service</w:t>
      </w:r>
      <w:r w:rsidR="00A355F6">
        <w:rPr>
          <w:rFonts w:ascii="Arial" w:hAnsi="Arial" w:cs="Arial"/>
          <w:szCs w:val="24"/>
        </w:rPr>
        <w:t xml:space="preserve"> </w:t>
      </w:r>
      <w:r w:rsidR="00A936C0">
        <w:rPr>
          <w:rFonts w:ascii="Arial" w:hAnsi="Arial" w:cs="Arial"/>
          <w:szCs w:val="24"/>
        </w:rPr>
        <w:t>a</w:t>
      </w:r>
      <w:r w:rsidR="00A355F6">
        <w:rPr>
          <w:rFonts w:ascii="Arial" w:hAnsi="Arial" w:cs="Arial"/>
          <w:szCs w:val="24"/>
        </w:rPr>
        <w:t xml:space="preserve">nd </w:t>
      </w:r>
      <w:r w:rsidRPr="00C20F64">
        <w:rPr>
          <w:rFonts w:ascii="Arial" w:hAnsi="Arial" w:cs="Arial"/>
          <w:szCs w:val="24"/>
        </w:rPr>
        <w:t>Energy Conservation Surcharge</w:t>
      </w:r>
      <w:r w:rsidR="00A04024" w:rsidRPr="00C20F64">
        <w:rPr>
          <w:rFonts w:ascii="Arial" w:hAnsi="Arial" w:cs="Arial"/>
          <w:szCs w:val="24"/>
        </w:rPr>
        <w:t xml:space="preserve"> </w:t>
      </w:r>
      <w:r w:rsidR="0099094B" w:rsidRPr="00C20F64">
        <w:rPr>
          <w:rFonts w:ascii="Arial" w:hAnsi="Arial" w:cs="Arial"/>
          <w:szCs w:val="24"/>
        </w:rPr>
        <w:t xml:space="preserve">Reconciliation Statement </w:t>
      </w:r>
      <w:r w:rsidR="00A04024" w:rsidRPr="00C20F64">
        <w:rPr>
          <w:rFonts w:ascii="Arial" w:hAnsi="Arial" w:cs="Arial"/>
          <w:szCs w:val="24"/>
        </w:rPr>
        <w:t xml:space="preserve">for the twelve months ended August 31, </w:t>
      </w:r>
      <w:r w:rsidR="00A846B4" w:rsidRPr="00C20F64">
        <w:rPr>
          <w:rFonts w:ascii="Arial" w:hAnsi="Arial" w:cs="Arial"/>
          <w:szCs w:val="24"/>
        </w:rPr>
        <w:t>20</w:t>
      </w:r>
      <w:r w:rsidR="00076720">
        <w:rPr>
          <w:rFonts w:ascii="Arial" w:hAnsi="Arial" w:cs="Arial"/>
          <w:szCs w:val="24"/>
        </w:rPr>
        <w:t>10</w:t>
      </w:r>
      <w:r w:rsidRPr="00C20F64">
        <w:rPr>
          <w:rFonts w:ascii="Arial" w:hAnsi="Arial" w:cs="Arial"/>
          <w:szCs w:val="24"/>
        </w:rPr>
        <w:t>.  Th</w:t>
      </w:r>
      <w:r w:rsidR="00A62A84" w:rsidRPr="00C20F64">
        <w:rPr>
          <w:rFonts w:ascii="Arial" w:hAnsi="Arial" w:cs="Arial"/>
          <w:szCs w:val="24"/>
        </w:rPr>
        <w:t>i</w:t>
      </w:r>
      <w:r w:rsidRPr="00C20F64">
        <w:rPr>
          <w:rFonts w:ascii="Arial" w:hAnsi="Arial" w:cs="Arial"/>
          <w:szCs w:val="24"/>
        </w:rPr>
        <w:t xml:space="preserve">s statement </w:t>
      </w:r>
      <w:r w:rsidR="00A62A84" w:rsidRPr="00C20F64">
        <w:rPr>
          <w:rFonts w:ascii="Arial" w:hAnsi="Arial" w:cs="Arial"/>
          <w:szCs w:val="24"/>
        </w:rPr>
        <w:t>is</w:t>
      </w:r>
      <w:r w:rsidRPr="00C20F64">
        <w:rPr>
          <w:rFonts w:ascii="Arial" w:hAnsi="Arial" w:cs="Arial"/>
          <w:szCs w:val="24"/>
        </w:rPr>
        <w:t xml:space="preserve"> the responsibility of the Company's management.  Our responsibility is to express an opinion on the statement based on our audit.</w:t>
      </w:r>
    </w:p>
    <w:p w:rsidR="00EC58EA" w:rsidRPr="00C20F64" w:rsidRDefault="00EC58EA">
      <w:pPr>
        <w:tabs>
          <w:tab w:val="left" w:pos="-720"/>
          <w:tab w:val="left" w:pos="8820"/>
        </w:tabs>
        <w:ind w:right="504"/>
        <w:rPr>
          <w:rFonts w:ascii="Arial" w:hAnsi="Arial" w:cs="Arial"/>
          <w:sz w:val="24"/>
          <w:szCs w:val="24"/>
        </w:rPr>
      </w:pPr>
    </w:p>
    <w:p w:rsidR="00EC58EA" w:rsidRPr="00C20F64" w:rsidRDefault="00EC58EA">
      <w:pPr>
        <w:pStyle w:val="BodyText"/>
        <w:tabs>
          <w:tab w:val="clear" w:pos="900"/>
          <w:tab w:val="clear" w:pos="8820"/>
          <w:tab w:val="left" w:pos="720"/>
          <w:tab w:val="left" w:pos="1440"/>
        </w:tabs>
        <w:jc w:val="left"/>
        <w:rPr>
          <w:rFonts w:ascii="Arial" w:hAnsi="Arial" w:cs="Arial"/>
          <w:szCs w:val="24"/>
        </w:rPr>
      </w:pPr>
      <w:r w:rsidRPr="00C20F64">
        <w:rPr>
          <w:rFonts w:ascii="Arial" w:hAnsi="Arial" w:cs="Arial"/>
          <w:szCs w:val="24"/>
        </w:rPr>
        <w:tab/>
        <w:t xml:space="preserve">We conducted our audit in accordance with auditing standards generally accepted in the United States of America.  Those standards require that we plan and perform the audit to obtain reasonable assurance about </w:t>
      </w:r>
      <w:r w:rsidR="00950DFC">
        <w:rPr>
          <w:rFonts w:ascii="Arial" w:hAnsi="Arial" w:cs="Arial"/>
          <w:szCs w:val="24"/>
        </w:rPr>
        <w:t>whether the specified statement</w:t>
      </w:r>
      <w:r w:rsidRPr="00C20F64">
        <w:rPr>
          <w:rFonts w:ascii="Arial" w:hAnsi="Arial" w:cs="Arial"/>
          <w:szCs w:val="24"/>
        </w:rPr>
        <w:t xml:space="preserve"> </w:t>
      </w:r>
      <w:r w:rsidR="00950DFC">
        <w:rPr>
          <w:rFonts w:ascii="Arial" w:hAnsi="Arial" w:cs="Arial"/>
          <w:szCs w:val="24"/>
        </w:rPr>
        <w:t>is</w:t>
      </w:r>
      <w:r w:rsidRPr="00C20F64">
        <w:rPr>
          <w:rFonts w:ascii="Arial" w:hAnsi="Arial" w:cs="Arial"/>
          <w:szCs w:val="24"/>
        </w:rPr>
        <w:t xml:space="preserve"> free of material misstatement</w:t>
      </w:r>
      <w:r w:rsidRPr="00693959">
        <w:rPr>
          <w:rFonts w:ascii="Arial" w:hAnsi="Arial" w:cs="Arial"/>
          <w:szCs w:val="24"/>
        </w:rPr>
        <w:t xml:space="preserve">.  </w:t>
      </w:r>
      <w:r w:rsidR="0039211D" w:rsidRPr="00693959">
        <w:rPr>
          <w:rFonts w:ascii="Arial" w:hAnsi="Arial" w:cs="Arial"/>
          <w:szCs w:val="24"/>
        </w:rPr>
        <w:t>Our audit included consideration of internal control over financial reporting as a basis for designing audit procedures that are appropriate for the circumstances, but not for the purpose of expressin</w:t>
      </w:r>
      <w:r w:rsidR="00D76201" w:rsidRPr="00693959">
        <w:rPr>
          <w:rFonts w:ascii="Arial" w:hAnsi="Arial" w:cs="Arial"/>
          <w:szCs w:val="24"/>
        </w:rPr>
        <w:t>g</w:t>
      </w:r>
      <w:r w:rsidR="0039211D" w:rsidRPr="00693959">
        <w:rPr>
          <w:rFonts w:ascii="Arial" w:hAnsi="Arial" w:cs="Arial"/>
          <w:szCs w:val="24"/>
        </w:rPr>
        <w:t xml:space="preserve"> an opinion on the effectiveness of the Company’s internal control over financial reporting.  </w:t>
      </w:r>
      <w:r w:rsidRPr="00693959">
        <w:rPr>
          <w:rFonts w:ascii="Arial" w:hAnsi="Arial" w:cs="Arial"/>
          <w:szCs w:val="24"/>
        </w:rPr>
        <w:t xml:space="preserve">An audit includes examining, on a test basis, evidence supporting the amounts and disclosures in the statement referred to above.  An audit also includes assessing the accounting </w:t>
      </w:r>
      <w:r w:rsidRPr="00C20F64">
        <w:rPr>
          <w:rFonts w:ascii="Arial" w:hAnsi="Arial" w:cs="Arial"/>
          <w:szCs w:val="24"/>
        </w:rPr>
        <w:t>principles used and significant estimates made by management, as well as evaluating the overall statement presentation.  We believe that our audit provides a reasonable basis for our opinion.</w:t>
      </w:r>
    </w:p>
    <w:p w:rsidR="00EC58EA" w:rsidRPr="00C20F64" w:rsidRDefault="00EC58EA">
      <w:pPr>
        <w:tabs>
          <w:tab w:val="left" w:pos="-720"/>
          <w:tab w:val="left" w:pos="8820"/>
        </w:tabs>
        <w:ind w:right="504"/>
        <w:rPr>
          <w:rFonts w:ascii="Arial" w:hAnsi="Arial" w:cs="Arial"/>
          <w:sz w:val="24"/>
          <w:szCs w:val="24"/>
        </w:rPr>
      </w:pPr>
    </w:p>
    <w:p w:rsidR="00EC58EA" w:rsidRPr="00C20F64" w:rsidRDefault="003858C7">
      <w:pPr>
        <w:pStyle w:val="BodyText"/>
        <w:tabs>
          <w:tab w:val="clear" w:pos="900"/>
          <w:tab w:val="left" w:pos="720"/>
          <w:tab w:val="left" w:pos="1440"/>
        </w:tabs>
        <w:jc w:val="left"/>
        <w:rPr>
          <w:rFonts w:ascii="Arial" w:hAnsi="Arial" w:cs="Arial"/>
          <w:szCs w:val="24"/>
        </w:rPr>
      </w:pPr>
      <w:r w:rsidRPr="00C20F64">
        <w:rPr>
          <w:rFonts w:ascii="Arial" w:hAnsi="Arial" w:cs="Arial"/>
          <w:szCs w:val="24"/>
        </w:rPr>
        <w:tab/>
        <w:t xml:space="preserve">The accompanying statement </w:t>
      </w:r>
      <w:r w:rsidR="00EC58EA" w:rsidRPr="00C20F64">
        <w:rPr>
          <w:rFonts w:ascii="Arial" w:hAnsi="Arial" w:cs="Arial"/>
          <w:szCs w:val="24"/>
        </w:rPr>
        <w:t>w</w:t>
      </w:r>
      <w:r w:rsidRPr="00C20F64">
        <w:rPr>
          <w:rFonts w:ascii="Arial" w:hAnsi="Arial" w:cs="Arial"/>
          <w:szCs w:val="24"/>
        </w:rPr>
        <w:t>as</w:t>
      </w:r>
      <w:r w:rsidR="00EC58EA" w:rsidRPr="00C20F64">
        <w:rPr>
          <w:rFonts w:ascii="Arial" w:hAnsi="Arial" w:cs="Arial"/>
          <w:szCs w:val="24"/>
        </w:rPr>
        <w:t xml:space="preserve"> prepared for the purpose of complying with the rules and regulations of the Pennsylvania Public Utility Commission and </w:t>
      </w:r>
      <w:r w:rsidRPr="00C20F64">
        <w:rPr>
          <w:rFonts w:ascii="Arial" w:hAnsi="Arial" w:cs="Arial"/>
          <w:szCs w:val="24"/>
        </w:rPr>
        <w:t>is</w:t>
      </w:r>
      <w:r w:rsidR="00EC58EA" w:rsidRPr="00C20F64">
        <w:rPr>
          <w:rFonts w:ascii="Arial" w:hAnsi="Arial" w:cs="Arial"/>
          <w:szCs w:val="24"/>
        </w:rPr>
        <w:t xml:space="preserve"> not intended to be a complete presentation of the Company's revenues and expenses.</w:t>
      </w:r>
    </w:p>
    <w:p w:rsidR="00EC58EA" w:rsidRPr="00C20F64" w:rsidRDefault="00EC58EA">
      <w:pPr>
        <w:tabs>
          <w:tab w:val="left" w:pos="-720"/>
          <w:tab w:val="left" w:pos="8820"/>
        </w:tabs>
        <w:ind w:right="504"/>
        <w:rPr>
          <w:rFonts w:ascii="Arial" w:hAnsi="Arial" w:cs="Arial"/>
          <w:sz w:val="24"/>
          <w:szCs w:val="24"/>
        </w:rPr>
      </w:pPr>
    </w:p>
    <w:p w:rsidR="00EC58EA" w:rsidRPr="00C20F64" w:rsidRDefault="00EC58EA">
      <w:pPr>
        <w:tabs>
          <w:tab w:val="left" w:pos="-720"/>
          <w:tab w:val="left" w:pos="720"/>
          <w:tab w:val="left" w:pos="1440"/>
        </w:tabs>
        <w:rPr>
          <w:rFonts w:ascii="Arial" w:hAnsi="Arial" w:cs="Arial"/>
          <w:sz w:val="24"/>
          <w:szCs w:val="24"/>
        </w:rPr>
      </w:pPr>
      <w:r w:rsidRPr="00C20F64">
        <w:rPr>
          <w:rFonts w:ascii="Arial" w:hAnsi="Arial" w:cs="Arial"/>
          <w:sz w:val="24"/>
          <w:szCs w:val="24"/>
        </w:rPr>
        <w:tab/>
        <w:t>In our opin</w:t>
      </w:r>
      <w:r w:rsidR="003858C7" w:rsidRPr="00C20F64">
        <w:rPr>
          <w:rFonts w:ascii="Arial" w:hAnsi="Arial" w:cs="Arial"/>
          <w:sz w:val="24"/>
          <w:szCs w:val="24"/>
        </w:rPr>
        <w:t>ion, the accompanying statement</w:t>
      </w:r>
      <w:r w:rsidRPr="00C20F64">
        <w:rPr>
          <w:rFonts w:ascii="Arial" w:hAnsi="Arial" w:cs="Arial"/>
          <w:sz w:val="24"/>
          <w:szCs w:val="24"/>
        </w:rPr>
        <w:t xml:space="preserve"> of Philadelphia Gas Works present</w:t>
      </w:r>
      <w:r w:rsidR="003858C7" w:rsidRPr="00C20F64">
        <w:rPr>
          <w:rFonts w:ascii="Arial" w:hAnsi="Arial" w:cs="Arial"/>
          <w:sz w:val="24"/>
          <w:szCs w:val="24"/>
        </w:rPr>
        <w:t>s</w:t>
      </w:r>
      <w:r w:rsidRPr="00C20F64">
        <w:rPr>
          <w:rFonts w:ascii="Arial" w:hAnsi="Arial" w:cs="Arial"/>
          <w:sz w:val="24"/>
          <w:szCs w:val="24"/>
        </w:rPr>
        <w:t xml:space="preserve"> fairly, in all material respects, the Universal Service</w:t>
      </w:r>
      <w:r w:rsidR="00BE2AD3">
        <w:rPr>
          <w:rFonts w:ascii="Arial" w:hAnsi="Arial" w:cs="Arial"/>
          <w:sz w:val="24"/>
          <w:szCs w:val="24"/>
        </w:rPr>
        <w:t xml:space="preserve"> </w:t>
      </w:r>
      <w:r w:rsidR="00A936C0">
        <w:rPr>
          <w:rFonts w:ascii="Arial" w:hAnsi="Arial" w:cs="Arial"/>
          <w:sz w:val="24"/>
          <w:szCs w:val="24"/>
        </w:rPr>
        <w:t>a</w:t>
      </w:r>
      <w:r w:rsidR="00BE2AD3">
        <w:rPr>
          <w:rFonts w:ascii="Arial" w:hAnsi="Arial" w:cs="Arial"/>
          <w:sz w:val="24"/>
          <w:szCs w:val="24"/>
        </w:rPr>
        <w:t xml:space="preserve">nd </w:t>
      </w:r>
      <w:r w:rsidRPr="00C20F64">
        <w:rPr>
          <w:rFonts w:ascii="Arial" w:hAnsi="Arial" w:cs="Arial"/>
          <w:sz w:val="24"/>
          <w:szCs w:val="24"/>
        </w:rPr>
        <w:t xml:space="preserve">Energy Conservation Surcharge </w:t>
      </w:r>
      <w:r w:rsidR="00A62A84" w:rsidRPr="00C20F64">
        <w:rPr>
          <w:rFonts w:ascii="Arial" w:hAnsi="Arial" w:cs="Arial"/>
          <w:sz w:val="24"/>
          <w:szCs w:val="24"/>
        </w:rPr>
        <w:t>recovery r</w:t>
      </w:r>
      <w:r w:rsidRPr="00C20F64">
        <w:rPr>
          <w:rFonts w:ascii="Arial" w:hAnsi="Arial" w:cs="Arial"/>
          <w:sz w:val="24"/>
          <w:szCs w:val="24"/>
        </w:rPr>
        <w:t xml:space="preserve">evenues and related expenditures, in accordance with the provisions of </w:t>
      </w:r>
      <w:r w:rsidR="00A62A84" w:rsidRPr="00C20F64">
        <w:rPr>
          <w:rFonts w:ascii="Arial" w:hAnsi="Arial" w:cs="Arial"/>
          <w:sz w:val="24"/>
          <w:szCs w:val="24"/>
        </w:rPr>
        <w:t>the Company’s</w:t>
      </w:r>
      <w:r w:rsidRPr="00C20F64">
        <w:rPr>
          <w:rFonts w:ascii="Arial" w:hAnsi="Arial" w:cs="Arial"/>
          <w:sz w:val="24"/>
          <w:szCs w:val="24"/>
        </w:rPr>
        <w:t xml:space="preserve"> Schedule of Rates as approved by the Pennsylvania Public Utility Commission.</w:t>
      </w:r>
    </w:p>
    <w:p w:rsidR="00EC58EA" w:rsidRPr="00C20F64" w:rsidRDefault="00EC58EA">
      <w:pPr>
        <w:tabs>
          <w:tab w:val="left" w:pos="-720"/>
          <w:tab w:val="left" w:pos="8820"/>
        </w:tabs>
        <w:rPr>
          <w:rFonts w:ascii="Arial" w:hAnsi="Arial" w:cs="Arial"/>
          <w:sz w:val="24"/>
          <w:szCs w:val="24"/>
        </w:rPr>
      </w:pPr>
    </w:p>
    <w:p w:rsidR="00ED471F" w:rsidRPr="00C20F64" w:rsidRDefault="00ED471F">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r>
      <w:r w:rsidR="00BB0C3D">
        <w:rPr>
          <w:rFonts w:ascii="Arial" w:hAnsi="Arial" w:cs="Arial"/>
          <w:sz w:val="24"/>
          <w:szCs w:val="24"/>
        </w:rPr>
        <w:t>Dennis P. Hosler</w:t>
      </w:r>
      <w:r w:rsidRPr="00C20F64">
        <w:rPr>
          <w:rFonts w:ascii="Arial" w:hAnsi="Arial" w:cs="Arial"/>
          <w:sz w:val="24"/>
          <w:szCs w:val="24"/>
        </w:rPr>
        <w:t>, CPA</w:t>
      </w: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Director</w:t>
      </w: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D0219E">
          <w:headerReference w:type="even" r:id="rId16"/>
          <w:headerReference w:type="default" r:id="rId17"/>
          <w:footerReference w:type="default" r:id="rId18"/>
          <w:headerReference w:type="first" r:id="rId19"/>
          <w:pgSz w:w="12240" w:h="15840" w:code="1"/>
          <w:pgMar w:top="720" w:right="1440" w:bottom="1152" w:left="1440" w:header="0" w:footer="720" w:gutter="0"/>
          <w:cols w:space="720"/>
          <w:noEndnote/>
        </w:sectPr>
      </w:pPr>
    </w:p>
    <w:p w:rsidR="004B5DDA" w:rsidRPr="00990D7B" w:rsidRDefault="004B5DDA" w:rsidP="004B5DDA">
      <w:pPr>
        <w:tabs>
          <w:tab w:val="left" w:pos="0"/>
          <w:tab w:val="left" w:pos="1800"/>
          <w:tab w:val="decimal" w:pos="6300"/>
          <w:tab w:val="decimal" w:pos="8550"/>
          <w:tab w:val="decimal" w:pos="10350"/>
          <w:tab w:val="left" w:pos="10800"/>
        </w:tabs>
        <w:ind w:right="-144"/>
        <w:jc w:val="center"/>
        <w:rPr>
          <w:rFonts w:ascii="Arial" w:hAnsi="Arial" w:cs="Arial"/>
          <w:b/>
          <w:sz w:val="26"/>
          <w:szCs w:val="26"/>
          <w:u w:val="single"/>
        </w:rPr>
      </w:pPr>
      <w:r w:rsidRPr="00990D7B">
        <w:rPr>
          <w:rFonts w:ascii="Arial" w:hAnsi="Arial" w:cs="Arial"/>
          <w:b/>
          <w:sz w:val="26"/>
          <w:szCs w:val="26"/>
          <w:u w:val="single"/>
        </w:rPr>
        <w:lastRenderedPageBreak/>
        <w:t>PHILADELPHIA GAS WORKS</w:t>
      </w:r>
    </w:p>
    <w:p w:rsidR="004B5DDA" w:rsidRPr="0091182B" w:rsidRDefault="004B5DDA" w:rsidP="004B5DDA">
      <w:pPr>
        <w:jc w:val="both"/>
        <w:rPr>
          <w:rFonts w:ascii="Arial" w:hAnsi="Arial" w:cs="Arial"/>
          <w:sz w:val="26"/>
          <w:szCs w:val="26"/>
        </w:rPr>
      </w:pPr>
    </w:p>
    <w:p w:rsidR="004B5DDA" w:rsidRPr="00C20F64" w:rsidRDefault="004B5DDA" w:rsidP="004B5DDA">
      <w:pPr>
        <w:jc w:val="center"/>
        <w:outlineLvl w:val="0"/>
        <w:rPr>
          <w:rFonts w:ascii="Arial" w:hAnsi="Arial" w:cs="Arial"/>
          <w:b/>
          <w:sz w:val="24"/>
          <w:szCs w:val="24"/>
          <w:u w:val="single"/>
        </w:rPr>
      </w:pPr>
      <w:r w:rsidRPr="00C20F64">
        <w:rPr>
          <w:rFonts w:ascii="Arial" w:hAnsi="Arial" w:cs="Arial"/>
          <w:b/>
          <w:sz w:val="24"/>
          <w:szCs w:val="24"/>
          <w:u w:val="single"/>
        </w:rPr>
        <w:t>Universal Service</w:t>
      </w:r>
      <w:r w:rsidR="00BE2AD3">
        <w:rPr>
          <w:rFonts w:ascii="Arial" w:hAnsi="Arial" w:cs="Arial"/>
          <w:b/>
          <w:sz w:val="24"/>
          <w:szCs w:val="24"/>
          <w:u w:val="single"/>
        </w:rPr>
        <w:t xml:space="preserve"> And </w:t>
      </w:r>
      <w:r w:rsidRPr="00C20F64">
        <w:rPr>
          <w:rFonts w:ascii="Arial" w:hAnsi="Arial" w:cs="Arial"/>
          <w:b/>
          <w:sz w:val="24"/>
          <w:szCs w:val="24"/>
          <w:u w:val="single"/>
        </w:rPr>
        <w:t xml:space="preserve">Energy Conservation Surcharge </w:t>
      </w:r>
    </w:p>
    <w:p w:rsidR="004B5DDA" w:rsidRPr="00C20F64" w:rsidRDefault="002225EB" w:rsidP="004B5DDA">
      <w:pPr>
        <w:jc w:val="center"/>
        <w:outlineLvl w:val="0"/>
        <w:rPr>
          <w:rFonts w:ascii="Arial" w:hAnsi="Arial" w:cs="Arial"/>
          <w:sz w:val="24"/>
          <w:szCs w:val="24"/>
        </w:rPr>
      </w:pPr>
      <w:r>
        <w:rPr>
          <w:rFonts w:ascii="Arial" w:hAnsi="Arial" w:cs="Arial"/>
          <w:b/>
          <w:sz w:val="24"/>
          <w:szCs w:val="24"/>
          <w:u w:val="single"/>
        </w:rPr>
        <w:t>Reconciliation Statement</w:t>
      </w:r>
      <w:r w:rsidR="004B5DDA" w:rsidRPr="00C20F64">
        <w:rPr>
          <w:rFonts w:ascii="Arial" w:hAnsi="Arial" w:cs="Arial"/>
          <w:b/>
          <w:sz w:val="24"/>
          <w:szCs w:val="24"/>
          <w:u w:val="single"/>
        </w:rPr>
        <w:t xml:space="preserve"> </w:t>
      </w:r>
    </w:p>
    <w:p w:rsidR="004B5DDA" w:rsidRPr="00C20F64" w:rsidRDefault="004B5DDA" w:rsidP="004B5DDA">
      <w:pPr>
        <w:jc w:val="center"/>
        <w:outlineLvl w:val="0"/>
        <w:rPr>
          <w:rFonts w:ascii="Arial" w:hAnsi="Arial" w:cs="Arial"/>
          <w:sz w:val="24"/>
          <w:szCs w:val="24"/>
        </w:rPr>
      </w:pPr>
      <w:r w:rsidRPr="00C20F64">
        <w:rPr>
          <w:rFonts w:ascii="Arial" w:hAnsi="Arial" w:cs="Arial"/>
          <w:b/>
          <w:sz w:val="24"/>
          <w:szCs w:val="24"/>
          <w:u w:val="single"/>
        </w:rPr>
        <w:t>For The Twelve</w:t>
      </w:r>
      <w:r w:rsidR="00207628" w:rsidRPr="00C20F64">
        <w:rPr>
          <w:rFonts w:ascii="Arial" w:hAnsi="Arial" w:cs="Arial"/>
          <w:b/>
          <w:sz w:val="24"/>
          <w:szCs w:val="24"/>
          <w:u w:val="single"/>
        </w:rPr>
        <w:t xml:space="preserve"> </w:t>
      </w:r>
      <w:r w:rsidRPr="00C20F64">
        <w:rPr>
          <w:rFonts w:ascii="Arial" w:hAnsi="Arial" w:cs="Arial"/>
          <w:b/>
          <w:sz w:val="24"/>
          <w:szCs w:val="24"/>
          <w:u w:val="single"/>
        </w:rPr>
        <w:t>Months Ended August 31, 20</w:t>
      </w:r>
      <w:r w:rsidR="00666457">
        <w:rPr>
          <w:rFonts w:ascii="Arial" w:hAnsi="Arial" w:cs="Arial"/>
          <w:b/>
          <w:sz w:val="24"/>
          <w:szCs w:val="24"/>
          <w:u w:val="single"/>
        </w:rPr>
        <w:t>10</w:t>
      </w:r>
      <w:r w:rsidR="00C45CF7">
        <w:rPr>
          <w:rFonts w:ascii="Arial" w:hAnsi="Arial" w:cs="Arial"/>
          <w:b/>
          <w:sz w:val="24"/>
          <w:szCs w:val="24"/>
          <w:u w:val="single"/>
        </w:rPr>
        <w:t>*</w:t>
      </w:r>
    </w:p>
    <w:p w:rsidR="004B5DDA" w:rsidRPr="00C20F64" w:rsidRDefault="004B5DDA" w:rsidP="004B5DDA">
      <w:pPr>
        <w:tabs>
          <w:tab w:val="left" w:pos="-288"/>
        </w:tabs>
        <w:ind w:right="-36"/>
        <w:jc w:val="both"/>
        <w:rPr>
          <w:rFonts w:ascii="Arial" w:hAnsi="Arial" w:cs="Arial"/>
          <w:sz w:val="24"/>
          <w:szCs w:val="24"/>
        </w:rPr>
      </w:pPr>
    </w:p>
    <w:p w:rsidR="004B5DDA" w:rsidRPr="00C20F64" w:rsidRDefault="004B5DDA" w:rsidP="004B5DDA">
      <w:pPr>
        <w:tabs>
          <w:tab w:val="left" w:pos="-288"/>
        </w:tabs>
        <w:ind w:right="-36"/>
        <w:jc w:val="both"/>
        <w:rPr>
          <w:rFonts w:ascii="Arial" w:hAnsi="Arial" w:cs="Arial"/>
          <w:sz w:val="24"/>
          <w:szCs w:val="24"/>
        </w:rPr>
      </w:pPr>
    </w:p>
    <w:p w:rsidR="004B5DDA" w:rsidRPr="00C20F64" w:rsidRDefault="004B5DDA" w:rsidP="004B5DDA">
      <w:pPr>
        <w:tabs>
          <w:tab w:val="left" w:pos="-288"/>
        </w:tabs>
        <w:ind w:right="-36"/>
        <w:jc w:val="both"/>
        <w:rPr>
          <w:rFonts w:ascii="Arial" w:hAnsi="Arial" w:cs="Arial"/>
          <w:sz w:val="24"/>
          <w:szCs w:val="24"/>
        </w:rPr>
      </w:pPr>
    </w:p>
    <w:p w:rsidR="004B5DDA" w:rsidRPr="00C20F64" w:rsidRDefault="004B5DDA" w:rsidP="004B5DDA">
      <w:pPr>
        <w:tabs>
          <w:tab w:val="left" w:pos="-288"/>
        </w:tabs>
        <w:ind w:right="-36"/>
        <w:jc w:val="both"/>
        <w:rPr>
          <w:rFonts w:ascii="Arial" w:hAnsi="Arial" w:cs="Arial"/>
          <w:sz w:val="24"/>
          <w:szCs w:val="24"/>
        </w:rPr>
      </w:pPr>
    </w:p>
    <w:tbl>
      <w:tblPr>
        <w:tblW w:w="0" w:type="auto"/>
        <w:jc w:val="center"/>
        <w:tblInd w:w="-1245" w:type="dxa"/>
        <w:tblLook w:val="01E0" w:firstRow="1" w:lastRow="1" w:firstColumn="1" w:lastColumn="1" w:noHBand="0" w:noVBand="0"/>
      </w:tblPr>
      <w:tblGrid>
        <w:gridCol w:w="5813"/>
        <w:gridCol w:w="2215"/>
      </w:tblGrid>
      <w:tr w:rsidR="004B5DDA" w:rsidRPr="00C20F64" w:rsidTr="00C93B6F">
        <w:trPr>
          <w:jc w:val="center"/>
        </w:trPr>
        <w:tc>
          <w:tcPr>
            <w:tcW w:w="5813" w:type="dxa"/>
          </w:tcPr>
          <w:p w:rsidR="004B5DDA" w:rsidRPr="00C20F64" w:rsidRDefault="004B5DDA" w:rsidP="00C93B6F">
            <w:pPr>
              <w:tabs>
                <w:tab w:val="left" w:pos="1821"/>
              </w:tabs>
              <w:rPr>
                <w:rFonts w:ascii="Arial" w:hAnsi="Arial" w:cs="Arial"/>
                <w:b/>
                <w:sz w:val="24"/>
                <w:szCs w:val="24"/>
                <w:u w:val="single"/>
              </w:rPr>
            </w:pPr>
            <w:r w:rsidRPr="00C20F64">
              <w:rPr>
                <w:rFonts w:ascii="Arial" w:hAnsi="Arial" w:cs="Arial"/>
                <w:sz w:val="24"/>
                <w:szCs w:val="24"/>
              </w:rPr>
              <w:tab/>
            </w:r>
            <w:r w:rsidRPr="00C20F64">
              <w:rPr>
                <w:rFonts w:ascii="Arial" w:hAnsi="Arial" w:cs="Arial"/>
                <w:b/>
                <w:sz w:val="24"/>
                <w:szCs w:val="24"/>
                <w:u w:val="single"/>
              </w:rPr>
              <w:t>Description</w:t>
            </w:r>
          </w:p>
        </w:tc>
        <w:tc>
          <w:tcPr>
            <w:tcW w:w="2215" w:type="dxa"/>
          </w:tcPr>
          <w:p w:rsidR="004B5DDA" w:rsidRPr="00C20F64" w:rsidRDefault="004B5DDA" w:rsidP="00C93B6F">
            <w:pPr>
              <w:jc w:val="center"/>
              <w:rPr>
                <w:rFonts w:ascii="Arial" w:hAnsi="Arial" w:cs="Arial"/>
                <w:b/>
                <w:sz w:val="24"/>
                <w:szCs w:val="24"/>
                <w:u w:val="single"/>
              </w:rPr>
            </w:pPr>
            <w:r w:rsidRPr="00C20F64">
              <w:rPr>
                <w:rFonts w:ascii="Arial" w:hAnsi="Arial" w:cs="Arial"/>
                <w:b/>
                <w:sz w:val="24"/>
                <w:szCs w:val="24"/>
                <w:u w:val="single"/>
              </w:rPr>
              <w:t>Amount</w:t>
            </w:r>
          </w:p>
        </w:tc>
      </w:tr>
      <w:tr w:rsidR="004B5DDA" w:rsidRPr="00C20F64" w:rsidTr="00C93B6F">
        <w:trPr>
          <w:jc w:val="center"/>
        </w:trPr>
        <w:tc>
          <w:tcPr>
            <w:tcW w:w="5813" w:type="dxa"/>
          </w:tcPr>
          <w:p w:rsidR="004B5DDA" w:rsidRPr="00C20F64" w:rsidRDefault="004B5DDA" w:rsidP="00C93B6F">
            <w:pPr>
              <w:jc w:val="both"/>
              <w:rPr>
                <w:rFonts w:ascii="Arial" w:hAnsi="Arial" w:cs="Arial"/>
                <w:sz w:val="24"/>
                <w:szCs w:val="24"/>
              </w:rPr>
            </w:pPr>
          </w:p>
        </w:tc>
        <w:tc>
          <w:tcPr>
            <w:tcW w:w="2215" w:type="dxa"/>
          </w:tcPr>
          <w:p w:rsidR="004B5DDA" w:rsidRPr="00C20F64" w:rsidRDefault="004B5DDA" w:rsidP="00C93B6F">
            <w:pPr>
              <w:rPr>
                <w:rFonts w:ascii="Arial" w:hAnsi="Arial" w:cs="Arial"/>
                <w:sz w:val="24"/>
                <w:szCs w:val="24"/>
                <w:u w:val="single"/>
              </w:rPr>
            </w:pPr>
          </w:p>
        </w:tc>
      </w:tr>
      <w:tr w:rsidR="004B5DDA" w:rsidRPr="00C20F64" w:rsidTr="0091445F">
        <w:trPr>
          <w:jc w:val="center"/>
        </w:trPr>
        <w:tc>
          <w:tcPr>
            <w:tcW w:w="5813" w:type="dxa"/>
          </w:tcPr>
          <w:p w:rsidR="004B5DDA" w:rsidRPr="00C20F64" w:rsidRDefault="00CD2818" w:rsidP="00CF7D70">
            <w:pPr>
              <w:rPr>
                <w:rFonts w:ascii="Arial" w:hAnsi="Arial" w:cs="Arial"/>
                <w:sz w:val="24"/>
                <w:szCs w:val="24"/>
              </w:rPr>
            </w:pPr>
            <w:r>
              <w:rPr>
                <w:rFonts w:ascii="Arial" w:hAnsi="Arial" w:cs="Arial"/>
                <w:sz w:val="24"/>
                <w:szCs w:val="24"/>
              </w:rPr>
              <w:t>Under Collection Balance As Of</w:t>
            </w:r>
            <w:r w:rsidR="004B5DDA" w:rsidRPr="00C20F64">
              <w:rPr>
                <w:rFonts w:ascii="Arial" w:hAnsi="Arial" w:cs="Arial"/>
                <w:sz w:val="24"/>
                <w:szCs w:val="24"/>
              </w:rPr>
              <w:t xml:space="preserve"> August 31, 200</w:t>
            </w:r>
            <w:r w:rsidR="00145125">
              <w:rPr>
                <w:rFonts w:ascii="Arial" w:hAnsi="Arial" w:cs="Arial"/>
                <w:sz w:val="24"/>
                <w:szCs w:val="24"/>
              </w:rPr>
              <w:t>9</w:t>
            </w:r>
          </w:p>
        </w:tc>
        <w:tc>
          <w:tcPr>
            <w:tcW w:w="2215" w:type="dxa"/>
          </w:tcPr>
          <w:p w:rsidR="004B5DDA" w:rsidRPr="00C20F64" w:rsidRDefault="004B5DDA" w:rsidP="0091445F">
            <w:pPr>
              <w:tabs>
                <w:tab w:val="decimal" w:pos="1603"/>
              </w:tabs>
              <w:ind w:right="36"/>
              <w:jc w:val="right"/>
              <w:rPr>
                <w:rFonts w:ascii="Arial" w:hAnsi="Arial" w:cs="Arial"/>
                <w:sz w:val="24"/>
                <w:szCs w:val="24"/>
              </w:rPr>
            </w:pPr>
            <w:r w:rsidRPr="00C20F64">
              <w:rPr>
                <w:rFonts w:ascii="Arial" w:hAnsi="Arial" w:cs="Arial"/>
                <w:sz w:val="24"/>
                <w:szCs w:val="24"/>
              </w:rPr>
              <w:t>$ 1</w:t>
            </w:r>
            <w:r w:rsidR="00145125">
              <w:rPr>
                <w:rFonts w:ascii="Arial" w:hAnsi="Arial" w:cs="Arial"/>
                <w:sz w:val="24"/>
                <w:szCs w:val="24"/>
              </w:rPr>
              <w:t>6</w:t>
            </w:r>
            <w:r w:rsidR="00C86343" w:rsidRPr="00C20F64">
              <w:rPr>
                <w:rFonts w:ascii="Arial" w:hAnsi="Arial" w:cs="Arial"/>
                <w:sz w:val="24"/>
                <w:szCs w:val="24"/>
              </w:rPr>
              <w:t>,</w:t>
            </w:r>
            <w:r w:rsidR="00145125">
              <w:rPr>
                <w:rFonts w:ascii="Arial" w:hAnsi="Arial" w:cs="Arial"/>
                <w:sz w:val="24"/>
                <w:szCs w:val="24"/>
              </w:rPr>
              <w:t>969</w:t>
            </w:r>
            <w:r w:rsidR="00C86343" w:rsidRPr="00C20F64">
              <w:rPr>
                <w:rFonts w:ascii="Arial" w:hAnsi="Arial" w:cs="Arial"/>
                <w:sz w:val="24"/>
                <w:szCs w:val="24"/>
              </w:rPr>
              <w:t>,</w:t>
            </w:r>
            <w:r w:rsidR="00145125">
              <w:rPr>
                <w:rFonts w:ascii="Arial" w:hAnsi="Arial" w:cs="Arial"/>
                <w:sz w:val="24"/>
                <w:szCs w:val="24"/>
              </w:rPr>
              <w:t>970</w:t>
            </w:r>
          </w:p>
        </w:tc>
      </w:tr>
      <w:tr w:rsidR="004B5DDA" w:rsidRPr="00C20F64" w:rsidTr="00C93B6F">
        <w:trPr>
          <w:jc w:val="center"/>
        </w:trPr>
        <w:tc>
          <w:tcPr>
            <w:tcW w:w="5813" w:type="dxa"/>
          </w:tcPr>
          <w:p w:rsidR="004B5DDA" w:rsidRPr="00C20F64" w:rsidRDefault="004B5DDA" w:rsidP="00C93B6F">
            <w:pPr>
              <w:rPr>
                <w:rFonts w:ascii="Arial" w:hAnsi="Arial" w:cs="Arial"/>
                <w:sz w:val="24"/>
                <w:szCs w:val="24"/>
              </w:rPr>
            </w:pPr>
          </w:p>
        </w:tc>
        <w:tc>
          <w:tcPr>
            <w:tcW w:w="2215" w:type="dxa"/>
          </w:tcPr>
          <w:p w:rsidR="004B5DDA" w:rsidRPr="00C20F64" w:rsidRDefault="004B5DDA" w:rsidP="00C93B6F">
            <w:pPr>
              <w:tabs>
                <w:tab w:val="decimal" w:pos="1603"/>
              </w:tabs>
              <w:ind w:right="36"/>
              <w:rPr>
                <w:rFonts w:ascii="Arial" w:hAnsi="Arial" w:cs="Arial"/>
                <w:sz w:val="24"/>
                <w:szCs w:val="24"/>
                <w:u w:val="single"/>
              </w:rPr>
            </w:pPr>
          </w:p>
        </w:tc>
      </w:tr>
      <w:tr w:rsidR="004B5DDA" w:rsidRPr="00C20F64" w:rsidTr="0091445F">
        <w:trPr>
          <w:jc w:val="center"/>
        </w:trPr>
        <w:tc>
          <w:tcPr>
            <w:tcW w:w="5813" w:type="dxa"/>
          </w:tcPr>
          <w:p w:rsidR="004B5DDA" w:rsidRPr="00C20F64" w:rsidRDefault="004B5DDA" w:rsidP="00C93B6F">
            <w:pPr>
              <w:rPr>
                <w:rFonts w:ascii="Arial" w:hAnsi="Arial" w:cs="Arial"/>
                <w:sz w:val="24"/>
                <w:szCs w:val="24"/>
              </w:rPr>
            </w:pPr>
            <w:r w:rsidRPr="00C20F64">
              <w:rPr>
                <w:rFonts w:ascii="Arial" w:hAnsi="Arial" w:cs="Arial"/>
                <w:sz w:val="24"/>
                <w:szCs w:val="24"/>
              </w:rPr>
              <w:t>Universal Service</w:t>
            </w:r>
            <w:r w:rsidR="00BE2AD3">
              <w:rPr>
                <w:rFonts w:ascii="Arial" w:hAnsi="Arial" w:cs="Arial"/>
                <w:sz w:val="24"/>
                <w:szCs w:val="24"/>
              </w:rPr>
              <w:t xml:space="preserve"> </w:t>
            </w:r>
            <w:r w:rsidR="00894F26">
              <w:rPr>
                <w:rFonts w:ascii="Arial" w:hAnsi="Arial" w:cs="Arial"/>
                <w:sz w:val="24"/>
                <w:szCs w:val="24"/>
              </w:rPr>
              <w:t>A</w:t>
            </w:r>
            <w:r w:rsidR="00BE2AD3">
              <w:rPr>
                <w:rFonts w:ascii="Arial" w:hAnsi="Arial" w:cs="Arial"/>
                <w:sz w:val="24"/>
                <w:szCs w:val="24"/>
              </w:rPr>
              <w:t xml:space="preserve">nd </w:t>
            </w:r>
            <w:r w:rsidRPr="00C20F64">
              <w:rPr>
                <w:rFonts w:ascii="Arial" w:hAnsi="Arial" w:cs="Arial"/>
                <w:sz w:val="24"/>
                <w:szCs w:val="24"/>
              </w:rPr>
              <w:t>Energy Conservation Costs</w:t>
            </w:r>
          </w:p>
          <w:p w:rsidR="004B5DDA" w:rsidRPr="00C20F64" w:rsidRDefault="005018AD" w:rsidP="00C86343">
            <w:pPr>
              <w:rPr>
                <w:rFonts w:ascii="Arial" w:hAnsi="Arial" w:cs="Arial"/>
                <w:sz w:val="24"/>
                <w:szCs w:val="24"/>
              </w:rPr>
            </w:pPr>
            <w:r>
              <w:rPr>
                <w:rFonts w:ascii="Arial" w:hAnsi="Arial" w:cs="Arial"/>
                <w:sz w:val="24"/>
                <w:szCs w:val="24"/>
              </w:rPr>
              <w:t>(Note 1)</w:t>
            </w:r>
          </w:p>
        </w:tc>
        <w:tc>
          <w:tcPr>
            <w:tcW w:w="2215" w:type="dxa"/>
          </w:tcPr>
          <w:p w:rsidR="004B5DDA" w:rsidRPr="00C20F64" w:rsidRDefault="004B5DDA" w:rsidP="0091445F">
            <w:pPr>
              <w:tabs>
                <w:tab w:val="decimal" w:pos="1603"/>
              </w:tabs>
              <w:ind w:right="36"/>
              <w:jc w:val="right"/>
              <w:rPr>
                <w:rFonts w:ascii="Arial" w:hAnsi="Arial" w:cs="Arial"/>
                <w:sz w:val="24"/>
                <w:szCs w:val="24"/>
                <w:u w:val="single"/>
              </w:rPr>
            </w:pPr>
          </w:p>
          <w:p w:rsidR="004B5DDA" w:rsidRPr="00C20F64" w:rsidRDefault="000922B7" w:rsidP="0091445F">
            <w:pPr>
              <w:tabs>
                <w:tab w:val="decimal" w:pos="1603"/>
              </w:tabs>
              <w:ind w:right="36"/>
              <w:jc w:val="right"/>
              <w:rPr>
                <w:rFonts w:ascii="Arial" w:hAnsi="Arial" w:cs="Arial"/>
                <w:sz w:val="24"/>
                <w:szCs w:val="24"/>
                <w:u w:val="single"/>
              </w:rPr>
            </w:pPr>
            <w:r>
              <w:rPr>
                <w:rFonts w:ascii="Arial" w:hAnsi="Arial" w:cs="Arial"/>
                <w:sz w:val="24"/>
                <w:szCs w:val="24"/>
                <w:u w:val="single"/>
              </w:rPr>
              <w:t>100,496,698</w:t>
            </w:r>
          </w:p>
        </w:tc>
      </w:tr>
      <w:tr w:rsidR="004B5DDA" w:rsidRPr="00C20F64" w:rsidTr="00C93B6F">
        <w:trPr>
          <w:jc w:val="center"/>
        </w:trPr>
        <w:tc>
          <w:tcPr>
            <w:tcW w:w="5813" w:type="dxa"/>
          </w:tcPr>
          <w:p w:rsidR="004B5DDA" w:rsidRPr="00C20F64" w:rsidRDefault="004B5DDA" w:rsidP="00C93B6F">
            <w:pPr>
              <w:rPr>
                <w:rFonts w:ascii="Arial" w:hAnsi="Arial" w:cs="Arial"/>
                <w:sz w:val="24"/>
                <w:szCs w:val="24"/>
              </w:rPr>
            </w:pPr>
          </w:p>
        </w:tc>
        <w:tc>
          <w:tcPr>
            <w:tcW w:w="2215" w:type="dxa"/>
          </w:tcPr>
          <w:p w:rsidR="004B5DDA" w:rsidRPr="00C20F64" w:rsidRDefault="004B5DDA" w:rsidP="00C93B6F">
            <w:pPr>
              <w:tabs>
                <w:tab w:val="decimal" w:pos="1603"/>
              </w:tabs>
              <w:ind w:right="36"/>
              <w:rPr>
                <w:rFonts w:ascii="Arial" w:hAnsi="Arial" w:cs="Arial"/>
                <w:sz w:val="24"/>
                <w:szCs w:val="24"/>
                <w:u w:val="single"/>
              </w:rPr>
            </w:pPr>
          </w:p>
        </w:tc>
      </w:tr>
      <w:tr w:rsidR="004B5DDA" w:rsidRPr="00C20F64" w:rsidTr="0091445F">
        <w:trPr>
          <w:jc w:val="center"/>
        </w:trPr>
        <w:tc>
          <w:tcPr>
            <w:tcW w:w="5813" w:type="dxa"/>
          </w:tcPr>
          <w:p w:rsidR="004B5DDA" w:rsidRPr="00C20F64" w:rsidRDefault="004B5DDA" w:rsidP="00C93B6F">
            <w:pPr>
              <w:rPr>
                <w:rFonts w:ascii="Arial" w:hAnsi="Arial" w:cs="Arial"/>
                <w:sz w:val="24"/>
                <w:szCs w:val="24"/>
              </w:rPr>
            </w:pPr>
            <w:r w:rsidRPr="00C20F64">
              <w:rPr>
                <w:rFonts w:ascii="Arial" w:hAnsi="Arial" w:cs="Arial"/>
                <w:sz w:val="24"/>
                <w:szCs w:val="24"/>
              </w:rPr>
              <w:t>Total Recoverable Universal Service</w:t>
            </w:r>
            <w:r w:rsidR="00BE2AD3">
              <w:rPr>
                <w:rFonts w:ascii="Arial" w:hAnsi="Arial" w:cs="Arial"/>
                <w:sz w:val="24"/>
                <w:szCs w:val="24"/>
              </w:rPr>
              <w:t xml:space="preserve"> </w:t>
            </w:r>
            <w:r w:rsidR="00894F26">
              <w:rPr>
                <w:rFonts w:ascii="Arial" w:hAnsi="Arial" w:cs="Arial"/>
                <w:sz w:val="24"/>
                <w:szCs w:val="24"/>
              </w:rPr>
              <w:t>A</w:t>
            </w:r>
            <w:r w:rsidR="00BE2AD3">
              <w:rPr>
                <w:rFonts w:ascii="Arial" w:hAnsi="Arial" w:cs="Arial"/>
                <w:sz w:val="24"/>
                <w:szCs w:val="24"/>
              </w:rPr>
              <w:t xml:space="preserve">nd </w:t>
            </w:r>
            <w:r w:rsidRPr="00C20F64">
              <w:rPr>
                <w:rFonts w:ascii="Arial" w:hAnsi="Arial" w:cs="Arial"/>
                <w:sz w:val="24"/>
                <w:szCs w:val="24"/>
              </w:rPr>
              <w:t xml:space="preserve">Energy </w:t>
            </w:r>
          </w:p>
          <w:p w:rsidR="004B5DDA" w:rsidRPr="00C20F64" w:rsidRDefault="004B5DDA" w:rsidP="00CC5FE6">
            <w:pPr>
              <w:rPr>
                <w:rFonts w:ascii="Arial" w:hAnsi="Arial" w:cs="Arial"/>
                <w:sz w:val="24"/>
                <w:szCs w:val="24"/>
              </w:rPr>
            </w:pPr>
            <w:r w:rsidRPr="00C20F64">
              <w:rPr>
                <w:rFonts w:ascii="Arial" w:hAnsi="Arial" w:cs="Arial"/>
                <w:sz w:val="24"/>
                <w:szCs w:val="24"/>
              </w:rPr>
              <w:t>Conservation Costs For The Twelve</w:t>
            </w:r>
            <w:r w:rsidR="00207628" w:rsidRPr="00C20F64">
              <w:rPr>
                <w:rFonts w:ascii="Arial" w:hAnsi="Arial" w:cs="Arial"/>
                <w:sz w:val="24"/>
                <w:szCs w:val="24"/>
              </w:rPr>
              <w:t xml:space="preserve"> </w:t>
            </w:r>
            <w:r w:rsidRPr="00C20F64">
              <w:rPr>
                <w:rFonts w:ascii="Arial" w:hAnsi="Arial" w:cs="Arial"/>
                <w:sz w:val="24"/>
                <w:szCs w:val="24"/>
              </w:rPr>
              <w:t>Months Ended August 31, 20</w:t>
            </w:r>
            <w:r w:rsidR="00CC5FE6">
              <w:rPr>
                <w:rFonts w:ascii="Arial" w:hAnsi="Arial" w:cs="Arial"/>
                <w:sz w:val="24"/>
                <w:szCs w:val="24"/>
              </w:rPr>
              <w:t>10</w:t>
            </w:r>
          </w:p>
        </w:tc>
        <w:tc>
          <w:tcPr>
            <w:tcW w:w="2215" w:type="dxa"/>
          </w:tcPr>
          <w:p w:rsidR="004B5DDA" w:rsidRPr="00C20F64" w:rsidRDefault="004B5DDA" w:rsidP="0091445F">
            <w:pPr>
              <w:tabs>
                <w:tab w:val="decimal" w:pos="1603"/>
              </w:tabs>
              <w:ind w:right="36"/>
              <w:jc w:val="right"/>
              <w:rPr>
                <w:rFonts w:ascii="Arial" w:hAnsi="Arial" w:cs="Arial"/>
                <w:sz w:val="24"/>
                <w:szCs w:val="24"/>
              </w:rPr>
            </w:pPr>
          </w:p>
          <w:p w:rsidR="00CF7D70" w:rsidRDefault="00CF7D70" w:rsidP="0091445F">
            <w:pPr>
              <w:tabs>
                <w:tab w:val="decimal" w:pos="1603"/>
              </w:tabs>
              <w:ind w:right="36"/>
              <w:jc w:val="right"/>
              <w:rPr>
                <w:rFonts w:ascii="Arial" w:hAnsi="Arial" w:cs="Arial"/>
                <w:sz w:val="24"/>
                <w:szCs w:val="24"/>
              </w:rPr>
            </w:pPr>
          </w:p>
          <w:p w:rsidR="004B5DDA" w:rsidRPr="00C20F64" w:rsidRDefault="00E51DFA" w:rsidP="0091445F">
            <w:pPr>
              <w:tabs>
                <w:tab w:val="decimal" w:pos="1603"/>
              </w:tabs>
              <w:ind w:right="36"/>
              <w:jc w:val="right"/>
              <w:rPr>
                <w:rFonts w:ascii="Arial" w:hAnsi="Arial" w:cs="Arial"/>
                <w:sz w:val="24"/>
                <w:szCs w:val="24"/>
              </w:rPr>
            </w:pPr>
            <w:r>
              <w:rPr>
                <w:rFonts w:ascii="Arial" w:hAnsi="Arial" w:cs="Arial"/>
                <w:sz w:val="24"/>
                <w:szCs w:val="24"/>
              </w:rPr>
              <w:t>$117,466,668</w:t>
            </w:r>
          </w:p>
        </w:tc>
      </w:tr>
      <w:tr w:rsidR="00CF7D70" w:rsidRPr="00C20F64" w:rsidTr="00C93B6F">
        <w:trPr>
          <w:jc w:val="center"/>
        </w:trPr>
        <w:tc>
          <w:tcPr>
            <w:tcW w:w="5813" w:type="dxa"/>
          </w:tcPr>
          <w:p w:rsidR="00CF7D70" w:rsidRPr="00C20F64" w:rsidRDefault="00CF7D70" w:rsidP="00C93B6F">
            <w:pPr>
              <w:rPr>
                <w:rFonts w:ascii="Arial" w:hAnsi="Arial" w:cs="Arial"/>
                <w:sz w:val="24"/>
                <w:szCs w:val="24"/>
              </w:rPr>
            </w:pPr>
          </w:p>
        </w:tc>
        <w:tc>
          <w:tcPr>
            <w:tcW w:w="2215" w:type="dxa"/>
          </w:tcPr>
          <w:p w:rsidR="00CF7D70" w:rsidRPr="00C20F64" w:rsidRDefault="00CF7D70" w:rsidP="00C93B6F">
            <w:pPr>
              <w:tabs>
                <w:tab w:val="decimal" w:pos="1603"/>
              </w:tabs>
              <w:ind w:right="36"/>
              <w:rPr>
                <w:rFonts w:ascii="Arial" w:hAnsi="Arial" w:cs="Arial"/>
                <w:sz w:val="24"/>
                <w:szCs w:val="24"/>
              </w:rPr>
            </w:pPr>
          </w:p>
        </w:tc>
      </w:tr>
      <w:tr w:rsidR="004B5DDA" w:rsidRPr="00C20F64" w:rsidTr="0091445F">
        <w:trPr>
          <w:jc w:val="center"/>
        </w:trPr>
        <w:tc>
          <w:tcPr>
            <w:tcW w:w="5813" w:type="dxa"/>
          </w:tcPr>
          <w:p w:rsidR="004B5DDA" w:rsidRPr="00C20F64" w:rsidRDefault="004B5DDA" w:rsidP="00C93B6F">
            <w:pPr>
              <w:tabs>
                <w:tab w:val="left" w:pos="726"/>
              </w:tabs>
              <w:rPr>
                <w:rFonts w:ascii="Arial" w:hAnsi="Arial" w:cs="Arial"/>
                <w:sz w:val="24"/>
                <w:szCs w:val="24"/>
              </w:rPr>
            </w:pPr>
            <w:r w:rsidRPr="00C20F64">
              <w:rPr>
                <w:rFonts w:ascii="Arial" w:hAnsi="Arial" w:cs="Arial"/>
                <w:sz w:val="24"/>
                <w:szCs w:val="24"/>
              </w:rPr>
              <w:t>Less:  Universal Service</w:t>
            </w:r>
            <w:r w:rsidR="00BE2AD3">
              <w:rPr>
                <w:rFonts w:ascii="Arial" w:hAnsi="Arial" w:cs="Arial"/>
                <w:sz w:val="24"/>
                <w:szCs w:val="24"/>
              </w:rPr>
              <w:t xml:space="preserve"> </w:t>
            </w:r>
            <w:r w:rsidR="00894F26">
              <w:rPr>
                <w:rFonts w:ascii="Arial" w:hAnsi="Arial" w:cs="Arial"/>
                <w:sz w:val="24"/>
                <w:szCs w:val="24"/>
              </w:rPr>
              <w:t>A</w:t>
            </w:r>
            <w:r w:rsidR="00BE2AD3">
              <w:rPr>
                <w:rFonts w:ascii="Arial" w:hAnsi="Arial" w:cs="Arial"/>
                <w:sz w:val="24"/>
                <w:szCs w:val="24"/>
              </w:rPr>
              <w:t xml:space="preserve">nd </w:t>
            </w:r>
            <w:r w:rsidRPr="00C20F64">
              <w:rPr>
                <w:rFonts w:ascii="Arial" w:hAnsi="Arial" w:cs="Arial"/>
                <w:sz w:val="24"/>
                <w:szCs w:val="24"/>
              </w:rPr>
              <w:t>Energy Conservation</w:t>
            </w:r>
          </w:p>
          <w:p w:rsidR="004B5DDA" w:rsidRPr="00C20F64" w:rsidRDefault="004B5DDA" w:rsidP="00CF7D70">
            <w:pPr>
              <w:tabs>
                <w:tab w:val="left" w:pos="726"/>
              </w:tabs>
              <w:rPr>
                <w:rFonts w:ascii="Arial" w:hAnsi="Arial" w:cs="Arial"/>
                <w:sz w:val="24"/>
                <w:szCs w:val="24"/>
              </w:rPr>
            </w:pPr>
            <w:r w:rsidRPr="00C20F64">
              <w:rPr>
                <w:rFonts w:ascii="Arial" w:hAnsi="Arial" w:cs="Arial"/>
                <w:sz w:val="24"/>
                <w:szCs w:val="24"/>
              </w:rPr>
              <w:t xml:space="preserve">           Cost Recoveries </w:t>
            </w:r>
            <w:r w:rsidR="005018AD">
              <w:rPr>
                <w:rFonts w:ascii="Arial" w:hAnsi="Arial" w:cs="Arial"/>
                <w:sz w:val="24"/>
                <w:szCs w:val="24"/>
              </w:rPr>
              <w:t>(Not</w:t>
            </w:r>
            <w:r w:rsidR="00416813">
              <w:rPr>
                <w:rFonts w:ascii="Arial" w:hAnsi="Arial" w:cs="Arial"/>
                <w:sz w:val="24"/>
                <w:szCs w:val="24"/>
              </w:rPr>
              <w:t>e 2)</w:t>
            </w:r>
          </w:p>
        </w:tc>
        <w:tc>
          <w:tcPr>
            <w:tcW w:w="2215" w:type="dxa"/>
          </w:tcPr>
          <w:p w:rsidR="004B5DDA" w:rsidRPr="00C20F64" w:rsidRDefault="004B5DDA" w:rsidP="0091445F">
            <w:pPr>
              <w:tabs>
                <w:tab w:val="left" w:pos="1459"/>
                <w:tab w:val="decimal" w:pos="1603"/>
              </w:tabs>
              <w:ind w:right="36"/>
              <w:jc w:val="right"/>
              <w:rPr>
                <w:rFonts w:ascii="Arial" w:hAnsi="Arial" w:cs="Arial"/>
                <w:sz w:val="24"/>
                <w:szCs w:val="24"/>
                <w:u w:val="single"/>
              </w:rPr>
            </w:pPr>
          </w:p>
          <w:p w:rsidR="004B5DDA" w:rsidRPr="00C20F64" w:rsidRDefault="00E51DFA" w:rsidP="0091445F">
            <w:pPr>
              <w:tabs>
                <w:tab w:val="decimal" w:pos="1603"/>
              </w:tabs>
              <w:ind w:right="36"/>
              <w:jc w:val="right"/>
              <w:rPr>
                <w:rFonts w:ascii="Arial" w:hAnsi="Arial" w:cs="Arial"/>
                <w:sz w:val="24"/>
                <w:szCs w:val="24"/>
                <w:u w:val="single"/>
              </w:rPr>
            </w:pPr>
            <w:r>
              <w:rPr>
                <w:rFonts w:ascii="Arial" w:hAnsi="Arial" w:cs="Arial"/>
                <w:sz w:val="24"/>
                <w:szCs w:val="24"/>
                <w:u w:val="single"/>
              </w:rPr>
              <w:t>(</w:t>
            </w:r>
            <w:r w:rsidR="00AA78F1" w:rsidRPr="00AA78F1">
              <w:rPr>
                <w:rFonts w:ascii="Arial" w:hAnsi="Arial" w:cs="Arial"/>
                <w:sz w:val="24"/>
                <w:szCs w:val="24"/>
                <w:u w:val="single"/>
              </w:rPr>
              <w:t>97,527,354</w:t>
            </w:r>
            <w:r>
              <w:rPr>
                <w:rFonts w:ascii="Arial" w:hAnsi="Arial" w:cs="Arial"/>
                <w:sz w:val="24"/>
                <w:szCs w:val="24"/>
                <w:u w:val="single"/>
              </w:rPr>
              <w:t>)</w:t>
            </w:r>
          </w:p>
        </w:tc>
      </w:tr>
      <w:tr w:rsidR="00CF7D70" w:rsidRPr="00C20F64" w:rsidTr="00C93B6F">
        <w:trPr>
          <w:jc w:val="center"/>
        </w:trPr>
        <w:tc>
          <w:tcPr>
            <w:tcW w:w="5813" w:type="dxa"/>
          </w:tcPr>
          <w:p w:rsidR="00CF7D70" w:rsidRPr="00C20F64" w:rsidRDefault="00CF7D70" w:rsidP="00C93B6F">
            <w:pPr>
              <w:tabs>
                <w:tab w:val="left" w:pos="726"/>
              </w:tabs>
              <w:rPr>
                <w:rFonts w:ascii="Arial" w:hAnsi="Arial" w:cs="Arial"/>
                <w:sz w:val="24"/>
                <w:szCs w:val="24"/>
              </w:rPr>
            </w:pPr>
          </w:p>
        </w:tc>
        <w:tc>
          <w:tcPr>
            <w:tcW w:w="2215" w:type="dxa"/>
          </w:tcPr>
          <w:p w:rsidR="00CF7D70" w:rsidRPr="00C20F64" w:rsidRDefault="00CF7D70" w:rsidP="00C93B6F">
            <w:pPr>
              <w:tabs>
                <w:tab w:val="left" w:pos="1459"/>
                <w:tab w:val="decimal" w:pos="1603"/>
              </w:tabs>
              <w:ind w:right="36"/>
              <w:rPr>
                <w:rFonts w:ascii="Arial" w:hAnsi="Arial" w:cs="Arial"/>
                <w:sz w:val="24"/>
                <w:szCs w:val="24"/>
                <w:u w:val="single"/>
              </w:rPr>
            </w:pPr>
          </w:p>
        </w:tc>
      </w:tr>
      <w:tr w:rsidR="003F5511" w:rsidRPr="00C20F64" w:rsidTr="0091445F">
        <w:trPr>
          <w:trHeight w:val="80"/>
          <w:jc w:val="center"/>
        </w:trPr>
        <w:tc>
          <w:tcPr>
            <w:tcW w:w="5813" w:type="dxa"/>
          </w:tcPr>
          <w:p w:rsidR="003F5511" w:rsidRDefault="004B22C9" w:rsidP="00AA2F82">
            <w:pPr>
              <w:rPr>
                <w:rFonts w:ascii="Arial" w:hAnsi="Arial" w:cs="Arial"/>
                <w:sz w:val="24"/>
                <w:szCs w:val="24"/>
              </w:rPr>
            </w:pPr>
            <w:r>
              <w:rPr>
                <w:rFonts w:ascii="Arial" w:hAnsi="Arial" w:cs="Arial"/>
                <w:sz w:val="24"/>
                <w:szCs w:val="24"/>
              </w:rPr>
              <w:t>Under Collection Balance As Of</w:t>
            </w:r>
            <w:r w:rsidR="003F5511" w:rsidRPr="00C20F64">
              <w:rPr>
                <w:rFonts w:ascii="Arial" w:hAnsi="Arial" w:cs="Arial"/>
                <w:sz w:val="24"/>
                <w:szCs w:val="24"/>
              </w:rPr>
              <w:t xml:space="preserve"> August 31, 20</w:t>
            </w:r>
            <w:r w:rsidR="00CC5FE6">
              <w:rPr>
                <w:rFonts w:ascii="Arial" w:hAnsi="Arial" w:cs="Arial"/>
                <w:sz w:val="24"/>
                <w:szCs w:val="24"/>
              </w:rPr>
              <w:t>10</w:t>
            </w:r>
          </w:p>
          <w:p w:rsidR="003F5511" w:rsidRPr="00C20F64" w:rsidRDefault="003F5511" w:rsidP="00C93B6F">
            <w:pPr>
              <w:rPr>
                <w:rFonts w:ascii="Arial" w:hAnsi="Arial" w:cs="Arial"/>
                <w:sz w:val="24"/>
                <w:szCs w:val="24"/>
              </w:rPr>
            </w:pPr>
            <w:r>
              <w:rPr>
                <w:rFonts w:ascii="Arial" w:hAnsi="Arial" w:cs="Arial"/>
                <w:sz w:val="24"/>
                <w:szCs w:val="24"/>
              </w:rPr>
              <w:t>(Note 3)</w:t>
            </w:r>
          </w:p>
        </w:tc>
        <w:tc>
          <w:tcPr>
            <w:tcW w:w="2215" w:type="dxa"/>
          </w:tcPr>
          <w:p w:rsidR="003F5511" w:rsidRDefault="003F5511" w:rsidP="0091445F">
            <w:pPr>
              <w:tabs>
                <w:tab w:val="decimal" w:pos="1603"/>
              </w:tabs>
              <w:ind w:right="36"/>
              <w:jc w:val="right"/>
              <w:rPr>
                <w:rFonts w:ascii="Arial" w:hAnsi="Arial" w:cs="Arial"/>
                <w:sz w:val="24"/>
                <w:szCs w:val="24"/>
              </w:rPr>
            </w:pPr>
          </w:p>
          <w:p w:rsidR="003F5511" w:rsidRPr="00C20F64" w:rsidRDefault="008820FB" w:rsidP="0091445F">
            <w:pPr>
              <w:tabs>
                <w:tab w:val="left" w:pos="1459"/>
                <w:tab w:val="decimal" w:pos="1603"/>
              </w:tabs>
              <w:ind w:right="36"/>
              <w:jc w:val="right"/>
              <w:rPr>
                <w:rFonts w:ascii="Arial" w:hAnsi="Arial" w:cs="Arial"/>
                <w:sz w:val="24"/>
                <w:szCs w:val="24"/>
                <w:u w:val="single"/>
              </w:rPr>
            </w:pPr>
            <w:r>
              <w:rPr>
                <w:rFonts w:ascii="Arial" w:hAnsi="Arial" w:cs="Arial"/>
                <w:sz w:val="24"/>
                <w:szCs w:val="24"/>
              </w:rPr>
              <w:t xml:space="preserve">   </w:t>
            </w:r>
            <w:r w:rsidR="003F5511" w:rsidRPr="00E51DFA">
              <w:rPr>
                <w:rFonts w:ascii="Arial" w:hAnsi="Arial" w:cs="Arial"/>
                <w:sz w:val="24"/>
                <w:szCs w:val="24"/>
                <w:u w:val="double"/>
              </w:rPr>
              <w:t>$</w:t>
            </w:r>
            <w:r w:rsidR="003F5511" w:rsidRPr="00C20F64">
              <w:rPr>
                <w:rFonts w:ascii="Arial" w:hAnsi="Arial" w:cs="Arial"/>
                <w:sz w:val="24"/>
                <w:szCs w:val="24"/>
                <w:u w:val="double"/>
              </w:rPr>
              <w:t xml:space="preserve"> 1</w:t>
            </w:r>
            <w:r w:rsidR="00CC5FE6">
              <w:rPr>
                <w:rFonts w:ascii="Arial" w:hAnsi="Arial" w:cs="Arial"/>
                <w:sz w:val="24"/>
                <w:szCs w:val="24"/>
                <w:u w:val="double"/>
              </w:rPr>
              <w:t>9,939,314</w:t>
            </w:r>
          </w:p>
        </w:tc>
      </w:tr>
      <w:tr w:rsidR="003F5511" w:rsidRPr="00C20F64" w:rsidTr="00C93B6F">
        <w:trPr>
          <w:jc w:val="center"/>
        </w:trPr>
        <w:tc>
          <w:tcPr>
            <w:tcW w:w="5813" w:type="dxa"/>
          </w:tcPr>
          <w:p w:rsidR="003F5511" w:rsidRPr="00C20F64" w:rsidRDefault="003F5511" w:rsidP="00752ECA">
            <w:pPr>
              <w:rPr>
                <w:rFonts w:ascii="Arial" w:hAnsi="Arial" w:cs="Arial"/>
                <w:sz w:val="24"/>
                <w:szCs w:val="24"/>
              </w:rPr>
            </w:pPr>
          </w:p>
        </w:tc>
        <w:tc>
          <w:tcPr>
            <w:tcW w:w="2215" w:type="dxa"/>
          </w:tcPr>
          <w:p w:rsidR="003F5511" w:rsidRPr="00C20F64" w:rsidRDefault="003F5511" w:rsidP="00752ECA">
            <w:pPr>
              <w:tabs>
                <w:tab w:val="decimal" w:pos="1603"/>
              </w:tabs>
              <w:ind w:right="36"/>
              <w:rPr>
                <w:rFonts w:ascii="Arial" w:hAnsi="Arial" w:cs="Arial"/>
                <w:sz w:val="24"/>
                <w:szCs w:val="24"/>
                <w:u w:val="double"/>
              </w:rPr>
            </w:pPr>
          </w:p>
        </w:tc>
      </w:tr>
    </w:tbl>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Default="003E1DBC"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r>
        <w:rPr>
          <w:rFonts w:ascii="Arial" w:hAnsi="Arial" w:cs="Arial"/>
          <w:sz w:val="24"/>
          <w:szCs w:val="24"/>
        </w:rPr>
        <w:t>*As reported to the Commission at Docket No. R-2010-2157062 on November 30, 2010.</w:t>
      </w:r>
    </w:p>
    <w:p w:rsidR="003E1DBC" w:rsidRPr="00C20F64" w:rsidRDefault="003E1DBC"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016CC" w:rsidRDefault="003E1DBC"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r>
        <w:rPr>
          <w:rFonts w:ascii="Arial" w:hAnsi="Arial" w:cs="Arial"/>
          <w:sz w:val="24"/>
          <w:szCs w:val="24"/>
        </w:rPr>
        <w:t>Any arithmetic differences are due to rounding.</w:t>
      </w:r>
    </w:p>
    <w:p w:rsidR="003E1DBC" w:rsidRDefault="003E1DBC"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4B5DDA"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r w:rsidRPr="00C20F64">
        <w:rPr>
          <w:rFonts w:ascii="Arial" w:hAnsi="Arial" w:cs="Arial"/>
          <w:sz w:val="24"/>
          <w:szCs w:val="24"/>
        </w:rPr>
        <w:t>Notes to the Financial Statements are an integral part of this report.</w:t>
      </w:r>
    </w:p>
    <w:p w:rsidR="004B5DDA" w:rsidRPr="00C20F64" w:rsidRDefault="004B5DDA" w:rsidP="00591D89">
      <w:pPr>
        <w:tabs>
          <w:tab w:val="left" w:pos="0"/>
          <w:tab w:val="left" w:pos="1800"/>
          <w:tab w:val="decimal" w:pos="6300"/>
          <w:tab w:val="decimal" w:pos="8550"/>
          <w:tab w:val="decimal" w:pos="10350"/>
          <w:tab w:val="left" w:pos="10800"/>
        </w:tabs>
        <w:ind w:right="-144"/>
        <w:jc w:val="center"/>
        <w:rPr>
          <w:rFonts w:ascii="Arial" w:hAnsi="Arial" w:cs="Arial"/>
          <w:b/>
          <w:sz w:val="24"/>
          <w:szCs w:val="24"/>
          <w:u w:val="single"/>
        </w:rPr>
      </w:pPr>
    </w:p>
    <w:p w:rsidR="00591D89" w:rsidRPr="007A1DB0" w:rsidRDefault="00591D89" w:rsidP="00591D89">
      <w:pPr>
        <w:spacing w:line="360" w:lineRule="atLeast"/>
        <w:outlineLvl w:val="0"/>
        <w:rPr>
          <w:rFonts w:ascii="Arial" w:hAnsi="Arial" w:cs="Arial"/>
          <w:sz w:val="24"/>
          <w:szCs w:val="24"/>
          <w:highlight w:val="lightGray"/>
        </w:rPr>
        <w:sectPr w:rsidR="00591D89" w:rsidRPr="007A1DB0" w:rsidSect="001607D5">
          <w:headerReference w:type="even" r:id="rId20"/>
          <w:headerReference w:type="default" r:id="rId21"/>
          <w:footerReference w:type="default" r:id="rId22"/>
          <w:headerReference w:type="first" r:id="rId23"/>
          <w:pgSz w:w="12240" w:h="15840" w:code="1"/>
          <w:pgMar w:top="1440" w:right="1440" w:bottom="1152" w:left="1440" w:header="0" w:footer="720" w:gutter="0"/>
          <w:pgNumType w:start="2"/>
          <w:cols w:space="720"/>
          <w:noEndnote/>
        </w:sectPr>
      </w:pPr>
    </w:p>
    <w:p w:rsidR="00EC58EA" w:rsidRPr="0034257A" w:rsidRDefault="00EC58EA" w:rsidP="00591D89">
      <w:pPr>
        <w:spacing w:line="360" w:lineRule="atLeast"/>
        <w:jc w:val="center"/>
        <w:outlineLvl w:val="0"/>
        <w:rPr>
          <w:rFonts w:ascii="Arial" w:hAnsi="Arial" w:cs="Arial"/>
          <w:b/>
          <w:sz w:val="26"/>
          <w:szCs w:val="26"/>
        </w:rPr>
      </w:pPr>
      <w:r w:rsidRPr="0034257A">
        <w:rPr>
          <w:rFonts w:ascii="Arial" w:hAnsi="Arial" w:cs="Arial"/>
          <w:b/>
          <w:sz w:val="26"/>
          <w:szCs w:val="26"/>
          <w:u w:val="single"/>
        </w:rPr>
        <w:lastRenderedPageBreak/>
        <w:t>PHILADELPHIA GAS WORKS</w:t>
      </w:r>
    </w:p>
    <w:p w:rsidR="00EC58EA" w:rsidRPr="007445B8" w:rsidRDefault="00EC58EA">
      <w:pPr>
        <w:rPr>
          <w:rFonts w:ascii="Arial" w:hAnsi="Arial" w:cs="Arial"/>
          <w:b/>
          <w:sz w:val="24"/>
          <w:szCs w:val="26"/>
          <w:u w:val="single"/>
        </w:rPr>
      </w:pPr>
    </w:p>
    <w:p w:rsidR="00EC58EA" w:rsidRPr="008D0BD6" w:rsidRDefault="00EC58EA">
      <w:pPr>
        <w:jc w:val="center"/>
        <w:rPr>
          <w:rFonts w:ascii="Arial" w:hAnsi="Arial" w:cs="Arial"/>
          <w:b/>
          <w:sz w:val="24"/>
          <w:szCs w:val="24"/>
          <w:u w:val="single"/>
        </w:rPr>
      </w:pPr>
      <w:r w:rsidRPr="008D0BD6">
        <w:rPr>
          <w:rFonts w:ascii="Arial" w:hAnsi="Arial" w:cs="Arial"/>
          <w:b/>
          <w:sz w:val="24"/>
          <w:szCs w:val="24"/>
          <w:u w:val="single"/>
        </w:rPr>
        <w:t xml:space="preserve">Notes </w:t>
      </w:r>
      <w:r w:rsidR="00795B0B" w:rsidRPr="008D0BD6">
        <w:rPr>
          <w:rFonts w:ascii="Arial" w:hAnsi="Arial" w:cs="Arial"/>
          <w:b/>
          <w:sz w:val="24"/>
          <w:szCs w:val="24"/>
          <w:u w:val="single"/>
        </w:rPr>
        <w:t>to</w:t>
      </w:r>
      <w:r w:rsidRPr="008D0BD6">
        <w:rPr>
          <w:rFonts w:ascii="Arial" w:hAnsi="Arial" w:cs="Arial"/>
          <w:b/>
          <w:sz w:val="24"/>
          <w:szCs w:val="24"/>
          <w:u w:val="single"/>
        </w:rPr>
        <w:t xml:space="preserve"> </w:t>
      </w:r>
      <w:r w:rsidR="00795B0B" w:rsidRPr="008D0BD6">
        <w:rPr>
          <w:rFonts w:ascii="Arial" w:hAnsi="Arial" w:cs="Arial"/>
          <w:b/>
          <w:sz w:val="24"/>
          <w:szCs w:val="24"/>
          <w:u w:val="single"/>
        </w:rPr>
        <w:t>the</w:t>
      </w:r>
      <w:r w:rsidRPr="008D0BD6">
        <w:rPr>
          <w:rFonts w:ascii="Arial" w:hAnsi="Arial" w:cs="Arial"/>
          <w:b/>
          <w:sz w:val="24"/>
          <w:szCs w:val="24"/>
          <w:u w:val="single"/>
        </w:rPr>
        <w:t xml:space="preserve"> Financial Statements</w:t>
      </w:r>
    </w:p>
    <w:p w:rsidR="00307C90" w:rsidRPr="008D0BD6" w:rsidRDefault="00307C90" w:rsidP="008B560F">
      <w:pPr>
        <w:rPr>
          <w:rFonts w:ascii="Arial" w:hAnsi="Arial" w:cs="Arial"/>
          <w:b/>
          <w:sz w:val="24"/>
          <w:szCs w:val="24"/>
          <w:u w:val="single"/>
        </w:rPr>
      </w:pPr>
    </w:p>
    <w:p w:rsidR="00307C90" w:rsidRPr="008D0BD6" w:rsidRDefault="00307C90" w:rsidP="008B560F">
      <w:pPr>
        <w:rPr>
          <w:rFonts w:ascii="Arial" w:hAnsi="Arial" w:cs="Arial"/>
          <w:sz w:val="24"/>
          <w:szCs w:val="24"/>
        </w:rPr>
      </w:pPr>
    </w:p>
    <w:p w:rsidR="00EC58EA" w:rsidRPr="008D0BD6" w:rsidRDefault="00EC58EA">
      <w:pPr>
        <w:tabs>
          <w:tab w:val="left" w:pos="-90"/>
          <w:tab w:val="left" w:pos="720"/>
          <w:tab w:val="left" w:pos="9720"/>
        </w:tabs>
        <w:spacing w:line="360" w:lineRule="atLeast"/>
        <w:rPr>
          <w:rFonts w:ascii="Arial" w:hAnsi="Arial" w:cs="Arial"/>
          <w:sz w:val="24"/>
          <w:szCs w:val="24"/>
          <w:highlight w:val="lightGray"/>
        </w:rPr>
      </w:pPr>
    </w:p>
    <w:p w:rsidR="00EC58EA" w:rsidRPr="008D0BD6" w:rsidRDefault="009C63F6">
      <w:pPr>
        <w:tabs>
          <w:tab w:val="left" w:pos="360"/>
          <w:tab w:val="left" w:pos="9720"/>
        </w:tabs>
        <w:rPr>
          <w:rFonts w:ascii="Arial" w:hAnsi="Arial" w:cs="Arial"/>
          <w:b/>
          <w:sz w:val="24"/>
          <w:szCs w:val="24"/>
          <w:u w:val="single"/>
        </w:rPr>
      </w:pPr>
      <w:r w:rsidRPr="008D0BD6">
        <w:rPr>
          <w:rFonts w:ascii="Arial" w:hAnsi="Arial" w:cs="Arial"/>
          <w:b/>
          <w:sz w:val="24"/>
          <w:szCs w:val="24"/>
          <w:u w:val="single"/>
        </w:rPr>
        <w:t>1</w:t>
      </w:r>
      <w:r w:rsidR="00EC58EA" w:rsidRPr="008D0BD6">
        <w:rPr>
          <w:rFonts w:ascii="Arial" w:hAnsi="Arial" w:cs="Arial"/>
          <w:b/>
          <w:sz w:val="24"/>
          <w:szCs w:val="24"/>
          <w:u w:val="single"/>
        </w:rPr>
        <w:t xml:space="preserve"> – Universal Service</w:t>
      </w:r>
      <w:r w:rsidR="00BE2AD3">
        <w:rPr>
          <w:rFonts w:ascii="Arial" w:hAnsi="Arial" w:cs="Arial"/>
          <w:b/>
          <w:sz w:val="24"/>
          <w:szCs w:val="24"/>
          <w:u w:val="single"/>
        </w:rPr>
        <w:t xml:space="preserve"> </w:t>
      </w:r>
      <w:r w:rsidR="00894F26">
        <w:rPr>
          <w:rFonts w:ascii="Arial" w:hAnsi="Arial" w:cs="Arial"/>
          <w:b/>
          <w:sz w:val="24"/>
          <w:szCs w:val="24"/>
          <w:u w:val="single"/>
        </w:rPr>
        <w:t>A</w:t>
      </w:r>
      <w:r w:rsidR="00BE2AD3">
        <w:rPr>
          <w:rFonts w:ascii="Arial" w:hAnsi="Arial" w:cs="Arial"/>
          <w:b/>
          <w:sz w:val="24"/>
          <w:szCs w:val="24"/>
          <w:u w:val="single"/>
        </w:rPr>
        <w:t xml:space="preserve">nd </w:t>
      </w:r>
      <w:r w:rsidR="00EC58EA" w:rsidRPr="008D0BD6">
        <w:rPr>
          <w:rFonts w:ascii="Arial" w:hAnsi="Arial" w:cs="Arial"/>
          <w:b/>
          <w:sz w:val="24"/>
          <w:szCs w:val="24"/>
          <w:u w:val="single"/>
        </w:rPr>
        <w:t xml:space="preserve">Energy Conservation </w:t>
      </w:r>
      <w:r w:rsidR="0037003C">
        <w:rPr>
          <w:rFonts w:ascii="Arial" w:hAnsi="Arial" w:cs="Arial"/>
          <w:b/>
          <w:sz w:val="24"/>
          <w:szCs w:val="24"/>
          <w:u w:val="single"/>
        </w:rPr>
        <w:t>Costs</w:t>
      </w:r>
    </w:p>
    <w:p w:rsidR="007A1DB0" w:rsidRPr="008D0BD6" w:rsidRDefault="007A1DB0">
      <w:pPr>
        <w:autoSpaceDE w:val="0"/>
        <w:autoSpaceDN w:val="0"/>
        <w:adjustRightInd w:val="0"/>
        <w:ind w:left="450"/>
        <w:rPr>
          <w:rFonts w:ascii="Arial" w:hAnsi="Arial" w:cs="Arial"/>
          <w:sz w:val="24"/>
          <w:szCs w:val="24"/>
        </w:rPr>
      </w:pPr>
    </w:p>
    <w:p w:rsidR="00EC58EA" w:rsidRPr="008D0BD6" w:rsidRDefault="0037003C">
      <w:pPr>
        <w:autoSpaceDE w:val="0"/>
        <w:autoSpaceDN w:val="0"/>
        <w:adjustRightInd w:val="0"/>
        <w:ind w:left="450"/>
        <w:rPr>
          <w:rFonts w:ascii="Arial" w:hAnsi="Arial" w:cs="Arial"/>
          <w:sz w:val="24"/>
          <w:szCs w:val="24"/>
        </w:rPr>
      </w:pPr>
      <w:r>
        <w:rPr>
          <w:rFonts w:ascii="Arial" w:hAnsi="Arial" w:cs="Arial"/>
          <w:sz w:val="24"/>
          <w:szCs w:val="24"/>
        </w:rPr>
        <w:t xml:space="preserve">Universal Service </w:t>
      </w:r>
      <w:r w:rsidR="00894F26">
        <w:rPr>
          <w:rFonts w:ascii="Arial" w:hAnsi="Arial" w:cs="Arial"/>
          <w:sz w:val="24"/>
          <w:szCs w:val="24"/>
        </w:rPr>
        <w:t>a</w:t>
      </w:r>
      <w:r>
        <w:rPr>
          <w:rFonts w:ascii="Arial" w:hAnsi="Arial" w:cs="Arial"/>
          <w:sz w:val="24"/>
          <w:szCs w:val="24"/>
        </w:rPr>
        <w:t xml:space="preserve">nd Energy Conservation Costs are the actual costs incurred </w:t>
      </w:r>
      <w:r w:rsidR="001C742F">
        <w:rPr>
          <w:rFonts w:ascii="Arial" w:hAnsi="Arial" w:cs="Arial"/>
          <w:sz w:val="24"/>
          <w:szCs w:val="24"/>
        </w:rPr>
        <w:t xml:space="preserve">by the Company </w:t>
      </w:r>
      <w:r>
        <w:rPr>
          <w:rFonts w:ascii="Arial" w:hAnsi="Arial" w:cs="Arial"/>
          <w:sz w:val="24"/>
          <w:szCs w:val="24"/>
        </w:rPr>
        <w:t xml:space="preserve">during the </w:t>
      </w:r>
      <w:r w:rsidR="00FC78A6">
        <w:rPr>
          <w:rFonts w:ascii="Arial" w:hAnsi="Arial" w:cs="Arial"/>
          <w:sz w:val="24"/>
          <w:szCs w:val="24"/>
        </w:rPr>
        <w:t>twelve</w:t>
      </w:r>
      <w:r>
        <w:rPr>
          <w:rFonts w:ascii="Arial" w:hAnsi="Arial" w:cs="Arial"/>
          <w:sz w:val="24"/>
          <w:szCs w:val="24"/>
        </w:rPr>
        <w:t xml:space="preserve"> </w:t>
      </w:r>
      <w:r w:rsidR="0085463D">
        <w:rPr>
          <w:rFonts w:ascii="Arial" w:hAnsi="Arial" w:cs="Arial"/>
          <w:sz w:val="24"/>
          <w:szCs w:val="24"/>
        </w:rPr>
        <w:t xml:space="preserve">month </w:t>
      </w:r>
      <w:r>
        <w:rPr>
          <w:rFonts w:ascii="Arial" w:hAnsi="Arial" w:cs="Arial"/>
          <w:sz w:val="24"/>
          <w:szCs w:val="24"/>
        </w:rPr>
        <w:t xml:space="preserve">period </w:t>
      </w:r>
      <w:r w:rsidR="001C742F">
        <w:rPr>
          <w:rFonts w:ascii="Arial" w:hAnsi="Arial" w:cs="Arial"/>
          <w:sz w:val="24"/>
          <w:szCs w:val="24"/>
        </w:rPr>
        <w:t>through the</w:t>
      </w:r>
      <w:r>
        <w:rPr>
          <w:rFonts w:ascii="Arial" w:hAnsi="Arial" w:cs="Arial"/>
          <w:sz w:val="24"/>
          <w:szCs w:val="24"/>
        </w:rPr>
        <w:t xml:space="preserve"> operati</w:t>
      </w:r>
      <w:r w:rsidR="001C742F">
        <w:rPr>
          <w:rFonts w:ascii="Arial" w:hAnsi="Arial" w:cs="Arial"/>
          <w:sz w:val="24"/>
          <w:szCs w:val="24"/>
        </w:rPr>
        <w:t>o</w:t>
      </w:r>
      <w:r>
        <w:rPr>
          <w:rFonts w:ascii="Arial" w:hAnsi="Arial" w:cs="Arial"/>
          <w:sz w:val="24"/>
          <w:szCs w:val="24"/>
        </w:rPr>
        <w:t>n</w:t>
      </w:r>
      <w:r w:rsidR="001C742F">
        <w:rPr>
          <w:rFonts w:ascii="Arial" w:hAnsi="Arial" w:cs="Arial"/>
          <w:sz w:val="24"/>
          <w:szCs w:val="24"/>
        </w:rPr>
        <w:t xml:space="preserve"> of</w:t>
      </w:r>
      <w:r>
        <w:rPr>
          <w:rFonts w:ascii="Arial" w:hAnsi="Arial" w:cs="Arial"/>
          <w:sz w:val="24"/>
          <w:szCs w:val="24"/>
        </w:rPr>
        <w:t xml:space="preserve"> the </w:t>
      </w:r>
      <w:r w:rsidR="00E530A4">
        <w:rPr>
          <w:rFonts w:ascii="Arial" w:hAnsi="Arial" w:cs="Arial"/>
          <w:sz w:val="24"/>
          <w:szCs w:val="24"/>
        </w:rPr>
        <w:t>U</w:t>
      </w:r>
      <w:r>
        <w:rPr>
          <w:rFonts w:ascii="Arial" w:hAnsi="Arial" w:cs="Arial"/>
          <w:sz w:val="24"/>
          <w:szCs w:val="24"/>
        </w:rPr>
        <w:t xml:space="preserve">niversal </w:t>
      </w:r>
      <w:r w:rsidR="00E530A4">
        <w:rPr>
          <w:rFonts w:ascii="Arial" w:hAnsi="Arial" w:cs="Arial"/>
          <w:sz w:val="24"/>
          <w:szCs w:val="24"/>
        </w:rPr>
        <w:t>S</w:t>
      </w:r>
      <w:r>
        <w:rPr>
          <w:rFonts w:ascii="Arial" w:hAnsi="Arial" w:cs="Arial"/>
          <w:sz w:val="24"/>
          <w:szCs w:val="24"/>
        </w:rPr>
        <w:t xml:space="preserve">ervice </w:t>
      </w:r>
      <w:r w:rsidR="00894F26">
        <w:rPr>
          <w:rFonts w:ascii="Arial" w:hAnsi="Arial" w:cs="Arial"/>
          <w:sz w:val="24"/>
          <w:szCs w:val="24"/>
        </w:rPr>
        <w:t>a</w:t>
      </w:r>
      <w:r>
        <w:rPr>
          <w:rFonts w:ascii="Arial" w:hAnsi="Arial" w:cs="Arial"/>
          <w:sz w:val="24"/>
          <w:szCs w:val="24"/>
        </w:rPr>
        <w:t xml:space="preserve">nd </w:t>
      </w:r>
      <w:r w:rsidR="00E530A4">
        <w:rPr>
          <w:rFonts w:ascii="Arial" w:hAnsi="Arial" w:cs="Arial"/>
          <w:sz w:val="24"/>
          <w:szCs w:val="24"/>
        </w:rPr>
        <w:t>E</w:t>
      </w:r>
      <w:r>
        <w:rPr>
          <w:rFonts w:ascii="Arial" w:hAnsi="Arial" w:cs="Arial"/>
          <w:sz w:val="24"/>
          <w:szCs w:val="24"/>
        </w:rPr>
        <w:t xml:space="preserve">nergy </w:t>
      </w:r>
      <w:r w:rsidR="00E530A4">
        <w:rPr>
          <w:rFonts w:ascii="Arial" w:hAnsi="Arial" w:cs="Arial"/>
          <w:sz w:val="24"/>
          <w:szCs w:val="24"/>
        </w:rPr>
        <w:t>C</w:t>
      </w:r>
      <w:r>
        <w:rPr>
          <w:rFonts w:ascii="Arial" w:hAnsi="Arial" w:cs="Arial"/>
          <w:sz w:val="24"/>
          <w:szCs w:val="24"/>
        </w:rPr>
        <w:t>onservation programs</w:t>
      </w:r>
      <w:r w:rsidR="00FA5C59">
        <w:rPr>
          <w:rFonts w:ascii="Arial" w:hAnsi="Arial" w:cs="Arial"/>
          <w:sz w:val="24"/>
          <w:szCs w:val="24"/>
        </w:rPr>
        <w:t xml:space="preserve"> that are recoverable through the</w:t>
      </w:r>
      <w:r w:rsidR="00FA5C59" w:rsidRPr="00FA5C59">
        <w:rPr>
          <w:rFonts w:ascii="Arial" w:hAnsi="Arial" w:cs="Arial"/>
          <w:sz w:val="24"/>
          <w:szCs w:val="24"/>
        </w:rPr>
        <w:t xml:space="preserve"> </w:t>
      </w:r>
      <w:r w:rsidR="00FA5C59">
        <w:rPr>
          <w:rFonts w:ascii="Arial" w:hAnsi="Arial" w:cs="Arial"/>
          <w:sz w:val="24"/>
          <w:szCs w:val="24"/>
        </w:rPr>
        <w:t xml:space="preserve">Universal Service </w:t>
      </w:r>
      <w:r w:rsidR="00894F26">
        <w:rPr>
          <w:rFonts w:ascii="Arial" w:hAnsi="Arial" w:cs="Arial"/>
          <w:sz w:val="24"/>
          <w:szCs w:val="24"/>
        </w:rPr>
        <w:t>a</w:t>
      </w:r>
      <w:r w:rsidR="00FA5C59">
        <w:rPr>
          <w:rFonts w:ascii="Arial" w:hAnsi="Arial" w:cs="Arial"/>
          <w:sz w:val="24"/>
          <w:szCs w:val="24"/>
        </w:rPr>
        <w:t>nd Energy Conservation Surcharge</w:t>
      </w:r>
      <w:r>
        <w:rPr>
          <w:rFonts w:ascii="Arial" w:hAnsi="Arial" w:cs="Arial"/>
          <w:sz w:val="24"/>
          <w:szCs w:val="24"/>
        </w:rPr>
        <w:t xml:space="preserve">.  </w:t>
      </w:r>
      <w:r w:rsidR="009B4583">
        <w:rPr>
          <w:rFonts w:ascii="Arial" w:hAnsi="Arial" w:cs="Arial"/>
          <w:sz w:val="24"/>
          <w:szCs w:val="24"/>
        </w:rPr>
        <w:t xml:space="preserve">The Universal Service </w:t>
      </w:r>
      <w:r w:rsidR="00894F26">
        <w:rPr>
          <w:rFonts w:ascii="Arial" w:hAnsi="Arial" w:cs="Arial"/>
          <w:sz w:val="24"/>
          <w:szCs w:val="24"/>
        </w:rPr>
        <w:t>a</w:t>
      </w:r>
      <w:r w:rsidR="009B4583">
        <w:rPr>
          <w:rFonts w:ascii="Arial" w:hAnsi="Arial" w:cs="Arial"/>
          <w:sz w:val="24"/>
          <w:szCs w:val="24"/>
        </w:rPr>
        <w:t xml:space="preserve">nd Energy Conservation Surcharge was created as part of Philadelphia Gas Work’s restructuring proceeding at Docket No. M-00021612.  </w:t>
      </w:r>
      <w:r w:rsidR="00EC58EA" w:rsidRPr="008D0BD6">
        <w:rPr>
          <w:rFonts w:ascii="Arial" w:hAnsi="Arial" w:cs="Arial"/>
          <w:sz w:val="24"/>
          <w:szCs w:val="24"/>
        </w:rPr>
        <w:t xml:space="preserve">The specific costs </w:t>
      </w:r>
      <w:r w:rsidR="001C742F">
        <w:rPr>
          <w:rFonts w:ascii="Arial" w:hAnsi="Arial" w:cs="Arial"/>
          <w:sz w:val="24"/>
          <w:szCs w:val="24"/>
        </w:rPr>
        <w:t xml:space="preserve">authorized to be </w:t>
      </w:r>
      <w:r w:rsidR="00EC58EA" w:rsidRPr="008D0BD6">
        <w:rPr>
          <w:rFonts w:ascii="Arial" w:hAnsi="Arial" w:cs="Arial"/>
          <w:sz w:val="24"/>
          <w:szCs w:val="24"/>
        </w:rPr>
        <w:t>recovered through this surcharge are as follows:</w:t>
      </w:r>
    </w:p>
    <w:p w:rsidR="00EC58EA" w:rsidRPr="008D0BD6" w:rsidRDefault="00EC58EA">
      <w:pPr>
        <w:autoSpaceDE w:val="0"/>
        <w:autoSpaceDN w:val="0"/>
        <w:adjustRightInd w:val="0"/>
        <w:ind w:left="450"/>
        <w:rPr>
          <w:rFonts w:ascii="Arial" w:hAnsi="Arial" w:cs="Arial"/>
          <w:sz w:val="24"/>
          <w:szCs w:val="24"/>
        </w:rPr>
      </w:pPr>
    </w:p>
    <w:p w:rsidR="00EC58EA" w:rsidRPr="008D0BD6" w:rsidRDefault="00EC58EA">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Discounts provided to customers pursuant to the Customer Responsibility Program (CRP).</w:t>
      </w:r>
    </w:p>
    <w:p w:rsidR="00E862C2" w:rsidRPr="008D0BD6" w:rsidRDefault="00EC58EA">
      <w:pPr>
        <w:numPr>
          <w:ilvl w:val="0"/>
          <w:numId w:val="2"/>
        </w:numPr>
        <w:tabs>
          <w:tab w:val="clear" w:pos="1530"/>
          <w:tab w:val="num" w:pos="1080"/>
        </w:tabs>
        <w:autoSpaceDE w:val="0"/>
        <w:autoSpaceDN w:val="0"/>
        <w:adjustRightInd w:val="0"/>
        <w:ind w:hanging="810"/>
        <w:rPr>
          <w:rFonts w:ascii="Arial" w:hAnsi="Arial" w:cs="Arial"/>
          <w:sz w:val="24"/>
          <w:szCs w:val="24"/>
        </w:rPr>
      </w:pPr>
      <w:r w:rsidRPr="008D0BD6">
        <w:rPr>
          <w:rFonts w:ascii="Arial" w:hAnsi="Arial" w:cs="Arial"/>
          <w:sz w:val="24"/>
          <w:szCs w:val="24"/>
        </w:rPr>
        <w:t xml:space="preserve">Discounts provided to </w:t>
      </w:r>
      <w:r w:rsidR="0034257A">
        <w:rPr>
          <w:rFonts w:ascii="Arial" w:hAnsi="Arial" w:cs="Arial"/>
          <w:sz w:val="24"/>
          <w:szCs w:val="24"/>
        </w:rPr>
        <w:t>customers pursuant to the Senior C</w:t>
      </w:r>
      <w:r w:rsidRPr="008D0BD6">
        <w:rPr>
          <w:rFonts w:ascii="Arial" w:hAnsi="Arial" w:cs="Arial"/>
          <w:sz w:val="24"/>
          <w:szCs w:val="24"/>
        </w:rPr>
        <w:t>itizen</w:t>
      </w:r>
      <w:r w:rsidR="0034257A">
        <w:rPr>
          <w:rFonts w:ascii="Arial" w:hAnsi="Arial" w:cs="Arial"/>
          <w:sz w:val="24"/>
          <w:szCs w:val="24"/>
        </w:rPr>
        <w:t xml:space="preserve"> Discount</w:t>
      </w:r>
      <w:r w:rsidRPr="008D0BD6">
        <w:rPr>
          <w:rFonts w:ascii="Arial" w:hAnsi="Arial" w:cs="Arial"/>
          <w:sz w:val="24"/>
          <w:szCs w:val="24"/>
        </w:rPr>
        <w:t>.</w:t>
      </w:r>
    </w:p>
    <w:p w:rsidR="00E9251D" w:rsidRPr="008D0BD6" w:rsidRDefault="00E9251D" w:rsidP="0034257A">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Costs associated with the Conservation Works Program (CWP)</w:t>
      </w:r>
      <w:r w:rsidR="0034257A">
        <w:rPr>
          <w:rFonts w:ascii="Arial" w:hAnsi="Arial" w:cs="Arial"/>
          <w:sz w:val="24"/>
          <w:szCs w:val="24"/>
        </w:rPr>
        <w:t xml:space="preserve"> and the Enhanced Low Income Retrofit Program (ELIRP)</w:t>
      </w:r>
      <w:r w:rsidRPr="008D0BD6">
        <w:rPr>
          <w:rFonts w:ascii="Arial" w:hAnsi="Arial" w:cs="Arial"/>
          <w:sz w:val="24"/>
          <w:szCs w:val="24"/>
        </w:rPr>
        <w:t>.</w:t>
      </w:r>
    </w:p>
    <w:p w:rsidR="00E9251D" w:rsidRPr="008D0BD6" w:rsidRDefault="00E9251D" w:rsidP="00E9251D">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Past due arrearages forgiven for customers entering the CRP/Customer Assistance Program on or after September 1, 2003.</w:t>
      </w:r>
    </w:p>
    <w:p w:rsidR="0018674E" w:rsidRPr="008D0BD6" w:rsidRDefault="0018674E" w:rsidP="0018674E">
      <w:pPr>
        <w:tabs>
          <w:tab w:val="left" w:pos="1170"/>
          <w:tab w:val="left" w:pos="1800"/>
          <w:tab w:val="left" w:pos="2520"/>
        </w:tabs>
        <w:autoSpaceDE w:val="0"/>
        <w:autoSpaceDN w:val="0"/>
        <w:adjustRightInd w:val="0"/>
        <w:ind w:left="1170" w:hanging="1170"/>
        <w:rPr>
          <w:rFonts w:ascii="Arial" w:hAnsi="Arial" w:cs="Arial"/>
          <w:sz w:val="24"/>
          <w:szCs w:val="24"/>
        </w:rPr>
      </w:pPr>
    </w:p>
    <w:p w:rsidR="00E01763" w:rsidRPr="008D0BD6" w:rsidRDefault="00E01763">
      <w:pPr>
        <w:autoSpaceDE w:val="0"/>
        <w:autoSpaceDN w:val="0"/>
        <w:adjustRightInd w:val="0"/>
        <w:ind w:left="450"/>
        <w:rPr>
          <w:rFonts w:ascii="Arial" w:hAnsi="Arial" w:cs="Arial"/>
          <w:sz w:val="24"/>
          <w:szCs w:val="24"/>
        </w:rPr>
      </w:pPr>
    </w:p>
    <w:p w:rsidR="003F5511" w:rsidRPr="00E14488" w:rsidRDefault="003F5511" w:rsidP="003F5511">
      <w:pPr>
        <w:tabs>
          <w:tab w:val="left" w:pos="360"/>
          <w:tab w:val="left" w:pos="9720"/>
        </w:tabs>
        <w:rPr>
          <w:rFonts w:ascii="Arial" w:hAnsi="Arial" w:cs="Arial"/>
          <w:sz w:val="24"/>
          <w:szCs w:val="24"/>
        </w:rPr>
      </w:pPr>
      <w:r>
        <w:rPr>
          <w:rFonts w:ascii="Arial" w:hAnsi="Arial" w:cs="Arial"/>
          <w:b/>
          <w:sz w:val="24"/>
          <w:szCs w:val="24"/>
          <w:u w:val="single"/>
        </w:rPr>
        <w:t>2</w:t>
      </w:r>
      <w:r w:rsidRPr="008D0BD6">
        <w:rPr>
          <w:rFonts w:ascii="Arial" w:hAnsi="Arial" w:cs="Arial"/>
          <w:b/>
          <w:sz w:val="24"/>
          <w:szCs w:val="24"/>
          <w:u w:val="single"/>
        </w:rPr>
        <w:t xml:space="preserve"> – Universal Service</w:t>
      </w:r>
      <w:r w:rsidR="00334B48">
        <w:rPr>
          <w:rFonts w:ascii="Arial" w:hAnsi="Arial" w:cs="Arial"/>
          <w:b/>
          <w:sz w:val="24"/>
          <w:szCs w:val="24"/>
          <w:u w:val="single"/>
        </w:rPr>
        <w:t xml:space="preserve"> </w:t>
      </w:r>
      <w:r w:rsidR="00894F26">
        <w:rPr>
          <w:rFonts w:ascii="Arial" w:hAnsi="Arial" w:cs="Arial"/>
          <w:b/>
          <w:sz w:val="24"/>
          <w:szCs w:val="24"/>
          <w:u w:val="single"/>
        </w:rPr>
        <w:t>A</w:t>
      </w:r>
      <w:r w:rsidR="00334B48">
        <w:rPr>
          <w:rFonts w:ascii="Arial" w:hAnsi="Arial" w:cs="Arial"/>
          <w:b/>
          <w:sz w:val="24"/>
          <w:szCs w:val="24"/>
          <w:u w:val="single"/>
        </w:rPr>
        <w:t>nd</w:t>
      </w:r>
      <w:r w:rsidRPr="008D0BD6">
        <w:rPr>
          <w:rFonts w:ascii="Arial" w:hAnsi="Arial" w:cs="Arial"/>
          <w:b/>
          <w:sz w:val="24"/>
          <w:szCs w:val="24"/>
          <w:u w:val="single"/>
        </w:rPr>
        <w:t xml:space="preserve"> Energy Conservation </w:t>
      </w:r>
      <w:r>
        <w:rPr>
          <w:rFonts w:ascii="Arial" w:hAnsi="Arial" w:cs="Arial"/>
          <w:b/>
          <w:sz w:val="24"/>
          <w:szCs w:val="24"/>
          <w:u w:val="single"/>
        </w:rPr>
        <w:t>Cost Recoveries</w:t>
      </w:r>
    </w:p>
    <w:p w:rsidR="00EC58EA" w:rsidRPr="008D0BD6" w:rsidRDefault="00EC58EA">
      <w:pPr>
        <w:autoSpaceDE w:val="0"/>
        <w:autoSpaceDN w:val="0"/>
        <w:adjustRightInd w:val="0"/>
        <w:rPr>
          <w:rFonts w:ascii="Arial" w:hAnsi="Arial" w:cs="Arial"/>
          <w:sz w:val="24"/>
          <w:szCs w:val="24"/>
        </w:rPr>
      </w:pPr>
    </w:p>
    <w:p w:rsidR="00FC78A6" w:rsidRPr="008D0BD6" w:rsidRDefault="003F5511" w:rsidP="00FC78A6">
      <w:pPr>
        <w:autoSpaceDE w:val="0"/>
        <w:autoSpaceDN w:val="0"/>
        <w:adjustRightInd w:val="0"/>
        <w:ind w:left="450"/>
        <w:rPr>
          <w:rFonts w:ascii="Arial" w:hAnsi="Arial" w:cs="Arial"/>
          <w:sz w:val="24"/>
          <w:szCs w:val="24"/>
        </w:rPr>
      </w:pPr>
      <w:r>
        <w:rPr>
          <w:rFonts w:ascii="Arial" w:hAnsi="Arial" w:cs="Arial"/>
          <w:sz w:val="24"/>
          <w:szCs w:val="24"/>
        </w:rPr>
        <w:t>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Pr>
          <w:rFonts w:ascii="Arial" w:hAnsi="Arial" w:cs="Arial"/>
          <w:sz w:val="24"/>
          <w:szCs w:val="24"/>
        </w:rPr>
        <w:t>Energy Conservation Cost Recoveries ar</w:t>
      </w:r>
      <w:r w:rsidR="00FC78A6">
        <w:rPr>
          <w:rFonts w:ascii="Arial" w:hAnsi="Arial" w:cs="Arial"/>
          <w:sz w:val="24"/>
          <w:szCs w:val="24"/>
        </w:rPr>
        <w:t xml:space="preserve">e derived by multiplying the surcharge rate times the applicable </w:t>
      </w:r>
      <w:r w:rsidR="00FF125F">
        <w:rPr>
          <w:rFonts w:ascii="Arial" w:hAnsi="Arial" w:cs="Arial"/>
          <w:sz w:val="24"/>
          <w:szCs w:val="24"/>
        </w:rPr>
        <w:t>M</w:t>
      </w:r>
      <w:r w:rsidR="00FC78A6">
        <w:rPr>
          <w:rFonts w:ascii="Arial" w:hAnsi="Arial" w:cs="Arial"/>
          <w:sz w:val="24"/>
          <w:szCs w:val="24"/>
        </w:rPr>
        <w:t>CF</w:t>
      </w:r>
      <w:r w:rsidR="00334B48">
        <w:rPr>
          <w:rFonts w:ascii="Arial" w:hAnsi="Arial" w:cs="Arial"/>
          <w:sz w:val="24"/>
          <w:szCs w:val="24"/>
        </w:rPr>
        <w:t>s</w:t>
      </w:r>
      <w:r w:rsidR="00FC78A6">
        <w:rPr>
          <w:rFonts w:ascii="Arial" w:hAnsi="Arial" w:cs="Arial"/>
          <w:sz w:val="24"/>
          <w:szCs w:val="24"/>
        </w:rPr>
        <w:t xml:space="preserve"> </w:t>
      </w:r>
      <w:r w:rsidR="00334B48">
        <w:rPr>
          <w:rFonts w:ascii="Arial" w:hAnsi="Arial" w:cs="Arial"/>
          <w:sz w:val="24"/>
          <w:szCs w:val="24"/>
        </w:rPr>
        <w:t xml:space="preserve">of sales and transportation volumes </w:t>
      </w:r>
      <w:r w:rsidR="00FC78A6">
        <w:rPr>
          <w:rFonts w:ascii="Arial" w:hAnsi="Arial" w:cs="Arial"/>
          <w:sz w:val="24"/>
          <w:szCs w:val="24"/>
        </w:rPr>
        <w:t xml:space="preserve">billed during the twelve month period.  </w:t>
      </w:r>
      <w:r w:rsidR="00FC78A6" w:rsidRPr="008D0BD6">
        <w:rPr>
          <w:rFonts w:ascii="Arial" w:hAnsi="Arial" w:cs="Arial"/>
          <w:sz w:val="24"/>
          <w:szCs w:val="24"/>
        </w:rPr>
        <w:t xml:space="preserve">The computation of the surcharge is in accordance with the automatic adjustment procedures utilized under Section 1307(f) of the Public Utility Code and is filed and approved in conjunction with the Company’s annual PGC filing.  Following approval of the annual surcharge, the rate is then adjusted quarterly in accordance with Section 1307(f) quarterly adjustment procedures.  The surcharge is calculated by dividing the total costs approved for annual recovery by the estimated applicable </w:t>
      </w:r>
      <w:r w:rsidR="00FF125F">
        <w:rPr>
          <w:rFonts w:ascii="Arial" w:hAnsi="Arial" w:cs="Arial"/>
          <w:sz w:val="24"/>
          <w:szCs w:val="24"/>
        </w:rPr>
        <w:t>M</w:t>
      </w:r>
      <w:r w:rsidR="00FC78A6" w:rsidRPr="008D0BD6">
        <w:rPr>
          <w:rFonts w:ascii="Arial" w:hAnsi="Arial" w:cs="Arial"/>
          <w:sz w:val="24"/>
          <w:szCs w:val="24"/>
        </w:rPr>
        <w:t xml:space="preserve">CFs of throughput and applied to all firm sales and transportation volumes.  </w:t>
      </w:r>
    </w:p>
    <w:p w:rsidR="00C122C6" w:rsidRPr="008D0BD6" w:rsidRDefault="00C122C6" w:rsidP="00C122C6">
      <w:pPr>
        <w:autoSpaceDE w:val="0"/>
        <w:autoSpaceDN w:val="0"/>
        <w:adjustRightInd w:val="0"/>
        <w:ind w:left="450"/>
        <w:rPr>
          <w:rFonts w:ascii="Arial" w:hAnsi="Arial" w:cs="Arial"/>
          <w:sz w:val="24"/>
          <w:szCs w:val="24"/>
        </w:rPr>
      </w:pPr>
    </w:p>
    <w:p w:rsidR="00065FC1" w:rsidRDefault="00065FC1" w:rsidP="00C122C6">
      <w:pPr>
        <w:autoSpaceDE w:val="0"/>
        <w:autoSpaceDN w:val="0"/>
        <w:adjustRightInd w:val="0"/>
        <w:ind w:left="450"/>
        <w:rPr>
          <w:rFonts w:ascii="Arial" w:hAnsi="Arial" w:cs="Arial"/>
          <w:sz w:val="24"/>
          <w:szCs w:val="24"/>
        </w:rPr>
        <w:sectPr w:rsidR="00065FC1" w:rsidSect="00D4609C">
          <w:headerReference w:type="even" r:id="rId24"/>
          <w:headerReference w:type="default" r:id="rId25"/>
          <w:headerReference w:type="first" r:id="rId26"/>
          <w:pgSz w:w="12240" w:h="15840" w:code="1"/>
          <w:pgMar w:top="1440" w:right="1440" w:bottom="1152" w:left="1440" w:header="0" w:footer="720" w:gutter="0"/>
          <w:pgNumType w:start="3"/>
          <w:cols w:space="720"/>
          <w:noEndnote/>
        </w:sectPr>
      </w:pPr>
    </w:p>
    <w:p w:rsidR="004C1D5F" w:rsidRPr="00083E3A" w:rsidRDefault="004C1D5F" w:rsidP="004C1D5F">
      <w:pPr>
        <w:tabs>
          <w:tab w:val="left" w:pos="360"/>
          <w:tab w:val="left" w:pos="9720"/>
        </w:tabs>
        <w:jc w:val="center"/>
        <w:rPr>
          <w:rFonts w:ascii="Arial" w:hAnsi="Arial" w:cs="Arial"/>
          <w:b/>
          <w:sz w:val="26"/>
          <w:szCs w:val="26"/>
          <w:u w:val="single"/>
        </w:rPr>
      </w:pPr>
      <w:r w:rsidRPr="00083E3A">
        <w:rPr>
          <w:rFonts w:ascii="Arial" w:hAnsi="Arial" w:cs="Arial"/>
          <w:b/>
          <w:sz w:val="26"/>
          <w:szCs w:val="26"/>
          <w:u w:val="single"/>
        </w:rPr>
        <w:lastRenderedPageBreak/>
        <w:t>PHILADELPHIA GAS WORKS</w:t>
      </w:r>
    </w:p>
    <w:p w:rsidR="004C1D5F" w:rsidRDefault="004C1D5F" w:rsidP="004C1D5F">
      <w:pPr>
        <w:tabs>
          <w:tab w:val="left" w:pos="360"/>
          <w:tab w:val="left" w:pos="9720"/>
        </w:tabs>
        <w:jc w:val="center"/>
        <w:rPr>
          <w:rFonts w:ascii="Arial" w:hAnsi="Arial" w:cs="Arial"/>
          <w:b/>
          <w:sz w:val="24"/>
          <w:szCs w:val="24"/>
          <w:u w:val="single"/>
        </w:rPr>
      </w:pPr>
    </w:p>
    <w:p w:rsidR="004C1D5F" w:rsidRPr="00083E3A" w:rsidRDefault="004C1D5F" w:rsidP="004C1D5F">
      <w:pPr>
        <w:tabs>
          <w:tab w:val="left" w:pos="360"/>
          <w:tab w:val="left" w:pos="9720"/>
        </w:tabs>
        <w:jc w:val="center"/>
        <w:rPr>
          <w:rFonts w:ascii="Arial" w:hAnsi="Arial" w:cs="Arial"/>
          <w:b/>
          <w:sz w:val="24"/>
          <w:szCs w:val="24"/>
          <w:u w:val="single"/>
        </w:rPr>
      </w:pPr>
      <w:r w:rsidRPr="00083E3A">
        <w:rPr>
          <w:rFonts w:ascii="Arial" w:hAnsi="Arial" w:cs="Arial"/>
          <w:b/>
          <w:sz w:val="24"/>
          <w:szCs w:val="24"/>
          <w:u w:val="single"/>
        </w:rPr>
        <w:t>Notes to the financial Statements (Continued)</w:t>
      </w:r>
    </w:p>
    <w:p w:rsidR="004C1D5F" w:rsidRDefault="004C1D5F" w:rsidP="004C1D5F">
      <w:pPr>
        <w:tabs>
          <w:tab w:val="left" w:pos="360"/>
          <w:tab w:val="left" w:pos="9720"/>
        </w:tabs>
        <w:rPr>
          <w:rFonts w:ascii="Arial" w:hAnsi="Arial" w:cs="Arial"/>
          <w:b/>
          <w:sz w:val="24"/>
          <w:szCs w:val="24"/>
          <w:u w:val="single"/>
        </w:rPr>
      </w:pPr>
    </w:p>
    <w:p w:rsidR="004C1D5F" w:rsidRDefault="004C1D5F" w:rsidP="004C1D5F">
      <w:pPr>
        <w:tabs>
          <w:tab w:val="left" w:pos="360"/>
          <w:tab w:val="left" w:pos="9720"/>
        </w:tabs>
        <w:rPr>
          <w:rFonts w:ascii="Arial" w:hAnsi="Arial" w:cs="Arial"/>
          <w:b/>
          <w:sz w:val="24"/>
          <w:szCs w:val="24"/>
          <w:u w:val="single"/>
        </w:rPr>
      </w:pPr>
    </w:p>
    <w:p w:rsidR="00DB2AFB" w:rsidRDefault="00DB2AFB" w:rsidP="004C1D5F">
      <w:pPr>
        <w:tabs>
          <w:tab w:val="left" w:pos="360"/>
          <w:tab w:val="left" w:pos="9720"/>
        </w:tabs>
        <w:rPr>
          <w:rFonts w:ascii="Arial" w:hAnsi="Arial" w:cs="Arial"/>
          <w:b/>
          <w:sz w:val="24"/>
          <w:szCs w:val="24"/>
          <w:u w:val="single"/>
        </w:rPr>
      </w:pPr>
    </w:p>
    <w:p w:rsidR="00FC78A6" w:rsidRDefault="00FC78A6" w:rsidP="00FC78A6">
      <w:pPr>
        <w:tabs>
          <w:tab w:val="left" w:pos="360"/>
          <w:tab w:val="left" w:pos="9720"/>
        </w:tabs>
        <w:rPr>
          <w:rFonts w:ascii="Arial" w:hAnsi="Arial" w:cs="Arial"/>
          <w:sz w:val="24"/>
          <w:szCs w:val="24"/>
        </w:rPr>
      </w:pPr>
      <w:r>
        <w:rPr>
          <w:rFonts w:ascii="Arial" w:hAnsi="Arial" w:cs="Arial"/>
          <w:b/>
          <w:sz w:val="24"/>
          <w:szCs w:val="24"/>
          <w:u w:val="single"/>
        </w:rPr>
        <w:t>3</w:t>
      </w:r>
      <w:r w:rsidRPr="008D0BD6">
        <w:rPr>
          <w:rFonts w:ascii="Arial" w:hAnsi="Arial" w:cs="Arial"/>
          <w:b/>
          <w:sz w:val="24"/>
          <w:szCs w:val="24"/>
          <w:u w:val="single"/>
        </w:rPr>
        <w:t xml:space="preserve"> – </w:t>
      </w:r>
      <w:r w:rsidR="005367D5">
        <w:rPr>
          <w:rFonts w:ascii="Arial" w:hAnsi="Arial" w:cs="Arial"/>
          <w:b/>
          <w:sz w:val="24"/>
          <w:szCs w:val="24"/>
          <w:u w:val="single"/>
        </w:rPr>
        <w:t xml:space="preserve">Under Collection Balance </w:t>
      </w:r>
      <w:proofErr w:type="gramStart"/>
      <w:r w:rsidR="005367D5">
        <w:rPr>
          <w:rFonts w:ascii="Arial" w:hAnsi="Arial" w:cs="Arial"/>
          <w:b/>
          <w:sz w:val="24"/>
          <w:szCs w:val="24"/>
          <w:u w:val="single"/>
        </w:rPr>
        <w:t>At</w:t>
      </w:r>
      <w:proofErr w:type="gramEnd"/>
      <w:r w:rsidR="005367D5">
        <w:rPr>
          <w:rFonts w:ascii="Arial" w:hAnsi="Arial" w:cs="Arial"/>
          <w:b/>
          <w:sz w:val="24"/>
          <w:szCs w:val="24"/>
          <w:u w:val="single"/>
        </w:rPr>
        <w:t xml:space="preserve"> August 31, 20</w:t>
      </w:r>
      <w:r w:rsidR="00145125">
        <w:rPr>
          <w:rFonts w:ascii="Arial" w:hAnsi="Arial" w:cs="Arial"/>
          <w:b/>
          <w:sz w:val="24"/>
          <w:szCs w:val="24"/>
          <w:u w:val="single"/>
        </w:rPr>
        <w:t>10</w:t>
      </w:r>
    </w:p>
    <w:p w:rsidR="005367D5" w:rsidRDefault="005367D5" w:rsidP="00FC78A6">
      <w:pPr>
        <w:tabs>
          <w:tab w:val="left" w:pos="360"/>
          <w:tab w:val="left" w:pos="9720"/>
        </w:tabs>
        <w:rPr>
          <w:rFonts w:ascii="Arial" w:hAnsi="Arial" w:cs="Arial"/>
          <w:sz w:val="24"/>
          <w:szCs w:val="24"/>
        </w:rPr>
      </w:pPr>
    </w:p>
    <w:p w:rsidR="00D94B72" w:rsidRDefault="005367D5" w:rsidP="00E14488">
      <w:pPr>
        <w:tabs>
          <w:tab w:val="left" w:pos="360"/>
          <w:tab w:val="left" w:pos="9720"/>
        </w:tabs>
        <w:ind w:left="450"/>
        <w:rPr>
          <w:rFonts w:ascii="Arial" w:hAnsi="Arial" w:cs="Arial"/>
          <w:sz w:val="24"/>
          <w:szCs w:val="24"/>
        </w:rPr>
      </w:pPr>
      <w:r>
        <w:rPr>
          <w:rFonts w:ascii="Arial" w:hAnsi="Arial" w:cs="Arial"/>
          <w:sz w:val="24"/>
          <w:szCs w:val="24"/>
        </w:rPr>
        <w:t>The under collection balance is the net amount of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Pr>
          <w:rFonts w:ascii="Arial" w:hAnsi="Arial" w:cs="Arial"/>
          <w:sz w:val="24"/>
          <w:szCs w:val="24"/>
        </w:rPr>
        <w:t xml:space="preserve">Energy Conservation </w:t>
      </w:r>
      <w:r w:rsidR="00072B41">
        <w:rPr>
          <w:rFonts w:ascii="Arial" w:hAnsi="Arial" w:cs="Arial"/>
          <w:sz w:val="24"/>
          <w:szCs w:val="24"/>
        </w:rPr>
        <w:t xml:space="preserve">program </w:t>
      </w:r>
      <w:r>
        <w:rPr>
          <w:rFonts w:ascii="Arial" w:hAnsi="Arial" w:cs="Arial"/>
          <w:sz w:val="24"/>
          <w:szCs w:val="24"/>
        </w:rPr>
        <w:t xml:space="preserve">costs </w:t>
      </w:r>
      <w:r w:rsidR="00171416">
        <w:rPr>
          <w:rFonts w:ascii="Arial" w:hAnsi="Arial" w:cs="Arial"/>
          <w:sz w:val="24"/>
          <w:szCs w:val="24"/>
        </w:rPr>
        <w:t xml:space="preserve">that remains to be recovered from rate payers </w:t>
      </w:r>
      <w:r w:rsidR="00A1143A">
        <w:rPr>
          <w:rFonts w:ascii="Arial" w:hAnsi="Arial" w:cs="Arial"/>
          <w:sz w:val="24"/>
          <w:szCs w:val="24"/>
        </w:rPr>
        <w:t xml:space="preserve">through future rates </w:t>
      </w:r>
      <w:r w:rsidR="00171416">
        <w:rPr>
          <w:rFonts w:ascii="Arial" w:hAnsi="Arial" w:cs="Arial"/>
          <w:sz w:val="24"/>
          <w:szCs w:val="24"/>
        </w:rPr>
        <w:t>after taking into consideration the uncollected balance at August 31, 200</w:t>
      </w:r>
      <w:r w:rsidR="000633C1">
        <w:rPr>
          <w:rFonts w:ascii="Arial" w:hAnsi="Arial" w:cs="Arial"/>
          <w:sz w:val="24"/>
          <w:szCs w:val="24"/>
        </w:rPr>
        <w:t>9</w:t>
      </w:r>
      <w:r w:rsidR="00171416">
        <w:rPr>
          <w:rFonts w:ascii="Arial" w:hAnsi="Arial" w:cs="Arial"/>
          <w:sz w:val="24"/>
          <w:szCs w:val="24"/>
        </w:rPr>
        <w:t>, the additional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00171416">
        <w:rPr>
          <w:rFonts w:ascii="Arial" w:hAnsi="Arial" w:cs="Arial"/>
          <w:sz w:val="24"/>
          <w:szCs w:val="24"/>
        </w:rPr>
        <w:t>Energy Conservation program costs incurred and the actual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00171416">
        <w:rPr>
          <w:rFonts w:ascii="Arial" w:hAnsi="Arial" w:cs="Arial"/>
          <w:sz w:val="24"/>
          <w:szCs w:val="24"/>
        </w:rPr>
        <w:t>Energy Conservation program costs recovered during the twelve month period</w:t>
      </w:r>
      <w:r w:rsidR="00072B41">
        <w:rPr>
          <w:rFonts w:ascii="Arial" w:hAnsi="Arial" w:cs="Arial"/>
          <w:sz w:val="24"/>
          <w:szCs w:val="24"/>
        </w:rPr>
        <w:t xml:space="preserve"> ended August 31, 20</w:t>
      </w:r>
      <w:r w:rsidR="00145125">
        <w:rPr>
          <w:rFonts w:ascii="Arial" w:hAnsi="Arial" w:cs="Arial"/>
          <w:sz w:val="24"/>
          <w:szCs w:val="24"/>
        </w:rPr>
        <w:t>10</w:t>
      </w:r>
      <w:r w:rsidR="00072B41">
        <w:rPr>
          <w:rFonts w:ascii="Arial" w:hAnsi="Arial" w:cs="Arial"/>
          <w:sz w:val="24"/>
          <w:szCs w:val="24"/>
        </w:rPr>
        <w:t>.</w:t>
      </w:r>
      <w:r w:rsidR="00A1143A">
        <w:rPr>
          <w:rFonts w:ascii="Arial" w:hAnsi="Arial" w:cs="Arial"/>
          <w:sz w:val="24"/>
          <w:szCs w:val="24"/>
        </w:rPr>
        <w:t xml:space="preserve">  </w:t>
      </w:r>
      <w:r w:rsidR="00852CC5">
        <w:rPr>
          <w:rFonts w:ascii="Arial" w:hAnsi="Arial" w:cs="Arial"/>
          <w:sz w:val="24"/>
          <w:szCs w:val="24"/>
        </w:rPr>
        <w:t>Differences</w:t>
      </w:r>
      <w:r w:rsidR="00A1143A">
        <w:rPr>
          <w:rFonts w:ascii="Arial" w:hAnsi="Arial" w:cs="Arial"/>
          <w:sz w:val="24"/>
          <w:szCs w:val="24"/>
        </w:rPr>
        <w:t xml:space="preserve"> arise for two </w:t>
      </w:r>
      <w:r w:rsidR="00747E97">
        <w:rPr>
          <w:rFonts w:ascii="Arial" w:hAnsi="Arial" w:cs="Arial"/>
          <w:sz w:val="24"/>
          <w:szCs w:val="24"/>
        </w:rPr>
        <w:t xml:space="preserve">primary </w:t>
      </w:r>
      <w:r w:rsidR="00A1143A">
        <w:rPr>
          <w:rFonts w:ascii="Arial" w:hAnsi="Arial" w:cs="Arial"/>
          <w:sz w:val="24"/>
          <w:szCs w:val="24"/>
        </w:rPr>
        <w:t>reasons:</w:t>
      </w:r>
    </w:p>
    <w:p w:rsidR="009F2ED7" w:rsidRDefault="009F2ED7" w:rsidP="00E14488">
      <w:pPr>
        <w:tabs>
          <w:tab w:val="left" w:pos="360"/>
          <w:tab w:val="left" w:pos="9720"/>
        </w:tabs>
        <w:ind w:left="450"/>
        <w:rPr>
          <w:rFonts w:ascii="Arial" w:hAnsi="Arial" w:cs="Arial"/>
          <w:sz w:val="24"/>
          <w:szCs w:val="24"/>
        </w:rPr>
      </w:pPr>
    </w:p>
    <w:p w:rsidR="009F2ED7" w:rsidRPr="00E14488" w:rsidRDefault="00D94B72" w:rsidP="00E14488">
      <w:pPr>
        <w:pStyle w:val="ListParagraph"/>
        <w:numPr>
          <w:ilvl w:val="0"/>
          <w:numId w:val="4"/>
        </w:numPr>
        <w:tabs>
          <w:tab w:val="left" w:pos="360"/>
          <w:tab w:val="left" w:pos="9720"/>
        </w:tabs>
        <w:rPr>
          <w:rFonts w:ascii="Arial" w:hAnsi="Arial" w:cs="Arial"/>
          <w:sz w:val="24"/>
          <w:szCs w:val="24"/>
        </w:rPr>
      </w:pPr>
      <w:r w:rsidRPr="00E14488">
        <w:rPr>
          <w:rFonts w:ascii="Arial" w:hAnsi="Arial" w:cs="Arial"/>
          <w:sz w:val="24"/>
          <w:szCs w:val="24"/>
        </w:rPr>
        <w:t>Variations between the actual volumes billed to customers and estimated volumes used to determine the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Pr="00E14488">
        <w:rPr>
          <w:rFonts w:ascii="Arial" w:hAnsi="Arial" w:cs="Arial"/>
          <w:sz w:val="24"/>
          <w:szCs w:val="24"/>
        </w:rPr>
        <w:t xml:space="preserve">Energy Conservation </w:t>
      </w:r>
      <w:r w:rsidR="00334B48">
        <w:rPr>
          <w:rFonts w:ascii="Arial" w:hAnsi="Arial" w:cs="Arial"/>
          <w:sz w:val="24"/>
          <w:szCs w:val="24"/>
        </w:rPr>
        <w:t>S</w:t>
      </w:r>
      <w:r w:rsidRPr="00E14488">
        <w:rPr>
          <w:rFonts w:ascii="Arial" w:hAnsi="Arial" w:cs="Arial"/>
          <w:sz w:val="24"/>
          <w:szCs w:val="24"/>
        </w:rPr>
        <w:t>urcharge rates.</w:t>
      </w:r>
    </w:p>
    <w:p w:rsidR="009F2ED7" w:rsidRDefault="009F2ED7" w:rsidP="00E14488">
      <w:pPr>
        <w:tabs>
          <w:tab w:val="left" w:pos="360"/>
          <w:tab w:val="left" w:pos="9720"/>
        </w:tabs>
        <w:ind w:left="450"/>
        <w:rPr>
          <w:rFonts w:ascii="Arial" w:hAnsi="Arial" w:cs="Arial"/>
          <w:sz w:val="24"/>
          <w:szCs w:val="24"/>
        </w:rPr>
      </w:pPr>
    </w:p>
    <w:p w:rsidR="009F2ED7" w:rsidRPr="00E14488" w:rsidRDefault="00D94B72" w:rsidP="00E14488">
      <w:pPr>
        <w:pStyle w:val="ListParagraph"/>
        <w:numPr>
          <w:ilvl w:val="0"/>
          <w:numId w:val="4"/>
        </w:numPr>
        <w:tabs>
          <w:tab w:val="left" w:pos="360"/>
          <w:tab w:val="left" w:pos="9720"/>
        </w:tabs>
        <w:rPr>
          <w:rFonts w:ascii="Arial" w:hAnsi="Arial" w:cs="Arial"/>
          <w:sz w:val="24"/>
          <w:szCs w:val="24"/>
        </w:rPr>
      </w:pPr>
      <w:r w:rsidRPr="00E14488">
        <w:rPr>
          <w:rFonts w:ascii="Arial" w:hAnsi="Arial" w:cs="Arial"/>
          <w:sz w:val="24"/>
          <w:szCs w:val="24"/>
        </w:rPr>
        <w:t>Variations between the actual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Pr="00E14488">
        <w:rPr>
          <w:rFonts w:ascii="Arial" w:hAnsi="Arial" w:cs="Arial"/>
          <w:sz w:val="24"/>
          <w:szCs w:val="24"/>
        </w:rPr>
        <w:t>Energy Conservation costs and the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Pr="00E14488">
        <w:rPr>
          <w:rFonts w:ascii="Arial" w:hAnsi="Arial" w:cs="Arial"/>
          <w:sz w:val="24"/>
          <w:szCs w:val="24"/>
        </w:rPr>
        <w:t>Energy Conservation cost projections used to determine the Universal Service</w:t>
      </w:r>
      <w:r w:rsidR="00334B48">
        <w:rPr>
          <w:rFonts w:ascii="Arial" w:hAnsi="Arial" w:cs="Arial"/>
          <w:sz w:val="24"/>
          <w:szCs w:val="24"/>
        </w:rPr>
        <w:t xml:space="preserve"> </w:t>
      </w:r>
      <w:r w:rsidR="00894F26">
        <w:rPr>
          <w:rFonts w:ascii="Arial" w:hAnsi="Arial" w:cs="Arial"/>
          <w:sz w:val="24"/>
          <w:szCs w:val="24"/>
        </w:rPr>
        <w:t>a</w:t>
      </w:r>
      <w:r w:rsidR="00334B48">
        <w:rPr>
          <w:rFonts w:ascii="Arial" w:hAnsi="Arial" w:cs="Arial"/>
          <w:sz w:val="24"/>
          <w:szCs w:val="24"/>
        </w:rPr>
        <w:t xml:space="preserve">nd </w:t>
      </w:r>
      <w:r w:rsidRPr="00E14488">
        <w:rPr>
          <w:rFonts w:ascii="Arial" w:hAnsi="Arial" w:cs="Arial"/>
          <w:sz w:val="24"/>
          <w:szCs w:val="24"/>
        </w:rPr>
        <w:t xml:space="preserve">Energy Conservation </w:t>
      </w:r>
      <w:r w:rsidR="00894F26">
        <w:rPr>
          <w:rFonts w:ascii="Arial" w:hAnsi="Arial" w:cs="Arial"/>
          <w:sz w:val="24"/>
          <w:szCs w:val="24"/>
        </w:rPr>
        <w:t>S</w:t>
      </w:r>
      <w:r w:rsidRPr="00E14488">
        <w:rPr>
          <w:rFonts w:ascii="Arial" w:hAnsi="Arial" w:cs="Arial"/>
          <w:sz w:val="24"/>
          <w:szCs w:val="24"/>
        </w:rPr>
        <w:t xml:space="preserve">urcharge rates. </w:t>
      </w:r>
    </w:p>
    <w:p w:rsidR="005367D5" w:rsidRPr="003F5511" w:rsidRDefault="005367D5" w:rsidP="00FC78A6">
      <w:pPr>
        <w:tabs>
          <w:tab w:val="left" w:pos="360"/>
          <w:tab w:val="left" w:pos="9720"/>
        </w:tabs>
        <w:rPr>
          <w:rFonts w:ascii="Arial" w:hAnsi="Arial" w:cs="Arial"/>
          <w:sz w:val="24"/>
          <w:szCs w:val="24"/>
        </w:rPr>
      </w:pPr>
    </w:p>
    <w:p w:rsidR="00C122C6" w:rsidRPr="008D0BD6" w:rsidRDefault="00C122C6" w:rsidP="00C122C6">
      <w:pPr>
        <w:autoSpaceDE w:val="0"/>
        <w:autoSpaceDN w:val="0"/>
        <w:adjustRightInd w:val="0"/>
        <w:ind w:left="450"/>
        <w:rPr>
          <w:rFonts w:ascii="Arial" w:hAnsi="Arial" w:cs="Arial"/>
          <w:sz w:val="24"/>
          <w:szCs w:val="24"/>
        </w:rPr>
      </w:pPr>
    </w:p>
    <w:p w:rsidR="00C122C6" w:rsidRPr="008D0BD6" w:rsidRDefault="00C122C6" w:rsidP="00C122C6">
      <w:pPr>
        <w:autoSpaceDE w:val="0"/>
        <w:autoSpaceDN w:val="0"/>
        <w:adjustRightInd w:val="0"/>
        <w:ind w:left="450"/>
        <w:rPr>
          <w:rFonts w:ascii="Arial" w:hAnsi="Arial" w:cs="Arial"/>
          <w:sz w:val="24"/>
          <w:szCs w:val="24"/>
        </w:rPr>
      </w:pPr>
    </w:p>
    <w:p w:rsidR="00C122C6" w:rsidRPr="008D0BD6" w:rsidRDefault="00C122C6" w:rsidP="00C122C6">
      <w:pPr>
        <w:autoSpaceDE w:val="0"/>
        <w:autoSpaceDN w:val="0"/>
        <w:adjustRightInd w:val="0"/>
        <w:ind w:left="450"/>
        <w:rPr>
          <w:rFonts w:ascii="Arial" w:hAnsi="Arial" w:cs="Arial"/>
          <w:sz w:val="24"/>
          <w:szCs w:val="24"/>
        </w:rPr>
      </w:pPr>
    </w:p>
    <w:p w:rsidR="00C122C6" w:rsidRPr="008D0BD6" w:rsidRDefault="00C122C6" w:rsidP="00C122C6">
      <w:pPr>
        <w:autoSpaceDE w:val="0"/>
        <w:autoSpaceDN w:val="0"/>
        <w:adjustRightInd w:val="0"/>
        <w:ind w:left="450"/>
        <w:rPr>
          <w:rFonts w:ascii="Arial" w:hAnsi="Arial" w:cs="Arial"/>
          <w:sz w:val="24"/>
          <w:szCs w:val="24"/>
        </w:rPr>
      </w:pPr>
    </w:p>
    <w:p w:rsidR="008E210C" w:rsidRDefault="008E210C" w:rsidP="00507913">
      <w:pPr>
        <w:rPr>
          <w:rFonts w:ascii="Arial" w:hAnsi="Arial" w:cs="Arial"/>
          <w:sz w:val="36"/>
          <w:szCs w:val="36"/>
          <w:highlight w:val="lightGray"/>
        </w:rPr>
        <w:sectPr w:rsidR="008E210C" w:rsidSect="005F34A4">
          <w:pgSz w:w="12240" w:h="15840" w:code="1"/>
          <w:pgMar w:top="1440" w:right="1440" w:bottom="1152" w:left="1440" w:header="0" w:footer="720" w:gutter="0"/>
          <w:cols w:space="720"/>
          <w:noEndnote/>
        </w:sectPr>
      </w:pPr>
    </w:p>
    <w:p w:rsidR="002560FA" w:rsidRDefault="002560FA">
      <w:pPr>
        <w:jc w:val="center"/>
        <w:outlineLvl w:val="0"/>
        <w:rPr>
          <w:rFonts w:ascii="Arial" w:hAnsi="Arial" w:cs="Arial"/>
          <w:b/>
          <w:sz w:val="36"/>
          <w:szCs w:val="36"/>
        </w:rPr>
      </w:pPr>
      <w:r>
        <w:rPr>
          <w:rFonts w:ascii="Arial" w:hAnsi="Arial" w:cs="Arial"/>
          <w:b/>
          <w:sz w:val="36"/>
          <w:szCs w:val="36"/>
        </w:rPr>
        <w:lastRenderedPageBreak/>
        <w:t>BACKGROUND</w:t>
      </w:r>
    </w:p>
    <w:p w:rsidR="002560FA" w:rsidRDefault="002560FA">
      <w:pPr>
        <w:jc w:val="center"/>
        <w:outlineLvl w:val="0"/>
        <w:rPr>
          <w:rFonts w:ascii="Arial" w:hAnsi="Arial" w:cs="Arial"/>
          <w:b/>
          <w:sz w:val="36"/>
          <w:szCs w:val="36"/>
        </w:rPr>
      </w:pPr>
      <w:r>
        <w:rPr>
          <w:rFonts w:ascii="Arial" w:hAnsi="Arial" w:cs="Arial"/>
          <w:b/>
          <w:sz w:val="36"/>
          <w:szCs w:val="36"/>
        </w:rPr>
        <w:t>AND</w:t>
      </w: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2A533A">
          <w:headerReference w:type="even" r:id="rId27"/>
          <w:headerReference w:type="default" r:id="rId28"/>
          <w:footerReference w:type="default" r:id="rId29"/>
          <w:headerReference w:type="first" r:id="rId30"/>
          <w:footerReference w:type="first" r:id="rId31"/>
          <w:pgSz w:w="12240" w:h="15840" w:code="1"/>
          <w:pgMar w:top="1440" w:right="1440" w:bottom="1152" w:left="1440" w:header="0" w:footer="720" w:gutter="0"/>
          <w:pgNumType w:start="0"/>
          <w:cols w:space="720"/>
          <w:vAlign w:val="center"/>
          <w:noEndnote/>
          <w:titlePg/>
          <w:docGrid w:linePitch="272"/>
        </w:sectPr>
      </w:pPr>
    </w:p>
    <w:p w:rsidR="00EC58EA" w:rsidRPr="006753EC" w:rsidRDefault="00EC58EA">
      <w:pPr>
        <w:pStyle w:val="Heading4"/>
        <w:rPr>
          <w:rFonts w:ascii="Arial" w:hAnsi="Arial" w:cs="Arial"/>
          <w:b/>
          <w:sz w:val="26"/>
          <w:szCs w:val="26"/>
        </w:rPr>
      </w:pPr>
      <w:r w:rsidRPr="006753EC">
        <w:rPr>
          <w:rFonts w:ascii="Arial" w:hAnsi="Arial" w:cs="Arial"/>
          <w:b/>
          <w:sz w:val="26"/>
          <w:szCs w:val="26"/>
        </w:rPr>
        <w:lastRenderedPageBreak/>
        <w:t>PHILADELPHIA GAS WORKS</w:t>
      </w:r>
    </w:p>
    <w:p w:rsidR="00EC58EA" w:rsidRPr="00051545" w:rsidRDefault="00EC58EA">
      <w:pPr>
        <w:rPr>
          <w:rFonts w:ascii="Arial" w:hAnsi="Arial" w:cs="Arial"/>
          <w:sz w:val="26"/>
          <w:szCs w:val="26"/>
        </w:rPr>
      </w:pPr>
    </w:p>
    <w:p w:rsidR="00EC58EA" w:rsidRPr="008D0BD6" w:rsidRDefault="00F40B1C">
      <w:pPr>
        <w:pStyle w:val="Heading4"/>
        <w:rPr>
          <w:rFonts w:ascii="Arial" w:hAnsi="Arial" w:cs="Arial"/>
          <w:b/>
          <w:szCs w:val="24"/>
        </w:rPr>
      </w:pPr>
      <w:r w:rsidRPr="008D0BD6">
        <w:rPr>
          <w:rFonts w:ascii="Arial" w:hAnsi="Arial" w:cs="Arial"/>
          <w:b/>
          <w:szCs w:val="24"/>
        </w:rPr>
        <w:t xml:space="preserve">Company </w:t>
      </w:r>
      <w:r w:rsidR="00EC58EA" w:rsidRPr="008D0BD6">
        <w:rPr>
          <w:rFonts w:ascii="Arial" w:hAnsi="Arial" w:cs="Arial"/>
          <w:b/>
          <w:szCs w:val="24"/>
        </w:rPr>
        <w:t>Background</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t>This background section was developed substantially from data and documentation made available by Philadelphia Gas Works (PGW or Company) and is presented solely for informational purposes.</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r>
      <w:r w:rsidR="00E17169" w:rsidRPr="00CB076E">
        <w:rPr>
          <w:rFonts w:ascii="Arial" w:hAnsi="Arial" w:cs="Arial"/>
          <w:sz w:val="24"/>
          <w:szCs w:val="24"/>
        </w:rPr>
        <w:t>PGW is owned by the City of Philadelphia and is the largest municipally owned gas utility in the country.  PGW is in the business of selling and distributing natural gas to retail customers within the Commonwealth of Pennsylvania, and is therefore a “city natural gas distribution operation” (CNGDO</w:t>
      </w:r>
      <w:r w:rsidR="002242D8">
        <w:rPr>
          <w:rFonts w:ascii="Arial" w:hAnsi="Arial" w:cs="Arial"/>
          <w:sz w:val="24"/>
          <w:szCs w:val="24"/>
        </w:rPr>
        <w:t>)</w:t>
      </w:r>
      <w:bookmarkStart w:id="0" w:name="_GoBack"/>
      <w:bookmarkEnd w:id="0"/>
      <w:r w:rsidR="002242D8">
        <w:rPr>
          <w:rFonts w:ascii="Arial" w:hAnsi="Arial" w:cs="Arial"/>
          <w:sz w:val="24"/>
          <w:szCs w:val="24"/>
        </w:rPr>
        <w:t xml:space="preserve"> </w:t>
      </w:r>
      <w:r w:rsidR="002242D8" w:rsidRPr="00CB076E">
        <w:rPr>
          <w:rFonts w:ascii="Arial" w:hAnsi="Arial" w:cs="Arial"/>
          <w:sz w:val="24"/>
          <w:szCs w:val="24"/>
        </w:rPr>
        <w:t>subject to the regulatory jurisdiction of the Commission</w:t>
      </w:r>
      <w:r w:rsidR="002242D8">
        <w:rPr>
          <w:rFonts w:ascii="Arial" w:hAnsi="Arial" w:cs="Arial"/>
          <w:sz w:val="24"/>
          <w:szCs w:val="24"/>
        </w:rPr>
        <w:t xml:space="preserve"> per </w:t>
      </w:r>
      <w:r w:rsidR="002242D8" w:rsidRPr="00CB076E">
        <w:rPr>
          <w:rFonts w:ascii="Arial" w:hAnsi="Arial" w:cs="Arial"/>
          <w:sz w:val="24"/>
          <w:szCs w:val="24"/>
        </w:rPr>
        <w:t>66 Pa. C.S. §§ 102</w:t>
      </w:r>
      <w:r w:rsidR="002242D8">
        <w:rPr>
          <w:rFonts w:ascii="Arial" w:hAnsi="Arial" w:cs="Arial"/>
          <w:sz w:val="24"/>
          <w:szCs w:val="24"/>
        </w:rPr>
        <w:t xml:space="preserve"> and </w:t>
      </w:r>
      <w:r w:rsidR="002242D8" w:rsidRPr="00CB076E">
        <w:rPr>
          <w:rFonts w:ascii="Arial" w:hAnsi="Arial" w:cs="Arial"/>
          <w:sz w:val="24"/>
          <w:szCs w:val="24"/>
        </w:rPr>
        <w:t xml:space="preserve">66 Pa. C.S. § 2212.  </w:t>
      </w:r>
      <w:r w:rsidR="00E17169" w:rsidRPr="00334404">
        <w:rPr>
          <w:rFonts w:ascii="Arial" w:hAnsi="Arial" w:cs="Arial"/>
          <w:sz w:val="24"/>
          <w:szCs w:val="24"/>
        </w:rPr>
        <w:tab/>
        <w:t xml:space="preserve">PGW maintains a distribution system of 6,000 miles of gas mains and services, and provides gas service to approximately half a million residential, commercial and industrial customers in the City.  The City has provided for the management and oversight of PGW’s operations through a non-profit corporation, the Philadelphia Facilities Management Corporation (PFMC). </w:t>
      </w:r>
      <w:r w:rsidRPr="008D0BD6">
        <w:rPr>
          <w:rFonts w:ascii="Arial" w:hAnsi="Arial" w:cs="Arial"/>
          <w:sz w:val="24"/>
          <w:szCs w:val="24"/>
        </w:rPr>
        <w:t xml:space="preserve"> </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Pennsylvania Public Utility Commission (Commission).  Under the Act, notwithstanding any other provision of the Public Utility Code to the contrary, the Commission is required to follow the same ratemaking methodology and requirements previously applicable to PGW in determining the Company’s operational revenue requirement and in approving overall rates and charges.  To meet the requirements of the Act, PGW filed a Restructuring Petition (Petition) on July 2, 2002.  This Petition, among other things, provided for unbundled tariff rates and permitted customer choice of commodity suppliers by September 1, 2003.  The Company’s restructuring plan submitted via the Petition was approved by the Commission, with modification, by Orders issued March 31, 2003 and October 2, 2003 at Docket Number M-00021612.</w:t>
      </w:r>
    </w:p>
    <w:p w:rsidR="00EC58EA" w:rsidRPr="008D0BD6" w:rsidRDefault="00EC58EA">
      <w:pPr>
        <w:tabs>
          <w:tab w:val="left" w:pos="-1440"/>
          <w:tab w:val="left" w:pos="-720"/>
          <w:tab w:val="left" w:pos="864"/>
        </w:tabs>
        <w:suppressAutoHyphens/>
        <w:rPr>
          <w:rFonts w:ascii="Arial" w:hAnsi="Arial" w:cs="Arial"/>
          <w:sz w:val="24"/>
          <w:szCs w:val="24"/>
        </w:rPr>
      </w:pPr>
    </w:p>
    <w:p w:rsidR="00E44395" w:rsidRPr="00B03583" w:rsidRDefault="00EC58EA" w:rsidP="00B03583">
      <w:pPr>
        <w:tabs>
          <w:tab w:val="left" w:pos="-1440"/>
          <w:tab w:val="left" w:pos="-720"/>
          <w:tab w:val="left" w:pos="720"/>
          <w:tab w:val="left" w:pos="864"/>
        </w:tabs>
        <w:suppressAutoHyphens/>
        <w:rPr>
          <w:rFonts w:ascii="Arial" w:hAnsi="Arial" w:cs="Arial"/>
          <w:sz w:val="24"/>
          <w:szCs w:val="24"/>
        </w:rPr>
      </w:pPr>
      <w:r w:rsidRPr="008D0BD6">
        <w:rPr>
          <w:rFonts w:ascii="Arial" w:hAnsi="Arial" w:cs="Arial"/>
          <w:sz w:val="24"/>
          <w:szCs w:val="24"/>
        </w:rPr>
        <w:tab/>
      </w:r>
      <w:r w:rsidR="0037003C" w:rsidRPr="008D0BD6">
        <w:rPr>
          <w:rFonts w:ascii="Arial" w:hAnsi="Arial" w:cs="Arial"/>
          <w:sz w:val="24"/>
          <w:szCs w:val="24"/>
        </w:rPr>
        <w:t>As part of PGW</w:t>
      </w:r>
      <w:r w:rsidR="005C31E4">
        <w:rPr>
          <w:rFonts w:ascii="Arial" w:hAnsi="Arial" w:cs="Arial"/>
          <w:sz w:val="24"/>
          <w:szCs w:val="24"/>
        </w:rPr>
        <w:t>’s</w:t>
      </w:r>
      <w:r w:rsidR="0037003C" w:rsidRPr="008D0BD6">
        <w:rPr>
          <w:rFonts w:ascii="Arial" w:hAnsi="Arial" w:cs="Arial"/>
          <w:sz w:val="24"/>
          <w:szCs w:val="24"/>
        </w:rPr>
        <w:t xml:space="preserve"> restructuring proceeding</w:t>
      </w:r>
      <w:r w:rsidR="005C31E4">
        <w:rPr>
          <w:rFonts w:ascii="Arial" w:hAnsi="Arial" w:cs="Arial"/>
          <w:sz w:val="24"/>
          <w:szCs w:val="24"/>
        </w:rPr>
        <w:t xml:space="preserve">, </w:t>
      </w:r>
      <w:r w:rsidR="0037003C" w:rsidRPr="008D0BD6">
        <w:rPr>
          <w:rFonts w:ascii="Arial" w:hAnsi="Arial" w:cs="Arial"/>
          <w:sz w:val="24"/>
          <w:szCs w:val="24"/>
        </w:rPr>
        <w:t xml:space="preserve">the Company was authorized to establish a Universal Service </w:t>
      </w:r>
      <w:r w:rsidR="00894F26">
        <w:rPr>
          <w:rFonts w:ascii="Arial" w:hAnsi="Arial" w:cs="Arial"/>
          <w:sz w:val="24"/>
          <w:szCs w:val="24"/>
        </w:rPr>
        <w:t>a</w:t>
      </w:r>
      <w:r w:rsidR="0037003C" w:rsidRPr="008D0BD6">
        <w:rPr>
          <w:rFonts w:ascii="Arial" w:hAnsi="Arial" w:cs="Arial"/>
          <w:sz w:val="24"/>
          <w:szCs w:val="24"/>
        </w:rPr>
        <w:t xml:space="preserve">nd Energy Conservation Surcharge, effective September 1, 2003.  This surcharge is designed to provide for the recovery of the Company’s universal service and energy conservation programs. </w:t>
      </w:r>
    </w:p>
    <w:p w:rsidR="00E44395" w:rsidRPr="00B03583" w:rsidRDefault="00E44395" w:rsidP="00E14488">
      <w:pPr>
        <w:rPr>
          <w:rFonts w:ascii="Arial" w:hAnsi="Arial" w:cs="Arial"/>
          <w:sz w:val="24"/>
          <w:szCs w:val="24"/>
        </w:rPr>
      </w:pPr>
    </w:p>
    <w:p w:rsidR="00E44395" w:rsidRPr="00E44395" w:rsidRDefault="00E44395" w:rsidP="00E14488">
      <w:pPr>
        <w:rPr>
          <w:rFonts w:ascii="Arial" w:hAnsi="Arial" w:cs="Arial"/>
          <w:sz w:val="24"/>
          <w:szCs w:val="24"/>
        </w:rPr>
      </w:pPr>
    </w:p>
    <w:p w:rsidR="00E44395" w:rsidRDefault="00E44395" w:rsidP="00E44395">
      <w:pPr>
        <w:rPr>
          <w:rFonts w:ascii="Arial" w:hAnsi="Arial" w:cs="Arial"/>
          <w:sz w:val="24"/>
          <w:szCs w:val="24"/>
        </w:rPr>
      </w:pPr>
    </w:p>
    <w:p w:rsidR="00115624" w:rsidRDefault="00E44395" w:rsidP="00E14488">
      <w:pPr>
        <w:tabs>
          <w:tab w:val="left" w:pos="2655"/>
        </w:tabs>
        <w:rPr>
          <w:rFonts w:ascii="Arial" w:hAnsi="Arial" w:cs="Arial"/>
          <w:sz w:val="24"/>
          <w:szCs w:val="24"/>
        </w:rPr>
      </w:pPr>
      <w:r>
        <w:rPr>
          <w:rFonts w:ascii="Arial" w:hAnsi="Arial" w:cs="Arial"/>
          <w:sz w:val="24"/>
          <w:szCs w:val="24"/>
        </w:rPr>
        <w:tab/>
      </w:r>
    </w:p>
    <w:p w:rsidR="00D16893" w:rsidRDefault="00D16893" w:rsidP="00FF3178">
      <w:pPr>
        <w:tabs>
          <w:tab w:val="left" w:pos="-1440"/>
          <w:tab w:val="left" w:pos="-720"/>
          <w:tab w:val="left" w:pos="720"/>
          <w:tab w:val="left" w:pos="864"/>
        </w:tabs>
        <w:suppressAutoHyphens/>
        <w:rPr>
          <w:rFonts w:ascii="Arial" w:hAnsi="Arial" w:cs="Arial"/>
          <w:b/>
          <w:sz w:val="28"/>
          <w:szCs w:val="28"/>
          <w:u w:val="single"/>
        </w:rPr>
      </w:pPr>
    </w:p>
    <w:p w:rsidR="00E9506C" w:rsidRDefault="00E9506C">
      <w:pPr>
        <w:rPr>
          <w:rFonts w:ascii="Arial" w:hAnsi="Arial" w:cs="Arial"/>
          <w:b/>
          <w:sz w:val="28"/>
          <w:szCs w:val="28"/>
          <w:u w:val="single"/>
        </w:rPr>
      </w:pPr>
      <w:r>
        <w:rPr>
          <w:rFonts w:ascii="Arial" w:hAnsi="Arial" w:cs="Arial"/>
          <w:b/>
          <w:sz w:val="28"/>
          <w:szCs w:val="28"/>
          <w:u w:val="single"/>
        </w:rPr>
        <w:br w:type="page"/>
      </w:r>
    </w:p>
    <w:p w:rsidR="0024348A" w:rsidRPr="00FE147A" w:rsidRDefault="0024348A" w:rsidP="0024348A">
      <w:pPr>
        <w:jc w:val="center"/>
        <w:rPr>
          <w:rFonts w:ascii="Arial" w:hAnsi="Arial" w:cs="Arial"/>
          <w:b/>
          <w:sz w:val="26"/>
          <w:szCs w:val="26"/>
          <w:u w:val="single"/>
        </w:rPr>
      </w:pPr>
      <w:r w:rsidRPr="00FE147A">
        <w:rPr>
          <w:rFonts w:ascii="Arial" w:hAnsi="Arial" w:cs="Arial"/>
          <w:b/>
          <w:sz w:val="26"/>
          <w:szCs w:val="26"/>
          <w:u w:val="single"/>
        </w:rPr>
        <w:lastRenderedPageBreak/>
        <w:t>PHILADELPHIA GAS WORKS</w:t>
      </w:r>
    </w:p>
    <w:p w:rsidR="0024348A" w:rsidRPr="00051545" w:rsidRDefault="0024348A" w:rsidP="0024348A">
      <w:pPr>
        <w:rPr>
          <w:rFonts w:ascii="Arial" w:hAnsi="Arial" w:cs="Arial"/>
          <w:b/>
          <w:sz w:val="26"/>
          <w:szCs w:val="26"/>
          <w:u w:val="single"/>
        </w:rPr>
      </w:pPr>
    </w:p>
    <w:p w:rsidR="0024348A" w:rsidRPr="008D0BD6" w:rsidRDefault="00F32C6F" w:rsidP="0024348A">
      <w:pPr>
        <w:ind w:left="1728" w:hanging="1728"/>
        <w:jc w:val="center"/>
        <w:rPr>
          <w:rFonts w:ascii="Arial" w:hAnsi="Arial" w:cs="Arial"/>
          <w:b/>
          <w:sz w:val="24"/>
          <w:szCs w:val="24"/>
          <w:u w:val="single"/>
        </w:rPr>
      </w:pPr>
      <w:r>
        <w:rPr>
          <w:rFonts w:ascii="Arial" w:hAnsi="Arial" w:cs="Arial"/>
          <w:b/>
          <w:sz w:val="24"/>
          <w:szCs w:val="24"/>
          <w:u w:val="single"/>
        </w:rPr>
        <w:t>Disposition of Prior Year’s</w:t>
      </w:r>
      <w:r w:rsidR="00EA26A5" w:rsidRPr="008D0BD6">
        <w:rPr>
          <w:rFonts w:ascii="Arial" w:hAnsi="Arial" w:cs="Arial"/>
          <w:b/>
          <w:sz w:val="24"/>
          <w:szCs w:val="24"/>
          <w:u w:val="single"/>
        </w:rPr>
        <w:t xml:space="preserve"> </w:t>
      </w:r>
      <w:r w:rsidR="0024348A" w:rsidRPr="008D0BD6">
        <w:rPr>
          <w:rFonts w:ascii="Arial" w:hAnsi="Arial" w:cs="Arial"/>
          <w:b/>
          <w:sz w:val="24"/>
          <w:szCs w:val="24"/>
          <w:u w:val="single"/>
        </w:rPr>
        <w:t>Audit Finding</w:t>
      </w:r>
    </w:p>
    <w:p w:rsidR="0024348A" w:rsidRPr="008D0BD6" w:rsidRDefault="0024348A" w:rsidP="0024348A">
      <w:pPr>
        <w:ind w:left="1728" w:hanging="1728"/>
        <w:rPr>
          <w:rFonts w:ascii="Arial" w:hAnsi="Arial" w:cs="Arial"/>
          <w:sz w:val="24"/>
          <w:szCs w:val="24"/>
        </w:rPr>
      </w:pPr>
    </w:p>
    <w:p w:rsidR="000C0AEA" w:rsidRPr="008D0BD6" w:rsidRDefault="000C0AEA" w:rsidP="0024348A">
      <w:pPr>
        <w:tabs>
          <w:tab w:val="left" w:pos="720"/>
        </w:tabs>
        <w:rPr>
          <w:rFonts w:ascii="Arial" w:hAnsi="Arial" w:cs="Arial"/>
          <w:sz w:val="24"/>
          <w:szCs w:val="24"/>
        </w:rPr>
      </w:pPr>
    </w:p>
    <w:p w:rsidR="0024348A" w:rsidRPr="008D0BD6" w:rsidRDefault="000C0AEA" w:rsidP="0024348A">
      <w:pPr>
        <w:tabs>
          <w:tab w:val="left" w:pos="720"/>
        </w:tabs>
        <w:rPr>
          <w:rFonts w:ascii="Arial" w:hAnsi="Arial" w:cs="Arial"/>
          <w:sz w:val="24"/>
          <w:szCs w:val="24"/>
        </w:rPr>
      </w:pPr>
      <w:r w:rsidRPr="008D0BD6">
        <w:rPr>
          <w:rFonts w:ascii="Arial" w:hAnsi="Arial" w:cs="Arial"/>
          <w:sz w:val="24"/>
          <w:szCs w:val="24"/>
        </w:rPr>
        <w:tab/>
      </w:r>
      <w:r w:rsidR="0024348A" w:rsidRPr="008D0BD6">
        <w:rPr>
          <w:rFonts w:ascii="Arial" w:hAnsi="Arial" w:cs="Arial"/>
          <w:sz w:val="24"/>
          <w:szCs w:val="24"/>
        </w:rPr>
        <w:t xml:space="preserve">Our </w:t>
      </w:r>
      <w:r w:rsidR="00F32C6F">
        <w:rPr>
          <w:rFonts w:ascii="Arial" w:hAnsi="Arial" w:cs="Arial"/>
          <w:sz w:val="24"/>
          <w:szCs w:val="24"/>
        </w:rPr>
        <w:t xml:space="preserve">previous </w:t>
      </w:r>
      <w:r w:rsidR="0024348A" w:rsidRPr="008D0BD6">
        <w:rPr>
          <w:rFonts w:ascii="Arial" w:hAnsi="Arial" w:cs="Arial"/>
          <w:sz w:val="24"/>
          <w:szCs w:val="24"/>
        </w:rPr>
        <w:t xml:space="preserve">audit of Philadelphia Gas Works </w:t>
      </w:r>
      <w:r w:rsidR="00B03583">
        <w:rPr>
          <w:rFonts w:ascii="Arial" w:hAnsi="Arial" w:cs="Arial"/>
          <w:sz w:val="24"/>
          <w:szCs w:val="24"/>
        </w:rPr>
        <w:t xml:space="preserve">Universal Service </w:t>
      </w:r>
      <w:r w:rsidR="00894F26">
        <w:rPr>
          <w:rFonts w:ascii="Arial" w:hAnsi="Arial" w:cs="Arial"/>
          <w:sz w:val="24"/>
          <w:szCs w:val="24"/>
        </w:rPr>
        <w:t>a</w:t>
      </w:r>
      <w:r w:rsidR="00B03583">
        <w:rPr>
          <w:rFonts w:ascii="Arial" w:hAnsi="Arial" w:cs="Arial"/>
          <w:sz w:val="24"/>
          <w:szCs w:val="24"/>
        </w:rPr>
        <w:t xml:space="preserve">nd Energy Conservation Surcharge </w:t>
      </w:r>
      <w:r w:rsidR="0024348A" w:rsidRPr="008D0BD6">
        <w:rPr>
          <w:rFonts w:ascii="Arial" w:hAnsi="Arial" w:cs="Arial"/>
          <w:sz w:val="24"/>
          <w:szCs w:val="24"/>
        </w:rPr>
        <w:t xml:space="preserve">for the </w:t>
      </w:r>
      <w:r w:rsidR="00A03514" w:rsidRPr="008D0BD6">
        <w:rPr>
          <w:rFonts w:ascii="Arial" w:hAnsi="Arial" w:cs="Arial"/>
          <w:sz w:val="24"/>
          <w:szCs w:val="24"/>
        </w:rPr>
        <w:t>Twelve Months</w:t>
      </w:r>
      <w:r w:rsidR="0024348A" w:rsidRPr="008D0BD6">
        <w:rPr>
          <w:rFonts w:ascii="Arial" w:hAnsi="Arial" w:cs="Arial"/>
          <w:sz w:val="24"/>
          <w:szCs w:val="24"/>
        </w:rPr>
        <w:t xml:space="preserve"> ended </w:t>
      </w:r>
      <w:r w:rsidR="00A03514" w:rsidRPr="008D0BD6">
        <w:rPr>
          <w:rFonts w:ascii="Arial" w:hAnsi="Arial" w:cs="Arial"/>
          <w:sz w:val="24"/>
          <w:szCs w:val="24"/>
        </w:rPr>
        <w:t>August</w:t>
      </w:r>
      <w:r w:rsidR="0024348A" w:rsidRPr="008D0BD6">
        <w:rPr>
          <w:rFonts w:ascii="Arial" w:hAnsi="Arial" w:cs="Arial"/>
          <w:sz w:val="24"/>
          <w:szCs w:val="24"/>
        </w:rPr>
        <w:t xml:space="preserve"> 31, 200</w:t>
      </w:r>
      <w:r w:rsidR="00A03514" w:rsidRPr="008D0BD6">
        <w:rPr>
          <w:rFonts w:ascii="Arial" w:hAnsi="Arial" w:cs="Arial"/>
          <w:sz w:val="24"/>
          <w:szCs w:val="24"/>
        </w:rPr>
        <w:t>9</w:t>
      </w:r>
      <w:r w:rsidR="0024348A" w:rsidRPr="008D0BD6">
        <w:rPr>
          <w:rFonts w:ascii="Arial" w:hAnsi="Arial" w:cs="Arial"/>
          <w:sz w:val="24"/>
          <w:szCs w:val="24"/>
        </w:rPr>
        <w:t xml:space="preserve"> </w:t>
      </w:r>
      <w:r w:rsidR="001C0FDE" w:rsidRPr="008D0BD6">
        <w:rPr>
          <w:rFonts w:ascii="Arial" w:hAnsi="Arial" w:cs="Arial"/>
          <w:sz w:val="24"/>
          <w:szCs w:val="24"/>
        </w:rPr>
        <w:t>disclosed the following finding</w:t>
      </w:r>
      <w:r w:rsidR="00F32C6F">
        <w:rPr>
          <w:rFonts w:ascii="Arial" w:hAnsi="Arial" w:cs="Arial"/>
          <w:sz w:val="24"/>
          <w:szCs w:val="24"/>
        </w:rPr>
        <w:t xml:space="preserve"> and recommendation</w:t>
      </w:r>
      <w:r w:rsidR="0024348A" w:rsidRPr="008D0BD6">
        <w:rPr>
          <w:rFonts w:ascii="Arial" w:hAnsi="Arial" w:cs="Arial"/>
          <w:sz w:val="24"/>
          <w:szCs w:val="24"/>
        </w:rPr>
        <w:t>:</w:t>
      </w:r>
    </w:p>
    <w:p w:rsidR="00545E73" w:rsidRPr="008D0BD6" w:rsidRDefault="00545E73" w:rsidP="0024348A">
      <w:pPr>
        <w:tabs>
          <w:tab w:val="left" w:pos="720"/>
        </w:tabs>
        <w:rPr>
          <w:rFonts w:ascii="Arial" w:hAnsi="Arial" w:cs="Arial"/>
          <w:sz w:val="24"/>
          <w:szCs w:val="24"/>
        </w:rPr>
      </w:pPr>
    </w:p>
    <w:p w:rsidR="00F30723" w:rsidRPr="008D0BD6" w:rsidRDefault="00F30723" w:rsidP="00E14488">
      <w:pPr>
        <w:tabs>
          <w:tab w:val="left" w:pos="1710"/>
        </w:tabs>
        <w:ind w:left="1170" w:hanging="1132"/>
        <w:rPr>
          <w:rFonts w:ascii="Arial" w:hAnsi="Arial" w:cs="Arial"/>
          <w:b/>
          <w:sz w:val="24"/>
          <w:szCs w:val="24"/>
          <w:u w:val="single"/>
        </w:rPr>
      </w:pPr>
      <w:r w:rsidRPr="008D0BD6">
        <w:rPr>
          <w:rFonts w:ascii="Arial" w:hAnsi="Arial" w:cs="Arial"/>
          <w:b/>
          <w:sz w:val="24"/>
          <w:szCs w:val="24"/>
          <w:u w:val="single"/>
        </w:rPr>
        <w:t xml:space="preserve">Finding – </w:t>
      </w:r>
      <w:r w:rsidR="0099013B" w:rsidRPr="008D0BD6">
        <w:rPr>
          <w:rFonts w:ascii="Arial" w:hAnsi="Arial" w:cs="Arial"/>
          <w:b/>
          <w:sz w:val="24"/>
          <w:szCs w:val="24"/>
          <w:u w:val="single"/>
        </w:rPr>
        <w:t>Administrative</w:t>
      </w:r>
      <w:r w:rsidR="00D35D46" w:rsidRPr="008D0BD6">
        <w:rPr>
          <w:rFonts w:ascii="Arial" w:hAnsi="Arial" w:cs="Arial"/>
          <w:b/>
          <w:sz w:val="24"/>
          <w:szCs w:val="24"/>
          <w:u w:val="single"/>
        </w:rPr>
        <w:t xml:space="preserve"> Labor</w:t>
      </w:r>
      <w:r w:rsidR="0099013B" w:rsidRPr="008D0BD6">
        <w:rPr>
          <w:rFonts w:ascii="Arial" w:hAnsi="Arial" w:cs="Arial"/>
          <w:b/>
          <w:sz w:val="24"/>
          <w:szCs w:val="24"/>
          <w:u w:val="single"/>
        </w:rPr>
        <w:t xml:space="preserve"> Costs </w:t>
      </w:r>
      <w:r w:rsidR="00B03583">
        <w:rPr>
          <w:rFonts w:ascii="Arial" w:hAnsi="Arial" w:cs="Arial"/>
          <w:b/>
          <w:sz w:val="24"/>
          <w:szCs w:val="24"/>
          <w:u w:val="single"/>
        </w:rPr>
        <w:t>Totaling</w:t>
      </w:r>
      <w:r w:rsidRPr="008D0BD6">
        <w:rPr>
          <w:rFonts w:ascii="Arial" w:hAnsi="Arial" w:cs="Arial"/>
          <w:b/>
          <w:sz w:val="24"/>
          <w:szCs w:val="24"/>
          <w:u w:val="single"/>
        </w:rPr>
        <w:t xml:space="preserve"> $</w:t>
      </w:r>
      <w:r w:rsidR="00CD2BC3" w:rsidRPr="008D0BD6">
        <w:rPr>
          <w:rFonts w:ascii="Arial" w:hAnsi="Arial" w:cs="Arial"/>
          <w:b/>
          <w:sz w:val="24"/>
          <w:szCs w:val="24"/>
          <w:u w:val="single"/>
        </w:rPr>
        <w:t>108,</w:t>
      </w:r>
      <w:r w:rsidR="00D35D46" w:rsidRPr="008D0BD6">
        <w:rPr>
          <w:rFonts w:ascii="Arial" w:hAnsi="Arial" w:cs="Arial"/>
          <w:b/>
          <w:sz w:val="24"/>
          <w:szCs w:val="24"/>
          <w:u w:val="single"/>
        </w:rPr>
        <w:t>787</w:t>
      </w:r>
      <w:r w:rsidRPr="008D0BD6">
        <w:rPr>
          <w:rFonts w:ascii="Arial" w:hAnsi="Arial" w:cs="Arial"/>
          <w:b/>
          <w:sz w:val="24"/>
          <w:szCs w:val="24"/>
          <w:u w:val="single"/>
        </w:rPr>
        <w:t xml:space="preserve"> </w:t>
      </w:r>
      <w:r w:rsidR="0058492D">
        <w:rPr>
          <w:rFonts w:ascii="Arial" w:hAnsi="Arial" w:cs="Arial"/>
          <w:b/>
          <w:sz w:val="24"/>
          <w:szCs w:val="24"/>
          <w:u w:val="single"/>
        </w:rPr>
        <w:t>W</w:t>
      </w:r>
      <w:r w:rsidR="0099013B" w:rsidRPr="008D0BD6">
        <w:rPr>
          <w:rFonts w:ascii="Arial" w:hAnsi="Arial" w:cs="Arial"/>
          <w:b/>
          <w:sz w:val="24"/>
          <w:szCs w:val="24"/>
          <w:u w:val="single"/>
        </w:rPr>
        <w:t xml:space="preserve">ere </w:t>
      </w:r>
      <w:r w:rsidR="0058492D">
        <w:rPr>
          <w:rFonts w:ascii="Arial" w:hAnsi="Arial" w:cs="Arial"/>
          <w:b/>
          <w:sz w:val="24"/>
          <w:szCs w:val="24"/>
          <w:u w:val="single"/>
        </w:rPr>
        <w:t>I</w:t>
      </w:r>
      <w:r w:rsidR="00A03514" w:rsidRPr="008D0BD6">
        <w:rPr>
          <w:rFonts w:ascii="Arial" w:hAnsi="Arial" w:cs="Arial"/>
          <w:b/>
          <w:sz w:val="24"/>
          <w:szCs w:val="24"/>
          <w:u w:val="single"/>
        </w:rPr>
        <w:t xml:space="preserve">ncluded </w:t>
      </w:r>
      <w:r w:rsidR="0058492D">
        <w:rPr>
          <w:rFonts w:ascii="Arial" w:hAnsi="Arial" w:cs="Arial"/>
          <w:b/>
          <w:sz w:val="24"/>
          <w:szCs w:val="24"/>
          <w:u w:val="single"/>
        </w:rPr>
        <w:t>I</w:t>
      </w:r>
      <w:r w:rsidR="00A03514" w:rsidRPr="008D0BD6">
        <w:rPr>
          <w:rFonts w:ascii="Arial" w:hAnsi="Arial" w:cs="Arial"/>
          <w:b/>
          <w:sz w:val="24"/>
          <w:szCs w:val="24"/>
          <w:u w:val="single"/>
        </w:rPr>
        <w:t xml:space="preserve">n </w:t>
      </w:r>
      <w:r w:rsidR="0058492D">
        <w:rPr>
          <w:rFonts w:ascii="Arial" w:hAnsi="Arial" w:cs="Arial"/>
          <w:b/>
          <w:sz w:val="24"/>
          <w:szCs w:val="24"/>
          <w:u w:val="single"/>
        </w:rPr>
        <w:t>T</w:t>
      </w:r>
      <w:r w:rsidR="00A03514" w:rsidRPr="008D0BD6">
        <w:rPr>
          <w:rFonts w:ascii="Arial" w:hAnsi="Arial" w:cs="Arial"/>
          <w:b/>
          <w:sz w:val="24"/>
          <w:szCs w:val="24"/>
          <w:u w:val="single"/>
        </w:rPr>
        <w:t xml:space="preserve">he </w:t>
      </w:r>
      <w:r w:rsidR="0058492D">
        <w:rPr>
          <w:rFonts w:ascii="Arial" w:hAnsi="Arial" w:cs="Arial"/>
          <w:b/>
          <w:sz w:val="24"/>
          <w:szCs w:val="24"/>
          <w:u w:val="single"/>
        </w:rPr>
        <w:t>C</w:t>
      </w:r>
      <w:r w:rsidR="00C5156F" w:rsidRPr="008D0BD6">
        <w:rPr>
          <w:rFonts w:ascii="Arial" w:hAnsi="Arial" w:cs="Arial"/>
          <w:b/>
          <w:sz w:val="24"/>
          <w:szCs w:val="24"/>
          <w:u w:val="single"/>
        </w:rPr>
        <w:t xml:space="preserve">osts </w:t>
      </w:r>
      <w:r w:rsidR="0058492D">
        <w:rPr>
          <w:rFonts w:ascii="Arial" w:hAnsi="Arial" w:cs="Arial"/>
          <w:b/>
          <w:sz w:val="24"/>
          <w:szCs w:val="24"/>
          <w:u w:val="single"/>
        </w:rPr>
        <w:t>T</w:t>
      </w:r>
      <w:r w:rsidR="00C5156F" w:rsidRPr="008D0BD6">
        <w:rPr>
          <w:rFonts w:ascii="Arial" w:hAnsi="Arial" w:cs="Arial"/>
          <w:b/>
          <w:sz w:val="24"/>
          <w:szCs w:val="24"/>
          <w:u w:val="single"/>
        </w:rPr>
        <w:t xml:space="preserve">hat </w:t>
      </w:r>
      <w:r w:rsidR="0058492D">
        <w:rPr>
          <w:rFonts w:ascii="Arial" w:hAnsi="Arial" w:cs="Arial"/>
          <w:b/>
          <w:sz w:val="24"/>
          <w:szCs w:val="24"/>
          <w:u w:val="single"/>
        </w:rPr>
        <w:t>W</w:t>
      </w:r>
      <w:r w:rsidR="00C206DE">
        <w:rPr>
          <w:rFonts w:ascii="Arial" w:hAnsi="Arial" w:cs="Arial"/>
          <w:b/>
          <w:sz w:val="24"/>
          <w:szCs w:val="24"/>
          <w:u w:val="single"/>
        </w:rPr>
        <w:t>ere</w:t>
      </w:r>
      <w:r w:rsidR="00C206DE" w:rsidRPr="008D0BD6">
        <w:rPr>
          <w:rFonts w:ascii="Arial" w:hAnsi="Arial" w:cs="Arial"/>
          <w:b/>
          <w:sz w:val="24"/>
          <w:szCs w:val="24"/>
          <w:u w:val="single"/>
        </w:rPr>
        <w:t xml:space="preserve"> </w:t>
      </w:r>
      <w:r w:rsidR="0058492D">
        <w:rPr>
          <w:rFonts w:ascii="Arial" w:hAnsi="Arial" w:cs="Arial"/>
          <w:b/>
          <w:sz w:val="24"/>
          <w:szCs w:val="24"/>
          <w:u w:val="single"/>
        </w:rPr>
        <w:t>R</w:t>
      </w:r>
      <w:r w:rsidR="00C5156F" w:rsidRPr="008D0BD6">
        <w:rPr>
          <w:rFonts w:ascii="Arial" w:hAnsi="Arial" w:cs="Arial"/>
          <w:b/>
          <w:sz w:val="24"/>
          <w:szCs w:val="24"/>
          <w:u w:val="single"/>
        </w:rPr>
        <w:t>ec</w:t>
      </w:r>
      <w:r w:rsidR="00A03514" w:rsidRPr="008D0BD6">
        <w:rPr>
          <w:rFonts w:ascii="Arial" w:hAnsi="Arial" w:cs="Arial"/>
          <w:b/>
          <w:sz w:val="24"/>
          <w:szCs w:val="24"/>
          <w:u w:val="single"/>
        </w:rPr>
        <w:t>over</w:t>
      </w:r>
      <w:r w:rsidR="00C206DE">
        <w:rPr>
          <w:rFonts w:ascii="Arial" w:hAnsi="Arial" w:cs="Arial"/>
          <w:b/>
          <w:sz w:val="24"/>
          <w:szCs w:val="24"/>
          <w:u w:val="single"/>
        </w:rPr>
        <w:t>ed</w:t>
      </w:r>
      <w:r w:rsidR="00A03514" w:rsidRPr="008D0BD6">
        <w:rPr>
          <w:rFonts w:ascii="Arial" w:hAnsi="Arial" w:cs="Arial"/>
          <w:b/>
          <w:sz w:val="24"/>
          <w:szCs w:val="24"/>
          <w:u w:val="single"/>
        </w:rPr>
        <w:t xml:space="preserve"> </w:t>
      </w:r>
      <w:r w:rsidR="0058492D">
        <w:rPr>
          <w:rFonts w:ascii="Arial" w:hAnsi="Arial" w:cs="Arial"/>
          <w:b/>
          <w:sz w:val="24"/>
          <w:szCs w:val="24"/>
          <w:u w:val="single"/>
        </w:rPr>
        <w:t>T</w:t>
      </w:r>
      <w:r w:rsidR="000710B1" w:rsidRPr="008D0BD6">
        <w:rPr>
          <w:rFonts w:ascii="Arial" w:hAnsi="Arial" w:cs="Arial"/>
          <w:b/>
          <w:sz w:val="24"/>
          <w:szCs w:val="24"/>
          <w:u w:val="single"/>
        </w:rPr>
        <w:t>hrough</w:t>
      </w:r>
      <w:r w:rsidR="00C5156F" w:rsidRPr="008D0BD6">
        <w:rPr>
          <w:rFonts w:ascii="Arial" w:hAnsi="Arial" w:cs="Arial"/>
          <w:b/>
          <w:sz w:val="24"/>
          <w:szCs w:val="24"/>
          <w:u w:val="single"/>
        </w:rPr>
        <w:t xml:space="preserve"> </w:t>
      </w:r>
      <w:r w:rsidR="0058492D">
        <w:rPr>
          <w:rFonts w:ascii="Arial" w:hAnsi="Arial" w:cs="Arial"/>
          <w:b/>
          <w:sz w:val="24"/>
          <w:szCs w:val="24"/>
          <w:u w:val="single"/>
        </w:rPr>
        <w:t>T</w:t>
      </w:r>
      <w:r w:rsidR="00C5156F" w:rsidRPr="008D0BD6">
        <w:rPr>
          <w:rFonts w:ascii="Arial" w:hAnsi="Arial" w:cs="Arial"/>
          <w:b/>
          <w:sz w:val="24"/>
          <w:szCs w:val="24"/>
          <w:u w:val="single"/>
        </w:rPr>
        <w:t xml:space="preserve">he </w:t>
      </w:r>
      <w:r w:rsidR="00A03514" w:rsidRPr="008D0BD6">
        <w:rPr>
          <w:rFonts w:ascii="Arial" w:hAnsi="Arial" w:cs="Arial"/>
          <w:b/>
          <w:sz w:val="24"/>
          <w:szCs w:val="24"/>
          <w:u w:val="single"/>
        </w:rPr>
        <w:t xml:space="preserve">Universal Service </w:t>
      </w:r>
      <w:r w:rsidR="0058492D">
        <w:rPr>
          <w:rFonts w:ascii="Arial" w:hAnsi="Arial" w:cs="Arial"/>
          <w:b/>
          <w:sz w:val="24"/>
          <w:szCs w:val="24"/>
          <w:u w:val="single"/>
        </w:rPr>
        <w:t>A</w:t>
      </w:r>
      <w:r w:rsidR="000710B1" w:rsidRPr="008D0BD6">
        <w:rPr>
          <w:rFonts w:ascii="Arial" w:hAnsi="Arial" w:cs="Arial"/>
          <w:b/>
          <w:sz w:val="24"/>
          <w:szCs w:val="24"/>
          <w:u w:val="single"/>
        </w:rPr>
        <w:t xml:space="preserve">nd Energy Conservation </w:t>
      </w:r>
      <w:r w:rsidR="00C5156F" w:rsidRPr="008D0BD6">
        <w:rPr>
          <w:rFonts w:ascii="Arial" w:hAnsi="Arial" w:cs="Arial"/>
          <w:b/>
          <w:sz w:val="24"/>
          <w:szCs w:val="24"/>
          <w:u w:val="single"/>
        </w:rPr>
        <w:t>Surcharge</w:t>
      </w:r>
      <w:r w:rsidRPr="008D0BD6">
        <w:rPr>
          <w:rFonts w:ascii="Arial" w:hAnsi="Arial" w:cs="Arial"/>
          <w:b/>
          <w:sz w:val="24"/>
          <w:szCs w:val="24"/>
          <w:u w:val="single"/>
        </w:rPr>
        <w:t>.</w:t>
      </w:r>
    </w:p>
    <w:p w:rsidR="00E8312D" w:rsidRPr="008D0BD6" w:rsidRDefault="00E8312D" w:rsidP="00F30723">
      <w:pPr>
        <w:tabs>
          <w:tab w:val="left" w:pos="1710"/>
        </w:tabs>
        <w:ind w:left="56" w:hanging="18"/>
        <w:rPr>
          <w:rFonts w:ascii="Arial" w:hAnsi="Arial" w:cs="Arial"/>
          <w:b/>
          <w:sz w:val="24"/>
          <w:szCs w:val="24"/>
          <w:u w:val="single"/>
        </w:rPr>
      </w:pPr>
    </w:p>
    <w:p w:rsidR="00F76D57" w:rsidRDefault="000C0AEA" w:rsidP="000C0AEA">
      <w:pPr>
        <w:tabs>
          <w:tab w:val="left" w:pos="720"/>
        </w:tabs>
        <w:ind w:left="56" w:hanging="18"/>
        <w:rPr>
          <w:rFonts w:ascii="Arial" w:hAnsi="Arial" w:cs="Arial"/>
          <w:sz w:val="24"/>
          <w:szCs w:val="24"/>
        </w:rPr>
      </w:pPr>
      <w:r w:rsidRPr="008D0BD6">
        <w:rPr>
          <w:rFonts w:ascii="Arial" w:hAnsi="Arial" w:cs="Arial"/>
          <w:sz w:val="24"/>
          <w:szCs w:val="24"/>
        </w:rPr>
        <w:tab/>
      </w:r>
      <w:r w:rsidRPr="008D0BD6">
        <w:rPr>
          <w:rFonts w:ascii="Arial" w:hAnsi="Arial" w:cs="Arial"/>
          <w:sz w:val="24"/>
          <w:szCs w:val="24"/>
        </w:rPr>
        <w:tab/>
      </w:r>
      <w:r w:rsidR="00C206DE">
        <w:rPr>
          <w:rFonts w:ascii="Arial" w:hAnsi="Arial" w:cs="Arial"/>
          <w:sz w:val="24"/>
          <w:szCs w:val="24"/>
        </w:rPr>
        <w:t xml:space="preserve">Philadelphia Gas Works (PGW) recovered $108,787 of administrative labor costs through the Universal Service </w:t>
      </w:r>
      <w:r w:rsidR="00894F26">
        <w:rPr>
          <w:rFonts w:ascii="Arial" w:hAnsi="Arial" w:cs="Arial"/>
          <w:sz w:val="24"/>
          <w:szCs w:val="24"/>
        </w:rPr>
        <w:t>a</w:t>
      </w:r>
      <w:r w:rsidR="00C206DE">
        <w:rPr>
          <w:rFonts w:ascii="Arial" w:hAnsi="Arial" w:cs="Arial"/>
          <w:sz w:val="24"/>
          <w:szCs w:val="24"/>
        </w:rPr>
        <w:t xml:space="preserve">nd Energy Conservation Surcharge during the twelve months ended August 31, 2009.  The administrative labor costs are related to the Conservation Works Program (CWP) and the Enhanced Low Income Retrofit Program (ELIRP) activities of PGW’s Universal Service Program.  The Universal Service </w:t>
      </w:r>
      <w:r w:rsidR="00894F26">
        <w:rPr>
          <w:rFonts w:ascii="Arial" w:hAnsi="Arial" w:cs="Arial"/>
          <w:sz w:val="24"/>
          <w:szCs w:val="24"/>
        </w:rPr>
        <w:t>a</w:t>
      </w:r>
      <w:r w:rsidR="00C206DE">
        <w:rPr>
          <w:rFonts w:ascii="Arial" w:hAnsi="Arial" w:cs="Arial"/>
          <w:sz w:val="24"/>
          <w:szCs w:val="24"/>
        </w:rPr>
        <w:t xml:space="preserve">nd Energy Conservation Surcharge Rider does not specifically provide for the recovery of administrative labor costs.  The Rider provides for the recovery of “the costs of” the CWP and the ELIRP.  </w:t>
      </w:r>
      <w:r w:rsidR="00F76D57">
        <w:rPr>
          <w:rFonts w:ascii="Arial" w:hAnsi="Arial" w:cs="Arial"/>
          <w:sz w:val="24"/>
          <w:szCs w:val="24"/>
        </w:rPr>
        <w:t>Normally, a</w:t>
      </w:r>
      <w:r w:rsidR="00C206DE">
        <w:rPr>
          <w:rFonts w:ascii="Arial" w:hAnsi="Arial" w:cs="Arial"/>
          <w:sz w:val="24"/>
          <w:szCs w:val="24"/>
        </w:rPr>
        <w:t>bsent the specific allowance for the recovery of administrative costs within an adjustment clause</w:t>
      </w:r>
      <w:r w:rsidR="00F76D57">
        <w:rPr>
          <w:rFonts w:ascii="Arial" w:hAnsi="Arial" w:cs="Arial"/>
          <w:sz w:val="24"/>
          <w:szCs w:val="24"/>
        </w:rPr>
        <w:t xml:space="preserve"> surcharge tariff rider, administrative costs are recovered through base rates.  Because the Universal Service </w:t>
      </w:r>
      <w:r w:rsidR="00894F26">
        <w:rPr>
          <w:rFonts w:ascii="Arial" w:hAnsi="Arial" w:cs="Arial"/>
          <w:sz w:val="24"/>
          <w:szCs w:val="24"/>
        </w:rPr>
        <w:t>a</w:t>
      </w:r>
      <w:r w:rsidR="00F76D57">
        <w:rPr>
          <w:rFonts w:ascii="Arial" w:hAnsi="Arial" w:cs="Arial"/>
          <w:sz w:val="24"/>
          <w:szCs w:val="24"/>
        </w:rPr>
        <w:t>nd Energy Conservation Surcharge Rider does not specifically provide for the recovery of the</w:t>
      </w:r>
      <w:r w:rsidR="00F76D57" w:rsidRPr="00F76D57">
        <w:rPr>
          <w:rFonts w:ascii="Arial" w:hAnsi="Arial" w:cs="Arial"/>
          <w:sz w:val="24"/>
          <w:szCs w:val="24"/>
        </w:rPr>
        <w:t xml:space="preserve"> </w:t>
      </w:r>
      <w:r w:rsidR="00F76D57">
        <w:rPr>
          <w:rFonts w:ascii="Arial" w:hAnsi="Arial" w:cs="Arial"/>
          <w:sz w:val="24"/>
          <w:szCs w:val="24"/>
        </w:rPr>
        <w:t>administrative labor costs, Staff believes that PGW may be recovering the administrative labor costs twice, once through the Surcharge and again through base rates.</w:t>
      </w:r>
    </w:p>
    <w:p w:rsidR="00F76D57" w:rsidRDefault="00F76D57" w:rsidP="000C0AEA">
      <w:pPr>
        <w:tabs>
          <w:tab w:val="left" w:pos="720"/>
        </w:tabs>
        <w:ind w:left="56" w:hanging="18"/>
        <w:rPr>
          <w:rFonts w:ascii="Arial" w:hAnsi="Arial" w:cs="Arial"/>
          <w:sz w:val="24"/>
          <w:szCs w:val="24"/>
        </w:rPr>
      </w:pPr>
    </w:p>
    <w:p w:rsidR="00D67623" w:rsidRPr="008D0BD6" w:rsidRDefault="00F76D57" w:rsidP="000C0AEA">
      <w:pPr>
        <w:tabs>
          <w:tab w:val="left" w:pos="720"/>
        </w:tabs>
        <w:ind w:left="56" w:hanging="18"/>
        <w:rPr>
          <w:rFonts w:ascii="Arial" w:hAnsi="Arial" w:cs="Arial"/>
          <w:b/>
          <w:sz w:val="24"/>
          <w:szCs w:val="24"/>
          <w:u w:val="single"/>
        </w:rPr>
      </w:pPr>
      <w:r>
        <w:rPr>
          <w:rFonts w:ascii="Arial" w:hAnsi="Arial" w:cs="Arial"/>
          <w:sz w:val="24"/>
          <w:szCs w:val="24"/>
        </w:rPr>
        <w:tab/>
      </w:r>
      <w:r>
        <w:rPr>
          <w:rFonts w:ascii="Arial" w:hAnsi="Arial" w:cs="Arial"/>
          <w:sz w:val="24"/>
          <w:szCs w:val="24"/>
        </w:rPr>
        <w:tab/>
        <w:t>PGW representatives state that the Company’s</w:t>
      </w:r>
      <w:r w:rsidR="00C82A75" w:rsidRPr="008D0BD6">
        <w:rPr>
          <w:rFonts w:ascii="Arial" w:hAnsi="Arial" w:cs="Arial"/>
          <w:sz w:val="24"/>
          <w:szCs w:val="24"/>
        </w:rPr>
        <w:t xml:space="preserve"> cash flow ratemaking method</w:t>
      </w:r>
      <w:r w:rsidR="00F1725A">
        <w:rPr>
          <w:rFonts w:ascii="Arial" w:hAnsi="Arial" w:cs="Arial"/>
          <w:sz w:val="24"/>
          <w:szCs w:val="24"/>
        </w:rPr>
        <w:t>ology</w:t>
      </w:r>
      <w:r w:rsidR="00C64BA7" w:rsidRPr="008D0BD6">
        <w:rPr>
          <w:rFonts w:ascii="Arial" w:hAnsi="Arial" w:cs="Arial"/>
          <w:sz w:val="24"/>
          <w:szCs w:val="24"/>
        </w:rPr>
        <w:t>,</w:t>
      </w:r>
      <w:r w:rsidR="00975EB5" w:rsidRPr="008D0BD6">
        <w:rPr>
          <w:rFonts w:ascii="Arial" w:hAnsi="Arial" w:cs="Arial"/>
          <w:sz w:val="24"/>
          <w:szCs w:val="24"/>
        </w:rPr>
        <w:t xml:space="preserve"> which provides for revenue </w:t>
      </w:r>
      <w:r w:rsidR="00746443" w:rsidRPr="008D0BD6">
        <w:rPr>
          <w:rFonts w:ascii="Arial" w:hAnsi="Arial" w:cs="Arial"/>
          <w:sz w:val="24"/>
          <w:szCs w:val="24"/>
        </w:rPr>
        <w:t>from rates adequate to meet prudent operating expenses, depreciation allowances and debt service</w:t>
      </w:r>
      <w:r w:rsidR="00C64BA7" w:rsidRPr="008D0BD6">
        <w:rPr>
          <w:rFonts w:ascii="Arial" w:hAnsi="Arial" w:cs="Arial"/>
          <w:sz w:val="24"/>
          <w:szCs w:val="24"/>
        </w:rPr>
        <w:t xml:space="preserve">, does not </w:t>
      </w:r>
      <w:r w:rsidR="00464785" w:rsidRPr="008D0BD6">
        <w:rPr>
          <w:rFonts w:ascii="Arial" w:hAnsi="Arial" w:cs="Arial"/>
          <w:sz w:val="24"/>
          <w:szCs w:val="24"/>
        </w:rPr>
        <w:t xml:space="preserve">consider expenses </w:t>
      </w:r>
      <w:r w:rsidR="00C64BA7" w:rsidRPr="008D0BD6">
        <w:rPr>
          <w:rFonts w:ascii="Arial" w:hAnsi="Arial" w:cs="Arial"/>
          <w:sz w:val="24"/>
          <w:szCs w:val="24"/>
        </w:rPr>
        <w:t>on</w:t>
      </w:r>
      <w:r w:rsidR="00464785" w:rsidRPr="008D0BD6">
        <w:rPr>
          <w:rFonts w:ascii="Arial" w:hAnsi="Arial" w:cs="Arial"/>
          <w:sz w:val="24"/>
          <w:szCs w:val="24"/>
        </w:rPr>
        <w:t xml:space="preserve"> a “</w:t>
      </w:r>
      <w:r w:rsidR="00C64BA7" w:rsidRPr="008D0BD6">
        <w:rPr>
          <w:rFonts w:ascii="Arial" w:hAnsi="Arial" w:cs="Arial"/>
          <w:sz w:val="24"/>
          <w:szCs w:val="24"/>
        </w:rPr>
        <w:t>line-item</w:t>
      </w:r>
      <w:r w:rsidR="00464785" w:rsidRPr="008D0BD6">
        <w:rPr>
          <w:rFonts w:ascii="Arial" w:hAnsi="Arial" w:cs="Arial"/>
          <w:sz w:val="24"/>
          <w:szCs w:val="24"/>
        </w:rPr>
        <w:t>”</w:t>
      </w:r>
      <w:r w:rsidR="00C64BA7" w:rsidRPr="008D0BD6">
        <w:rPr>
          <w:rFonts w:ascii="Arial" w:hAnsi="Arial" w:cs="Arial"/>
          <w:sz w:val="24"/>
          <w:szCs w:val="24"/>
        </w:rPr>
        <w:t xml:space="preserve"> </w:t>
      </w:r>
      <w:r w:rsidR="00464785" w:rsidRPr="008D0BD6">
        <w:rPr>
          <w:rFonts w:ascii="Arial" w:hAnsi="Arial" w:cs="Arial"/>
          <w:sz w:val="24"/>
          <w:szCs w:val="24"/>
        </w:rPr>
        <w:t>basi</w:t>
      </w:r>
      <w:r w:rsidR="00C64BA7" w:rsidRPr="008D0BD6">
        <w:rPr>
          <w:rFonts w:ascii="Arial" w:hAnsi="Arial" w:cs="Arial"/>
          <w:sz w:val="24"/>
          <w:szCs w:val="24"/>
        </w:rPr>
        <w:t>s.</w:t>
      </w:r>
      <w:r w:rsidR="00464785" w:rsidRPr="008D0BD6">
        <w:rPr>
          <w:rFonts w:ascii="Arial" w:hAnsi="Arial" w:cs="Arial"/>
          <w:sz w:val="24"/>
          <w:szCs w:val="24"/>
        </w:rPr>
        <w:t xml:space="preserve"> </w:t>
      </w:r>
      <w:r w:rsidR="006329E1">
        <w:rPr>
          <w:rFonts w:ascii="Arial" w:hAnsi="Arial" w:cs="Arial"/>
          <w:sz w:val="24"/>
          <w:szCs w:val="24"/>
        </w:rPr>
        <w:t xml:space="preserve"> </w:t>
      </w:r>
      <w:r w:rsidR="00464785" w:rsidRPr="008D0BD6">
        <w:rPr>
          <w:rFonts w:ascii="Arial" w:hAnsi="Arial" w:cs="Arial"/>
          <w:sz w:val="24"/>
          <w:szCs w:val="24"/>
        </w:rPr>
        <w:t>Due to this me</w:t>
      </w:r>
      <w:r w:rsidR="0094256B" w:rsidRPr="008D0BD6">
        <w:rPr>
          <w:rFonts w:ascii="Arial" w:hAnsi="Arial" w:cs="Arial"/>
          <w:sz w:val="24"/>
          <w:szCs w:val="24"/>
        </w:rPr>
        <w:t xml:space="preserve">thod of ratemaking, PGW did not consider that the administrative labor expense was recovered </w:t>
      </w:r>
      <w:r w:rsidR="001C0FDE" w:rsidRPr="008D0BD6">
        <w:rPr>
          <w:rFonts w:ascii="Arial" w:hAnsi="Arial" w:cs="Arial"/>
          <w:sz w:val="24"/>
          <w:szCs w:val="24"/>
        </w:rPr>
        <w:t>through</w:t>
      </w:r>
      <w:r w:rsidR="0094256B" w:rsidRPr="008D0BD6">
        <w:rPr>
          <w:rFonts w:ascii="Arial" w:hAnsi="Arial" w:cs="Arial"/>
          <w:sz w:val="24"/>
          <w:szCs w:val="24"/>
        </w:rPr>
        <w:t xml:space="preserve"> both the base rates and the </w:t>
      </w:r>
      <w:r w:rsidR="00E44395">
        <w:rPr>
          <w:rFonts w:ascii="Arial" w:hAnsi="Arial" w:cs="Arial"/>
          <w:sz w:val="24"/>
          <w:szCs w:val="24"/>
        </w:rPr>
        <w:t xml:space="preserve">Universal Service </w:t>
      </w:r>
      <w:r w:rsidR="00894F26">
        <w:rPr>
          <w:rFonts w:ascii="Arial" w:hAnsi="Arial" w:cs="Arial"/>
          <w:sz w:val="24"/>
          <w:szCs w:val="24"/>
        </w:rPr>
        <w:t>a</w:t>
      </w:r>
      <w:r w:rsidR="00E44395">
        <w:rPr>
          <w:rFonts w:ascii="Arial" w:hAnsi="Arial" w:cs="Arial"/>
          <w:sz w:val="24"/>
          <w:szCs w:val="24"/>
        </w:rPr>
        <w:t>nd Energy Conservation Surcharge</w:t>
      </w:r>
      <w:r w:rsidR="00E44395" w:rsidRPr="008D0BD6" w:rsidDel="00E44395">
        <w:rPr>
          <w:rFonts w:ascii="Arial" w:hAnsi="Arial" w:cs="Arial"/>
          <w:sz w:val="24"/>
          <w:szCs w:val="24"/>
        </w:rPr>
        <w:t xml:space="preserve"> </w:t>
      </w:r>
      <w:r w:rsidR="001C0FDE" w:rsidRPr="008D0BD6">
        <w:rPr>
          <w:rFonts w:ascii="Arial" w:hAnsi="Arial" w:cs="Arial"/>
          <w:sz w:val="24"/>
          <w:szCs w:val="24"/>
        </w:rPr>
        <w:t>resulting in duplication of costs to ratepayers</w:t>
      </w:r>
      <w:r w:rsidR="0094256B" w:rsidRPr="008D0BD6">
        <w:rPr>
          <w:rFonts w:ascii="Arial" w:hAnsi="Arial" w:cs="Arial"/>
          <w:sz w:val="24"/>
          <w:szCs w:val="24"/>
        </w:rPr>
        <w:t>.</w:t>
      </w:r>
      <w:r w:rsidR="001F5DE4" w:rsidRPr="008D0BD6">
        <w:rPr>
          <w:rFonts w:ascii="Arial" w:hAnsi="Arial" w:cs="Arial"/>
          <w:sz w:val="24"/>
          <w:szCs w:val="24"/>
        </w:rPr>
        <w:t xml:space="preserve">  </w:t>
      </w:r>
    </w:p>
    <w:p w:rsidR="00693959" w:rsidRDefault="00693959" w:rsidP="00693959">
      <w:pPr>
        <w:rPr>
          <w:rFonts w:ascii="Arial" w:hAnsi="Arial" w:cs="Arial"/>
          <w:b/>
          <w:sz w:val="24"/>
          <w:szCs w:val="24"/>
          <w:u w:val="single"/>
        </w:rPr>
      </w:pPr>
    </w:p>
    <w:p w:rsidR="00693959" w:rsidRDefault="00693959" w:rsidP="00693959">
      <w:pPr>
        <w:rPr>
          <w:rFonts w:ascii="Arial" w:hAnsi="Arial" w:cs="Arial"/>
          <w:sz w:val="24"/>
          <w:szCs w:val="24"/>
        </w:rPr>
      </w:pPr>
      <w:r>
        <w:rPr>
          <w:rFonts w:ascii="Arial" w:hAnsi="Arial" w:cs="Arial"/>
          <w:b/>
          <w:sz w:val="24"/>
          <w:szCs w:val="24"/>
          <w:u w:val="single"/>
        </w:rPr>
        <w:t>R</w:t>
      </w:r>
      <w:r w:rsidR="006753EC">
        <w:rPr>
          <w:rFonts w:ascii="Arial" w:hAnsi="Arial" w:cs="Arial"/>
          <w:b/>
          <w:sz w:val="24"/>
          <w:szCs w:val="24"/>
          <w:u w:val="single"/>
        </w:rPr>
        <w:t>ecommendation</w:t>
      </w:r>
      <w:r>
        <w:rPr>
          <w:rFonts w:ascii="Arial" w:hAnsi="Arial" w:cs="Arial"/>
          <w:b/>
          <w:sz w:val="24"/>
          <w:szCs w:val="24"/>
          <w:u w:val="single"/>
        </w:rPr>
        <w:t>:</w:t>
      </w:r>
    </w:p>
    <w:p w:rsidR="00693959" w:rsidRDefault="00693959" w:rsidP="00693959">
      <w:pPr>
        <w:rPr>
          <w:rFonts w:ascii="Arial" w:hAnsi="Arial" w:cs="Arial"/>
          <w:sz w:val="24"/>
          <w:szCs w:val="24"/>
        </w:rPr>
      </w:pPr>
    </w:p>
    <w:p w:rsidR="00FB46E0" w:rsidRDefault="00693959" w:rsidP="00FB46E0">
      <w:pP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We recommend that PGW not be directed to make a refund of the $108,787 at this time.  We recommend that PGW clear</w:t>
      </w:r>
      <w:r w:rsidR="00FB46E0">
        <w:rPr>
          <w:rFonts w:ascii="Arial" w:hAnsi="Arial" w:cs="Arial"/>
          <w:sz w:val="24"/>
          <w:szCs w:val="24"/>
        </w:rPr>
        <w:t>l</w:t>
      </w:r>
      <w:r>
        <w:rPr>
          <w:rFonts w:ascii="Arial" w:hAnsi="Arial" w:cs="Arial"/>
          <w:sz w:val="24"/>
          <w:szCs w:val="24"/>
        </w:rPr>
        <w:t>y identify as a separate line item the administrative labor costs that</w:t>
      </w:r>
      <w:r w:rsidR="00FB46E0">
        <w:rPr>
          <w:rFonts w:ascii="Arial" w:hAnsi="Arial" w:cs="Arial"/>
          <w:sz w:val="24"/>
          <w:szCs w:val="24"/>
        </w:rPr>
        <w:t xml:space="preserve"> it proposes to recover through its Universal Service </w:t>
      </w:r>
      <w:r w:rsidR="00894F26">
        <w:rPr>
          <w:rFonts w:ascii="Arial" w:hAnsi="Arial" w:cs="Arial"/>
          <w:sz w:val="24"/>
          <w:szCs w:val="24"/>
        </w:rPr>
        <w:t>a</w:t>
      </w:r>
      <w:r w:rsidR="00FB46E0">
        <w:rPr>
          <w:rFonts w:ascii="Arial" w:hAnsi="Arial" w:cs="Arial"/>
          <w:sz w:val="24"/>
          <w:szCs w:val="24"/>
        </w:rPr>
        <w:t>nd Energy Conservation Surcharge, both projected and actual, in its next and all future 1307(</w:t>
      </w:r>
      <w:r w:rsidR="00BB6B18">
        <w:rPr>
          <w:rFonts w:ascii="Arial" w:hAnsi="Arial" w:cs="Arial"/>
          <w:sz w:val="24"/>
          <w:szCs w:val="24"/>
        </w:rPr>
        <w:t>f</w:t>
      </w:r>
      <w:r w:rsidR="00FB46E0">
        <w:rPr>
          <w:rFonts w:ascii="Arial" w:hAnsi="Arial" w:cs="Arial"/>
          <w:sz w:val="24"/>
          <w:szCs w:val="24"/>
        </w:rPr>
        <w:t>) filings.  This will provide parties to the proceedings the opportunity to participate in the determination of the recoverability of the prior administrative labor costs</w:t>
      </w:r>
      <w:r w:rsidR="00334B48">
        <w:rPr>
          <w:rFonts w:ascii="Arial" w:hAnsi="Arial" w:cs="Arial"/>
          <w:sz w:val="24"/>
          <w:szCs w:val="24"/>
        </w:rPr>
        <w:t xml:space="preserve"> recovered</w:t>
      </w:r>
      <w:r w:rsidR="00AB0834">
        <w:rPr>
          <w:rFonts w:ascii="Arial" w:hAnsi="Arial" w:cs="Arial"/>
          <w:sz w:val="24"/>
          <w:szCs w:val="24"/>
        </w:rPr>
        <w:t xml:space="preserve"> through the Universal Service </w:t>
      </w:r>
      <w:r w:rsidR="00894F26">
        <w:rPr>
          <w:rFonts w:ascii="Arial" w:hAnsi="Arial" w:cs="Arial"/>
          <w:sz w:val="24"/>
          <w:szCs w:val="24"/>
        </w:rPr>
        <w:t>a</w:t>
      </w:r>
      <w:r w:rsidR="00FB46E0">
        <w:rPr>
          <w:rFonts w:ascii="Arial" w:hAnsi="Arial" w:cs="Arial"/>
          <w:sz w:val="24"/>
          <w:szCs w:val="24"/>
        </w:rPr>
        <w:t xml:space="preserve">nd Energy Conservation Surcharge, as well </w:t>
      </w:r>
    </w:p>
    <w:p w:rsidR="00FB46E0" w:rsidRDefault="00FB46E0" w:rsidP="00FB46E0">
      <w:pPr>
        <w:rPr>
          <w:rFonts w:ascii="Arial" w:hAnsi="Arial" w:cs="Arial"/>
          <w:b/>
          <w:sz w:val="24"/>
          <w:szCs w:val="24"/>
          <w:u w:val="single"/>
        </w:rPr>
      </w:pPr>
    </w:p>
    <w:p w:rsidR="00FB46E0" w:rsidRDefault="00FB46E0" w:rsidP="00FB46E0">
      <w:pPr>
        <w:rPr>
          <w:rFonts w:ascii="Arial" w:hAnsi="Arial" w:cs="Arial"/>
          <w:b/>
          <w:sz w:val="24"/>
          <w:szCs w:val="24"/>
          <w:u w:val="single"/>
        </w:rPr>
      </w:pPr>
    </w:p>
    <w:p w:rsidR="00FB46E0" w:rsidRPr="00BF0DF1" w:rsidRDefault="00FB46E0" w:rsidP="00FB46E0">
      <w:pPr>
        <w:jc w:val="center"/>
        <w:rPr>
          <w:rFonts w:ascii="Arial" w:hAnsi="Arial" w:cs="Arial"/>
          <w:b/>
          <w:sz w:val="26"/>
          <w:szCs w:val="26"/>
          <w:u w:val="single"/>
        </w:rPr>
      </w:pPr>
      <w:r w:rsidRPr="00BF0DF1">
        <w:rPr>
          <w:rFonts w:ascii="Arial" w:hAnsi="Arial" w:cs="Arial"/>
          <w:b/>
          <w:sz w:val="26"/>
          <w:szCs w:val="26"/>
          <w:u w:val="single"/>
        </w:rPr>
        <w:t>PHILADELPHIA GAS WORKS</w:t>
      </w:r>
    </w:p>
    <w:p w:rsidR="00FB46E0" w:rsidRPr="00051545" w:rsidRDefault="00FB46E0" w:rsidP="00FB46E0">
      <w:pPr>
        <w:rPr>
          <w:rFonts w:ascii="Arial" w:hAnsi="Arial" w:cs="Arial"/>
          <w:b/>
          <w:sz w:val="26"/>
          <w:szCs w:val="26"/>
          <w:u w:val="single"/>
        </w:rPr>
      </w:pPr>
    </w:p>
    <w:p w:rsidR="00FB46E0" w:rsidRDefault="005E6004" w:rsidP="00FB46E0">
      <w:pPr>
        <w:ind w:left="1728" w:hanging="1728"/>
        <w:jc w:val="center"/>
        <w:rPr>
          <w:rFonts w:ascii="Arial" w:hAnsi="Arial" w:cs="Arial"/>
          <w:b/>
          <w:sz w:val="24"/>
          <w:szCs w:val="24"/>
          <w:u w:val="single"/>
        </w:rPr>
      </w:pPr>
      <w:r>
        <w:rPr>
          <w:rFonts w:ascii="Arial" w:hAnsi="Arial" w:cs="Arial"/>
          <w:b/>
          <w:sz w:val="24"/>
          <w:szCs w:val="24"/>
          <w:u w:val="single"/>
        </w:rPr>
        <w:t>Disposition of Prior Year’s</w:t>
      </w:r>
      <w:r w:rsidR="00FB46E0" w:rsidRPr="008D0BD6">
        <w:rPr>
          <w:rFonts w:ascii="Arial" w:hAnsi="Arial" w:cs="Arial"/>
          <w:b/>
          <w:sz w:val="24"/>
          <w:szCs w:val="24"/>
          <w:u w:val="single"/>
        </w:rPr>
        <w:t xml:space="preserve"> Audit Finding</w:t>
      </w:r>
      <w:r w:rsidR="00FB46E0">
        <w:rPr>
          <w:rFonts w:ascii="Arial" w:hAnsi="Arial" w:cs="Arial"/>
          <w:b/>
          <w:sz w:val="24"/>
          <w:szCs w:val="24"/>
          <w:u w:val="single"/>
        </w:rPr>
        <w:t xml:space="preserve"> (Continued)</w:t>
      </w:r>
    </w:p>
    <w:p w:rsidR="00FB46E0" w:rsidRDefault="00FB46E0" w:rsidP="00FB46E0">
      <w:pPr>
        <w:ind w:left="1728" w:hanging="1728"/>
        <w:jc w:val="center"/>
        <w:rPr>
          <w:rFonts w:ascii="Arial" w:hAnsi="Arial" w:cs="Arial"/>
          <w:b/>
          <w:sz w:val="24"/>
          <w:szCs w:val="24"/>
          <w:u w:val="single"/>
        </w:rPr>
      </w:pPr>
    </w:p>
    <w:p w:rsidR="00FB46E0" w:rsidRPr="008D0BD6" w:rsidRDefault="00FB46E0" w:rsidP="00FB46E0">
      <w:pPr>
        <w:ind w:left="1728" w:hanging="1728"/>
        <w:jc w:val="center"/>
        <w:rPr>
          <w:rFonts w:ascii="Arial" w:hAnsi="Arial" w:cs="Arial"/>
          <w:b/>
          <w:sz w:val="24"/>
          <w:szCs w:val="24"/>
          <w:u w:val="single"/>
        </w:rPr>
      </w:pPr>
    </w:p>
    <w:p w:rsidR="00B03583" w:rsidRPr="008D0BD6" w:rsidRDefault="00334B48" w:rsidP="00FB46E0">
      <w:pPr>
        <w:rPr>
          <w:rFonts w:ascii="Arial" w:hAnsi="Arial" w:cs="Arial"/>
          <w:b/>
          <w:sz w:val="24"/>
          <w:szCs w:val="24"/>
          <w:u w:val="single"/>
        </w:rPr>
      </w:pPr>
      <w:r>
        <w:rPr>
          <w:rFonts w:ascii="Arial" w:hAnsi="Arial" w:cs="Arial"/>
          <w:sz w:val="24"/>
          <w:szCs w:val="24"/>
        </w:rPr>
        <w:t>as future recoverability</w:t>
      </w:r>
      <w:r w:rsidRPr="00334B48">
        <w:rPr>
          <w:rFonts w:ascii="Arial" w:hAnsi="Arial" w:cs="Arial"/>
          <w:sz w:val="24"/>
          <w:szCs w:val="24"/>
        </w:rPr>
        <w:t xml:space="preserve"> </w:t>
      </w:r>
      <w:r>
        <w:rPr>
          <w:rFonts w:ascii="Arial" w:hAnsi="Arial" w:cs="Arial"/>
          <w:sz w:val="24"/>
          <w:szCs w:val="24"/>
        </w:rPr>
        <w:t xml:space="preserve">of the costs going forward.  The audit report will also be provided to the Bureau of </w:t>
      </w:r>
      <w:r w:rsidR="00FB46E0">
        <w:rPr>
          <w:rFonts w:ascii="Arial" w:hAnsi="Arial" w:cs="Arial"/>
          <w:sz w:val="24"/>
          <w:szCs w:val="24"/>
        </w:rPr>
        <w:t>Investigation and Enforcement for whatever action they deem appropriate.</w:t>
      </w:r>
      <w:r w:rsidR="00FB46E0" w:rsidRPr="008D0BD6">
        <w:rPr>
          <w:rFonts w:ascii="Arial" w:hAnsi="Arial" w:cs="Arial"/>
          <w:b/>
          <w:sz w:val="24"/>
          <w:szCs w:val="24"/>
          <w:u w:val="single"/>
        </w:rPr>
        <w:t xml:space="preserve"> </w:t>
      </w:r>
    </w:p>
    <w:p w:rsidR="00B03583" w:rsidRPr="008D0BD6" w:rsidRDefault="00B03583" w:rsidP="00B03583">
      <w:pPr>
        <w:tabs>
          <w:tab w:val="left" w:pos="0"/>
          <w:tab w:val="left" w:pos="720"/>
        </w:tabs>
        <w:rPr>
          <w:rFonts w:ascii="Arial" w:hAnsi="Arial" w:cs="Arial"/>
          <w:sz w:val="24"/>
          <w:szCs w:val="24"/>
        </w:rPr>
      </w:pPr>
    </w:p>
    <w:p w:rsidR="000E4222" w:rsidRPr="00C8758C" w:rsidRDefault="002828E8" w:rsidP="0024348A">
      <w:pPr>
        <w:tabs>
          <w:tab w:val="left" w:pos="0"/>
          <w:tab w:val="left" w:pos="720"/>
        </w:tabs>
        <w:rPr>
          <w:rFonts w:ascii="Arial" w:hAnsi="Arial" w:cs="Arial"/>
          <w:sz w:val="24"/>
          <w:szCs w:val="24"/>
          <w:u w:val="single"/>
        </w:rPr>
      </w:pPr>
      <w:r w:rsidRPr="00C8758C">
        <w:rPr>
          <w:rFonts w:ascii="Arial" w:hAnsi="Arial" w:cs="Arial"/>
          <w:b/>
          <w:sz w:val="24"/>
          <w:szCs w:val="24"/>
          <w:u w:val="single"/>
        </w:rPr>
        <w:t>Company Response:</w:t>
      </w:r>
    </w:p>
    <w:p w:rsidR="000E4222" w:rsidRDefault="000E4222" w:rsidP="0024348A">
      <w:pPr>
        <w:tabs>
          <w:tab w:val="left" w:pos="0"/>
          <w:tab w:val="left" w:pos="720"/>
        </w:tabs>
        <w:rPr>
          <w:rFonts w:ascii="Arial" w:hAnsi="Arial" w:cs="Arial"/>
          <w:sz w:val="24"/>
          <w:szCs w:val="24"/>
        </w:rPr>
      </w:pPr>
    </w:p>
    <w:p w:rsidR="000E4222" w:rsidRDefault="000E4222" w:rsidP="0024348A">
      <w:pPr>
        <w:tabs>
          <w:tab w:val="left" w:pos="0"/>
          <w:tab w:val="left" w:pos="720"/>
        </w:tabs>
        <w:rPr>
          <w:rFonts w:ascii="Arial" w:hAnsi="Arial" w:cs="Arial"/>
          <w:sz w:val="24"/>
          <w:szCs w:val="24"/>
        </w:rPr>
      </w:pPr>
      <w:r>
        <w:rPr>
          <w:rFonts w:ascii="Arial" w:hAnsi="Arial" w:cs="Arial"/>
          <w:sz w:val="24"/>
          <w:szCs w:val="24"/>
        </w:rPr>
        <w:tab/>
        <w:t>The Company agrees with the recommendation and will reflect the</w:t>
      </w:r>
      <w:r w:rsidR="00BB6B18">
        <w:rPr>
          <w:rFonts w:ascii="Arial" w:hAnsi="Arial" w:cs="Arial"/>
          <w:sz w:val="24"/>
          <w:szCs w:val="24"/>
        </w:rPr>
        <w:t xml:space="preserve"> CWP and the</w:t>
      </w:r>
      <w:r>
        <w:rPr>
          <w:rFonts w:ascii="Arial" w:hAnsi="Arial" w:cs="Arial"/>
          <w:sz w:val="24"/>
          <w:szCs w:val="24"/>
        </w:rPr>
        <w:t xml:space="preserve"> ELIRP administrative costs as a separate line item in its next annual Universal Service </w:t>
      </w:r>
      <w:r w:rsidR="00894F26">
        <w:rPr>
          <w:rFonts w:ascii="Arial" w:hAnsi="Arial" w:cs="Arial"/>
          <w:sz w:val="24"/>
          <w:szCs w:val="24"/>
        </w:rPr>
        <w:t>a</w:t>
      </w:r>
      <w:r>
        <w:rPr>
          <w:rFonts w:ascii="Arial" w:hAnsi="Arial" w:cs="Arial"/>
          <w:sz w:val="24"/>
          <w:szCs w:val="24"/>
        </w:rPr>
        <w:t>nd Energy Conservation Surcharge filing.</w:t>
      </w:r>
    </w:p>
    <w:p w:rsidR="00F32C6F" w:rsidRDefault="00F32C6F" w:rsidP="0024348A">
      <w:pPr>
        <w:tabs>
          <w:tab w:val="left" w:pos="0"/>
          <w:tab w:val="left" w:pos="720"/>
        </w:tabs>
        <w:rPr>
          <w:rFonts w:ascii="Arial" w:hAnsi="Arial" w:cs="Arial"/>
          <w:sz w:val="24"/>
          <w:szCs w:val="24"/>
        </w:rPr>
      </w:pPr>
    </w:p>
    <w:p w:rsidR="00F32C6F" w:rsidRPr="00C8758C" w:rsidRDefault="00F32C6F" w:rsidP="0024348A">
      <w:pPr>
        <w:tabs>
          <w:tab w:val="left" w:pos="0"/>
          <w:tab w:val="left" w:pos="720"/>
        </w:tabs>
        <w:rPr>
          <w:rFonts w:ascii="Arial" w:hAnsi="Arial" w:cs="Arial"/>
          <w:b/>
          <w:sz w:val="24"/>
          <w:szCs w:val="24"/>
          <w:u w:val="single"/>
        </w:rPr>
      </w:pPr>
      <w:r w:rsidRPr="00C8758C">
        <w:rPr>
          <w:rFonts w:ascii="Arial" w:hAnsi="Arial" w:cs="Arial"/>
          <w:b/>
          <w:sz w:val="24"/>
          <w:szCs w:val="24"/>
          <w:u w:val="single"/>
        </w:rPr>
        <w:t>Disposition:</w:t>
      </w:r>
    </w:p>
    <w:p w:rsidR="00F32C6F" w:rsidRDefault="00F32C6F" w:rsidP="0024348A">
      <w:pPr>
        <w:tabs>
          <w:tab w:val="left" w:pos="0"/>
          <w:tab w:val="left" w:pos="720"/>
        </w:tabs>
        <w:rPr>
          <w:rFonts w:ascii="Arial" w:hAnsi="Arial" w:cs="Arial"/>
          <w:b/>
          <w:sz w:val="24"/>
          <w:szCs w:val="24"/>
        </w:rPr>
      </w:pPr>
    </w:p>
    <w:p w:rsidR="002828E8" w:rsidRPr="008D0BD6" w:rsidRDefault="00F32C6F" w:rsidP="0024348A">
      <w:pPr>
        <w:tabs>
          <w:tab w:val="left" w:pos="0"/>
          <w:tab w:val="left" w:pos="720"/>
        </w:tabs>
        <w:rPr>
          <w:rFonts w:ascii="Arial" w:hAnsi="Arial" w:cs="Arial"/>
          <w:b/>
          <w:sz w:val="24"/>
          <w:szCs w:val="24"/>
        </w:rPr>
      </w:pPr>
      <w:r>
        <w:rPr>
          <w:rFonts w:ascii="Arial" w:hAnsi="Arial" w:cs="Arial"/>
          <w:sz w:val="24"/>
          <w:szCs w:val="24"/>
        </w:rPr>
        <w:tab/>
        <w:t>The Company</w:t>
      </w:r>
      <w:r w:rsidR="000D6ECC">
        <w:rPr>
          <w:rFonts w:ascii="Arial" w:hAnsi="Arial" w:cs="Arial"/>
          <w:sz w:val="24"/>
          <w:szCs w:val="24"/>
        </w:rPr>
        <w:t xml:space="preserve"> began to report their CWP</w:t>
      </w:r>
      <w:r w:rsidR="006228F1">
        <w:rPr>
          <w:rFonts w:ascii="Arial" w:hAnsi="Arial" w:cs="Arial"/>
          <w:sz w:val="24"/>
          <w:szCs w:val="24"/>
        </w:rPr>
        <w:t>/</w:t>
      </w:r>
      <w:r w:rsidR="000D6ECC">
        <w:rPr>
          <w:rFonts w:ascii="Arial" w:hAnsi="Arial" w:cs="Arial"/>
          <w:sz w:val="24"/>
          <w:szCs w:val="24"/>
        </w:rPr>
        <w:t>ELIRP administrative</w:t>
      </w:r>
      <w:r w:rsidR="006228F1">
        <w:rPr>
          <w:rFonts w:ascii="Arial" w:hAnsi="Arial" w:cs="Arial"/>
          <w:sz w:val="24"/>
          <w:szCs w:val="24"/>
        </w:rPr>
        <w:t xml:space="preserve"> labor</w:t>
      </w:r>
      <w:r w:rsidR="007D06B9">
        <w:rPr>
          <w:rFonts w:ascii="Arial" w:hAnsi="Arial" w:cs="Arial"/>
          <w:sz w:val="24"/>
          <w:szCs w:val="24"/>
        </w:rPr>
        <w:t xml:space="preserve"> costs as</w:t>
      </w:r>
      <w:r w:rsidR="000D6ECC">
        <w:rPr>
          <w:rFonts w:ascii="Arial" w:hAnsi="Arial" w:cs="Arial"/>
          <w:sz w:val="24"/>
          <w:szCs w:val="24"/>
        </w:rPr>
        <w:t xml:space="preserve"> a separate line</w:t>
      </w:r>
      <w:r w:rsidR="007D06B9">
        <w:rPr>
          <w:rFonts w:ascii="Arial" w:hAnsi="Arial" w:cs="Arial"/>
          <w:sz w:val="24"/>
          <w:szCs w:val="24"/>
        </w:rPr>
        <w:t>-item</w:t>
      </w:r>
      <w:r w:rsidR="000D6ECC">
        <w:rPr>
          <w:rFonts w:ascii="Arial" w:hAnsi="Arial" w:cs="Arial"/>
          <w:sz w:val="24"/>
          <w:szCs w:val="24"/>
        </w:rPr>
        <w:t xml:space="preserve"> </w:t>
      </w:r>
      <w:r w:rsidR="009D0EA4">
        <w:rPr>
          <w:rFonts w:ascii="Arial" w:hAnsi="Arial" w:cs="Arial"/>
          <w:sz w:val="24"/>
          <w:szCs w:val="24"/>
        </w:rPr>
        <w:t xml:space="preserve">starting </w:t>
      </w:r>
      <w:r w:rsidR="000D6ECC">
        <w:rPr>
          <w:rFonts w:ascii="Arial" w:hAnsi="Arial" w:cs="Arial"/>
          <w:sz w:val="24"/>
          <w:szCs w:val="24"/>
        </w:rPr>
        <w:t>with their March 1, 2012 quarterly 1307(f) filing</w:t>
      </w:r>
      <w:r w:rsidR="006228F1">
        <w:rPr>
          <w:rFonts w:ascii="Arial" w:hAnsi="Arial" w:cs="Arial"/>
          <w:sz w:val="24"/>
          <w:szCs w:val="24"/>
        </w:rPr>
        <w:t>, schedule 9.</w:t>
      </w:r>
    </w:p>
    <w:p w:rsidR="0024348A" w:rsidRPr="008D0BD6" w:rsidRDefault="002828E8" w:rsidP="0024348A">
      <w:pPr>
        <w:tabs>
          <w:tab w:val="left" w:pos="0"/>
          <w:tab w:val="left" w:pos="720"/>
        </w:tabs>
        <w:rPr>
          <w:rFonts w:ascii="Arial" w:hAnsi="Arial" w:cs="Arial"/>
          <w:sz w:val="24"/>
          <w:szCs w:val="24"/>
        </w:rPr>
      </w:pPr>
      <w:r w:rsidRPr="008D0BD6">
        <w:rPr>
          <w:rFonts w:ascii="Arial" w:hAnsi="Arial" w:cs="Arial"/>
          <w:b/>
          <w:sz w:val="24"/>
          <w:szCs w:val="24"/>
        </w:rPr>
        <w:tab/>
      </w:r>
    </w:p>
    <w:p w:rsidR="00E9506C" w:rsidRDefault="00E9506C">
      <w:pPr>
        <w:rPr>
          <w:rFonts w:ascii="Arial" w:hAnsi="Arial" w:cs="Arial"/>
          <w:b/>
          <w:sz w:val="28"/>
          <w:szCs w:val="28"/>
          <w:u w:val="single"/>
        </w:rPr>
      </w:pPr>
      <w:r>
        <w:rPr>
          <w:rFonts w:ascii="Arial" w:hAnsi="Arial" w:cs="Arial"/>
          <w:b/>
          <w:sz w:val="28"/>
          <w:szCs w:val="28"/>
          <w:u w:val="single"/>
        </w:rPr>
        <w:br w:type="page"/>
      </w:r>
    </w:p>
    <w:p w:rsidR="00EC58EA" w:rsidRPr="00840B5C" w:rsidRDefault="00EC58EA" w:rsidP="00250D09">
      <w:pPr>
        <w:tabs>
          <w:tab w:val="left" w:pos="720"/>
        </w:tabs>
        <w:jc w:val="center"/>
        <w:rPr>
          <w:rFonts w:ascii="Arial" w:hAnsi="Arial" w:cs="Arial"/>
          <w:sz w:val="24"/>
          <w:szCs w:val="24"/>
        </w:rPr>
      </w:pPr>
      <w:r w:rsidRPr="00840B5C">
        <w:rPr>
          <w:rFonts w:ascii="Arial" w:hAnsi="Arial" w:cs="Arial"/>
          <w:b/>
          <w:sz w:val="24"/>
          <w:szCs w:val="24"/>
          <w:u w:val="single"/>
        </w:rPr>
        <w:lastRenderedPageBreak/>
        <w:t>ACKNOWLEDGEMENTS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w:t>
      </w:r>
      <w:r w:rsidR="009D0EA4">
        <w:rPr>
          <w:rFonts w:ascii="Arial" w:hAnsi="Arial" w:cs="Arial"/>
          <w:sz w:val="24"/>
          <w:szCs w:val="24"/>
        </w:rPr>
        <w:t xml:space="preserve">to </w:t>
      </w:r>
      <w:r w:rsidRPr="00E32D70">
        <w:rPr>
          <w:rFonts w:ascii="Arial" w:hAnsi="Arial" w:cs="Arial"/>
          <w:sz w:val="24"/>
          <w:szCs w:val="24"/>
        </w:rPr>
        <w:t xml:space="preserve">us during the course of our examination.  The audit was conducted by </w:t>
      </w:r>
      <w:r w:rsidR="002D5DEB">
        <w:rPr>
          <w:rFonts w:ascii="Arial" w:hAnsi="Arial" w:cs="Arial"/>
          <w:sz w:val="24"/>
          <w:szCs w:val="24"/>
        </w:rPr>
        <w:t>Robert M. Keen CPA</w:t>
      </w:r>
      <w:r w:rsidRPr="00E32D70">
        <w:rPr>
          <w:rFonts w:ascii="Arial" w:hAnsi="Arial" w:cs="Arial"/>
          <w:sz w:val="24"/>
          <w:szCs w:val="24"/>
        </w:rPr>
        <w:t xml:space="preserve">, assisted by </w:t>
      </w:r>
      <w:r w:rsidR="00666457">
        <w:rPr>
          <w:rFonts w:ascii="Arial" w:hAnsi="Arial" w:cs="Arial"/>
          <w:sz w:val="24"/>
          <w:szCs w:val="24"/>
        </w:rPr>
        <w:t>Joseph J.</w:t>
      </w:r>
      <w:r w:rsidRPr="00E32D70">
        <w:rPr>
          <w:rFonts w:ascii="Arial" w:hAnsi="Arial" w:cs="Arial"/>
          <w:sz w:val="24"/>
          <w:szCs w:val="24"/>
        </w:rPr>
        <w:t xml:space="preserve"> </w:t>
      </w:r>
      <w:r w:rsidR="00666457">
        <w:rPr>
          <w:rFonts w:ascii="Arial" w:hAnsi="Arial" w:cs="Arial"/>
          <w:sz w:val="24"/>
          <w:szCs w:val="24"/>
        </w:rPr>
        <w:t>McGrory</w:t>
      </w:r>
      <w:r w:rsidRPr="00E32D70">
        <w:rPr>
          <w:rFonts w:ascii="Arial" w:hAnsi="Arial" w:cs="Arial"/>
          <w:sz w:val="24"/>
          <w:szCs w:val="24"/>
        </w:rPr>
        <w:t>.</w:t>
      </w:r>
    </w:p>
    <w:sectPr w:rsidR="00EC58EA" w:rsidRPr="00E32D70" w:rsidSect="00263F05">
      <w:headerReference w:type="even" r:id="rId32"/>
      <w:headerReference w:type="default" r:id="rId33"/>
      <w:headerReference w:type="first" r:id="rId34"/>
      <w:pgSz w:w="12240" w:h="15840" w:code="1"/>
      <w:pgMar w:top="1440" w:right="1440" w:bottom="1440" w:left="1440" w:header="0" w:footer="720" w:gutter="0"/>
      <w:pgNumType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19" w:rsidRDefault="00A23219">
      <w:r>
        <w:separator/>
      </w:r>
    </w:p>
  </w:endnote>
  <w:endnote w:type="continuationSeparator" w:id="0">
    <w:p w:rsidR="00A23219" w:rsidRDefault="00A2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32" w:rsidRDefault="00DF2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5A1" w:rsidRDefault="00AE35A1" w:rsidP="00AE35A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61657"/>
      <w:docPartObj>
        <w:docPartGallery w:val="Page Numbers (Bottom of Page)"/>
        <w:docPartUnique/>
      </w:docPartObj>
    </w:sdtPr>
    <w:sdtEndPr>
      <w:rPr>
        <w:rFonts w:ascii="Arial" w:hAnsi="Arial" w:cs="Arial"/>
        <w:sz w:val="24"/>
        <w:szCs w:val="24"/>
      </w:rPr>
    </w:sdtEndPr>
    <w:sdtContent>
      <w:p w:rsidR="001607D5" w:rsidRPr="00E14488" w:rsidRDefault="001607D5">
        <w:pPr>
          <w:pStyle w:val="Footer"/>
          <w:jc w:val="center"/>
          <w:rPr>
            <w:rFonts w:ascii="Arial" w:hAnsi="Arial" w:cs="Arial"/>
            <w:sz w:val="24"/>
            <w:szCs w:val="24"/>
          </w:rPr>
        </w:pPr>
        <w:r w:rsidRPr="00E14488">
          <w:rPr>
            <w:rFonts w:ascii="Arial" w:hAnsi="Arial" w:cs="Arial"/>
            <w:sz w:val="24"/>
            <w:szCs w:val="24"/>
          </w:rPr>
          <w:fldChar w:fldCharType="begin"/>
        </w:r>
        <w:r w:rsidRPr="00E14488">
          <w:rPr>
            <w:rFonts w:ascii="Arial" w:hAnsi="Arial" w:cs="Arial"/>
            <w:sz w:val="24"/>
            <w:szCs w:val="24"/>
          </w:rPr>
          <w:instrText xml:space="preserve"> PAGE   \* MERGEFORMAT </w:instrText>
        </w:r>
        <w:r w:rsidRPr="00E14488">
          <w:rPr>
            <w:rFonts w:ascii="Arial" w:hAnsi="Arial" w:cs="Arial"/>
            <w:sz w:val="24"/>
            <w:szCs w:val="24"/>
          </w:rPr>
          <w:fldChar w:fldCharType="separate"/>
        </w:r>
        <w:r w:rsidR="002242D8">
          <w:rPr>
            <w:rFonts w:ascii="Arial" w:hAnsi="Arial" w:cs="Arial"/>
            <w:noProof/>
            <w:sz w:val="24"/>
            <w:szCs w:val="24"/>
          </w:rPr>
          <w:t>4</w:t>
        </w:r>
        <w:r w:rsidRPr="00E14488">
          <w:rPr>
            <w:rFonts w:ascii="Arial" w:hAnsi="Arial" w:cs="Arial"/>
            <w:sz w:val="24"/>
            <w:szCs w:val="24"/>
          </w:rPr>
          <w:fldChar w:fldCharType="end"/>
        </w:r>
      </w:p>
    </w:sdtContent>
  </w:sdt>
  <w:p w:rsidR="00C86343" w:rsidRPr="00E14488" w:rsidRDefault="00C86343" w:rsidP="00E14488">
    <w:pPr>
      <w:pStyle w:val="Foote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64903"/>
      <w:docPartObj>
        <w:docPartGallery w:val="Page Numbers (Bottom of Page)"/>
        <w:docPartUnique/>
      </w:docPartObj>
    </w:sdtPr>
    <w:sdtEndPr>
      <w:rPr>
        <w:rFonts w:ascii="Arial" w:hAnsi="Arial" w:cs="Arial"/>
        <w:noProof/>
        <w:sz w:val="24"/>
        <w:szCs w:val="24"/>
      </w:rPr>
    </w:sdtEndPr>
    <w:sdtContent>
      <w:p w:rsidR="002A533A" w:rsidRPr="005D2141" w:rsidRDefault="002A533A">
        <w:pPr>
          <w:pStyle w:val="Footer"/>
          <w:jc w:val="center"/>
          <w:rPr>
            <w:rFonts w:ascii="Arial" w:hAnsi="Arial" w:cs="Arial"/>
            <w:sz w:val="24"/>
            <w:szCs w:val="24"/>
          </w:rPr>
        </w:pPr>
        <w:r w:rsidRPr="005D2141">
          <w:rPr>
            <w:rFonts w:ascii="Arial" w:hAnsi="Arial" w:cs="Arial"/>
            <w:sz w:val="24"/>
            <w:szCs w:val="24"/>
          </w:rPr>
          <w:fldChar w:fldCharType="begin"/>
        </w:r>
        <w:r w:rsidRPr="005D2141">
          <w:rPr>
            <w:rFonts w:ascii="Arial" w:hAnsi="Arial" w:cs="Arial"/>
            <w:sz w:val="24"/>
            <w:szCs w:val="24"/>
          </w:rPr>
          <w:instrText xml:space="preserve"> PAGE   \* MERGEFORMAT </w:instrText>
        </w:r>
        <w:r w:rsidRPr="005D2141">
          <w:rPr>
            <w:rFonts w:ascii="Arial" w:hAnsi="Arial" w:cs="Arial"/>
            <w:sz w:val="24"/>
            <w:szCs w:val="24"/>
          </w:rPr>
          <w:fldChar w:fldCharType="separate"/>
        </w:r>
        <w:r w:rsidR="002242D8">
          <w:rPr>
            <w:rFonts w:ascii="Arial" w:hAnsi="Arial" w:cs="Arial"/>
            <w:noProof/>
            <w:sz w:val="24"/>
            <w:szCs w:val="24"/>
          </w:rPr>
          <w:t>5</w:t>
        </w:r>
        <w:r w:rsidRPr="005D2141">
          <w:rPr>
            <w:rFonts w:ascii="Arial" w:hAnsi="Arial" w:cs="Arial"/>
            <w:noProof/>
            <w:sz w:val="24"/>
            <w:szCs w:val="24"/>
          </w:rPr>
          <w:fldChar w:fldCharType="end"/>
        </w:r>
      </w:p>
    </w:sdtContent>
  </w:sdt>
  <w:p w:rsidR="007F026A" w:rsidRPr="00263F05" w:rsidRDefault="007F026A" w:rsidP="00263F0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014" w:rsidRPr="00284A91" w:rsidRDefault="00907014" w:rsidP="00284A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19" w:rsidRDefault="00A23219">
      <w:r>
        <w:rPr>
          <w:sz w:val="24"/>
        </w:rPr>
        <w:separator/>
      </w:r>
    </w:p>
  </w:footnote>
  <w:footnote w:type="continuationSeparator" w:id="0">
    <w:p w:rsidR="00A23219" w:rsidRDefault="00A2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32" w:rsidRDefault="00DF21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907014" w:rsidRDefault="00C86343" w:rsidP="0090701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32" w:rsidRDefault="00DF21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32" w:rsidRDefault="00DF21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32D8523C"/>
    <w:multiLevelType w:val="hybridMultilevel"/>
    <w:tmpl w:val="1FD6B3A8"/>
    <w:lvl w:ilvl="0" w:tplc="E59893C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100B9"/>
    <w:rsid w:val="00021EFF"/>
    <w:rsid w:val="00025FA2"/>
    <w:rsid w:val="00026C48"/>
    <w:rsid w:val="0004362A"/>
    <w:rsid w:val="00046001"/>
    <w:rsid w:val="00051545"/>
    <w:rsid w:val="000532DA"/>
    <w:rsid w:val="00057A59"/>
    <w:rsid w:val="00062389"/>
    <w:rsid w:val="000633C1"/>
    <w:rsid w:val="0006368F"/>
    <w:rsid w:val="00065FC1"/>
    <w:rsid w:val="00067375"/>
    <w:rsid w:val="000710B1"/>
    <w:rsid w:val="000712BC"/>
    <w:rsid w:val="00071ED0"/>
    <w:rsid w:val="000725E8"/>
    <w:rsid w:val="00072B41"/>
    <w:rsid w:val="00076720"/>
    <w:rsid w:val="00083CAB"/>
    <w:rsid w:val="00083E3A"/>
    <w:rsid w:val="000922B7"/>
    <w:rsid w:val="00094E55"/>
    <w:rsid w:val="00095AE2"/>
    <w:rsid w:val="000A01C5"/>
    <w:rsid w:val="000A44C8"/>
    <w:rsid w:val="000A55CF"/>
    <w:rsid w:val="000A5B2F"/>
    <w:rsid w:val="000A6A45"/>
    <w:rsid w:val="000B2FFF"/>
    <w:rsid w:val="000B49E7"/>
    <w:rsid w:val="000C0AEA"/>
    <w:rsid w:val="000C2895"/>
    <w:rsid w:val="000D6ECC"/>
    <w:rsid w:val="000E3DF2"/>
    <w:rsid w:val="000E4222"/>
    <w:rsid w:val="000E506C"/>
    <w:rsid w:val="000E6C1C"/>
    <w:rsid w:val="000F4ADE"/>
    <w:rsid w:val="000F634D"/>
    <w:rsid w:val="000F7853"/>
    <w:rsid w:val="00102368"/>
    <w:rsid w:val="00107B06"/>
    <w:rsid w:val="00115624"/>
    <w:rsid w:val="001160F6"/>
    <w:rsid w:val="00121FA4"/>
    <w:rsid w:val="00127F65"/>
    <w:rsid w:val="00133F0E"/>
    <w:rsid w:val="00134BEB"/>
    <w:rsid w:val="00135F4E"/>
    <w:rsid w:val="0014208D"/>
    <w:rsid w:val="00145125"/>
    <w:rsid w:val="00153537"/>
    <w:rsid w:val="001607D5"/>
    <w:rsid w:val="00165DF7"/>
    <w:rsid w:val="0016795A"/>
    <w:rsid w:val="00170780"/>
    <w:rsid w:val="00171416"/>
    <w:rsid w:val="00171631"/>
    <w:rsid w:val="00171F95"/>
    <w:rsid w:val="00172C33"/>
    <w:rsid w:val="00180B59"/>
    <w:rsid w:val="00181737"/>
    <w:rsid w:val="00183D20"/>
    <w:rsid w:val="001849D4"/>
    <w:rsid w:val="0018653D"/>
    <w:rsid w:val="001866A8"/>
    <w:rsid w:val="0018674E"/>
    <w:rsid w:val="00191D62"/>
    <w:rsid w:val="00193303"/>
    <w:rsid w:val="001A278B"/>
    <w:rsid w:val="001A59C0"/>
    <w:rsid w:val="001B39E8"/>
    <w:rsid w:val="001B5F87"/>
    <w:rsid w:val="001B6BD3"/>
    <w:rsid w:val="001C0358"/>
    <w:rsid w:val="001C0FDE"/>
    <w:rsid w:val="001C742F"/>
    <w:rsid w:val="001D1C1B"/>
    <w:rsid w:val="001D4C6C"/>
    <w:rsid w:val="001F5DE4"/>
    <w:rsid w:val="001F6B1D"/>
    <w:rsid w:val="0020091A"/>
    <w:rsid w:val="00206E69"/>
    <w:rsid w:val="00207628"/>
    <w:rsid w:val="002111B5"/>
    <w:rsid w:val="00212CA5"/>
    <w:rsid w:val="002130B0"/>
    <w:rsid w:val="00220DDF"/>
    <w:rsid w:val="002225EB"/>
    <w:rsid w:val="00222A8E"/>
    <w:rsid w:val="002242D8"/>
    <w:rsid w:val="002269C6"/>
    <w:rsid w:val="00226EB2"/>
    <w:rsid w:val="0023542C"/>
    <w:rsid w:val="00236ED8"/>
    <w:rsid w:val="0024348A"/>
    <w:rsid w:val="00250D09"/>
    <w:rsid w:val="0025277C"/>
    <w:rsid w:val="00253A91"/>
    <w:rsid w:val="002560FA"/>
    <w:rsid w:val="002627D0"/>
    <w:rsid w:val="00263F05"/>
    <w:rsid w:val="00266297"/>
    <w:rsid w:val="00266671"/>
    <w:rsid w:val="00270F72"/>
    <w:rsid w:val="00274E4B"/>
    <w:rsid w:val="00276042"/>
    <w:rsid w:val="002774E4"/>
    <w:rsid w:val="002817DE"/>
    <w:rsid w:val="002828E8"/>
    <w:rsid w:val="00284A91"/>
    <w:rsid w:val="0028653E"/>
    <w:rsid w:val="00290DDE"/>
    <w:rsid w:val="00297C11"/>
    <w:rsid w:val="002A533A"/>
    <w:rsid w:val="002A6835"/>
    <w:rsid w:val="002C2982"/>
    <w:rsid w:val="002C5E34"/>
    <w:rsid w:val="002C7920"/>
    <w:rsid w:val="002D5DEB"/>
    <w:rsid w:val="002F270D"/>
    <w:rsid w:val="002F32AD"/>
    <w:rsid w:val="002F7950"/>
    <w:rsid w:val="00303FBF"/>
    <w:rsid w:val="00307C90"/>
    <w:rsid w:val="00311EFD"/>
    <w:rsid w:val="00312758"/>
    <w:rsid w:val="00315A4E"/>
    <w:rsid w:val="00320203"/>
    <w:rsid w:val="00326A88"/>
    <w:rsid w:val="00327E7A"/>
    <w:rsid w:val="0033091F"/>
    <w:rsid w:val="003316B7"/>
    <w:rsid w:val="00334404"/>
    <w:rsid w:val="00334B48"/>
    <w:rsid w:val="00340ED4"/>
    <w:rsid w:val="0034257A"/>
    <w:rsid w:val="003532DE"/>
    <w:rsid w:val="00356B91"/>
    <w:rsid w:val="00356CF0"/>
    <w:rsid w:val="00367F28"/>
    <w:rsid w:val="0037003C"/>
    <w:rsid w:val="003710D5"/>
    <w:rsid w:val="00371DDC"/>
    <w:rsid w:val="00373D2A"/>
    <w:rsid w:val="00374FB6"/>
    <w:rsid w:val="00376DD6"/>
    <w:rsid w:val="00380DEF"/>
    <w:rsid w:val="00382903"/>
    <w:rsid w:val="003858C7"/>
    <w:rsid w:val="00391485"/>
    <w:rsid w:val="0039211D"/>
    <w:rsid w:val="00392BBB"/>
    <w:rsid w:val="003976B0"/>
    <w:rsid w:val="003A2BEF"/>
    <w:rsid w:val="003B1E65"/>
    <w:rsid w:val="003C0BB7"/>
    <w:rsid w:val="003C4552"/>
    <w:rsid w:val="003C54A7"/>
    <w:rsid w:val="003D43E3"/>
    <w:rsid w:val="003E1DBC"/>
    <w:rsid w:val="003E29DF"/>
    <w:rsid w:val="003F495A"/>
    <w:rsid w:val="003F5511"/>
    <w:rsid w:val="00400894"/>
    <w:rsid w:val="004017BA"/>
    <w:rsid w:val="004021F0"/>
    <w:rsid w:val="00405669"/>
    <w:rsid w:val="00407B80"/>
    <w:rsid w:val="004106D8"/>
    <w:rsid w:val="0041125E"/>
    <w:rsid w:val="00411B9D"/>
    <w:rsid w:val="00416813"/>
    <w:rsid w:val="004227E7"/>
    <w:rsid w:val="00424006"/>
    <w:rsid w:val="0042485D"/>
    <w:rsid w:val="0042580B"/>
    <w:rsid w:val="00426EB2"/>
    <w:rsid w:val="00434A32"/>
    <w:rsid w:val="00436990"/>
    <w:rsid w:val="0044633C"/>
    <w:rsid w:val="00454826"/>
    <w:rsid w:val="0045486B"/>
    <w:rsid w:val="00454CCE"/>
    <w:rsid w:val="00464785"/>
    <w:rsid w:val="004648D9"/>
    <w:rsid w:val="00464EF5"/>
    <w:rsid w:val="0047343E"/>
    <w:rsid w:val="0048234E"/>
    <w:rsid w:val="004849E5"/>
    <w:rsid w:val="00491BF0"/>
    <w:rsid w:val="00492D5F"/>
    <w:rsid w:val="0049713D"/>
    <w:rsid w:val="004B22C9"/>
    <w:rsid w:val="004B5DDA"/>
    <w:rsid w:val="004C0E81"/>
    <w:rsid w:val="004C1D5F"/>
    <w:rsid w:val="004C4343"/>
    <w:rsid w:val="004C5477"/>
    <w:rsid w:val="004E1453"/>
    <w:rsid w:val="004E31D3"/>
    <w:rsid w:val="004E3A19"/>
    <w:rsid w:val="004E3EBA"/>
    <w:rsid w:val="004F0C6B"/>
    <w:rsid w:val="004F2DA6"/>
    <w:rsid w:val="005018AD"/>
    <w:rsid w:val="0050371C"/>
    <w:rsid w:val="00507913"/>
    <w:rsid w:val="005137DA"/>
    <w:rsid w:val="00522C2C"/>
    <w:rsid w:val="00534447"/>
    <w:rsid w:val="005367D5"/>
    <w:rsid w:val="00540945"/>
    <w:rsid w:val="00545E73"/>
    <w:rsid w:val="00551057"/>
    <w:rsid w:val="00551E63"/>
    <w:rsid w:val="005528AB"/>
    <w:rsid w:val="0055766F"/>
    <w:rsid w:val="00565D6E"/>
    <w:rsid w:val="00573E3C"/>
    <w:rsid w:val="00577D8D"/>
    <w:rsid w:val="00581625"/>
    <w:rsid w:val="00582AEC"/>
    <w:rsid w:val="0058492D"/>
    <w:rsid w:val="00590ABA"/>
    <w:rsid w:val="00591D89"/>
    <w:rsid w:val="0059597A"/>
    <w:rsid w:val="00595D6C"/>
    <w:rsid w:val="005A25FD"/>
    <w:rsid w:val="005A4DB0"/>
    <w:rsid w:val="005A5B75"/>
    <w:rsid w:val="005B25B7"/>
    <w:rsid w:val="005B6D2B"/>
    <w:rsid w:val="005C2241"/>
    <w:rsid w:val="005C31E4"/>
    <w:rsid w:val="005C4A0A"/>
    <w:rsid w:val="005D2141"/>
    <w:rsid w:val="005D3B56"/>
    <w:rsid w:val="005D564B"/>
    <w:rsid w:val="005E6004"/>
    <w:rsid w:val="005F34A4"/>
    <w:rsid w:val="005F4E5C"/>
    <w:rsid w:val="00601992"/>
    <w:rsid w:val="00604FFF"/>
    <w:rsid w:val="00605422"/>
    <w:rsid w:val="00614171"/>
    <w:rsid w:val="006141E6"/>
    <w:rsid w:val="006228F1"/>
    <w:rsid w:val="00625757"/>
    <w:rsid w:val="006329E1"/>
    <w:rsid w:val="00665D8C"/>
    <w:rsid w:val="00665E24"/>
    <w:rsid w:val="00666457"/>
    <w:rsid w:val="006752A3"/>
    <w:rsid w:val="006753EC"/>
    <w:rsid w:val="00675CC5"/>
    <w:rsid w:val="00680899"/>
    <w:rsid w:val="00687FA3"/>
    <w:rsid w:val="00693959"/>
    <w:rsid w:val="006951CC"/>
    <w:rsid w:val="00695746"/>
    <w:rsid w:val="00697026"/>
    <w:rsid w:val="006978C6"/>
    <w:rsid w:val="006A1920"/>
    <w:rsid w:val="006A3349"/>
    <w:rsid w:val="006A6AD0"/>
    <w:rsid w:val="006C2D70"/>
    <w:rsid w:val="006C4AC8"/>
    <w:rsid w:val="006C740F"/>
    <w:rsid w:val="006C7425"/>
    <w:rsid w:val="006D20E2"/>
    <w:rsid w:val="006D5702"/>
    <w:rsid w:val="006E58D2"/>
    <w:rsid w:val="006E7147"/>
    <w:rsid w:val="006F314C"/>
    <w:rsid w:val="006F3299"/>
    <w:rsid w:val="006F566D"/>
    <w:rsid w:val="006F7320"/>
    <w:rsid w:val="00703DC7"/>
    <w:rsid w:val="00707305"/>
    <w:rsid w:val="0072072A"/>
    <w:rsid w:val="0073324A"/>
    <w:rsid w:val="007445B8"/>
    <w:rsid w:val="00745DE1"/>
    <w:rsid w:val="00746443"/>
    <w:rsid w:val="00747E97"/>
    <w:rsid w:val="00752ECA"/>
    <w:rsid w:val="00755600"/>
    <w:rsid w:val="007621ED"/>
    <w:rsid w:val="00766003"/>
    <w:rsid w:val="00766447"/>
    <w:rsid w:val="0076760B"/>
    <w:rsid w:val="00770840"/>
    <w:rsid w:val="007708E8"/>
    <w:rsid w:val="0077232C"/>
    <w:rsid w:val="00781CE3"/>
    <w:rsid w:val="007906E6"/>
    <w:rsid w:val="00795B0B"/>
    <w:rsid w:val="007A14D7"/>
    <w:rsid w:val="007A1DB0"/>
    <w:rsid w:val="007A3806"/>
    <w:rsid w:val="007A6B2A"/>
    <w:rsid w:val="007A6E4F"/>
    <w:rsid w:val="007A793D"/>
    <w:rsid w:val="007A7FB4"/>
    <w:rsid w:val="007B1895"/>
    <w:rsid w:val="007C5F5D"/>
    <w:rsid w:val="007C71D9"/>
    <w:rsid w:val="007D06B9"/>
    <w:rsid w:val="007D5B2E"/>
    <w:rsid w:val="007E3B7B"/>
    <w:rsid w:val="007E3C85"/>
    <w:rsid w:val="007E7D51"/>
    <w:rsid w:val="007F026A"/>
    <w:rsid w:val="007F22F9"/>
    <w:rsid w:val="007F242D"/>
    <w:rsid w:val="007F7E13"/>
    <w:rsid w:val="00800B17"/>
    <w:rsid w:val="008016CC"/>
    <w:rsid w:val="008123E9"/>
    <w:rsid w:val="00815394"/>
    <w:rsid w:val="00822271"/>
    <w:rsid w:val="008241C6"/>
    <w:rsid w:val="0082666F"/>
    <w:rsid w:val="00827A4B"/>
    <w:rsid w:val="00827B39"/>
    <w:rsid w:val="00827E0A"/>
    <w:rsid w:val="00833633"/>
    <w:rsid w:val="00835625"/>
    <w:rsid w:val="0083596D"/>
    <w:rsid w:val="00840B5C"/>
    <w:rsid w:val="00850BDB"/>
    <w:rsid w:val="00851274"/>
    <w:rsid w:val="00852CC5"/>
    <w:rsid w:val="0085463D"/>
    <w:rsid w:val="008575A6"/>
    <w:rsid w:val="0086087D"/>
    <w:rsid w:val="0086109A"/>
    <w:rsid w:val="00861AAA"/>
    <w:rsid w:val="00861B71"/>
    <w:rsid w:val="00864D21"/>
    <w:rsid w:val="00873575"/>
    <w:rsid w:val="0087405A"/>
    <w:rsid w:val="00875368"/>
    <w:rsid w:val="008820FB"/>
    <w:rsid w:val="00894F26"/>
    <w:rsid w:val="008A4AA6"/>
    <w:rsid w:val="008A66CA"/>
    <w:rsid w:val="008B560F"/>
    <w:rsid w:val="008B6262"/>
    <w:rsid w:val="008C2021"/>
    <w:rsid w:val="008D0BD6"/>
    <w:rsid w:val="008D4B3B"/>
    <w:rsid w:val="008D4D2D"/>
    <w:rsid w:val="008E05DB"/>
    <w:rsid w:val="008E210C"/>
    <w:rsid w:val="008F2B79"/>
    <w:rsid w:val="008F5081"/>
    <w:rsid w:val="0090453B"/>
    <w:rsid w:val="00907014"/>
    <w:rsid w:val="0091029F"/>
    <w:rsid w:val="0091170D"/>
    <w:rsid w:val="0091182B"/>
    <w:rsid w:val="0091221E"/>
    <w:rsid w:val="0091445F"/>
    <w:rsid w:val="00922AC9"/>
    <w:rsid w:val="00924014"/>
    <w:rsid w:val="00926DF3"/>
    <w:rsid w:val="00926FF0"/>
    <w:rsid w:val="00933B61"/>
    <w:rsid w:val="0094256B"/>
    <w:rsid w:val="00942B5B"/>
    <w:rsid w:val="00943161"/>
    <w:rsid w:val="00950DFC"/>
    <w:rsid w:val="00960994"/>
    <w:rsid w:val="009668B4"/>
    <w:rsid w:val="00967A16"/>
    <w:rsid w:val="00975EB5"/>
    <w:rsid w:val="00976A67"/>
    <w:rsid w:val="00977514"/>
    <w:rsid w:val="00981A3D"/>
    <w:rsid w:val="00984081"/>
    <w:rsid w:val="0099013B"/>
    <w:rsid w:val="0099094B"/>
    <w:rsid w:val="00990D7B"/>
    <w:rsid w:val="00993693"/>
    <w:rsid w:val="00993777"/>
    <w:rsid w:val="009938BE"/>
    <w:rsid w:val="0099713F"/>
    <w:rsid w:val="009B10D5"/>
    <w:rsid w:val="009B4583"/>
    <w:rsid w:val="009B4689"/>
    <w:rsid w:val="009B4985"/>
    <w:rsid w:val="009B54DF"/>
    <w:rsid w:val="009C63F6"/>
    <w:rsid w:val="009D0EA4"/>
    <w:rsid w:val="009D76EB"/>
    <w:rsid w:val="009E095A"/>
    <w:rsid w:val="009E0ABF"/>
    <w:rsid w:val="009E6EC6"/>
    <w:rsid w:val="009E7981"/>
    <w:rsid w:val="009F1BF8"/>
    <w:rsid w:val="009F2ED7"/>
    <w:rsid w:val="009F6A59"/>
    <w:rsid w:val="00A03514"/>
    <w:rsid w:val="00A04024"/>
    <w:rsid w:val="00A0425B"/>
    <w:rsid w:val="00A05539"/>
    <w:rsid w:val="00A05740"/>
    <w:rsid w:val="00A1143A"/>
    <w:rsid w:val="00A210E4"/>
    <w:rsid w:val="00A222A3"/>
    <w:rsid w:val="00A22C97"/>
    <w:rsid w:val="00A23219"/>
    <w:rsid w:val="00A252DD"/>
    <w:rsid w:val="00A30CD0"/>
    <w:rsid w:val="00A334FB"/>
    <w:rsid w:val="00A355F6"/>
    <w:rsid w:val="00A46209"/>
    <w:rsid w:val="00A46E6E"/>
    <w:rsid w:val="00A62A84"/>
    <w:rsid w:val="00A75A66"/>
    <w:rsid w:val="00A846B4"/>
    <w:rsid w:val="00A86A65"/>
    <w:rsid w:val="00A908FD"/>
    <w:rsid w:val="00A936C0"/>
    <w:rsid w:val="00A96122"/>
    <w:rsid w:val="00AA6885"/>
    <w:rsid w:val="00AA78F1"/>
    <w:rsid w:val="00AB0834"/>
    <w:rsid w:val="00AB1510"/>
    <w:rsid w:val="00AB5D84"/>
    <w:rsid w:val="00AB66FB"/>
    <w:rsid w:val="00AC7515"/>
    <w:rsid w:val="00AD113F"/>
    <w:rsid w:val="00AE1737"/>
    <w:rsid w:val="00AE35A1"/>
    <w:rsid w:val="00AF26A9"/>
    <w:rsid w:val="00AF7525"/>
    <w:rsid w:val="00B03583"/>
    <w:rsid w:val="00B21319"/>
    <w:rsid w:val="00B30F62"/>
    <w:rsid w:val="00B66088"/>
    <w:rsid w:val="00B67006"/>
    <w:rsid w:val="00B70FD9"/>
    <w:rsid w:val="00B72436"/>
    <w:rsid w:val="00B75B88"/>
    <w:rsid w:val="00B906D6"/>
    <w:rsid w:val="00B907FB"/>
    <w:rsid w:val="00BA30B5"/>
    <w:rsid w:val="00BB0C3D"/>
    <w:rsid w:val="00BB6B18"/>
    <w:rsid w:val="00BD5B29"/>
    <w:rsid w:val="00BE2AD3"/>
    <w:rsid w:val="00BE6D81"/>
    <w:rsid w:val="00BE75C1"/>
    <w:rsid w:val="00BF0DF1"/>
    <w:rsid w:val="00C02B50"/>
    <w:rsid w:val="00C04224"/>
    <w:rsid w:val="00C122C6"/>
    <w:rsid w:val="00C148DE"/>
    <w:rsid w:val="00C15209"/>
    <w:rsid w:val="00C16F88"/>
    <w:rsid w:val="00C206DE"/>
    <w:rsid w:val="00C20F64"/>
    <w:rsid w:val="00C3173E"/>
    <w:rsid w:val="00C32AF1"/>
    <w:rsid w:val="00C33087"/>
    <w:rsid w:val="00C3432B"/>
    <w:rsid w:val="00C373FC"/>
    <w:rsid w:val="00C41B6C"/>
    <w:rsid w:val="00C41D73"/>
    <w:rsid w:val="00C45142"/>
    <w:rsid w:val="00C45CF7"/>
    <w:rsid w:val="00C46B82"/>
    <w:rsid w:val="00C5156F"/>
    <w:rsid w:val="00C525EA"/>
    <w:rsid w:val="00C55F1E"/>
    <w:rsid w:val="00C63EA6"/>
    <w:rsid w:val="00C64BA7"/>
    <w:rsid w:val="00C664D4"/>
    <w:rsid w:val="00C73B37"/>
    <w:rsid w:val="00C82A75"/>
    <w:rsid w:val="00C8604A"/>
    <w:rsid w:val="00C86343"/>
    <w:rsid w:val="00C8758C"/>
    <w:rsid w:val="00C93B6F"/>
    <w:rsid w:val="00C96BF5"/>
    <w:rsid w:val="00C97E71"/>
    <w:rsid w:val="00CA0DFC"/>
    <w:rsid w:val="00CA7729"/>
    <w:rsid w:val="00CB2881"/>
    <w:rsid w:val="00CB5930"/>
    <w:rsid w:val="00CB7D1C"/>
    <w:rsid w:val="00CC1D98"/>
    <w:rsid w:val="00CC1FE4"/>
    <w:rsid w:val="00CC5FE6"/>
    <w:rsid w:val="00CC617A"/>
    <w:rsid w:val="00CD2818"/>
    <w:rsid w:val="00CD2BC3"/>
    <w:rsid w:val="00CD7144"/>
    <w:rsid w:val="00CD7D73"/>
    <w:rsid w:val="00CE3214"/>
    <w:rsid w:val="00CE4C3C"/>
    <w:rsid w:val="00CE62DB"/>
    <w:rsid w:val="00CF3B16"/>
    <w:rsid w:val="00CF7D70"/>
    <w:rsid w:val="00D01A41"/>
    <w:rsid w:val="00D0219E"/>
    <w:rsid w:val="00D04417"/>
    <w:rsid w:val="00D13F0D"/>
    <w:rsid w:val="00D16893"/>
    <w:rsid w:val="00D175E4"/>
    <w:rsid w:val="00D2106E"/>
    <w:rsid w:val="00D21CDB"/>
    <w:rsid w:val="00D23B70"/>
    <w:rsid w:val="00D30409"/>
    <w:rsid w:val="00D348B9"/>
    <w:rsid w:val="00D35D46"/>
    <w:rsid w:val="00D40213"/>
    <w:rsid w:val="00D41A80"/>
    <w:rsid w:val="00D430AA"/>
    <w:rsid w:val="00D448C9"/>
    <w:rsid w:val="00D4609C"/>
    <w:rsid w:val="00D512D9"/>
    <w:rsid w:val="00D541E0"/>
    <w:rsid w:val="00D561C6"/>
    <w:rsid w:val="00D60292"/>
    <w:rsid w:val="00D6056D"/>
    <w:rsid w:val="00D63589"/>
    <w:rsid w:val="00D67623"/>
    <w:rsid w:val="00D712C2"/>
    <w:rsid w:val="00D733DA"/>
    <w:rsid w:val="00D747CF"/>
    <w:rsid w:val="00D74E9D"/>
    <w:rsid w:val="00D76201"/>
    <w:rsid w:val="00D94B72"/>
    <w:rsid w:val="00DB24B8"/>
    <w:rsid w:val="00DB2AFB"/>
    <w:rsid w:val="00DC1274"/>
    <w:rsid w:val="00DC13E7"/>
    <w:rsid w:val="00DC1BAC"/>
    <w:rsid w:val="00DC2DE4"/>
    <w:rsid w:val="00DC59C5"/>
    <w:rsid w:val="00DD4A28"/>
    <w:rsid w:val="00DD653E"/>
    <w:rsid w:val="00DE16CC"/>
    <w:rsid w:val="00DE410B"/>
    <w:rsid w:val="00DF04C7"/>
    <w:rsid w:val="00DF2132"/>
    <w:rsid w:val="00DF5868"/>
    <w:rsid w:val="00E01763"/>
    <w:rsid w:val="00E0563F"/>
    <w:rsid w:val="00E074AF"/>
    <w:rsid w:val="00E07E7F"/>
    <w:rsid w:val="00E14488"/>
    <w:rsid w:val="00E16219"/>
    <w:rsid w:val="00E17169"/>
    <w:rsid w:val="00E227CA"/>
    <w:rsid w:val="00E23F7B"/>
    <w:rsid w:val="00E32D70"/>
    <w:rsid w:val="00E365CC"/>
    <w:rsid w:val="00E42928"/>
    <w:rsid w:val="00E43408"/>
    <w:rsid w:val="00E44395"/>
    <w:rsid w:val="00E51A1B"/>
    <w:rsid w:val="00E51DFA"/>
    <w:rsid w:val="00E51F18"/>
    <w:rsid w:val="00E530A4"/>
    <w:rsid w:val="00E578CA"/>
    <w:rsid w:val="00E60F07"/>
    <w:rsid w:val="00E637C8"/>
    <w:rsid w:val="00E641A8"/>
    <w:rsid w:val="00E73E5A"/>
    <w:rsid w:val="00E80D6F"/>
    <w:rsid w:val="00E8312D"/>
    <w:rsid w:val="00E83A9A"/>
    <w:rsid w:val="00E862C2"/>
    <w:rsid w:val="00E916BA"/>
    <w:rsid w:val="00E9251D"/>
    <w:rsid w:val="00E9506C"/>
    <w:rsid w:val="00E97630"/>
    <w:rsid w:val="00EA26A5"/>
    <w:rsid w:val="00EA4852"/>
    <w:rsid w:val="00EB18D8"/>
    <w:rsid w:val="00EB1D65"/>
    <w:rsid w:val="00EB5495"/>
    <w:rsid w:val="00EC4A03"/>
    <w:rsid w:val="00EC58EA"/>
    <w:rsid w:val="00ED1514"/>
    <w:rsid w:val="00ED3D02"/>
    <w:rsid w:val="00ED471F"/>
    <w:rsid w:val="00ED4B18"/>
    <w:rsid w:val="00EE3FBC"/>
    <w:rsid w:val="00EF7B88"/>
    <w:rsid w:val="00F0057B"/>
    <w:rsid w:val="00F1331A"/>
    <w:rsid w:val="00F1725A"/>
    <w:rsid w:val="00F208ED"/>
    <w:rsid w:val="00F21F2B"/>
    <w:rsid w:val="00F2552C"/>
    <w:rsid w:val="00F2653B"/>
    <w:rsid w:val="00F30723"/>
    <w:rsid w:val="00F320BC"/>
    <w:rsid w:val="00F32C6F"/>
    <w:rsid w:val="00F40B1C"/>
    <w:rsid w:val="00F46EF1"/>
    <w:rsid w:val="00F52119"/>
    <w:rsid w:val="00F64CB4"/>
    <w:rsid w:val="00F67C2D"/>
    <w:rsid w:val="00F73D95"/>
    <w:rsid w:val="00F76D57"/>
    <w:rsid w:val="00F86D79"/>
    <w:rsid w:val="00F873B5"/>
    <w:rsid w:val="00F87A3B"/>
    <w:rsid w:val="00F97DC8"/>
    <w:rsid w:val="00FA0641"/>
    <w:rsid w:val="00FA1003"/>
    <w:rsid w:val="00FA3FA7"/>
    <w:rsid w:val="00FA5C59"/>
    <w:rsid w:val="00FA6CFA"/>
    <w:rsid w:val="00FB40B2"/>
    <w:rsid w:val="00FB46E0"/>
    <w:rsid w:val="00FC1A45"/>
    <w:rsid w:val="00FC40C3"/>
    <w:rsid w:val="00FC600A"/>
    <w:rsid w:val="00FC6399"/>
    <w:rsid w:val="00FC78A6"/>
    <w:rsid w:val="00FD6F3F"/>
    <w:rsid w:val="00FE147A"/>
    <w:rsid w:val="00FE7050"/>
    <w:rsid w:val="00FE755E"/>
    <w:rsid w:val="00FF125F"/>
    <w:rsid w:val="00FF3178"/>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0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6826B-0FEC-4D72-BDB2-09D5693C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Administrator</cp:lastModifiedBy>
  <cp:revision>54</cp:revision>
  <cp:lastPrinted>2012-05-23T12:02:00Z</cp:lastPrinted>
  <dcterms:created xsi:type="dcterms:W3CDTF">2012-03-06T18:58:00Z</dcterms:created>
  <dcterms:modified xsi:type="dcterms:W3CDTF">2013-07-31T13:19:00Z</dcterms:modified>
</cp:coreProperties>
</file>