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62EC8" w:rsidRDefault="00F514FB" w:rsidP="00D62EC8">
      <w:pPr>
        <w:widowControl/>
        <w:tabs>
          <w:tab w:val="center" w:pos="4680"/>
        </w:tabs>
        <w:suppressAutoHyphens/>
        <w:jc w:val="center"/>
        <w:rPr>
          <w:b/>
          <w:sz w:val="26"/>
          <w:szCs w:val="26"/>
        </w:rPr>
      </w:pPr>
      <w:r w:rsidRPr="00D62EC8">
        <w:rPr>
          <w:b/>
          <w:sz w:val="26"/>
          <w:szCs w:val="26"/>
        </w:rPr>
        <w:t>PENNSYLVANIA</w:t>
      </w:r>
    </w:p>
    <w:p w:rsidR="00F514FB" w:rsidRPr="00D62EC8" w:rsidRDefault="00F514FB" w:rsidP="00D62EC8">
      <w:pPr>
        <w:widowControl/>
        <w:tabs>
          <w:tab w:val="center" w:pos="4680"/>
        </w:tabs>
        <w:suppressAutoHyphens/>
        <w:jc w:val="center"/>
        <w:rPr>
          <w:sz w:val="26"/>
          <w:szCs w:val="26"/>
        </w:rPr>
      </w:pPr>
      <w:r w:rsidRPr="00D62EC8">
        <w:rPr>
          <w:b/>
          <w:sz w:val="26"/>
          <w:szCs w:val="26"/>
        </w:rPr>
        <w:t>PUBLIC UTILITY COMMISSION</w:t>
      </w:r>
    </w:p>
    <w:p w:rsidR="00F514FB" w:rsidRPr="00D62EC8" w:rsidRDefault="00F514FB" w:rsidP="00D62EC8">
      <w:pPr>
        <w:widowControl/>
        <w:tabs>
          <w:tab w:val="center" w:pos="4680"/>
        </w:tabs>
        <w:suppressAutoHyphens/>
        <w:jc w:val="center"/>
        <w:rPr>
          <w:sz w:val="26"/>
          <w:szCs w:val="26"/>
        </w:rPr>
      </w:pPr>
      <w:r w:rsidRPr="00D62EC8">
        <w:rPr>
          <w:b/>
          <w:sz w:val="26"/>
          <w:szCs w:val="26"/>
        </w:rPr>
        <w:t>Harrisburg, PA 17105-3265</w:t>
      </w:r>
    </w:p>
    <w:p w:rsidR="00F514FB" w:rsidRPr="00D62EC8" w:rsidRDefault="00F514FB" w:rsidP="00D62EC8">
      <w:pPr>
        <w:widowControl/>
        <w:tabs>
          <w:tab w:val="left" w:pos="-720"/>
        </w:tabs>
        <w:suppressAutoHyphens/>
        <w:rPr>
          <w:sz w:val="26"/>
          <w:szCs w:val="26"/>
        </w:rPr>
      </w:pPr>
    </w:p>
    <w:p w:rsidR="00F514FB" w:rsidRPr="00D62EC8" w:rsidRDefault="00F514FB" w:rsidP="00D62EC8">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D62EC8" w:rsidTr="00DE25AC">
        <w:tc>
          <w:tcPr>
            <w:tcW w:w="5058" w:type="dxa"/>
          </w:tcPr>
          <w:p w:rsidR="00F514FB" w:rsidRPr="00D62EC8" w:rsidRDefault="00F514FB" w:rsidP="00D62EC8">
            <w:pPr>
              <w:widowControl/>
              <w:rPr>
                <w:sz w:val="26"/>
                <w:szCs w:val="26"/>
              </w:rPr>
            </w:pPr>
          </w:p>
        </w:tc>
        <w:tc>
          <w:tcPr>
            <w:tcW w:w="4428" w:type="dxa"/>
          </w:tcPr>
          <w:p w:rsidR="00F514FB" w:rsidRPr="00D62EC8" w:rsidRDefault="00F514FB" w:rsidP="00D62EC8">
            <w:pPr>
              <w:widowControl/>
              <w:jc w:val="right"/>
              <w:rPr>
                <w:sz w:val="26"/>
                <w:szCs w:val="26"/>
              </w:rPr>
            </w:pPr>
            <w:r w:rsidRPr="00D62EC8">
              <w:rPr>
                <w:sz w:val="26"/>
                <w:szCs w:val="26"/>
              </w:rPr>
              <w:t xml:space="preserve">Public Meeting held </w:t>
            </w:r>
            <w:r w:rsidR="006006D7">
              <w:rPr>
                <w:sz w:val="26"/>
                <w:szCs w:val="26"/>
              </w:rPr>
              <w:t>August 15</w:t>
            </w:r>
            <w:r w:rsidR="00522604" w:rsidRPr="00D62EC8">
              <w:rPr>
                <w:sz w:val="26"/>
                <w:szCs w:val="26"/>
              </w:rPr>
              <w:t>, 2013</w:t>
            </w:r>
          </w:p>
          <w:p w:rsidR="00F514FB" w:rsidRPr="00D62EC8" w:rsidRDefault="00F514FB" w:rsidP="00D62EC8">
            <w:pPr>
              <w:widowControl/>
              <w:jc w:val="right"/>
              <w:rPr>
                <w:sz w:val="26"/>
                <w:szCs w:val="26"/>
              </w:rPr>
            </w:pPr>
          </w:p>
          <w:p w:rsidR="00F514FB" w:rsidRPr="00D62EC8" w:rsidRDefault="00F514FB" w:rsidP="00D62EC8">
            <w:pPr>
              <w:widowControl/>
              <w:jc w:val="right"/>
              <w:rPr>
                <w:sz w:val="26"/>
                <w:szCs w:val="26"/>
              </w:rPr>
            </w:pPr>
          </w:p>
        </w:tc>
      </w:tr>
      <w:tr w:rsidR="00F514FB" w:rsidRPr="00D62EC8" w:rsidTr="00522604">
        <w:tc>
          <w:tcPr>
            <w:tcW w:w="5058" w:type="dxa"/>
          </w:tcPr>
          <w:p w:rsidR="00F514FB" w:rsidRPr="00D62EC8" w:rsidRDefault="00F514FB" w:rsidP="00D62EC8">
            <w:pPr>
              <w:widowControl/>
              <w:rPr>
                <w:sz w:val="26"/>
                <w:szCs w:val="26"/>
              </w:rPr>
            </w:pPr>
            <w:r w:rsidRPr="00D62EC8">
              <w:rPr>
                <w:sz w:val="26"/>
                <w:szCs w:val="26"/>
              </w:rPr>
              <w:t>Commissioners Present:</w:t>
            </w:r>
          </w:p>
          <w:p w:rsidR="00F514FB" w:rsidRPr="00D62EC8" w:rsidRDefault="00F514FB" w:rsidP="00D62EC8">
            <w:pPr>
              <w:widowControl/>
              <w:rPr>
                <w:sz w:val="26"/>
                <w:szCs w:val="26"/>
              </w:rPr>
            </w:pPr>
          </w:p>
          <w:p w:rsidR="00F514FB" w:rsidRPr="00D62EC8" w:rsidRDefault="00F514FB" w:rsidP="00D62EC8">
            <w:pPr>
              <w:widowControl/>
              <w:tabs>
                <w:tab w:val="left" w:pos="705"/>
              </w:tabs>
              <w:ind w:firstLine="720"/>
              <w:rPr>
                <w:sz w:val="26"/>
                <w:szCs w:val="26"/>
              </w:rPr>
            </w:pPr>
            <w:r w:rsidRPr="00D62EC8">
              <w:rPr>
                <w:sz w:val="26"/>
                <w:szCs w:val="26"/>
              </w:rPr>
              <w:t>Robert F. Powelson, Chairman</w:t>
            </w:r>
          </w:p>
          <w:p w:rsidR="00F514FB" w:rsidRPr="00D62EC8" w:rsidRDefault="00F514FB" w:rsidP="00D62EC8">
            <w:pPr>
              <w:widowControl/>
              <w:tabs>
                <w:tab w:val="left" w:pos="705"/>
              </w:tabs>
              <w:ind w:firstLine="720"/>
              <w:rPr>
                <w:sz w:val="26"/>
                <w:szCs w:val="26"/>
              </w:rPr>
            </w:pPr>
            <w:r w:rsidRPr="00D62EC8">
              <w:rPr>
                <w:sz w:val="26"/>
                <w:szCs w:val="26"/>
              </w:rPr>
              <w:t>John F. Coleman, Jr., Vice Chairman</w:t>
            </w:r>
          </w:p>
          <w:p w:rsidR="00F514FB" w:rsidRPr="00D62EC8" w:rsidRDefault="00F514FB" w:rsidP="00D62EC8">
            <w:pPr>
              <w:widowControl/>
              <w:tabs>
                <w:tab w:val="left" w:pos="705"/>
              </w:tabs>
              <w:ind w:firstLine="720"/>
              <w:rPr>
                <w:sz w:val="26"/>
                <w:szCs w:val="26"/>
              </w:rPr>
            </w:pPr>
            <w:r w:rsidRPr="00D62EC8">
              <w:rPr>
                <w:sz w:val="26"/>
                <w:szCs w:val="26"/>
              </w:rPr>
              <w:t>Wayne E. Gardner</w:t>
            </w:r>
          </w:p>
          <w:p w:rsidR="00F514FB" w:rsidRPr="00D62EC8" w:rsidRDefault="00F514FB" w:rsidP="00D62EC8">
            <w:pPr>
              <w:widowControl/>
              <w:tabs>
                <w:tab w:val="left" w:pos="705"/>
              </w:tabs>
              <w:ind w:firstLine="720"/>
              <w:rPr>
                <w:sz w:val="26"/>
                <w:szCs w:val="26"/>
              </w:rPr>
            </w:pPr>
            <w:r w:rsidRPr="00D62EC8">
              <w:rPr>
                <w:sz w:val="26"/>
                <w:szCs w:val="26"/>
              </w:rPr>
              <w:t>James H. Cawley</w:t>
            </w:r>
          </w:p>
          <w:p w:rsidR="00F514FB" w:rsidRPr="00D62EC8" w:rsidRDefault="00F514FB" w:rsidP="00D62EC8">
            <w:pPr>
              <w:widowControl/>
              <w:tabs>
                <w:tab w:val="left" w:pos="705"/>
              </w:tabs>
              <w:ind w:firstLine="720"/>
              <w:rPr>
                <w:sz w:val="26"/>
                <w:szCs w:val="26"/>
              </w:rPr>
            </w:pPr>
            <w:r w:rsidRPr="00D62EC8">
              <w:rPr>
                <w:sz w:val="26"/>
                <w:szCs w:val="26"/>
              </w:rPr>
              <w:t>Pamela A. Witmer</w:t>
            </w:r>
          </w:p>
          <w:p w:rsidR="00F514FB" w:rsidRPr="00D62EC8" w:rsidRDefault="00F514FB" w:rsidP="00D62EC8">
            <w:pPr>
              <w:widowControl/>
              <w:rPr>
                <w:sz w:val="26"/>
                <w:szCs w:val="26"/>
              </w:rPr>
            </w:pPr>
          </w:p>
          <w:p w:rsidR="00F514FB" w:rsidRPr="00D62EC8" w:rsidRDefault="00F514FB" w:rsidP="00D62EC8">
            <w:pPr>
              <w:widowControl/>
              <w:rPr>
                <w:sz w:val="26"/>
                <w:szCs w:val="26"/>
              </w:rPr>
            </w:pPr>
          </w:p>
        </w:tc>
        <w:tc>
          <w:tcPr>
            <w:tcW w:w="4428" w:type="dxa"/>
          </w:tcPr>
          <w:p w:rsidR="00F514FB" w:rsidRPr="00D62EC8" w:rsidRDefault="00F514FB" w:rsidP="00D62EC8">
            <w:pPr>
              <w:widowControl/>
              <w:jc w:val="right"/>
              <w:rPr>
                <w:sz w:val="26"/>
                <w:szCs w:val="26"/>
              </w:rPr>
            </w:pPr>
          </w:p>
          <w:p w:rsidR="00F514FB" w:rsidRPr="00D62EC8" w:rsidRDefault="00F514FB" w:rsidP="00D62EC8">
            <w:pPr>
              <w:widowControl/>
              <w:jc w:val="right"/>
              <w:rPr>
                <w:sz w:val="26"/>
                <w:szCs w:val="26"/>
              </w:rPr>
            </w:pPr>
          </w:p>
        </w:tc>
      </w:tr>
      <w:tr w:rsidR="00F514FB" w:rsidRPr="00D62EC8" w:rsidTr="00DE25AC">
        <w:tc>
          <w:tcPr>
            <w:tcW w:w="5058" w:type="dxa"/>
          </w:tcPr>
          <w:p w:rsidR="00F514FB" w:rsidRPr="00D62EC8" w:rsidRDefault="00522604" w:rsidP="00D62EC8">
            <w:pPr>
              <w:widowControl/>
              <w:rPr>
                <w:sz w:val="26"/>
                <w:szCs w:val="26"/>
              </w:rPr>
            </w:pPr>
            <w:r w:rsidRPr="00D62EC8">
              <w:rPr>
                <w:sz w:val="26"/>
                <w:szCs w:val="26"/>
              </w:rPr>
              <w:t xml:space="preserve">James </w:t>
            </w:r>
            <w:r w:rsidR="00F850B5">
              <w:rPr>
                <w:sz w:val="26"/>
                <w:szCs w:val="26"/>
              </w:rPr>
              <w:t xml:space="preserve">E. </w:t>
            </w:r>
            <w:r w:rsidRPr="00D62EC8">
              <w:rPr>
                <w:sz w:val="26"/>
                <w:szCs w:val="26"/>
              </w:rPr>
              <w:t>Creehan</w:t>
            </w:r>
          </w:p>
          <w:p w:rsidR="00F514FB" w:rsidRPr="00D62EC8" w:rsidRDefault="00F514FB" w:rsidP="00D62EC8">
            <w:pPr>
              <w:widowControl/>
              <w:rPr>
                <w:sz w:val="26"/>
                <w:szCs w:val="26"/>
              </w:rPr>
            </w:pPr>
          </w:p>
        </w:tc>
        <w:tc>
          <w:tcPr>
            <w:tcW w:w="4428" w:type="dxa"/>
          </w:tcPr>
          <w:p w:rsidR="00F514FB" w:rsidRPr="00D62EC8" w:rsidRDefault="00522604" w:rsidP="00D62EC8">
            <w:pPr>
              <w:widowControl/>
              <w:jc w:val="right"/>
              <w:rPr>
                <w:sz w:val="26"/>
                <w:szCs w:val="26"/>
              </w:rPr>
            </w:pPr>
            <w:r w:rsidRPr="00D62EC8">
              <w:rPr>
                <w:sz w:val="26"/>
                <w:szCs w:val="26"/>
              </w:rPr>
              <w:t>C-2012-2297124</w:t>
            </w:r>
          </w:p>
        </w:tc>
      </w:tr>
      <w:tr w:rsidR="00F514FB" w:rsidRPr="00D62EC8" w:rsidTr="00DE25AC">
        <w:tc>
          <w:tcPr>
            <w:tcW w:w="5058" w:type="dxa"/>
          </w:tcPr>
          <w:p w:rsidR="00F514FB" w:rsidRPr="00D62EC8" w:rsidRDefault="00F514FB" w:rsidP="00D62EC8">
            <w:pPr>
              <w:widowControl/>
              <w:ind w:firstLine="1440"/>
              <w:rPr>
                <w:sz w:val="26"/>
                <w:szCs w:val="26"/>
              </w:rPr>
            </w:pPr>
            <w:r w:rsidRPr="00D62EC8">
              <w:rPr>
                <w:sz w:val="26"/>
                <w:szCs w:val="26"/>
              </w:rPr>
              <w:t>v.</w:t>
            </w:r>
          </w:p>
          <w:p w:rsidR="00F514FB" w:rsidRPr="00D62EC8" w:rsidRDefault="00F514FB" w:rsidP="00D62EC8">
            <w:pPr>
              <w:widowControl/>
              <w:ind w:firstLine="1440"/>
              <w:rPr>
                <w:sz w:val="26"/>
                <w:szCs w:val="26"/>
              </w:rPr>
            </w:pPr>
          </w:p>
        </w:tc>
        <w:tc>
          <w:tcPr>
            <w:tcW w:w="4428" w:type="dxa"/>
          </w:tcPr>
          <w:p w:rsidR="00F514FB" w:rsidRPr="00D62EC8" w:rsidRDefault="00F514FB" w:rsidP="00D62EC8">
            <w:pPr>
              <w:widowControl/>
              <w:rPr>
                <w:sz w:val="26"/>
                <w:szCs w:val="26"/>
              </w:rPr>
            </w:pPr>
          </w:p>
        </w:tc>
      </w:tr>
      <w:tr w:rsidR="00F514FB" w:rsidRPr="00D62EC8" w:rsidTr="00522604">
        <w:tc>
          <w:tcPr>
            <w:tcW w:w="5058" w:type="dxa"/>
          </w:tcPr>
          <w:p w:rsidR="00F514FB" w:rsidRPr="00D62EC8" w:rsidRDefault="00522604" w:rsidP="00D62EC8">
            <w:pPr>
              <w:widowControl/>
              <w:rPr>
                <w:sz w:val="26"/>
                <w:szCs w:val="26"/>
              </w:rPr>
            </w:pPr>
            <w:r w:rsidRPr="00D62EC8">
              <w:rPr>
                <w:sz w:val="26"/>
                <w:szCs w:val="26"/>
              </w:rPr>
              <w:t>Duquesne Light Company</w:t>
            </w:r>
          </w:p>
        </w:tc>
        <w:tc>
          <w:tcPr>
            <w:tcW w:w="4428" w:type="dxa"/>
          </w:tcPr>
          <w:p w:rsidR="00F514FB" w:rsidRPr="00D62EC8" w:rsidRDefault="00F514FB" w:rsidP="00D62EC8">
            <w:pPr>
              <w:widowControl/>
              <w:rPr>
                <w:sz w:val="26"/>
                <w:szCs w:val="26"/>
              </w:rPr>
            </w:pPr>
          </w:p>
        </w:tc>
      </w:tr>
    </w:tbl>
    <w:p w:rsidR="00F514FB" w:rsidRPr="00D62EC8" w:rsidRDefault="00F514FB" w:rsidP="00D62EC8">
      <w:pPr>
        <w:widowControl/>
        <w:rPr>
          <w:sz w:val="26"/>
          <w:szCs w:val="26"/>
        </w:rPr>
      </w:pPr>
    </w:p>
    <w:p w:rsidR="00F514FB" w:rsidRPr="00D62EC8" w:rsidRDefault="00F514FB" w:rsidP="00D62EC8">
      <w:pPr>
        <w:widowControl/>
        <w:rPr>
          <w:sz w:val="26"/>
          <w:szCs w:val="26"/>
        </w:rPr>
      </w:pPr>
    </w:p>
    <w:p w:rsidR="00F514FB" w:rsidRPr="00D62EC8" w:rsidRDefault="00F514FB" w:rsidP="00D62EC8">
      <w:pPr>
        <w:widowControl/>
        <w:jc w:val="center"/>
        <w:rPr>
          <w:b/>
          <w:sz w:val="26"/>
          <w:szCs w:val="26"/>
        </w:rPr>
      </w:pPr>
      <w:r w:rsidRPr="00D62EC8">
        <w:rPr>
          <w:b/>
          <w:sz w:val="26"/>
          <w:szCs w:val="26"/>
        </w:rPr>
        <w:t xml:space="preserve">OPINION </w:t>
      </w:r>
      <w:smartTag w:uri="urn:schemas-microsoft-com:office:smarttags" w:element="stockticker">
        <w:r w:rsidRPr="00D62EC8">
          <w:rPr>
            <w:b/>
            <w:sz w:val="26"/>
            <w:szCs w:val="26"/>
          </w:rPr>
          <w:t>AND</w:t>
        </w:r>
      </w:smartTag>
      <w:r w:rsidRPr="00D62EC8">
        <w:rPr>
          <w:b/>
          <w:sz w:val="26"/>
          <w:szCs w:val="26"/>
        </w:rPr>
        <w:t xml:space="preserve"> ORDER</w:t>
      </w:r>
    </w:p>
    <w:p w:rsidR="00F514FB" w:rsidRPr="00D62EC8" w:rsidRDefault="00F514FB" w:rsidP="00D62EC8">
      <w:pPr>
        <w:widowControl/>
        <w:jc w:val="center"/>
        <w:rPr>
          <w:b/>
          <w:sz w:val="26"/>
          <w:szCs w:val="26"/>
        </w:rPr>
      </w:pPr>
    </w:p>
    <w:p w:rsidR="00F514FB" w:rsidRPr="00D62EC8" w:rsidRDefault="00F514FB" w:rsidP="00D62EC8">
      <w:pPr>
        <w:widowControl/>
        <w:jc w:val="center"/>
        <w:rPr>
          <w:b/>
          <w:sz w:val="26"/>
          <w:szCs w:val="26"/>
        </w:rPr>
      </w:pPr>
    </w:p>
    <w:p w:rsidR="00F514FB" w:rsidRPr="00D62EC8" w:rsidRDefault="00F514FB" w:rsidP="00D62EC8">
      <w:pPr>
        <w:widowControl/>
        <w:rPr>
          <w:b/>
          <w:sz w:val="26"/>
          <w:szCs w:val="26"/>
        </w:rPr>
      </w:pPr>
      <w:r w:rsidRPr="00D62EC8">
        <w:rPr>
          <w:b/>
          <w:sz w:val="26"/>
          <w:szCs w:val="26"/>
        </w:rPr>
        <w:t>BY THE COMMISSION:</w:t>
      </w:r>
    </w:p>
    <w:p w:rsidR="00F514FB" w:rsidRPr="00D62EC8" w:rsidRDefault="00F514FB" w:rsidP="00D62EC8">
      <w:pPr>
        <w:widowControl/>
        <w:rPr>
          <w:sz w:val="26"/>
          <w:szCs w:val="26"/>
        </w:rPr>
      </w:pPr>
    </w:p>
    <w:p w:rsidR="00F514FB" w:rsidRPr="00D62EC8" w:rsidRDefault="00F514FB" w:rsidP="00D62EC8">
      <w:pPr>
        <w:widowControl/>
        <w:rPr>
          <w:sz w:val="26"/>
          <w:szCs w:val="26"/>
        </w:rPr>
      </w:pPr>
    </w:p>
    <w:p w:rsidR="00CA43A5" w:rsidRPr="00D62EC8" w:rsidRDefault="00CA43A5" w:rsidP="00F850B5">
      <w:pPr>
        <w:widowControl/>
        <w:spacing w:line="360" w:lineRule="auto"/>
        <w:ind w:firstLine="1440"/>
        <w:rPr>
          <w:sz w:val="26"/>
          <w:szCs w:val="26"/>
        </w:rPr>
      </w:pPr>
      <w:r w:rsidRPr="00D62EC8">
        <w:rPr>
          <w:sz w:val="26"/>
          <w:szCs w:val="26"/>
        </w:rPr>
        <w:t xml:space="preserve">Before the Pennsylvania Public Utility Commission (Commission) for consideration and disposition </w:t>
      </w:r>
      <w:r w:rsidR="00671E4C" w:rsidRPr="00D62EC8">
        <w:rPr>
          <w:color w:val="000000"/>
          <w:sz w:val="26"/>
          <w:szCs w:val="26"/>
        </w:rPr>
        <w:t xml:space="preserve">are the </w:t>
      </w:r>
      <w:r w:rsidR="007564EB">
        <w:rPr>
          <w:color w:val="000000"/>
          <w:sz w:val="26"/>
          <w:szCs w:val="26"/>
        </w:rPr>
        <w:t>Petition for Reconsideration (Petition)</w:t>
      </w:r>
      <w:r w:rsidR="00671E4C" w:rsidRPr="00D62EC8">
        <w:rPr>
          <w:color w:val="000000"/>
          <w:sz w:val="26"/>
          <w:szCs w:val="26"/>
        </w:rPr>
        <w:t xml:space="preserve"> of </w:t>
      </w:r>
      <w:r w:rsidR="00522604" w:rsidRPr="00D62EC8">
        <w:rPr>
          <w:color w:val="000000"/>
          <w:sz w:val="26"/>
          <w:szCs w:val="26"/>
        </w:rPr>
        <w:t xml:space="preserve">James </w:t>
      </w:r>
      <w:r w:rsidR="00F850B5">
        <w:rPr>
          <w:color w:val="000000"/>
          <w:sz w:val="26"/>
          <w:szCs w:val="26"/>
        </w:rPr>
        <w:t xml:space="preserve">E. </w:t>
      </w:r>
      <w:r w:rsidR="00522604" w:rsidRPr="00D62EC8">
        <w:rPr>
          <w:color w:val="000000"/>
          <w:sz w:val="26"/>
          <w:szCs w:val="26"/>
        </w:rPr>
        <w:t>Creehan</w:t>
      </w:r>
      <w:r w:rsidR="00671E4C" w:rsidRPr="00D62EC8">
        <w:rPr>
          <w:color w:val="000000"/>
          <w:sz w:val="26"/>
          <w:szCs w:val="26"/>
        </w:rPr>
        <w:t xml:space="preserve"> (</w:t>
      </w:r>
      <w:r w:rsidR="00522604" w:rsidRPr="00D62EC8">
        <w:rPr>
          <w:color w:val="000000"/>
          <w:sz w:val="26"/>
          <w:szCs w:val="26"/>
        </w:rPr>
        <w:t>Complainant</w:t>
      </w:r>
      <w:r w:rsidR="00671E4C" w:rsidRPr="00D62EC8">
        <w:rPr>
          <w:color w:val="000000"/>
          <w:sz w:val="26"/>
          <w:szCs w:val="26"/>
        </w:rPr>
        <w:t xml:space="preserve">) filed on </w:t>
      </w:r>
      <w:r w:rsidR="007564EB">
        <w:rPr>
          <w:color w:val="000000"/>
          <w:sz w:val="26"/>
          <w:szCs w:val="26"/>
        </w:rPr>
        <w:t>June 7</w:t>
      </w:r>
      <w:r w:rsidR="00522604" w:rsidRPr="00D62EC8">
        <w:rPr>
          <w:color w:val="000000"/>
          <w:sz w:val="26"/>
          <w:szCs w:val="26"/>
        </w:rPr>
        <w:t>,</w:t>
      </w:r>
      <w:r w:rsidR="007564EB">
        <w:rPr>
          <w:color w:val="000000"/>
          <w:sz w:val="26"/>
          <w:szCs w:val="26"/>
        </w:rPr>
        <w:t xml:space="preserve"> </w:t>
      </w:r>
      <w:r w:rsidR="00522604" w:rsidRPr="00D62EC8">
        <w:rPr>
          <w:color w:val="000000"/>
          <w:sz w:val="26"/>
          <w:szCs w:val="26"/>
        </w:rPr>
        <w:t>2013</w:t>
      </w:r>
      <w:r w:rsidR="00671E4C" w:rsidRPr="00D62EC8">
        <w:rPr>
          <w:color w:val="000000"/>
          <w:sz w:val="26"/>
          <w:szCs w:val="26"/>
        </w:rPr>
        <w:t xml:space="preserve">, </w:t>
      </w:r>
      <w:r w:rsidR="007564EB">
        <w:rPr>
          <w:color w:val="000000"/>
          <w:sz w:val="26"/>
          <w:szCs w:val="26"/>
        </w:rPr>
        <w:t xml:space="preserve">and the Answer to the Petition (Answer) </w:t>
      </w:r>
      <w:r w:rsidR="007564EB">
        <w:rPr>
          <w:color w:val="000000"/>
          <w:sz w:val="26"/>
          <w:szCs w:val="26"/>
        </w:rPr>
        <w:lastRenderedPageBreak/>
        <w:t>filed by Duquesne Light Company (Duquesne) on June 24, 2013</w:t>
      </w:r>
      <w:r w:rsidR="007564EB">
        <w:rPr>
          <w:rStyle w:val="FootnoteReference"/>
          <w:color w:val="000000"/>
          <w:sz w:val="26"/>
          <w:szCs w:val="26"/>
        </w:rPr>
        <w:footnoteReference w:id="1"/>
      </w:r>
      <w:r w:rsidR="007564EB">
        <w:rPr>
          <w:color w:val="000000"/>
          <w:sz w:val="26"/>
          <w:szCs w:val="26"/>
        </w:rPr>
        <w:t xml:space="preserve"> </w:t>
      </w:r>
      <w:r w:rsidR="00671E4C" w:rsidRPr="00D62EC8">
        <w:rPr>
          <w:color w:val="000000"/>
          <w:sz w:val="26"/>
          <w:szCs w:val="26"/>
        </w:rPr>
        <w:t>in the above-captioned proceeding.</w:t>
      </w:r>
      <w:r w:rsidR="007564EB">
        <w:rPr>
          <w:rStyle w:val="FootnoteReference"/>
          <w:color w:val="000000"/>
          <w:sz w:val="26"/>
          <w:szCs w:val="26"/>
        </w:rPr>
        <w:footnoteReference w:id="2"/>
      </w:r>
      <w:r w:rsidR="007564EB">
        <w:rPr>
          <w:color w:val="000000"/>
          <w:sz w:val="26"/>
          <w:szCs w:val="26"/>
        </w:rPr>
        <w:t xml:space="preserve">  </w:t>
      </w:r>
      <w:r w:rsidRPr="00D62EC8">
        <w:rPr>
          <w:sz w:val="26"/>
          <w:szCs w:val="26"/>
        </w:rPr>
        <w:t xml:space="preserve">For the reasons stated below, we </w:t>
      </w:r>
      <w:r w:rsidR="001D0BED" w:rsidRPr="00D62EC8">
        <w:rPr>
          <w:sz w:val="26"/>
          <w:szCs w:val="26"/>
        </w:rPr>
        <w:t xml:space="preserve">will </w:t>
      </w:r>
      <w:r w:rsidR="0017435A">
        <w:rPr>
          <w:sz w:val="26"/>
          <w:szCs w:val="26"/>
        </w:rPr>
        <w:t xml:space="preserve">deny the </w:t>
      </w:r>
      <w:r w:rsidR="007564EB">
        <w:rPr>
          <w:sz w:val="26"/>
          <w:szCs w:val="26"/>
        </w:rPr>
        <w:t>Petition</w:t>
      </w:r>
      <w:r w:rsidRPr="00D62EC8">
        <w:rPr>
          <w:sz w:val="26"/>
          <w:szCs w:val="26"/>
        </w:rPr>
        <w:t>.</w:t>
      </w:r>
    </w:p>
    <w:p w:rsidR="00CA43A5" w:rsidRPr="00D62EC8" w:rsidRDefault="00CA43A5" w:rsidP="00D62EC8">
      <w:pPr>
        <w:widowControl/>
        <w:spacing w:line="360" w:lineRule="auto"/>
        <w:rPr>
          <w:sz w:val="26"/>
          <w:szCs w:val="26"/>
        </w:rPr>
      </w:pPr>
    </w:p>
    <w:p w:rsidR="00CA43A5" w:rsidRPr="00D62EC8" w:rsidRDefault="00CA43A5" w:rsidP="00F850B5">
      <w:pPr>
        <w:keepNext/>
        <w:keepLines/>
        <w:widowControl/>
        <w:spacing w:line="360" w:lineRule="auto"/>
        <w:jc w:val="center"/>
        <w:rPr>
          <w:b/>
          <w:sz w:val="26"/>
          <w:szCs w:val="26"/>
        </w:rPr>
      </w:pPr>
      <w:bookmarkStart w:id="0" w:name="OLE_LINK1"/>
      <w:bookmarkStart w:id="1" w:name="OLE_LINK2"/>
      <w:r w:rsidRPr="00D62EC8">
        <w:rPr>
          <w:b/>
          <w:sz w:val="26"/>
          <w:szCs w:val="26"/>
        </w:rPr>
        <w:t>History of the Proceeding</w:t>
      </w:r>
    </w:p>
    <w:p w:rsidR="00D62EC8" w:rsidRPr="00D62EC8" w:rsidRDefault="00D62EC8" w:rsidP="00F850B5">
      <w:pPr>
        <w:keepNext/>
        <w:keepLines/>
        <w:widowControl/>
        <w:spacing w:line="360" w:lineRule="auto"/>
        <w:rPr>
          <w:b/>
          <w:sz w:val="26"/>
          <w:szCs w:val="26"/>
        </w:rPr>
      </w:pPr>
    </w:p>
    <w:p w:rsidR="00D62EC8" w:rsidRPr="00D62EC8" w:rsidRDefault="00D62EC8" w:rsidP="00F850B5">
      <w:pPr>
        <w:keepNext/>
        <w:keepLines/>
        <w:widowControl/>
        <w:spacing w:line="360" w:lineRule="auto"/>
        <w:rPr>
          <w:sz w:val="26"/>
          <w:szCs w:val="26"/>
        </w:rPr>
      </w:pPr>
      <w:r>
        <w:rPr>
          <w:b/>
          <w:sz w:val="26"/>
          <w:szCs w:val="26"/>
        </w:rPr>
        <w:tab/>
      </w:r>
      <w:r>
        <w:rPr>
          <w:b/>
          <w:sz w:val="26"/>
          <w:szCs w:val="26"/>
        </w:rPr>
        <w:tab/>
      </w:r>
      <w:r w:rsidRPr="00D62EC8">
        <w:rPr>
          <w:sz w:val="26"/>
          <w:szCs w:val="26"/>
        </w:rPr>
        <w:t>On March 2</w:t>
      </w:r>
      <w:r w:rsidR="006D2AF9">
        <w:rPr>
          <w:sz w:val="26"/>
          <w:szCs w:val="26"/>
        </w:rPr>
        <w:t>3</w:t>
      </w:r>
      <w:r w:rsidRPr="00D62EC8">
        <w:rPr>
          <w:sz w:val="26"/>
          <w:szCs w:val="26"/>
        </w:rPr>
        <w:t xml:space="preserve">, 2012, </w:t>
      </w:r>
      <w:r>
        <w:rPr>
          <w:sz w:val="26"/>
          <w:szCs w:val="26"/>
        </w:rPr>
        <w:t>the Complainant</w:t>
      </w:r>
      <w:r w:rsidRPr="00D62EC8">
        <w:rPr>
          <w:sz w:val="26"/>
          <w:szCs w:val="26"/>
        </w:rPr>
        <w:t xml:space="preserve"> filed a </w:t>
      </w:r>
      <w:r w:rsidR="00BA4BDC">
        <w:rPr>
          <w:sz w:val="26"/>
          <w:szCs w:val="26"/>
        </w:rPr>
        <w:t>F</w:t>
      </w:r>
      <w:r w:rsidR="00DD6863">
        <w:rPr>
          <w:sz w:val="26"/>
          <w:szCs w:val="26"/>
        </w:rPr>
        <w:t>ormal C</w:t>
      </w:r>
      <w:r w:rsidRPr="00D62EC8">
        <w:rPr>
          <w:sz w:val="26"/>
          <w:szCs w:val="26"/>
        </w:rPr>
        <w:t xml:space="preserve">omplaint against </w:t>
      </w:r>
      <w:r w:rsidR="00A76110">
        <w:rPr>
          <w:sz w:val="26"/>
          <w:szCs w:val="26"/>
        </w:rPr>
        <w:t>the Respondent which alleged</w:t>
      </w:r>
      <w:r w:rsidRPr="00D62EC8">
        <w:rPr>
          <w:sz w:val="26"/>
          <w:szCs w:val="26"/>
        </w:rPr>
        <w:t xml:space="preserve">, </w:t>
      </w:r>
      <w:r w:rsidRPr="00D62EC8">
        <w:rPr>
          <w:i/>
          <w:sz w:val="26"/>
          <w:szCs w:val="26"/>
        </w:rPr>
        <w:t>inter alia</w:t>
      </w:r>
      <w:r w:rsidRPr="00D62EC8">
        <w:rPr>
          <w:sz w:val="26"/>
          <w:szCs w:val="26"/>
        </w:rPr>
        <w:t>, that his electric meter was malfunctioning and that his electric bills were high and incorrect for the months of December 2</w:t>
      </w:r>
      <w:r w:rsidR="005A219C">
        <w:rPr>
          <w:sz w:val="26"/>
          <w:szCs w:val="26"/>
        </w:rPr>
        <w:t xml:space="preserve">010 and January – March 2011.  </w:t>
      </w:r>
      <w:r w:rsidRPr="00D62EC8">
        <w:rPr>
          <w:sz w:val="26"/>
          <w:szCs w:val="26"/>
        </w:rPr>
        <w:t xml:space="preserve">As relief, </w:t>
      </w:r>
      <w:r w:rsidR="00A76110">
        <w:rPr>
          <w:sz w:val="26"/>
          <w:szCs w:val="26"/>
        </w:rPr>
        <w:t>the Complainant</w:t>
      </w:r>
      <w:r w:rsidRPr="00D62EC8">
        <w:rPr>
          <w:sz w:val="26"/>
          <w:szCs w:val="26"/>
        </w:rPr>
        <w:t xml:space="preserve"> request</w:t>
      </w:r>
      <w:r w:rsidR="00A76110">
        <w:rPr>
          <w:sz w:val="26"/>
          <w:szCs w:val="26"/>
        </w:rPr>
        <w:t>ed</w:t>
      </w:r>
      <w:r w:rsidRPr="00D62EC8">
        <w:rPr>
          <w:sz w:val="26"/>
          <w:szCs w:val="26"/>
        </w:rPr>
        <w:t xml:space="preserve"> that he be made whole and that </w:t>
      </w:r>
      <w:r w:rsidR="00A76110">
        <w:rPr>
          <w:sz w:val="26"/>
          <w:szCs w:val="26"/>
        </w:rPr>
        <w:t xml:space="preserve">the Respondent </w:t>
      </w:r>
      <w:r w:rsidRPr="00D62EC8">
        <w:rPr>
          <w:sz w:val="26"/>
          <w:szCs w:val="26"/>
        </w:rPr>
        <w:t xml:space="preserve">be sanctioned.  On April 25, 2012, </w:t>
      </w:r>
      <w:r w:rsidR="00A76110">
        <w:rPr>
          <w:sz w:val="26"/>
          <w:szCs w:val="26"/>
        </w:rPr>
        <w:t>the Respondent</w:t>
      </w:r>
      <w:r w:rsidRPr="00D62EC8">
        <w:rPr>
          <w:sz w:val="26"/>
          <w:szCs w:val="26"/>
        </w:rPr>
        <w:t xml:space="preserve"> filed an </w:t>
      </w:r>
      <w:r w:rsidR="00BA4BDC">
        <w:rPr>
          <w:sz w:val="26"/>
          <w:szCs w:val="26"/>
        </w:rPr>
        <w:t>A</w:t>
      </w:r>
      <w:r w:rsidRPr="00D62EC8">
        <w:rPr>
          <w:sz w:val="26"/>
          <w:szCs w:val="26"/>
        </w:rPr>
        <w:t xml:space="preserve">nswer denying the material averments of the </w:t>
      </w:r>
      <w:r w:rsidR="00DD6863">
        <w:rPr>
          <w:sz w:val="26"/>
          <w:szCs w:val="26"/>
        </w:rPr>
        <w:t>C</w:t>
      </w:r>
      <w:r w:rsidRPr="00D62EC8">
        <w:rPr>
          <w:sz w:val="26"/>
          <w:szCs w:val="26"/>
        </w:rPr>
        <w:t xml:space="preserve">omplaint and requesting that the </w:t>
      </w:r>
      <w:r w:rsidR="00DD6863">
        <w:rPr>
          <w:sz w:val="26"/>
          <w:szCs w:val="26"/>
        </w:rPr>
        <w:t>C</w:t>
      </w:r>
      <w:r w:rsidRPr="00D62EC8">
        <w:rPr>
          <w:sz w:val="26"/>
          <w:szCs w:val="26"/>
        </w:rPr>
        <w:t xml:space="preserve">omplaint be dismissed after reasonable investigation and hearing.    </w:t>
      </w:r>
    </w:p>
    <w:p w:rsidR="00D62EC8" w:rsidRPr="00D62EC8" w:rsidRDefault="00D62EC8" w:rsidP="00D62EC8">
      <w:pPr>
        <w:widowControl/>
        <w:spacing w:line="360" w:lineRule="auto"/>
        <w:rPr>
          <w:sz w:val="26"/>
          <w:szCs w:val="26"/>
        </w:rPr>
      </w:pPr>
    </w:p>
    <w:p w:rsidR="00D62EC8" w:rsidRPr="00D62EC8" w:rsidRDefault="00D62EC8" w:rsidP="00D62EC8">
      <w:pPr>
        <w:widowControl/>
        <w:spacing w:line="360" w:lineRule="auto"/>
        <w:rPr>
          <w:sz w:val="26"/>
          <w:szCs w:val="26"/>
        </w:rPr>
      </w:pPr>
      <w:r w:rsidRPr="00D62EC8">
        <w:rPr>
          <w:sz w:val="26"/>
          <w:szCs w:val="26"/>
        </w:rPr>
        <w:tab/>
      </w:r>
      <w:r w:rsidRPr="00D62EC8">
        <w:rPr>
          <w:sz w:val="26"/>
          <w:szCs w:val="26"/>
        </w:rPr>
        <w:tab/>
        <w:t xml:space="preserve">On July 17, 2012, an initial telephonic hearing was held.  </w:t>
      </w:r>
      <w:r w:rsidR="00A76110">
        <w:rPr>
          <w:sz w:val="26"/>
          <w:szCs w:val="26"/>
        </w:rPr>
        <w:t xml:space="preserve">The Complainant appeared </w:t>
      </w:r>
      <w:r w:rsidR="00A76110" w:rsidRPr="00DD6863">
        <w:rPr>
          <w:i/>
          <w:sz w:val="26"/>
          <w:szCs w:val="26"/>
        </w:rPr>
        <w:t>pro se</w:t>
      </w:r>
      <w:r w:rsidR="00A76110">
        <w:rPr>
          <w:sz w:val="26"/>
          <w:szCs w:val="26"/>
        </w:rPr>
        <w:t xml:space="preserve"> and the Respondent was represented by counsel.  </w:t>
      </w:r>
      <w:r w:rsidRPr="00D62EC8">
        <w:rPr>
          <w:sz w:val="26"/>
          <w:szCs w:val="26"/>
        </w:rPr>
        <w:t xml:space="preserve">No testimony or evidence was presented.  </w:t>
      </w:r>
      <w:r w:rsidR="00A76110">
        <w:rPr>
          <w:sz w:val="26"/>
          <w:szCs w:val="26"/>
        </w:rPr>
        <w:t>The hearing was continued</w:t>
      </w:r>
      <w:r w:rsidRPr="00D62EC8">
        <w:rPr>
          <w:sz w:val="26"/>
          <w:szCs w:val="26"/>
        </w:rPr>
        <w:t xml:space="preserve">. </w:t>
      </w:r>
    </w:p>
    <w:p w:rsidR="00D62EC8" w:rsidRPr="00D62EC8" w:rsidRDefault="00D62EC8" w:rsidP="00D62EC8">
      <w:pPr>
        <w:widowControl/>
        <w:spacing w:line="360" w:lineRule="auto"/>
        <w:rPr>
          <w:sz w:val="26"/>
          <w:szCs w:val="26"/>
        </w:rPr>
      </w:pPr>
      <w:r w:rsidRPr="00D62EC8">
        <w:rPr>
          <w:sz w:val="26"/>
          <w:szCs w:val="26"/>
        </w:rPr>
        <w:t xml:space="preserve"> </w:t>
      </w:r>
    </w:p>
    <w:p w:rsidR="00A76110" w:rsidRDefault="00B60D74" w:rsidP="00D62EC8">
      <w:pPr>
        <w:widowControl/>
        <w:spacing w:line="360" w:lineRule="auto"/>
        <w:ind w:firstLine="720"/>
        <w:rPr>
          <w:sz w:val="26"/>
          <w:szCs w:val="26"/>
        </w:rPr>
      </w:pPr>
      <w:r>
        <w:rPr>
          <w:sz w:val="26"/>
          <w:szCs w:val="26"/>
        </w:rPr>
        <w:t xml:space="preserve">   </w:t>
      </w:r>
      <w:r>
        <w:rPr>
          <w:sz w:val="26"/>
          <w:szCs w:val="26"/>
        </w:rPr>
        <w:tab/>
      </w:r>
      <w:r w:rsidR="00D62EC8" w:rsidRPr="00D62EC8">
        <w:rPr>
          <w:sz w:val="26"/>
          <w:szCs w:val="26"/>
        </w:rPr>
        <w:t xml:space="preserve">A further telephonic hearing was held on September 26, 2012.  </w:t>
      </w:r>
      <w:r w:rsidR="00A76110">
        <w:rPr>
          <w:sz w:val="26"/>
          <w:szCs w:val="26"/>
        </w:rPr>
        <w:t xml:space="preserve">The Complainant again </w:t>
      </w:r>
      <w:r w:rsidR="00D62EC8" w:rsidRPr="00D62EC8">
        <w:rPr>
          <w:sz w:val="26"/>
          <w:szCs w:val="26"/>
        </w:rPr>
        <w:t xml:space="preserve">appeared </w:t>
      </w:r>
      <w:r w:rsidR="00D62EC8" w:rsidRPr="00D62EC8">
        <w:rPr>
          <w:i/>
          <w:sz w:val="26"/>
          <w:szCs w:val="26"/>
        </w:rPr>
        <w:t>pro se</w:t>
      </w:r>
      <w:r w:rsidR="00D62EC8" w:rsidRPr="00D62EC8">
        <w:rPr>
          <w:sz w:val="26"/>
          <w:szCs w:val="26"/>
        </w:rPr>
        <w:t xml:space="preserve"> and testified on his own behalf.  </w:t>
      </w:r>
      <w:r w:rsidR="00A76110">
        <w:rPr>
          <w:sz w:val="26"/>
          <w:szCs w:val="26"/>
        </w:rPr>
        <w:t xml:space="preserve">The Complainant </w:t>
      </w:r>
      <w:r w:rsidR="00D62EC8" w:rsidRPr="00D62EC8">
        <w:rPr>
          <w:sz w:val="26"/>
          <w:szCs w:val="26"/>
        </w:rPr>
        <w:t>called Marie Tamilia, a</w:t>
      </w:r>
      <w:r w:rsidR="00A76110">
        <w:rPr>
          <w:sz w:val="26"/>
          <w:szCs w:val="26"/>
        </w:rPr>
        <w:t>n employee of the Respondent</w:t>
      </w:r>
      <w:r w:rsidR="00D62EC8" w:rsidRPr="00D62EC8">
        <w:rPr>
          <w:sz w:val="26"/>
          <w:szCs w:val="26"/>
        </w:rPr>
        <w:t xml:space="preserve">, as his only witness.  </w:t>
      </w:r>
      <w:r w:rsidR="00A76110">
        <w:rPr>
          <w:sz w:val="26"/>
          <w:szCs w:val="26"/>
        </w:rPr>
        <w:t xml:space="preserve">The Complainant </w:t>
      </w:r>
      <w:r w:rsidR="00D62EC8" w:rsidRPr="00D62EC8">
        <w:rPr>
          <w:sz w:val="26"/>
          <w:szCs w:val="26"/>
        </w:rPr>
        <w:t xml:space="preserve">offered six exhibits into evidence which were marked and admitted as Exhibit A through and including Exhibit F.  </w:t>
      </w:r>
      <w:r w:rsidR="00A76110">
        <w:rPr>
          <w:sz w:val="26"/>
          <w:szCs w:val="26"/>
        </w:rPr>
        <w:t xml:space="preserve">The Respondent, represented by counsel, </w:t>
      </w:r>
      <w:r w:rsidR="00D62EC8" w:rsidRPr="00D62EC8">
        <w:rPr>
          <w:sz w:val="26"/>
          <w:szCs w:val="26"/>
        </w:rPr>
        <w:lastRenderedPageBreak/>
        <w:t xml:space="preserve">called Marie Tamilia as </w:t>
      </w:r>
      <w:r w:rsidR="00A76110">
        <w:rPr>
          <w:sz w:val="26"/>
          <w:szCs w:val="26"/>
        </w:rPr>
        <w:t xml:space="preserve">its </w:t>
      </w:r>
      <w:r w:rsidR="00D62EC8" w:rsidRPr="00D62EC8">
        <w:rPr>
          <w:sz w:val="26"/>
          <w:szCs w:val="26"/>
        </w:rPr>
        <w:t xml:space="preserve">only witness.  </w:t>
      </w:r>
      <w:r w:rsidR="00A76110">
        <w:rPr>
          <w:sz w:val="26"/>
          <w:szCs w:val="26"/>
        </w:rPr>
        <w:t xml:space="preserve">The Respondent </w:t>
      </w:r>
      <w:r w:rsidR="00D62EC8" w:rsidRPr="00D62EC8">
        <w:rPr>
          <w:sz w:val="26"/>
          <w:szCs w:val="26"/>
        </w:rPr>
        <w:t xml:space="preserve">offered nine exhibits that were marked and admitted as Exhibit 1 through and including Exhibit 9.  The record consists of two transcripts of notes of testimony containing 96 pages and the </w:t>
      </w:r>
      <w:r w:rsidR="00C31570">
        <w:rPr>
          <w:sz w:val="26"/>
          <w:szCs w:val="26"/>
        </w:rPr>
        <w:t>Parties’</w:t>
      </w:r>
      <w:r w:rsidR="00D62EC8" w:rsidRPr="00D62EC8">
        <w:rPr>
          <w:sz w:val="26"/>
          <w:szCs w:val="26"/>
        </w:rPr>
        <w:t xml:space="preserve"> exhibits.  The record was closed on October 15, 2012.</w:t>
      </w:r>
    </w:p>
    <w:p w:rsidR="00A76110" w:rsidRDefault="00A76110" w:rsidP="00D62EC8">
      <w:pPr>
        <w:widowControl/>
        <w:spacing w:line="360" w:lineRule="auto"/>
        <w:ind w:firstLine="720"/>
        <w:rPr>
          <w:sz w:val="26"/>
          <w:szCs w:val="26"/>
        </w:rPr>
      </w:pPr>
    </w:p>
    <w:p w:rsidR="00E82D34" w:rsidRDefault="00A76110" w:rsidP="00BA4BDC">
      <w:pPr>
        <w:widowControl/>
        <w:spacing w:line="360" w:lineRule="auto"/>
        <w:ind w:firstLine="720"/>
        <w:rPr>
          <w:sz w:val="26"/>
          <w:szCs w:val="26"/>
        </w:rPr>
      </w:pPr>
      <w:r>
        <w:rPr>
          <w:sz w:val="26"/>
          <w:szCs w:val="26"/>
        </w:rPr>
        <w:tab/>
        <w:t xml:space="preserve">On January 11, 2013, the </w:t>
      </w:r>
      <w:r w:rsidR="00BA4BDC">
        <w:rPr>
          <w:sz w:val="26"/>
          <w:szCs w:val="26"/>
        </w:rPr>
        <w:t>Administrative Law Judge (</w:t>
      </w:r>
      <w:r>
        <w:rPr>
          <w:sz w:val="26"/>
          <w:szCs w:val="26"/>
        </w:rPr>
        <w:t>ALJ</w:t>
      </w:r>
      <w:r w:rsidR="00BA4BDC">
        <w:rPr>
          <w:sz w:val="26"/>
          <w:szCs w:val="26"/>
        </w:rPr>
        <w:t>) Mark A. Hoyer</w:t>
      </w:r>
      <w:r>
        <w:rPr>
          <w:sz w:val="26"/>
          <w:szCs w:val="26"/>
        </w:rPr>
        <w:t xml:space="preserve">’s Initial Decision was issued.  The ALJ dismissed the Complaint in this proceeding, finding that </w:t>
      </w:r>
      <w:r w:rsidR="00886677">
        <w:rPr>
          <w:sz w:val="26"/>
          <w:szCs w:val="26"/>
        </w:rPr>
        <w:t>the Complainant was attempting to relitigate the same issues that he raised in a prior complaint against the Respondent at Docket No. C-2011-2231294 (</w:t>
      </w:r>
      <w:r w:rsidR="007043C3">
        <w:rPr>
          <w:sz w:val="26"/>
          <w:szCs w:val="26"/>
        </w:rPr>
        <w:t>P</w:t>
      </w:r>
      <w:r w:rsidR="00886677">
        <w:rPr>
          <w:sz w:val="26"/>
          <w:szCs w:val="26"/>
        </w:rPr>
        <w:t xml:space="preserve">rior </w:t>
      </w:r>
      <w:r w:rsidR="007043C3">
        <w:rPr>
          <w:sz w:val="26"/>
          <w:szCs w:val="26"/>
        </w:rPr>
        <w:t>C</w:t>
      </w:r>
      <w:r w:rsidR="00886677">
        <w:rPr>
          <w:sz w:val="26"/>
          <w:szCs w:val="26"/>
        </w:rPr>
        <w:t xml:space="preserve">omplaint).  As a result of that </w:t>
      </w:r>
      <w:r w:rsidR="007043C3">
        <w:rPr>
          <w:sz w:val="26"/>
          <w:szCs w:val="26"/>
        </w:rPr>
        <w:t>P</w:t>
      </w:r>
      <w:r w:rsidR="00886677">
        <w:rPr>
          <w:sz w:val="26"/>
          <w:szCs w:val="26"/>
        </w:rPr>
        <w:t xml:space="preserve">rior </w:t>
      </w:r>
      <w:r w:rsidR="007043C3">
        <w:rPr>
          <w:sz w:val="26"/>
          <w:szCs w:val="26"/>
        </w:rPr>
        <w:t>C</w:t>
      </w:r>
      <w:r w:rsidR="00886677">
        <w:rPr>
          <w:sz w:val="26"/>
          <w:szCs w:val="26"/>
        </w:rPr>
        <w:t xml:space="preserve">omplaint, the Respondent had provided a $300 credit to the Complainant and filed a Certificate of Satisfaction with the Commission.  The Complainant did not file any objection to the Certificate of Satisfaction.  </w:t>
      </w:r>
    </w:p>
    <w:p w:rsidR="00E82D34" w:rsidRDefault="00E82D34" w:rsidP="00D62EC8">
      <w:pPr>
        <w:widowControl/>
        <w:spacing w:line="360" w:lineRule="auto"/>
        <w:ind w:firstLine="720"/>
        <w:rPr>
          <w:sz w:val="26"/>
          <w:szCs w:val="26"/>
        </w:rPr>
      </w:pPr>
    </w:p>
    <w:p w:rsidR="007043C3" w:rsidRDefault="006F394D" w:rsidP="00BC2FA0">
      <w:pPr>
        <w:widowControl/>
        <w:spacing w:line="360" w:lineRule="auto"/>
        <w:ind w:firstLine="1440"/>
        <w:rPr>
          <w:sz w:val="26"/>
          <w:szCs w:val="26"/>
        </w:rPr>
      </w:pPr>
      <w:r>
        <w:rPr>
          <w:sz w:val="26"/>
          <w:szCs w:val="26"/>
        </w:rPr>
        <w:t>In a</w:t>
      </w:r>
      <w:r w:rsidR="007043C3">
        <w:rPr>
          <w:sz w:val="26"/>
          <w:szCs w:val="26"/>
        </w:rPr>
        <w:t xml:space="preserve"> letter dated January 14, 2013, addressed to Chairman Powelson, the Complainant requested a new hearing.  The Chairman forwarded this correspondence to the Secretary’s Bureau for inclusion in the record in this proceeding.</w:t>
      </w:r>
      <w:r w:rsidR="00926685">
        <w:rPr>
          <w:sz w:val="26"/>
          <w:szCs w:val="26"/>
        </w:rPr>
        <w:t xml:space="preserve">  There was no indication that this document was served on the Respondent.  Consequently, t</w:t>
      </w:r>
      <w:r w:rsidR="00D91F14">
        <w:rPr>
          <w:sz w:val="26"/>
          <w:szCs w:val="26"/>
        </w:rPr>
        <w:t>he Secretary’</w:t>
      </w:r>
      <w:r w:rsidR="00926685">
        <w:rPr>
          <w:sz w:val="26"/>
          <w:szCs w:val="26"/>
        </w:rPr>
        <w:t xml:space="preserve">s Bureau </w:t>
      </w:r>
      <w:r w:rsidR="00D91F14">
        <w:rPr>
          <w:sz w:val="26"/>
          <w:szCs w:val="26"/>
        </w:rPr>
        <w:t xml:space="preserve">served this document on the Respondent. </w:t>
      </w:r>
      <w:r>
        <w:rPr>
          <w:sz w:val="26"/>
          <w:szCs w:val="26"/>
        </w:rPr>
        <w:t xml:space="preserve"> The Respondent filed no response to this correspondence.</w:t>
      </w:r>
      <w:r w:rsidR="00D91F14">
        <w:rPr>
          <w:sz w:val="26"/>
          <w:szCs w:val="26"/>
        </w:rPr>
        <w:t xml:space="preserve"> </w:t>
      </w:r>
    </w:p>
    <w:p w:rsidR="007043C3" w:rsidRDefault="007043C3" w:rsidP="00D62EC8">
      <w:pPr>
        <w:widowControl/>
        <w:spacing w:line="360" w:lineRule="auto"/>
        <w:ind w:firstLine="720"/>
        <w:rPr>
          <w:sz w:val="26"/>
          <w:szCs w:val="26"/>
        </w:rPr>
      </w:pPr>
    </w:p>
    <w:p w:rsidR="00D62EC8" w:rsidRDefault="00E82D34" w:rsidP="00BC2FA0">
      <w:pPr>
        <w:widowControl/>
        <w:spacing w:line="360" w:lineRule="auto"/>
        <w:ind w:firstLine="1440"/>
        <w:rPr>
          <w:sz w:val="26"/>
          <w:szCs w:val="26"/>
        </w:rPr>
      </w:pPr>
      <w:r>
        <w:rPr>
          <w:sz w:val="26"/>
          <w:szCs w:val="26"/>
        </w:rPr>
        <w:t xml:space="preserve">On January 26, 2013, the Complainant filed Exceptions without the required original signature or a Certificate of Service.  Those deficiencies were </w:t>
      </w:r>
      <w:r w:rsidR="00B070B0">
        <w:rPr>
          <w:sz w:val="26"/>
          <w:szCs w:val="26"/>
        </w:rPr>
        <w:t xml:space="preserve">timely </w:t>
      </w:r>
      <w:r>
        <w:rPr>
          <w:sz w:val="26"/>
          <w:szCs w:val="26"/>
        </w:rPr>
        <w:t xml:space="preserve">corrected </w:t>
      </w:r>
      <w:r w:rsidR="00B070B0">
        <w:rPr>
          <w:sz w:val="26"/>
          <w:szCs w:val="26"/>
        </w:rPr>
        <w:t xml:space="preserve">on February 7, 2013, </w:t>
      </w:r>
      <w:r>
        <w:rPr>
          <w:sz w:val="26"/>
          <w:szCs w:val="26"/>
        </w:rPr>
        <w:t xml:space="preserve">as directed by Secretarial Letter </w:t>
      </w:r>
      <w:r w:rsidR="00B070B0">
        <w:rPr>
          <w:sz w:val="26"/>
          <w:szCs w:val="26"/>
        </w:rPr>
        <w:t>dated January 31, 2013.</w:t>
      </w:r>
      <w:r>
        <w:rPr>
          <w:sz w:val="26"/>
          <w:szCs w:val="26"/>
        </w:rPr>
        <w:t xml:space="preserve">  The Respondent filed Reply Exceptions on February 11, 2013.</w:t>
      </w:r>
    </w:p>
    <w:p w:rsidR="00D91F14" w:rsidRDefault="00D91F14" w:rsidP="00BC2FA0">
      <w:pPr>
        <w:widowControl/>
        <w:spacing w:line="360" w:lineRule="auto"/>
        <w:ind w:firstLine="1440"/>
        <w:rPr>
          <w:sz w:val="26"/>
          <w:szCs w:val="26"/>
        </w:rPr>
      </w:pPr>
    </w:p>
    <w:p w:rsidR="00D91F14" w:rsidRDefault="00D91F14" w:rsidP="00BC2FA0">
      <w:pPr>
        <w:widowControl/>
        <w:spacing w:line="360" w:lineRule="auto"/>
        <w:ind w:firstLine="1440"/>
        <w:rPr>
          <w:sz w:val="26"/>
          <w:szCs w:val="26"/>
        </w:rPr>
      </w:pPr>
      <w:r>
        <w:rPr>
          <w:sz w:val="26"/>
          <w:szCs w:val="26"/>
        </w:rPr>
        <w:t xml:space="preserve">By correspondence dated February 14, 2013, the Complainant alleged that the letter from the Secretary’s Bureau </w:t>
      </w:r>
      <w:r w:rsidR="00926685">
        <w:rPr>
          <w:sz w:val="26"/>
          <w:szCs w:val="26"/>
        </w:rPr>
        <w:t xml:space="preserve">to the Respondent, transmitting the Complainant’s January 14, 2013 correspondence to Chairman Powelson, </w:t>
      </w:r>
      <w:r>
        <w:rPr>
          <w:sz w:val="26"/>
          <w:szCs w:val="26"/>
        </w:rPr>
        <w:t xml:space="preserve">contained certain errors of fact.  </w:t>
      </w:r>
      <w:r>
        <w:rPr>
          <w:sz w:val="26"/>
          <w:szCs w:val="26"/>
        </w:rPr>
        <w:lastRenderedPageBreak/>
        <w:t>It also objected to the Respondent’s Replies to Exceptions, which were allegedly filed late.</w:t>
      </w:r>
      <w:r w:rsidR="003406F7">
        <w:rPr>
          <w:sz w:val="26"/>
          <w:szCs w:val="26"/>
        </w:rPr>
        <w:t xml:space="preserve">  </w:t>
      </w:r>
      <w:r>
        <w:rPr>
          <w:sz w:val="26"/>
          <w:szCs w:val="26"/>
        </w:rPr>
        <w:t>By correspondence dated March 19, 2013, the Complainant withdrew this objection.</w:t>
      </w:r>
    </w:p>
    <w:p w:rsidR="003406F7" w:rsidRDefault="003406F7" w:rsidP="00BC2FA0">
      <w:pPr>
        <w:widowControl/>
        <w:spacing w:line="360" w:lineRule="auto"/>
        <w:ind w:firstLine="1440"/>
        <w:rPr>
          <w:sz w:val="26"/>
          <w:szCs w:val="26"/>
        </w:rPr>
      </w:pPr>
    </w:p>
    <w:p w:rsidR="00145DB9" w:rsidRDefault="003406F7" w:rsidP="00BC2FA0">
      <w:pPr>
        <w:widowControl/>
        <w:spacing w:line="360" w:lineRule="auto"/>
        <w:ind w:firstLine="1440"/>
        <w:rPr>
          <w:sz w:val="26"/>
          <w:szCs w:val="26"/>
        </w:rPr>
      </w:pPr>
      <w:r>
        <w:rPr>
          <w:sz w:val="26"/>
          <w:szCs w:val="26"/>
        </w:rPr>
        <w:t xml:space="preserve">On May 23, 2013, the Commission entered its Opinion and Order </w:t>
      </w:r>
      <w:r w:rsidR="006D523C">
        <w:rPr>
          <w:sz w:val="26"/>
          <w:szCs w:val="26"/>
        </w:rPr>
        <w:t xml:space="preserve">in this proceeding </w:t>
      </w:r>
      <w:r>
        <w:rPr>
          <w:sz w:val="26"/>
          <w:szCs w:val="26"/>
        </w:rPr>
        <w:t xml:space="preserve">which denied the Complainant’s Exceptions, modified the Initial Decision and dismissed the Complaint with prejudice.  </w:t>
      </w:r>
      <w:r w:rsidR="00145DB9">
        <w:rPr>
          <w:sz w:val="26"/>
          <w:szCs w:val="26"/>
        </w:rPr>
        <w:t xml:space="preserve">The Commission adopted the ALJ’s conclusion that the Complainant was attempting to litigate the same issues that he had raised in </w:t>
      </w:r>
      <w:r w:rsidR="006D523C">
        <w:rPr>
          <w:sz w:val="26"/>
          <w:szCs w:val="26"/>
        </w:rPr>
        <w:t>the P</w:t>
      </w:r>
      <w:r w:rsidR="00145DB9">
        <w:rPr>
          <w:sz w:val="26"/>
          <w:szCs w:val="26"/>
        </w:rPr>
        <w:t xml:space="preserve">rior </w:t>
      </w:r>
      <w:r w:rsidR="006D523C">
        <w:rPr>
          <w:sz w:val="26"/>
          <w:szCs w:val="26"/>
        </w:rPr>
        <w:t>C</w:t>
      </w:r>
      <w:r w:rsidR="00145DB9">
        <w:rPr>
          <w:sz w:val="26"/>
          <w:szCs w:val="26"/>
        </w:rPr>
        <w:t xml:space="preserve">omplaint proceeding.  </w:t>
      </w:r>
    </w:p>
    <w:p w:rsidR="00145DB9" w:rsidRDefault="00145DB9" w:rsidP="00BC2FA0">
      <w:pPr>
        <w:widowControl/>
        <w:spacing w:line="360" w:lineRule="auto"/>
        <w:ind w:firstLine="1440"/>
        <w:rPr>
          <w:sz w:val="26"/>
          <w:szCs w:val="26"/>
        </w:rPr>
      </w:pPr>
    </w:p>
    <w:p w:rsidR="003406F7" w:rsidRPr="00D62EC8" w:rsidRDefault="003406F7" w:rsidP="00BC2FA0">
      <w:pPr>
        <w:widowControl/>
        <w:spacing w:line="360" w:lineRule="auto"/>
        <w:ind w:firstLine="1440"/>
        <w:rPr>
          <w:sz w:val="26"/>
          <w:szCs w:val="26"/>
        </w:rPr>
      </w:pPr>
      <w:r>
        <w:rPr>
          <w:sz w:val="26"/>
          <w:szCs w:val="26"/>
        </w:rPr>
        <w:t>As noted above, the Complainant filed his Petition on June 7, 2013</w:t>
      </w:r>
      <w:r w:rsidR="006D523C">
        <w:rPr>
          <w:sz w:val="26"/>
          <w:szCs w:val="26"/>
        </w:rPr>
        <w:t>,</w:t>
      </w:r>
      <w:r>
        <w:rPr>
          <w:sz w:val="26"/>
          <w:szCs w:val="26"/>
        </w:rPr>
        <w:t xml:space="preserve"> and Duquesne filed its Answer on June 24, 2013.  On June 13, 2013, the Commission entered </w:t>
      </w:r>
      <w:r w:rsidR="006D523C">
        <w:rPr>
          <w:sz w:val="26"/>
          <w:szCs w:val="26"/>
        </w:rPr>
        <w:t>an</w:t>
      </w:r>
      <w:r>
        <w:rPr>
          <w:sz w:val="26"/>
          <w:szCs w:val="26"/>
        </w:rPr>
        <w:t xml:space="preserve"> Opinion and Order at this docket which granted the Petition, pending a review of, and consideration on, the merits.  The Petition and Answer are now before the Commission for review of, and consideration on, the merits. </w:t>
      </w:r>
    </w:p>
    <w:p w:rsidR="00D62EC8" w:rsidRPr="00D62EC8" w:rsidRDefault="00D62EC8" w:rsidP="00D62EC8">
      <w:pPr>
        <w:widowControl/>
        <w:spacing w:line="360" w:lineRule="auto"/>
        <w:rPr>
          <w:b/>
          <w:sz w:val="26"/>
          <w:szCs w:val="26"/>
        </w:rPr>
      </w:pPr>
    </w:p>
    <w:bookmarkEnd w:id="0"/>
    <w:bookmarkEnd w:id="1"/>
    <w:p w:rsidR="00CA43A5" w:rsidRPr="00D62EC8" w:rsidRDefault="00CA43A5" w:rsidP="00D62EC8">
      <w:pPr>
        <w:widowControl/>
        <w:spacing w:line="360" w:lineRule="auto"/>
        <w:jc w:val="center"/>
        <w:rPr>
          <w:sz w:val="26"/>
          <w:szCs w:val="26"/>
        </w:rPr>
      </w:pPr>
      <w:r w:rsidRPr="00D62EC8">
        <w:rPr>
          <w:b/>
          <w:sz w:val="26"/>
          <w:szCs w:val="26"/>
        </w:rPr>
        <w:t>Discussion</w:t>
      </w:r>
    </w:p>
    <w:p w:rsidR="0043592C" w:rsidRPr="00D62EC8" w:rsidRDefault="0043592C" w:rsidP="00D62EC8">
      <w:pPr>
        <w:widowControl/>
        <w:spacing w:line="360" w:lineRule="auto"/>
        <w:ind w:firstLine="1440"/>
        <w:rPr>
          <w:sz w:val="26"/>
          <w:szCs w:val="26"/>
        </w:rPr>
      </w:pPr>
    </w:p>
    <w:p w:rsidR="007564EB" w:rsidRDefault="007564EB" w:rsidP="007564EB">
      <w:pPr>
        <w:spacing w:line="360" w:lineRule="auto"/>
        <w:rPr>
          <w:sz w:val="26"/>
        </w:rPr>
      </w:pPr>
      <w:r>
        <w:rPr>
          <w:sz w:val="26"/>
        </w:rPr>
        <w:tab/>
      </w:r>
      <w:r>
        <w:rPr>
          <w:sz w:val="26"/>
        </w:rPr>
        <w:tab/>
        <w:t xml:space="preserve">The standards for granting a </w:t>
      </w:r>
      <w:r>
        <w:rPr>
          <w:bCs/>
          <w:sz w:val="26"/>
        </w:rPr>
        <w:t>Petition</w:t>
      </w:r>
      <w:r>
        <w:rPr>
          <w:sz w:val="26"/>
        </w:rPr>
        <w:t xml:space="preserve"> for </w:t>
      </w:r>
      <w:r>
        <w:rPr>
          <w:bCs/>
          <w:sz w:val="26"/>
        </w:rPr>
        <w:t>Reconsideration</w:t>
      </w:r>
      <w:r>
        <w:rPr>
          <w:sz w:val="26"/>
        </w:rPr>
        <w:t xml:space="preserve"> were set forth in </w:t>
      </w:r>
      <w:r>
        <w:rPr>
          <w:bCs/>
          <w:i/>
          <w:iCs/>
          <w:sz w:val="26"/>
        </w:rPr>
        <w:t>Duick</w:t>
      </w:r>
      <w:r>
        <w:rPr>
          <w:i/>
          <w:iCs/>
          <w:sz w:val="26"/>
        </w:rPr>
        <w:t xml:space="preserve"> v. Pennsylvania Gas and Water Co.</w:t>
      </w:r>
      <w:r>
        <w:rPr>
          <w:sz w:val="26"/>
        </w:rPr>
        <w:t xml:space="preserve">, Docket No. C-R0597001 </w:t>
      </w:r>
      <w:r>
        <w:rPr>
          <w:i/>
          <w:iCs/>
          <w:sz w:val="26"/>
        </w:rPr>
        <w:t>et al.</w:t>
      </w:r>
      <w:r>
        <w:rPr>
          <w:sz w:val="26"/>
        </w:rPr>
        <w:t>, 56 Pa.</w:t>
      </w:r>
      <w:r w:rsidR="00497899">
        <w:rPr>
          <w:sz w:val="26"/>
        </w:rPr>
        <w:t xml:space="preserve"> P.U.C. 553, 559</w:t>
      </w:r>
      <w:r w:rsidR="00B60D74">
        <w:rPr>
          <w:sz w:val="26"/>
        </w:rPr>
        <w:t xml:space="preserve"> (1982).  </w:t>
      </w:r>
      <w:r>
        <w:rPr>
          <w:sz w:val="26"/>
        </w:rPr>
        <w:t xml:space="preserve">A </w:t>
      </w:r>
      <w:r>
        <w:rPr>
          <w:bCs/>
          <w:sz w:val="26"/>
        </w:rPr>
        <w:t>Petition</w:t>
      </w:r>
      <w:r>
        <w:rPr>
          <w:sz w:val="26"/>
        </w:rPr>
        <w:t xml:space="preserve"> for </w:t>
      </w:r>
      <w:r>
        <w:rPr>
          <w:bCs/>
          <w:sz w:val="26"/>
        </w:rPr>
        <w:t>Reconsideration</w:t>
      </w:r>
      <w:r>
        <w:rPr>
          <w:b/>
          <w:bCs/>
          <w:sz w:val="26"/>
        </w:rPr>
        <w:t>,</w:t>
      </w:r>
      <w:r>
        <w:rPr>
          <w:sz w:val="26"/>
        </w:rPr>
        <w:t xml:space="preserve"> under the provisions of 66 Pa. C.S. </w:t>
      </w:r>
    </w:p>
    <w:p w:rsidR="007564EB" w:rsidRDefault="007564EB" w:rsidP="007564EB">
      <w:pPr>
        <w:spacing w:line="360" w:lineRule="auto"/>
        <w:rPr>
          <w:sz w:val="26"/>
        </w:rPr>
      </w:pPr>
      <w:r>
        <w:rPr>
          <w:sz w:val="26"/>
        </w:rPr>
        <w:t xml:space="preserve">§ 703(g), may properly raise any matters designed to convince the Commission that it should exercise its discretion to rescind or amend a prior order in whole or in part.  Parties cannot be permitted, by a second motion to review and reconsider, to raise the same questions which were specifically decided against them.  What we expect to see raised in </w:t>
      </w:r>
      <w:r>
        <w:rPr>
          <w:bCs/>
          <w:sz w:val="26"/>
        </w:rPr>
        <w:t>petitions</w:t>
      </w:r>
      <w:r>
        <w:rPr>
          <w:sz w:val="26"/>
        </w:rPr>
        <w:t xml:space="preserve"> for </w:t>
      </w:r>
      <w:r>
        <w:rPr>
          <w:bCs/>
          <w:sz w:val="26"/>
        </w:rPr>
        <w:t>reconsideration</w:t>
      </w:r>
      <w:r>
        <w:rPr>
          <w:sz w:val="26"/>
        </w:rPr>
        <w:t xml:space="preserve"> are new and novel arguments, not previously heard or considerations which appear to have been overlooked by the Commission.  Additionally, a </w:t>
      </w:r>
      <w:r>
        <w:rPr>
          <w:bCs/>
          <w:sz w:val="26"/>
        </w:rPr>
        <w:t>Petition</w:t>
      </w:r>
      <w:r>
        <w:rPr>
          <w:sz w:val="26"/>
        </w:rPr>
        <w:t xml:space="preserve"> for </w:t>
      </w:r>
      <w:r>
        <w:rPr>
          <w:bCs/>
          <w:sz w:val="26"/>
        </w:rPr>
        <w:t>Reconsideration</w:t>
      </w:r>
      <w:r>
        <w:rPr>
          <w:sz w:val="26"/>
        </w:rPr>
        <w:t xml:space="preserve"> is properly before the Commission where it pleads newly discovered evidence, alleges errors of law, or a change in circumstances.</w:t>
      </w:r>
    </w:p>
    <w:p w:rsidR="00FF0B93" w:rsidRDefault="00FF0B93" w:rsidP="007564EB">
      <w:pPr>
        <w:spacing w:line="360" w:lineRule="auto"/>
        <w:rPr>
          <w:sz w:val="26"/>
        </w:rPr>
      </w:pPr>
    </w:p>
    <w:p w:rsidR="00FF0B93" w:rsidRDefault="00FF0B93" w:rsidP="007564EB">
      <w:pPr>
        <w:spacing w:line="360" w:lineRule="auto"/>
        <w:rPr>
          <w:sz w:val="26"/>
        </w:rPr>
      </w:pPr>
      <w:r>
        <w:rPr>
          <w:sz w:val="26"/>
        </w:rPr>
        <w:lastRenderedPageBreak/>
        <w:tab/>
      </w:r>
      <w:r>
        <w:rPr>
          <w:sz w:val="26"/>
        </w:rPr>
        <w:tab/>
        <w:t>It has also been held that a grant of reconsideration may result in the disturbance of a final</w:t>
      </w:r>
      <w:r w:rsidR="006D523C">
        <w:rPr>
          <w:sz w:val="26"/>
        </w:rPr>
        <w:t xml:space="preserve"> order</w:t>
      </w:r>
      <w:r>
        <w:rPr>
          <w:sz w:val="26"/>
        </w:rPr>
        <w:t xml:space="preserve">.  Accordingly, such relief should be granted judiciously and only under appropriate circumstances.  </w:t>
      </w:r>
      <w:r w:rsidRPr="00497899">
        <w:rPr>
          <w:i/>
          <w:sz w:val="26"/>
        </w:rPr>
        <w:t>West Penn Power Co. v. Pa. PUC</w:t>
      </w:r>
      <w:r>
        <w:rPr>
          <w:sz w:val="26"/>
        </w:rPr>
        <w:t xml:space="preserve">, 659 A.2d 1055 (Pa. Cmwlth. 1995).  </w:t>
      </w:r>
    </w:p>
    <w:p w:rsidR="00145DB9" w:rsidRDefault="00145DB9" w:rsidP="00145DB9">
      <w:pPr>
        <w:widowControl/>
        <w:spacing w:line="360" w:lineRule="auto"/>
        <w:rPr>
          <w:sz w:val="26"/>
        </w:rPr>
      </w:pPr>
    </w:p>
    <w:p w:rsidR="00145DB9" w:rsidRDefault="00145DB9" w:rsidP="00145DB9">
      <w:pPr>
        <w:widowControl/>
        <w:spacing w:line="360" w:lineRule="auto"/>
        <w:rPr>
          <w:sz w:val="26"/>
        </w:rPr>
      </w:pPr>
      <w:r>
        <w:rPr>
          <w:sz w:val="26"/>
        </w:rPr>
        <w:tab/>
      </w:r>
      <w:r>
        <w:rPr>
          <w:sz w:val="26"/>
        </w:rPr>
        <w:tab/>
      </w:r>
      <w:r w:rsidR="007564EB">
        <w:rPr>
          <w:sz w:val="26"/>
        </w:rPr>
        <w:t xml:space="preserve">We note that any issue, which we do not specifically address herein, has been duly considered and will be denied without further discussion.  It is well settled that we are not required to consider expressly or at length each contention or argument raised by </w:t>
      </w:r>
      <w:r w:rsidR="00497899">
        <w:rPr>
          <w:sz w:val="26"/>
        </w:rPr>
        <w:t>the P</w:t>
      </w:r>
      <w:r w:rsidR="007564EB">
        <w:rPr>
          <w:sz w:val="26"/>
        </w:rPr>
        <w:t xml:space="preserve">arties.  </w:t>
      </w:r>
      <w:r w:rsidR="007564EB">
        <w:rPr>
          <w:i/>
          <w:sz w:val="26"/>
        </w:rPr>
        <w:t>Consolidated Rail Corp. v. Pa. PUC</w:t>
      </w:r>
      <w:r w:rsidR="007564EB">
        <w:rPr>
          <w:sz w:val="26"/>
        </w:rPr>
        <w:t xml:space="preserve">, 625 A.2d 741 (Pa. Cmwlth. 1993); </w:t>
      </w:r>
      <w:r w:rsidR="007564EB" w:rsidRPr="002909E8">
        <w:rPr>
          <w:i/>
          <w:sz w:val="26"/>
        </w:rPr>
        <w:t>also</w:t>
      </w:r>
      <w:r w:rsidR="007564EB">
        <w:rPr>
          <w:sz w:val="26"/>
        </w:rPr>
        <w:t xml:space="preserve"> </w:t>
      </w:r>
      <w:r w:rsidR="007564EB">
        <w:rPr>
          <w:i/>
          <w:sz w:val="26"/>
        </w:rPr>
        <w:t>see, generally, University of Pennsylvania v. Pa. PUC</w:t>
      </w:r>
      <w:r w:rsidR="007564EB">
        <w:rPr>
          <w:sz w:val="26"/>
        </w:rPr>
        <w:t>, 485 A.2d 1217 (Pa. Cmwlth</w:t>
      </w:r>
      <w:r>
        <w:rPr>
          <w:sz w:val="26"/>
        </w:rPr>
        <w:t>. 1984).</w:t>
      </w:r>
    </w:p>
    <w:p w:rsidR="00FF0B93" w:rsidRDefault="00FF0B93" w:rsidP="00145DB9">
      <w:pPr>
        <w:widowControl/>
        <w:spacing w:line="360" w:lineRule="auto"/>
        <w:rPr>
          <w:sz w:val="26"/>
        </w:rPr>
      </w:pPr>
    </w:p>
    <w:p w:rsidR="00FF0B93" w:rsidRDefault="00FF0B93" w:rsidP="00145DB9">
      <w:pPr>
        <w:widowControl/>
        <w:spacing w:line="360" w:lineRule="auto"/>
        <w:rPr>
          <w:sz w:val="26"/>
        </w:rPr>
      </w:pPr>
      <w:r>
        <w:rPr>
          <w:sz w:val="26"/>
        </w:rPr>
        <w:tab/>
      </w:r>
      <w:r>
        <w:rPr>
          <w:sz w:val="26"/>
        </w:rPr>
        <w:tab/>
        <w:t>Duquesne’s Answer fairly summarizes the Complainant’s Petition and we will quote it here:</w:t>
      </w:r>
    </w:p>
    <w:p w:rsidR="00B60D74" w:rsidRDefault="00B60D74" w:rsidP="00145DB9">
      <w:pPr>
        <w:widowControl/>
        <w:spacing w:line="360" w:lineRule="auto"/>
        <w:rPr>
          <w:sz w:val="26"/>
        </w:rPr>
      </w:pPr>
    </w:p>
    <w:p w:rsidR="00FF0B93" w:rsidRDefault="00FF0B93" w:rsidP="00FF0B93">
      <w:pPr>
        <w:widowControl/>
        <w:ind w:left="1440" w:right="1440"/>
        <w:rPr>
          <w:sz w:val="26"/>
        </w:rPr>
      </w:pPr>
      <w:r>
        <w:rPr>
          <w:sz w:val="26"/>
        </w:rPr>
        <w:t>The issues and arguments raised in the Petition can be summarized as follows: the allegation that Respondent’s attorney and Commission staff have behaved improperly, the allegation that [Complainant] did not call Marie Tamilia as a witness, and the allegation that the Prior Complaint and the Current Complaint do not concern the same dispute.</w:t>
      </w:r>
    </w:p>
    <w:p w:rsidR="00FF0B93" w:rsidRDefault="00FF0B93" w:rsidP="00FF0B93">
      <w:pPr>
        <w:widowControl/>
        <w:spacing w:line="360" w:lineRule="auto"/>
        <w:rPr>
          <w:sz w:val="26"/>
        </w:rPr>
      </w:pPr>
    </w:p>
    <w:p w:rsidR="00FF0B93" w:rsidRDefault="00FF0B93" w:rsidP="00FF0B93">
      <w:pPr>
        <w:widowControl/>
        <w:spacing w:line="360" w:lineRule="auto"/>
        <w:rPr>
          <w:sz w:val="26"/>
        </w:rPr>
      </w:pPr>
      <w:r>
        <w:rPr>
          <w:sz w:val="26"/>
        </w:rPr>
        <w:t>Answer at 3.</w:t>
      </w:r>
    </w:p>
    <w:p w:rsidR="00FF0B93" w:rsidRDefault="00FF0B93" w:rsidP="00FF0B93">
      <w:pPr>
        <w:widowControl/>
        <w:spacing w:line="360" w:lineRule="auto"/>
        <w:rPr>
          <w:sz w:val="26"/>
        </w:rPr>
      </w:pPr>
    </w:p>
    <w:p w:rsidR="00FF0B93" w:rsidRDefault="00FF0B93" w:rsidP="00FF0B93">
      <w:pPr>
        <w:widowControl/>
        <w:spacing w:line="360" w:lineRule="auto"/>
        <w:rPr>
          <w:sz w:val="26"/>
        </w:rPr>
      </w:pPr>
      <w:r>
        <w:rPr>
          <w:sz w:val="26"/>
        </w:rPr>
        <w:tab/>
      </w:r>
      <w:r>
        <w:rPr>
          <w:sz w:val="26"/>
        </w:rPr>
        <w:tab/>
      </w:r>
      <w:r w:rsidR="006D523C">
        <w:rPr>
          <w:sz w:val="26"/>
        </w:rPr>
        <w:t xml:space="preserve">We also note </w:t>
      </w:r>
      <w:r w:rsidR="004036CE">
        <w:rPr>
          <w:sz w:val="26"/>
        </w:rPr>
        <w:t xml:space="preserve">that </w:t>
      </w:r>
      <w:r>
        <w:rPr>
          <w:sz w:val="26"/>
        </w:rPr>
        <w:t xml:space="preserve">the Complainant’s Petition contains serious allegations regarding unethical conduct of Duquesne’s counsel and the </w:t>
      </w:r>
      <w:r w:rsidR="00BA4BDC">
        <w:rPr>
          <w:sz w:val="26"/>
        </w:rPr>
        <w:t>ALJ</w:t>
      </w:r>
      <w:r>
        <w:rPr>
          <w:sz w:val="26"/>
        </w:rPr>
        <w:t xml:space="preserve"> in this proceeding without any basis or any citation to the record.  To the extent that the Complainant refers to correspondence, there is no indication of any kind that would justify the Complainant’s allegations in this regard.  We find the Complainant’s arguments in Paragraphs 1, 2, 2(A</w:t>
      </w:r>
      <w:r w:rsidR="004036CE">
        <w:rPr>
          <w:sz w:val="26"/>
        </w:rPr>
        <w:t xml:space="preserve">), 7, 8 and 9 to be </w:t>
      </w:r>
      <w:r w:rsidR="006D523C">
        <w:rPr>
          <w:sz w:val="26"/>
        </w:rPr>
        <w:t xml:space="preserve">without foundation, </w:t>
      </w:r>
      <w:r w:rsidR="004036CE">
        <w:rPr>
          <w:sz w:val="26"/>
        </w:rPr>
        <w:t>impertinent and scandalous in nature and will not consider them.</w:t>
      </w:r>
    </w:p>
    <w:p w:rsidR="004036CE" w:rsidRDefault="004036CE" w:rsidP="00FF0B93">
      <w:pPr>
        <w:widowControl/>
        <w:spacing w:line="360" w:lineRule="auto"/>
        <w:rPr>
          <w:sz w:val="26"/>
        </w:rPr>
      </w:pPr>
    </w:p>
    <w:p w:rsidR="00AC4F22" w:rsidRDefault="004036CE" w:rsidP="00FF0B93">
      <w:pPr>
        <w:widowControl/>
        <w:spacing w:line="360" w:lineRule="auto"/>
        <w:rPr>
          <w:sz w:val="26"/>
        </w:rPr>
      </w:pPr>
      <w:r>
        <w:rPr>
          <w:sz w:val="26"/>
        </w:rPr>
        <w:tab/>
      </w:r>
      <w:r>
        <w:rPr>
          <w:sz w:val="26"/>
        </w:rPr>
        <w:tab/>
        <w:t xml:space="preserve">The </w:t>
      </w:r>
      <w:r w:rsidR="002909E8">
        <w:rPr>
          <w:sz w:val="26"/>
        </w:rPr>
        <w:t>balance of the Complainant’s arguments on reconsideration clearly raises</w:t>
      </w:r>
      <w:r>
        <w:rPr>
          <w:sz w:val="26"/>
        </w:rPr>
        <w:t xml:space="preserve"> arguments that we considered and decided in our May 23</w:t>
      </w:r>
      <w:r w:rsidRPr="004036CE">
        <w:rPr>
          <w:sz w:val="26"/>
          <w:vertAlign w:val="superscript"/>
        </w:rPr>
        <w:t>rd</w:t>
      </w:r>
      <w:r>
        <w:rPr>
          <w:sz w:val="26"/>
        </w:rPr>
        <w:t xml:space="preserve"> Opinion and Order.  The Complainant simply repeats his assertions that the ALJ and Duquesne’s counsel acted improperly; that Complainant did not call Marie Tamilia as his witness; and that the Complainant’s </w:t>
      </w:r>
      <w:r w:rsidR="006D523C">
        <w:rPr>
          <w:sz w:val="26"/>
        </w:rPr>
        <w:t>P</w:t>
      </w:r>
      <w:r>
        <w:rPr>
          <w:sz w:val="26"/>
        </w:rPr>
        <w:t>rior Complaint did not encompass the same issues as his current Complaint.  Petition at 1, 2.  Each of those arguments was expressly considered and disposed of in our May 23</w:t>
      </w:r>
      <w:r w:rsidRPr="004036CE">
        <w:rPr>
          <w:sz w:val="26"/>
          <w:vertAlign w:val="superscript"/>
        </w:rPr>
        <w:t>rd</w:t>
      </w:r>
      <w:r>
        <w:rPr>
          <w:sz w:val="26"/>
        </w:rPr>
        <w:t xml:space="preserve"> Opinion and Order.  </w:t>
      </w:r>
      <w:r w:rsidRPr="00AC4F22">
        <w:rPr>
          <w:i/>
          <w:sz w:val="26"/>
        </w:rPr>
        <w:t>See</w:t>
      </w:r>
      <w:r>
        <w:rPr>
          <w:sz w:val="26"/>
        </w:rPr>
        <w:t xml:space="preserve">, </w:t>
      </w:r>
      <w:r w:rsidRPr="00AC4F22">
        <w:rPr>
          <w:i/>
          <w:sz w:val="26"/>
        </w:rPr>
        <w:t>e.g</w:t>
      </w:r>
      <w:r>
        <w:rPr>
          <w:sz w:val="26"/>
        </w:rPr>
        <w:t>., May 23</w:t>
      </w:r>
      <w:r w:rsidRPr="004036CE">
        <w:rPr>
          <w:sz w:val="26"/>
          <w:vertAlign w:val="superscript"/>
        </w:rPr>
        <w:t>rd</w:t>
      </w:r>
      <w:r w:rsidR="00616E1A">
        <w:rPr>
          <w:sz w:val="26"/>
        </w:rPr>
        <w:t xml:space="preserve"> Opinion and Order at </w:t>
      </w:r>
      <w:r>
        <w:rPr>
          <w:sz w:val="26"/>
        </w:rPr>
        <w:t>6 (</w:t>
      </w:r>
      <w:r w:rsidR="00AC4F22">
        <w:rPr>
          <w:sz w:val="26"/>
        </w:rPr>
        <w:t xml:space="preserve">no evidence of unethical conduct), 7 (transcript clearly indicated </w:t>
      </w:r>
      <w:r w:rsidR="00497899">
        <w:rPr>
          <w:sz w:val="26"/>
        </w:rPr>
        <w:t xml:space="preserve">that the </w:t>
      </w:r>
      <w:r w:rsidR="00AC4F22">
        <w:rPr>
          <w:sz w:val="26"/>
        </w:rPr>
        <w:t>Complainant called Marie Tamilia as his witness</w:t>
      </w:r>
      <w:r w:rsidR="006D523C">
        <w:rPr>
          <w:sz w:val="26"/>
        </w:rPr>
        <w:t>)</w:t>
      </w:r>
      <w:r w:rsidR="00AC4F22">
        <w:rPr>
          <w:sz w:val="26"/>
        </w:rPr>
        <w:t>, and 9-11(</w:t>
      </w:r>
      <w:r w:rsidR="006D523C">
        <w:rPr>
          <w:sz w:val="26"/>
        </w:rPr>
        <w:t>P</w:t>
      </w:r>
      <w:r w:rsidR="00AC4F22">
        <w:rPr>
          <w:sz w:val="26"/>
        </w:rPr>
        <w:t xml:space="preserve">rior Complaint encompasses the same allegations as the current Complaint). </w:t>
      </w:r>
    </w:p>
    <w:p w:rsidR="00AC4F22" w:rsidRDefault="00AC4F22" w:rsidP="00FF0B93">
      <w:pPr>
        <w:widowControl/>
        <w:spacing w:line="360" w:lineRule="auto"/>
        <w:rPr>
          <w:sz w:val="26"/>
        </w:rPr>
      </w:pPr>
    </w:p>
    <w:p w:rsidR="00AC4F22" w:rsidRDefault="00AC4F22" w:rsidP="00AC4F22">
      <w:pPr>
        <w:widowControl/>
        <w:spacing w:line="360" w:lineRule="auto"/>
        <w:rPr>
          <w:sz w:val="26"/>
        </w:rPr>
      </w:pPr>
      <w:r>
        <w:rPr>
          <w:sz w:val="26"/>
        </w:rPr>
        <w:tab/>
      </w:r>
      <w:r>
        <w:rPr>
          <w:sz w:val="26"/>
        </w:rPr>
        <w:tab/>
        <w:t>The standard for gra</w:t>
      </w:r>
      <w:r w:rsidR="00497899">
        <w:rPr>
          <w:sz w:val="26"/>
        </w:rPr>
        <w:t>n</w:t>
      </w:r>
      <w:r>
        <w:rPr>
          <w:sz w:val="26"/>
        </w:rPr>
        <w:t xml:space="preserve">ting a petition for reconsideration on the merits requires that a petitioner advance new or novel arguments not previously considered or raise issues overlooked by the Commission.  </w:t>
      </w:r>
      <w:r w:rsidRPr="00AC4F22">
        <w:rPr>
          <w:i/>
          <w:sz w:val="26"/>
        </w:rPr>
        <w:t>Duick</w:t>
      </w:r>
      <w:r w:rsidR="00616E1A">
        <w:rPr>
          <w:sz w:val="26"/>
        </w:rPr>
        <w:t xml:space="preserve">. </w:t>
      </w:r>
      <w:r>
        <w:rPr>
          <w:sz w:val="26"/>
        </w:rPr>
        <w:t xml:space="preserve"> In addition, parties may file a petition for reconsideration in order to raise errors of law, provide newly discovered evidence or argue that a change in circumstances has occurred sufficient to warrant reconsideration.  The Complainant has failed to even remotely meet the standard applicable to reconsideration.  Accordingly, the Petition will be denied.</w:t>
      </w:r>
    </w:p>
    <w:p w:rsidR="00AC4F22" w:rsidRDefault="00AC4F22" w:rsidP="00AC4F22">
      <w:pPr>
        <w:widowControl/>
        <w:spacing w:line="360" w:lineRule="auto"/>
        <w:rPr>
          <w:sz w:val="26"/>
        </w:rPr>
      </w:pPr>
    </w:p>
    <w:p w:rsidR="00CA43A5" w:rsidRPr="00D62EC8" w:rsidRDefault="00CA43A5" w:rsidP="00AC4F22">
      <w:pPr>
        <w:widowControl/>
        <w:spacing w:line="360" w:lineRule="auto"/>
        <w:jc w:val="center"/>
        <w:rPr>
          <w:b/>
          <w:sz w:val="26"/>
          <w:szCs w:val="26"/>
        </w:rPr>
      </w:pPr>
      <w:r w:rsidRPr="00D62EC8">
        <w:rPr>
          <w:b/>
          <w:sz w:val="26"/>
          <w:szCs w:val="26"/>
        </w:rPr>
        <w:t>Conclusion</w:t>
      </w:r>
    </w:p>
    <w:p w:rsidR="00CA43A5" w:rsidRPr="00D62EC8" w:rsidRDefault="00CA43A5" w:rsidP="00D62EC8">
      <w:pPr>
        <w:widowControl/>
        <w:spacing w:line="360" w:lineRule="auto"/>
        <w:ind w:firstLine="1440"/>
        <w:rPr>
          <w:sz w:val="26"/>
          <w:szCs w:val="26"/>
        </w:rPr>
      </w:pPr>
    </w:p>
    <w:p w:rsidR="00CA43A5" w:rsidRPr="00D62EC8" w:rsidRDefault="00CA43A5" w:rsidP="00D62EC8">
      <w:pPr>
        <w:widowControl/>
        <w:spacing w:line="360" w:lineRule="auto"/>
        <w:ind w:firstLine="1440"/>
        <w:rPr>
          <w:sz w:val="26"/>
          <w:szCs w:val="26"/>
        </w:rPr>
      </w:pPr>
      <w:r w:rsidRPr="00D62EC8">
        <w:rPr>
          <w:sz w:val="26"/>
          <w:szCs w:val="26"/>
        </w:rPr>
        <w:t xml:space="preserve">Based upon the foregoing discussion, we shall </w:t>
      </w:r>
      <w:r w:rsidR="00131EC7">
        <w:rPr>
          <w:sz w:val="26"/>
          <w:szCs w:val="26"/>
        </w:rPr>
        <w:t xml:space="preserve">deny the Complainant’s </w:t>
      </w:r>
      <w:r w:rsidR="00AC4F22">
        <w:rPr>
          <w:sz w:val="26"/>
          <w:szCs w:val="26"/>
        </w:rPr>
        <w:t>Petition for Reconsideration</w:t>
      </w:r>
      <w:r w:rsidRPr="00D62EC8">
        <w:rPr>
          <w:sz w:val="26"/>
          <w:szCs w:val="26"/>
        </w:rPr>
        <w:t xml:space="preserve">; </w:t>
      </w:r>
      <w:r w:rsidRPr="00D62EC8">
        <w:rPr>
          <w:b/>
          <w:sz w:val="26"/>
          <w:szCs w:val="26"/>
        </w:rPr>
        <w:t>THEREFORE,</w:t>
      </w:r>
      <w:r w:rsidRPr="00D62EC8">
        <w:rPr>
          <w:sz w:val="26"/>
          <w:szCs w:val="26"/>
        </w:rPr>
        <w:t xml:space="preserve"> </w:t>
      </w:r>
    </w:p>
    <w:p w:rsidR="00CA43A5" w:rsidRPr="00D62EC8" w:rsidRDefault="00291487" w:rsidP="00291487">
      <w:pPr>
        <w:widowControl/>
        <w:spacing w:line="360" w:lineRule="auto"/>
        <w:rPr>
          <w:b/>
          <w:sz w:val="26"/>
          <w:szCs w:val="26"/>
        </w:rPr>
      </w:pPr>
      <w:r>
        <w:rPr>
          <w:b/>
          <w:sz w:val="26"/>
          <w:szCs w:val="26"/>
        </w:rPr>
        <w:tab/>
      </w:r>
      <w:r>
        <w:rPr>
          <w:b/>
          <w:sz w:val="26"/>
          <w:szCs w:val="26"/>
        </w:rPr>
        <w:tab/>
      </w:r>
      <w:r w:rsidR="00CA43A5" w:rsidRPr="00D62EC8">
        <w:rPr>
          <w:b/>
          <w:sz w:val="26"/>
          <w:szCs w:val="26"/>
        </w:rPr>
        <w:t>IT IS ORDERED:</w:t>
      </w:r>
    </w:p>
    <w:p w:rsidR="00CA43A5" w:rsidRPr="00D62EC8" w:rsidRDefault="00CA43A5" w:rsidP="00BC2FA0">
      <w:pPr>
        <w:widowControl/>
        <w:spacing w:line="360" w:lineRule="auto"/>
        <w:rPr>
          <w:sz w:val="26"/>
          <w:szCs w:val="26"/>
        </w:rPr>
      </w:pPr>
    </w:p>
    <w:p w:rsidR="00AC4F22" w:rsidRDefault="009155F7" w:rsidP="00AC4F22">
      <w:pPr>
        <w:widowControl/>
        <w:numPr>
          <w:ilvl w:val="0"/>
          <w:numId w:val="1"/>
        </w:numPr>
        <w:tabs>
          <w:tab w:val="clear" w:pos="2160"/>
          <w:tab w:val="num" w:pos="0"/>
        </w:tabs>
        <w:spacing w:line="360" w:lineRule="auto"/>
        <w:ind w:left="0" w:firstLine="1440"/>
        <w:rPr>
          <w:sz w:val="26"/>
          <w:szCs w:val="26"/>
        </w:rPr>
      </w:pPr>
      <w:r w:rsidRPr="00D62EC8">
        <w:rPr>
          <w:sz w:val="26"/>
          <w:szCs w:val="26"/>
        </w:rPr>
        <w:t xml:space="preserve">That the </w:t>
      </w:r>
      <w:r w:rsidR="00AC4F22">
        <w:rPr>
          <w:sz w:val="26"/>
          <w:szCs w:val="26"/>
        </w:rPr>
        <w:t xml:space="preserve">Petition for Reconsideration </w:t>
      </w:r>
      <w:r w:rsidRPr="00D62EC8">
        <w:rPr>
          <w:sz w:val="26"/>
          <w:szCs w:val="26"/>
        </w:rPr>
        <w:t xml:space="preserve">of </w:t>
      </w:r>
      <w:r w:rsidR="00131EC7">
        <w:rPr>
          <w:sz w:val="26"/>
          <w:szCs w:val="26"/>
        </w:rPr>
        <w:t>James E. Creehan</w:t>
      </w:r>
      <w:r w:rsidRPr="00D62EC8">
        <w:rPr>
          <w:sz w:val="26"/>
          <w:szCs w:val="26"/>
        </w:rPr>
        <w:t xml:space="preserve"> </w:t>
      </w:r>
      <w:r w:rsidR="00AC4F22">
        <w:rPr>
          <w:sz w:val="26"/>
          <w:szCs w:val="26"/>
        </w:rPr>
        <w:t>is</w:t>
      </w:r>
      <w:r w:rsidRPr="00D62EC8">
        <w:rPr>
          <w:sz w:val="26"/>
          <w:szCs w:val="26"/>
        </w:rPr>
        <w:t xml:space="preserve"> </w:t>
      </w:r>
      <w:r w:rsidR="00131EC7">
        <w:rPr>
          <w:sz w:val="26"/>
          <w:szCs w:val="26"/>
        </w:rPr>
        <w:t>denied</w:t>
      </w:r>
      <w:r w:rsidR="00AC4F22">
        <w:rPr>
          <w:sz w:val="26"/>
          <w:szCs w:val="26"/>
        </w:rPr>
        <w:t>.</w:t>
      </w:r>
      <w:r w:rsidR="00D26B56">
        <w:rPr>
          <w:sz w:val="26"/>
          <w:szCs w:val="26"/>
        </w:rPr>
        <w:t xml:space="preserve"> </w:t>
      </w:r>
    </w:p>
    <w:p w:rsidR="00AC4F22" w:rsidRDefault="00AC4F22" w:rsidP="00AC4F22">
      <w:pPr>
        <w:widowControl/>
        <w:spacing w:line="360" w:lineRule="auto"/>
        <w:ind w:left="1440"/>
        <w:rPr>
          <w:sz w:val="26"/>
          <w:szCs w:val="26"/>
        </w:rPr>
      </w:pPr>
    </w:p>
    <w:p w:rsidR="00131EC7" w:rsidRPr="00D62EC8" w:rsidRDefault="00131EC7" w:rsidP="005E4FB6">
      <w:pPr>
        <w:keepNext/>
        <w:keepLines/>
        <w:widowControl/>
        <w:numPr>
          <w:ilvl w:val="0"/>
          <w:numId w:val="1"/>
        </w:numPr>
        <w:tabs>
          <w:tab w:val="clear" w:pos="2160"/>
          <w:tab w:val="num" w:pos="0"/>
        </w:tabs>
        <w:spacing w:line="360" w:lineRule="auto"/>
        <w:ind w:left="0" w:firstLine="1440"/>
        <w:rPr>
          <w:sz w:val="26"/>
          <w:szCs w:val="26"/>
        </w:rPr>
      </w:pPr>
      <w:r>
        <w:rPr>
          <w:sz w:val="26"/>
          <w:szCs w:val="26"/>
        </w:rPr>
        <w:lastRenderedPageBreak/>
        <w:t>That this proceeding be marked closed.</w:t>
      </w:r>
    </w:p>
    <w:p w:rsidR="00CA43A5" w:rsidRPr="00D62EC8" w:rsidRDefault="00CA43A5" w:rsidP="005E4FB6">
      <w:pPr>
        <w:keepNext/>
        <w:keepLines/>
        <w:widowControl/>
        <w:rPr>
          <w:sz w:val="26"/>
          <w:szCs w:val="26"/>
        </w:rPr>
      </w:pPr>
    </w:p>
    <w:p w:rsidR="00CA43A5" w:rsidRPr="00D62EC8" w:rsidRDefault="009B6DA1" w:rsidP="005E4FB6">
      <w:pPr>
        <w:keepNext/>
        <w:keepLines/>
        <w:widowControl/>
        <w:rPr>
          <w:sz w:val="26"/>
          <w:szCs w:val="26"/>
        </w:rPr>
      </w:pPr>
      <w:r>
        <w:rPr>
          <w:noProof/>
        </w:rPr>
        <w:drawing>
          <wp:anchor distT="0" distB="0" distL="114300" distR="114300" simplePos="0" relativeHeight="251658240" behindDoc="1" locked="0" layoutInCell="1" allowOverlap="1" wp14:anchorId="0086F8CE" wp14:editId="5503B939">
            <wp:simplePos x="0" y="0"/>
            <wp:positionH relativeFrom="column">
              <wp:posOffset>2774950</wp:posOffset>
            </wp:positionH>
            <wp:positionV relativeFrom="paragraph">
              <wp:posOffset>122555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D62EC8" w:rsidRDefault="00CA43A5" w:rsidP="005E4FB6">
      <w:pPr>
        <w:keepNext/>
        <w:keepLines/>
        <w:widowControl/>
        <w:tabs>
          <w:tab w:val="left" w:pos="-720"/>
        </w:tabs>
        <w:ind w:firstLine="5040"/>
        <w:rPr>
          <w:sz w:val="26"/>
          <w:szCs w:val="26"/>
        </w:rPr>
      </w:pPr>
      <w:r w:rsidRPr="00D62EC8">
        <w:rPr>
          <w:b/>
          <w:sz w:val="26"/>
          <w:szCs w:val="26"/>
        </w:rPr>
        <w:t>BY THE COMMISSION,</w:t>
      </w:r>
    </w:p>
    <w:p w:rsidR="00CA43A5" w:rsidRPr="00D62EC8" w:rsidRDefault="00CA43A5" w:rsidP="005E4FB6">
      <w:pPr>
        <w:keepNext/>
        <w:keepLines/>
        <w:widowControl/>
        <w:tabs>
          <w:tab w:val="left" w:pos="-720"/>
        </w:tabs>
        <w:rPr>
          <w:sz w:val="26"/>
          <w:szCs w:val="26"/>
        </w:rPr>
      </w:pPr>
    </w:p>
    <w:p w:rsidR="00AC4F22" w:rsidRDefault="00AC4F22" w:rsidP="005E4FB6">
      <w:pPr>
        <w:keepNext/>
        <w:keepLines/>
        <w:widowControl/>
        <w:tabs>
          <w:tab w:val="left" w:pos="-720"/>
        </w:tabs>
        <w:ind w:firstLine="5040"/>
        <w:rPr>
          <w:sz w:val="26"/>
          <w:szCs w:val="26"/>
        </w:rPr>
      </w:pPr>
    </w:p>
    <w:p w:rsidR="00AC4F22" w:rsidRDefault="00AC4F22" w:rsidP="005E4FB6">
      <w:pPr>
        <w:keepNext/>
        <w:keepLines/>
        <w:widowControl/>
        <w:tabs>
          <w:tab w:val="left" w:pos="-720"/>
        </w:tabs>
        <w:ind w:firstLine="5040"/>
        <w:rPr>
          <w:sz w:val="26"/>
          <w:szCs w:val="26"/>
        </w:rPr>
      </w:pPr>
    </w:p>
    <w:p w:rsidR="00CA43A5" w:rsidRPr="00D62EC8" w:rsidRDefault="00564565" w:rsidP="005E4FB6">
      <w:pPr>
        <w:keepNext/>
        <w:keepLines/>
        <w:widowControl/>
        <w:tabs>
          <w:tab w:val="left" w:pos="-720"/>
        </w:tabs>
        <w:ind w:firstLine="5040"/>
        <w:rPr>
          <w:b/>
          <w:sz w:val="26"/>
          <w:szCs w:val="26"/>
        </w:rPr>
      </w:pPr>
      <w:r w:rsidRPr="00D62EC8">
        <w:rPr>
          <w:sz w:val="26"/>
          <w:szCs w:val="26"/>
        </w:rPr>
        <w:t>Rosemary Chiavetta</w:t>
      </w:r>
    </w:p>
    <w:p w:rsidR="00CA43A5" w:rsidRPr="00D62EC8" w:rsidRDefault="00CA43A5" w:rsidP="005E4FB6">
      <w:pPr>
        <w:keepNext/>
        <w:keepLines/>
        <w:widowControl/>
        <w:tabs>
          <w:tab w:val="left" w:pos="-720"/>
        </w:tabs>
        <w:ind w:firstLine="5040"/>
        <w:rPr>
          <w:sz w:val="26"/>
          <w:szCs w:val="26"/>
        </w:rPr>
      </w:pPr>
      <w:r w:rsidRPr="00D62EC8">
        <w:rPr>
          <w:sz w:val="26"/>
          <w:szCs w:val="26"/>
        </w:rPr>
        <w:t>Secretary</w:t>
      </w:r>
    </w:p>
    <w:p w:rsidR="00CA43A5" w:rsidRPr="00D62EC8" w:rsidRDefault="00CA43A5" w:rsidP="005E4FB6">
      <w:pPr>
        <w:keepNext/>
        <w:keepLines/>
        <w:widowControl/>
        <w:tabs>
          <w:tab w:val="left" w:pos="-720"/>
        </w:tabs>
        <w:rPr>
          <w:sz w:val="26"/>
          <w:szCs w:val="26"/>
        </w:rPr>
      </w:pPr>
    </w:p>
    <w:p w:rsidR="00CA43A5" w:rsidRPr="00D62EC8" w:rsidRDefault="00CA43A5" w:rsidP="005E4FB6">
      <w:pPr>
        <w:keepNext/>
        <w:keepLines/>
        <w:widowControl/>
        <w:tabs>
          <w:tab w:val="left" w:pos="-720"/>
        </w:tabs>
        <w:rPr>
          <w:sz w:val="26"/>
          <w:szCs w:val="26"/>
        </w:rPr>
      </w:pPr>
      <w:r w:rsidRPr="00D62EC8">
        <w:rPr>
          <w:sz w:val="26"/>
          <w:szCs w:val="26"/>
        </w:rPr>
        <w:t>(SEAL)</w:t>
      </w:r>
    </w:p>
    <w:p w:rsidR="00CA43A5" w:rsidRPr="00D62EC8" w:rsidRDefault="00CA43A5" w:rsidP="005E4FB6">
      <w:pPr>
        <w:keepNext/>
        <w:keepLines/>
        <w:widowControl/>
        <w:tabs>
          <w:tab w:val="left" w:pos="-720"/>
        </w:tabs>
        <w:rPr>
          <w:sz w:val="26"/>
          <w:szCs w:val="26"/>
        </w:rPr>
      </w:pPr>
    </w:p>
    <w:p w:rsidR="00857172" w:rsidRDefault="00CA43A5" w:rsidP="005E4FB6">
      <w:pPr>
        <w:keepNext/>
        <w:keepLines/>
        <w:widowControl/>
        <w:tabs>
          <w:tab w:val="left" w:pos="-720"/>
        </w:tabs>
        <w:rPr>
          <w:sz w:val="26"/>
          <w:szCs w:val="26"/>
        </w:rPr>
      </w:pPr>
      <w:r w:rsidRPr="00D62EC8">
        <w:rPr>
          <w:sz w:val="26"/>
          <w:szCs w:val="26"/>
        </w:rPr>
        <w:t>ORDER ADOPTED:</w:t>
      </w:r>
      <w:r w:rsidR="00AC4F22">
        <w:rPr>
          <w:sz w:val="26"/>
          <w:szCs w:val="26"/>
        </w:rPr>
        <w:t xml:space="preserve">  August 15, 2013</w:t>
      </w:r>
      <w:r w:rsidRPr="00D62EC8">
        <w:rPr>
          <w:sz w:val="26"/>
          <w:szCs w:val="26"/>
        </w:rPr>
        <w:t xml:space="preserve"> </w:t>
      </w:r>
    </w:p>
    <w:p w:rsidR="00AC4F22" w:rsidRPr="00D62EC8" w:rsidRDefault="00AC4F22" w:rsidP="005E4FB6">
      <w:pPr>
        <w:keepNext/>
        <w:keepLines/>
        <w:widowControl/>
        <w:tabs>
          <w:tab w:val="left" w:pos="-720"/>
        </w:tabs>
        <w:rPr>
          <w:sz w:val="26"/>
          <w:szCs w:val="26"/>
        </w:rPr>
      </w:pPr>
    </w:p>
    <w:p w:rsidR="00CA43A5" w:rsidRPr="00D62EC8" w:rsidRDefault="00CA43A5" w:rsidP="005E4FB6">
      <w:pPr>
        <w:keepNext/>
        <w:keepLines/>
        <w:widowControl/>
        <w:tabs>
          <w:tab w:val="left" w:pos="-720"/>
        </w:tabs>
        <w:rPr>
          <w:sz w:val="26"/>
          <w:szCs w:val="26"/>
        </w:rPr>
      </w:pPr>
      <w:r w:rsidRPr="00D62EC8">
        <w:rPr>
          <w:sz w:val="26"/>
          <w:szCs w:val="26"/>
        </w:rPr>
        <w:t xml:space="preserve">ORDER ENTERED:  </w:t>
      </w:r>
      <w:r w:rsidR="009B6DA1">
        <w:rPr>
          <w:sz w:val="26"/>
          <w:szCs w:val="26"/>
        </w:rPr>
        <w:t>August 15, 2013</w:t>
      </w:r>
      <w:bookmarkStart w:id="2" w:name="_GoBack"/>
      <w:bookmarkEnd w:id="2"/>
    </w:p>
    <w:p w:rsidR="00344804" w:rsidRPr="00D62EC8" w:rsidRDefault="00344804" w:rsidP="005E4FB6">
      <w:pPr>
        <w:keepNext/>
        <w:keepLines/>
        <w:widowControl/>
        <w:ind w:right="360"/>
        <w:rPr>
          <w:sz w:val="26"/>
          <w:szCs w:val="26"/>
        </w:rPr>
      </w:pPr>
    </w:p>
    <w:sectPr w:rsidR="00344804" w:rsidRPr="00D62EC8" w:rsidSect="00BA4BD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5EB" w:rsidRDefault="001965EB" w:rsidP="00522604">
      <w:r>
        <w:separator/>
      </w:r>
    </w:p>
  </w:endnote>
  <w:endnote w:type="continuationSeparator" w:id="0">
    <w:p w:rsidR="001965EB" w:rsidRDefault="001965EB" w:rsidP="0052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325328"/>
      <w:docPartObj>
        <w:docPartGallery w:val="Page Numbers (Bottom of Page)"/>
        <w:docPartUnique/>
      </w:docPartObj>
    </w:sdtPr>
    <w:sdtEndPr>
      <w:rPr>
        <w:noProof/>
        <w:sz w:val="26"/>
        <w:szCs w:val="26"/>
      </w:rPr>
    </w:sdtEndPr>
    <w:sdtContent>
      <w:p w:rsidR="001053EE" w:rsidRPr="00BC2FA0" w:rsidRDefault="001053EE">
        <w:pPr>
          <w:pStyle w:val="Footer"/>
          <w:jc w:val="center"/>
          <w:rPr>
            <w:sz w:val="26"/>
            <w:szCs w:val="26"/>
          </w:rPr>
        </w:pPr>
        <w:r w:rsidRPr="00BC2FA0">
          <w:rPr>
            <w:sz w:val="26"/>
            <w:szCs w:val="26"/>
          </w:rPr>
          <w:fldChar w:fldCharType="begin"/>
        </w:r>
        <w:r w:rsidRPr="00BC2FA0">
          <w:rPr>
            <w:sz w:val="26"/>
            <w:szCs w:val="26"/>
          </w:rPr>
          <w:instrText xml:space="preserve"> PAGE   \* MERGEFORMAT </w:instrText>
        </w:r>
        <w:r w:rsidRPr="00BC2FA0">
          <w:rPr>
            <w:sz w:val="26"/>
            <w:szCs w:val="26"/>
          </w:rPr>
          <w:fldChar w:fldCharType="separate"/>
        </w:r>
        <w:r w:rsidR="009B6DA1">
          <w:rPr>
            <w:noProof/>
            <w:sz w:val="26"/>
            <w:szCs w:val="26"/>
          </w:rPr>
          <w:t>7</w:t>
        </w:r>
        <w:r w:rsidRPr="00BC2FA0">
          <w:rPr>
            <w:noProof/>
            <w:sz w:val="26"/>
            <w:szCs w:val="26"/>
          </w:rPr>
          <w:fldChar w:fldCharType="end"/>
        </w:r>
      </w:p>
    </w:sdtContent>
  </w:sdt>
  <w:p w:rsidR="001053EE" w:rsidRDefault="00105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5EB" w:rsidRDefault="001965EB" w:rsidP="00522604">
      <w:r>
        <w:separator/>
      </w:r>
    </w:p>
  </w:footnote>
  <w:footnote w:type="continuationSeparator" w:id="0">
    <w:p w:rsidR="001965EB" w:rsidRDefault="001965EB" w:rsidP="00522604">
      <w:r>
        <w:continuationSeparator/>
      </w:r>
    </w:p>
  </w:footnote>
  <w:footnote w:id="1">
    <w:p w:rsidR="007564EB" w:rsidRPr="007564EB" w:rsidRDefault="007564EB">
      <w:pPr>
        <w:pStyle w:val="FootnoteText"/>
        <w:rPr>
          <w:sz w:val="26"/>
          <w:szCs w:val="26"/>
        </w:rPr>
      </w:pPr>
      <w:r>
        <w:rPr>
          <w:sz w:val="26"/>
          <w:szCs w:val="26"/>
        </w:rPr>
        <w:tab/>
      </w:r>
      <w:r w:rsidRPr="007564EB">
        <w:rPr>
          <w:rStyle w:val="FootnoteReference"/>
          <w:sz w:val="26"/>
          <w:szCs w:val="26"/>
        </w:rPr>
        <w:footnoteRef/>
      </w:r>
      <w:r>
        <w:rPr>
          <w:sz w:val="26"/>
          <w:szCs w:val="26"/>
        </w:rPr>
        <w:tab/>
        <w:t>Duquesne requested an extension of time to respond to the Petition due to the failure of the Complainant to serve the Petition on Duquesne.  Duquesne’s requested extension of time was granted by Secretarial Letter dated June 14, 2013.  Duquesne’s Answer to the Petition was filed timely in accordance with the terms of the June 14 Secretarial Letter.</w:t>
      </w:r>
      <w:r w:rsidRPr="007564EB">
        <w:rPr>
          <w:sz w:val="26"/>
          <w:szCs w:val="26"/>
        </w:rPr>
        <w:t xml:space="preserve"> </w:t>
      </w:r>
    </w:p>
  </w:footnote>
  <w:footnote w:id="2">
    <w:p w:rsidR="007564EB" w:rsidRPr="007564EB" w:rsidRDefault="007564EB">
      <w:pPr>
        <w:pStyle w:val="FootnoteText"/>
        <w:rPr>
          <w:sz w:val="26"/>
          <w:szCs w:val="26"/>
        </w:rPr>
      </w:pPr>
      <w:r>
        <w:rPr>
          <w:sz w:val="26"/>
          <w:szCs w:val="26"/>
        </w:rPr>
        <w:tab/>
      </w:r>
      <w:r w:rsidRPr="007564EB">
        <w:rPr>
          <w:rStyle w:val="FootnoteReference"/>
          <w:sz w:val="26"/>
          <w:szCs w:val="26"/>
        </w:rPr>
        <w:footnoteRef/>
      </w:r>
      <w:r>
        <w:rPr>
          <w:sz w:val="26"/>
          <w:szCs w:val="26"/>
        </w:rPr>
        <w:tab/>
        <w:t>The Complainant filed a letter on July 1, 2013, which the Complainant asserted was a response to Duquesne’s Answer to t</w:t>
      </w:r>
      <w:r w:rsidR="00497899">
        <w:rPr>
          <w:sz w:val="26"/>
          <w:szCs w:val="26"/>
        </w:rPr>
        <w:t>he Petition.  The Commission’s R</w:t>
      </w:r>
      <w:r>
        <w:rPr>
          <w:sz w:val="26"/>
          <w:szCs w:val="26"/>
        </w:rPr>
        <w:t xml:space="preserve">egulations do not provide for a response to an Answer to a Petition for Reconsideration.  Therefore, the Complainant’s letter filed July 1, 2013, will not be considered in this matter. </w:t>
      </w:r>
      <w:r w:rsidRPr="007564EB">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B74"/>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612D"/>
    <w:rsid w:val="00097504"/>
    <w:rsid w:val="000A365D"/>
    <w:rsid w:val="000B216D"/>
    <w:rsid w:val="000B2755"/>
    <w:rsid w:val="000B4EAE"/>
    <w:rsid w:val="000B5238"/>
    <w:rsid w:val="000B607A"/>
    <w:rsid w:val="000B6B15"/>
    <w:rsid w:val="000C2AE3"/>
    <w:rsid w:val="000C709A"/>
    <w:rsid w:val="000D78F4"/>
    <w:rsid w:val="000F179E"/>
    <w:rsid w:val="000F4307"/>
    <w:rsid w:val="0010158F"/>
    <w:rsid w:val="00101F51"/>
    <w:rsid w:val="001026CA"/>
    <w:rsid w:val="00104D9B"/>
    <w:rsid w:val="001053EE"/>
    <w:rsid w:val="00117CB2"/>
    <w:rsid w:val="00120B39"/>
    <w:rsid w:val="001238E5"/>
    <w:rsid w:val="00123A2E"/>
    <w:rsid w:val="00124071"/>
    <w:rsid w:val="001267D4"/>
    <w:rsid w:val="0013160E"/>
    <w:rsid w:val="00131EC7"/>
    <w:rsid w:val="00134171"/>
    <w:rsid w:val="00135972"/>
    <w:rsid w:val="001360FC"/>
    <w:rsid w:val="00141BF4"/>
    <w:rsid w:val="001438D8"/>
    <w:rsid w:val="001447A0"/>
    <w:rsid w:val="001447C0"/>
    <w:rsid w:val="0014497F"/>
    <w:rsid w:val="00145DB9"/>
    <w:rsid w:val="00146DDD"/>
    <w:rsid w:val="00146E58"/>
    <w:rsid w:val="00147145"/>
    <w:rsid w:val="00150096"/>
    <w:rsid w:val="001508E4"/>
    <w:rsid w:val="0015380A"/>
    <w:rsid w:val="00154CB6"/>
    <w:rsid w:val="00164DA4"/>
    <w:rsid w:val="00166298"/>
    <w:rsid w:val="001663C8"/>
    <w:rsid w:val="0017435A"/>
    <w:rsid w:val="00174D3D"/>
    <w:rsid w:val="00182478"/>
    <w:rsid w:val="00186A97"/>
    <w:rsid w:val="0019530E"/>
    <w:rsid w:val="00195F2E"/>
    <w:rsid w:val="001965EB"/>
    <w:rsid w:val="001A1B53"/>
    <w:rsid w:val="001B1DB4"/>
    <w:rsid w:val="001C4978"/>
    <w:rsid w:val="001D0BED"/>
    <w:rsid w:val="001D0ED2"/>
    <w:rsid w:val="001D15A1"/>
    <w:rsid w:val="001E0B61"/>
    <w:rsid w:val="001E1276"/>
    <w:rsid w:val="001F285E"/>
    <w:rsid w:val="001F5163"/>
    <w:rsid w:val="00202524"/>
    <w:rsid w:val="00207D87"/>
    <w:rsid w:val="00210736"/>
    <w:rsid w:val="002109B9"/>
    <w:rsid w:val="00210F81"/>
    <w:rsid w:val="00211622"/>
    <w:rsid w:val="00214B3E"/>
    <w:rsid w:val="00225A05"/>
    <w:rsid w:val="0022698E"/>
    <w:rsid w:val="00227912"/>
    <w:rsid w:val="002311EE"/>
    <w:rsid w:val="002370F5"/>
    <w:rsid w:val="00240ACA"/>
    <w:rsid w:val="00240D7B"/>
    <w:rsid w:val="00241299"/>
    <w:rsid w:val="00255462"/>
    <w:rsid w:val="00260957"/>
    <w:rsid w:val="00264646"/>
    <w:rsid w:val="00267F1C"/>
    <w:rsid w:val="0027232D"/>
    <w:rsid w:val="0027347C"/>
    <w:rsid w:val="00274D0F"/>
    <w:rsid w:val="00277500"/>
    <w:rsid w:val="00281A5F"/>
    <w:rsid w:val="002909E8"/>
    <w:rsid w:val="00291487"/>
    <w:rsid w:val="00291F68"/>
    <w:rsid w:val="002A060A"/>
    <w:rsid w:val="002A4450"/>
    <w:rsid w:val="002A6750"/>
    <w:rsid w:val="002A6DDB"/>
    <w:rsid w:val="002B2296"/>
    <w:rsid w:val="002B4407"/>
    <w:rsid w:val="002B67B7"/>
    <w:rsid w:val="002C0429"/>
    <w:rsid w:val="002C19E4"/>
    <w:rsid w:val="002C6CC4"/>
    <w:rsid w:val="002D13C4"/>
    <w:rsid w:val="002D275E"/>
    <w:rsid w:val="002D2FDE"/>
    <w:rsid w:val="002D6357"/>
    <w:rsid w:val="002D7584"/>
    <w:rsid w:val="002E3026"/>
    <w:rsid w:val="002E3F06"/>
    <w:rsid w:val="002E6FFA"/>
    <w:rsid w:val="002E7F8F"/>
    <w:rsid w:val="002F3F04"/>
    <w:rsid w:val="002F41BA"/>
    <w:rsid w:val="003018AA"/>
    <w:rsid w:val="00303B99"/>
    <w:rsid w:val="0030714F"/>
    <w:rsid w:val="003073E2"/>
    <w:rsid w:val="00307DDF"/>
    <w:rsid w:val="00314A43"/>
    <w:rsid w:val="00322040"/>
    <w:rsid w:val="003240B8"/>
    <w:rsid w:val="00325422"/>
    <w:rsid w:val="00333FDA"/>
    <w:rsid w:val="003340DE"/>
    <w:rsid w:val="003406F7"/>
    <w:rsid w:val="00340D19"/>
    <w:rsid w:val="00344804"/>
    <w:rsid w:val="003461BF"/>
    <w:rsid w:val="003518C8"/>
    <w:rsid w:val="003533B5"/>
    <w:rsid w:val="003622CA"/>
    <w:rsid w:val="00363030"/>
    <w:rsid w:val="0036462C"/>
    <w:rsid w:val="00364A42"/>
    <w:rsid w:val="003755FB"/>
    <w:rsid w:val="0037577C"/>
    <w:rsid w:val="00385502"/>
    <w:rsid w:val="00391A43"/>
    <w:rsid w:val="00394609"/>
    <w:rsid w:val="003B0611"/>
    <w:rsid w:val="003B42D9"/>
    <w:rsid w:val="003B5DE3"/>
    <w:rsid w:val="003C3140"/>
    <w:rsid w:val="003C323A"/>
    <w:rsid w:val="003C3E02"/>
    <w:rsid w:val="003C3FE8"/>
    <w:rsid w:val="003C73F9"/>
    <w:rsid w:val="003D5F07"/>
    <w:rsid w:val="003D6AB5"/>
    <w:rsid w:val="003E0006"/>
    <w:rsid w:val="003E3FF5"/>
    <w:rsid w:val="003E5354"/>
    <w:rsid w:val="003F51F4"/>
    <w:rsid w:val="003F52C6"/>
    <w:rsid w:val="003F558E"/>
    <w:rsid w:val="004036CE"/>
    <w:rsid w:val="00403D6E"/>
    <w:rsid w:val="00407AC0"/>
    <w:rsid w:val="00412E30"/>
    <w:rsid w:val="004170AF"/>
    <w:rsid w:val="00432BB7"/>
    <w:rsid w:val="004331E9"/>
    <w:rsid w:val="0043376E"/>
    <w:rsid w:val="00433E8D"/>
    <w:rsid w:val="0043592C"/>
    <w:rsid w:val="004411B9"/>
    <w:rsid w:val="00441207"/>
    <w:rsid w:val="00441CF6"/>
    <w:rsid w:val="004422CA"/>
    <w:rsid w:val="00443807"/>
    <w:rsid w:val="004462F7"/>
    <w:rsid w:val="0046019D"/>
    <w:rsid w:val="004605A6"/>
    <w:rsid w:val="00464536"/>
    <w:rsid w:val="0046514E"/>
    <w:rsid w:val="0046623C"/>
    <w:rsid w:val="00467739"/>
    <w:rsid w:val="00470D0C"/>
    <w:rsid w:val="00474E22"/>
    <w:rsid w:val="0047608F"/>
    <w:rsid w:val="00476554"/>
    <w:rsid w:val="004813D4"/>
    <w:rsid w:val="0049120E"/>
    <w:rsid w:val="00491D91"/>
    <w:rsid w:val="0049580C"/>
    <w:rsid w:val="0049768F"/>
    <w:rsid w:val="00497899"/>
    <w:rsid w:val="004A04E5"/>
    <w:rsid w:val="004A1495"/>
    <w:rsid w:val="004A2165"/>
    <w:rsid w:val="004A5F74"/>
    <w:rsid w:val="004B1052"/>
    <w:rsid w:val="004B6B14"/>
    <w:rsid w:val="004C5251"/>
    <w:rsid w:val="004D22C4"/>
    <w:rsid w:val="004E47EC"/>
    <w:rsid w:val="004E514F"/>
    <w:rsid w:val="004E737F"/>
    <w:rsid w:val="004E7753"/>
    <w:rsid w:val="004F03DE"/>
    <w:rsid w:val="004F22DA"/>
    <w:rsid w:val="00502165"/>
    <w:rsid w:val="00504834"/>
    <w:rsid w:val="00504C7A"/>
    <w:rsid w:val="00505AEE"/>
    <w:rsid w:val="0050632E"/>
    <w:rsid w:val="0050752D"/>
    <w:rsid w:val="00511EF3"/>
    <w:rsid w:val="00514507"/>
    <w:rsid w:val="00521350"/>
    <w:rsid w:val="00522604"/>
    <w:rsid w:val="005351B9"/>
    <w:rsid w:val="00536011"/>
    <w:rsid w:val="00550B79"/>
    <w:rsid w:val="0055150B"/>
    <w:rsid w:val="005532F9"/>
    <w:rsid w:val="0055440B"/>
    <w:rsid w:val="0055708D"/>
    <w:rsid w:val="00561B06"/>
    <w:rsid w:val="00561CA6"/>
    <w:rsid w:val="00564565"/>
    <w:rsid w:val="005647BE"/>
    <w:rsid w:val="00566299"/>
    <w:rsid w:val="005725F6"/>
    <w:rsid w:val="005731AB"/>
    <w:rsid w:val="00586817"/>
    <w:rsid w:val="00586D92"/>
    <w:rsid w:val="00587507"/>
    <w:rsid w:val="00596A0B"/>
    <w:rsid w:val="00596E05"/>
    <w:rsid w:val="00596F85"/>
    <w:rsid w:val="005970FA"/>
    <w:rsid w:val="005A0176"/>
    <w:rsid w:val="005A088E"/>
    <w:rsid w:val="005A219C"/>
    <w:rsid w:val="005A2298"/>
    <w:rsid w:val="005A28C1"/>
    <w:rsid w:val="005A353C"/>
    <w:rsid w:val="005A3EAA"/>
    <w:rsid w:val="005A72FC"/>
    <w:rsid w:val="005B0388"/>
    <w:rsid w:val="005B109A"/>
    <w:rsid w:val="005C2FD5"/>
    <w:rsid w:val="005C5378"/>
    <w:rsid w:val="005D2AB9"/>
    <w:rsid w:val="005D34E2"/>
    <w:rsid w:val="005D496E"/>
    <w:rsid w:val="005D5A23"/>
    <w:rsid w:val="005D7C20"/>
    <w:rsid w:val="005E4FB6"/>
    <w:rsid w:val="005E6960"/>
    <w:rsid w:val="005E7EB8"/>
    <w:rsid w:val="005F18D6"/>
    <w:rsid w:val="005F5896"/>
    <w:rsid w:val="005F591F"/>
    <w:rsid w:val="006006D7"/>
    <w:rsid w:val="00603024"/>
    <w:rsid w:val="00610753"/>
    <w:rsid w:val="006116E3"/>
    <w:rsid w:val="006124C2"/>
    <w:rsid w:val="00616E1A"/>
    <w:rsid w:val="00624400"/>
    <w:rsid w:val="00624E51"/>
    <w:rsid w:val="00626162"/>
    <w:rsid w:val="0063155C"/>
    <w:rsid w:val="00634719"/>
    <w:rsid w:val="006503E8"/>
    <w:rsid w:val="00654A4A"/>
    <w:rsid w:val="0065545A"/>
    <w:rsid w:val="006661CF"/>
    <w:rsid w:val="00670BFD"/>
    <w:rsid w:val="00671E4C"/>
    <w:rsid w:val="00674295"/>
    <w:rsid w:val="00680529"/>
    <w:rsid w:val="006818A8"/>
    <w:rsid w:val="00681A51"/>
    <w:rsid w:val="00682469"/>
    <w:rsid w:val="00683D97"/>
    <w:rsid w:val="00684FCA"/>
    <w:rsid w:val="00686B5C"/>
    <w:rsid w:val="00696997"/>
    <w:rsid w:val="006A758C"/>
    <w:rsid w:val="006C1EEC"/>
    <w:rsid w:val="006C3FEA"/>
    <w:rsid w:val="006C69E7"/>
    <w:rsid w:val="006D10AE"/>
    <w:rsid w:val="006D29F2"/>
    <w:rsid w:val="006D2AF9"/>
    <w:rsid w:val="006D523C"/>
    <w:rsid w:val="006D7CA2"/>
    <w:rsid w:val="006E065B"/>
    <w:rsid w:val="006E09D3"/>
    <w:rsid w:val="006E1E6C"/>
    <w:rsid w:val="006E5505"/>
    <w:rsid w:val="006F240A"/>
    <w:rsid w:val="006F2FB3"/>
    <w:rsid w:val="006F394D"/>
    <w:rsid w:val="006F531B"/>
    <w:rsid w:val="006F62BC"/>
    <w:rsid w:val="00702493"/>
    <w:rsid w:val="007043C3"/>
    <w:rsid w:val="00714F3B"/>
    <w:rsid w:val="007166F7"/>
    <w:rsid w:val="00716AEF"/>
    <w:rsid w:val="00717076"/>
    <w:rsid w:val="00717296"/>
    <w:rsid w:val="007218D6"/>
    <w:rsid w:val="00727370"/>
    <w:rsid w:val="00735D9E"/>
    <w:rsid w:val="0074109C"/>
    <w:rsid w:val="00742335"/>
    <w:rsid w:val="00742842"/>
    <w:rsid w:val="00753376"/>
    <w:rsid w:val="007543B0"/>
    <w:rsid w:val="007564EB"/>
    <w:rsid w:val="007568A9"/>
    <w:rsid w:val="00761514"/>
    <w:rsid w:val="00763CE7"/>
    <w:rsid w:val="00772177"/>
    <w:rsid w:val="00775C65"/>
    <w:rsid w:val="0077639A"/>
    <w:rsid w:val="0078100C"/>
    <w:rsid w:val="0078157F"/>
    <w:rsid w:val="00786F48"/>
    <w:rsid w:val="0078772C"/>
    <w:rsid w:val="007878E4"/>
    <w:rsid w:val="0079144B"/>
    <w:rsid w:val="007963BD"/>
    <w:rsid w:val="007A4783"/>
    <w:rsid w:val="007A5191"/>
    <w:rsid w:val="007B0500"/>
    <w:rsid w:val="007B111B"/>
    <w:rsid w:val="007B3AE8"/>
    <w:rsid w:val="007B4418"/>
    <w:rsid w:val="007B5F62"/>
    <w:rsid w:val="007B66B3"/>
    <w:rsid w:val="007B7077"/>
    <w:rsid w:val="007C3003"/>
    <w:rsid w:val="007C6B60"/>
    <w:rsid w:val="007C6ECB"/>
    <w:rsid w:val="007C6F85"/>
    <w:rsid w:val="007D3AA0"/>
    <w:rsid w:val="007D3FE2"/>
    <w:rsid w:val="007D5690"/>
    <w:rsid w:val="007D69FA"/>
    <w:rsid w:val="007E1600"/>
    <w:rsid w:val="00810603"/>
    <w:rsid w:val="00814283"/>
    <w:rsid w:val="00820209"/>
    <w:rsid w:val="00820F35"/>
    <w:rsid w:val="00820FEC"/>
    <w:rsid w:val="0082393D"/>
    <w:rsid w:val="0083324D"/>
    <w:rsid w:val="00841733"/>
    <w:rsid w:val="00844D38"/>
    <w:rsid w:val="00844D85"/>
    <w:rsid w:val="008524BE"/>
    <w:rsid w:val="00853BC2"/>
    <w:rsid w:val="00854278"/>
    <w:rsid w:val="00856063"/>
    <w:rsid w:val="00857172"/>
    <w:rsid w:val="0086236A"/>
    <w:rsid w:val="0087035A"/>
    <w:rsid w:val="0087347D"/>
    <w:rsid w:val="00882DAD"/>
    <w:rsid w:val="00885263"/>
    <w:rsid w:val="00886677"/>
    <w:rsid w:val="00892DA5"/>
    <w:rsid w:val="008949B1"/>
    <w:rsid w:val="0089713E"/>
    <w:rsid w:val="008A10F3"/>
    <w:rsid w:val="008A4AF9"/>
    <w:rsid w:val="008A5C0F"/>
    <w:rsid w:val="008B1596"/>
    <w:rsid w:val="008C09C4"/>
    <w:rsid w:val="008C1F44"/>
    <w:rsid w:val="008C646F"/>
    <w:rsid w:val="008D34D2"/>
    <w:rsid w:val="008E3E4B"/>
    <w:rsid w:val="008E4EF9"/>
    <w:rsid w:val="008E6DFC"/>
    <w:rsid w:val="008E7710"/>
    <w:rsid w:val="008F606A"/>
    <w:rsid w:val="00900D4D"/>
    <w:rsid w:val="00903F34"/>
    <w:rsid w:val="00905C0A"/>
    <w:rsid w:val="009122F8"/>
    <w:rsid w:val="00915520"/>
    <w:rsid w:val="009155F7"/>
    <w:rsid w:val="00921131"/>
    <w:rsid w:val="009247F5"/>
    <w:rsid w:val="00926685"/>
    <w:rsid w:val="00926AB2"/>
    <w:rsid w:val="00931EB9"/>
    <w:rsid w:val="00935908"/>
    <w:rsid w:val="009407FE"/>
    <w:rsid w:val="00942436"/>
    <w:rsid w:val="00957603"/>
    <w:rsid w:val="00957A1D"/>
    <w:rsid w:val="00957BC0"/>
    <w:rsid w:val="00960E27"/>
    <w:rsid w:val="00964807"/>
    <w:rsid w:val="0096487B"/>
    <w:rsid w:val="009757D1"/>
    <w:rsid w:val="00980754"/>
    <w:rsid w:val="00981535"/>
    <w:rsid w:val="009825C8"/>
    <w:rsid w:val="0098409F"/>
    <w:rsid w:val="00985537"/>
    <w:rsid w:val="00991698"/>
    <w:rsid w:val="00991C17"/>
    <w:rsid w:val="00992D1E"/>
    <w:rsid w:val="00997B71"/>
    <w:rsid w:val="00997EB2"/>
    <w:rsid w:val="009A06F5"/>
    <w:rsid w:val="009A0788"/>
    <w:rsid w:val="009A0E92"/>
    <w:rsid w:val="009A17EC"/>
    <w:rsid w:val="009B03DF"/>
    <w:rsid w:val="009B6AF0"/>
    <w:rsid w:val="009B6DA1"/>
    <w:rsid w:val="009C292D"/>
    <w:rsid w:val="009C5F0C"/>
    <w:rsid w:val="009C67C0"/>
    <w:rsid w:val="009D1035"/>
    <w:rsid w:val="009D13D0"/>
    <w:rsid w:val="009D2068"/>
    <w:rsid w:val="009D30F3"/>
    <w:rsid w:val="009D7D33"/>
    <w:rsid w:val="009E4DD4"/>
    <w:rsid w:val="009E4E3F"/>
    <w:rsid w:val="009E698B"/>
    <w:rsid w:val="009F0AEE"/>
    <w:rsid w:val="009F1547"/>
    <w:rsid w:val="009F4ABA"/>
    <w:rsid w:val="00A05E75"/>
    <w:rsid w:val="00A066AE"/>
    <w:rsid w:val="00A10DD9"/>
    <w:rsid w:val="00A12C6B"/>
    <w:rsid w:val="00A14117"/>
    <w:rsid w:val="00A149FA"/>
    <w:rsid w:val="00A17DF0"/>
    <w:rsid w:val="00A20F78"/>
    <w:rsid w:val="00A218F1"/>
    <w:rsid w:val="00A27DEE"/>
    <w:rsid w:val="00A31B93"/>
    <w:rsid w:val="00A375EF"/>
    <w:rsid w:val="00A44C91"/>
    <w:rsid w:val="00A528C2"/>
    <w:rsid w:val="00A54AFD"/>
    <w:rsid w:val="00A54E69"/>
    <w:rsid w:val="00A61B06"/>
    <w:rsid w:val="00A62113"/>
    <w:rsid w:val="00A6759C"/>
    <w:rsid w:val="00A67923"/>
    <w:rsid w:val="00A713ED"/>
    <w:rsid w:val="00A714B8"/>
    <w:rsid w:val="00A74565"/>
    <w:rsid w:val="00A74901"/>
    <w:rsid w:val="00A75733"/>
    <w:rsid w:val="00A76110"/>
    <w:rsid w:val="00A76308"/>
    <w:rsid w:val="00A77C08"/>
    <w:rsid w:val="00A81527"/>
    <w:rsid w:val="00A82058"/>
    <w:rsid w:val="00A84AE7"/>
    <w:rsid w:val="00A85A2C"/>
    <w:rsid w:val="00A869B0"/>
    <w:rsid w:val="00A9289F"/>
    <w:rsid w:val="00A92C1D"/>
    <w:rsid w:val="00AA0C77"/>
    <w:rsid w:val="00AA1D27"/>
    <w:rsid w:val="00AA204C"/>
    <w:rsid w:val="00AA2D57"/>
    <w:rsid w:val="00AA31D9"/>
    <w:rsid w:val="00AA3941"/>
    <w:rsid w:val="00AA474C"/>
    <w:rsid w:val="00AA56D0"/>
    <w:rsid w:val="00AB0C9F"/>
    <w:rsid w:val="00AB143A"/>
    <w:rsid w:val="00AB58D3"/>
    <w:rsid w:val="00AC003C"/>
    <w:rsid w:val="00AC0103"/>
    <w:rsid w:val="00AC1404"/>
    <w:rsid w:val="00AC4F22"/>
    <w:rsid w:val="00AD039F"/>
    <w:rsid w:val="00AD3902"/>
    <w:rsid w:val="00AD6010"/>
    <w:rsid w:val="00AE33FF"/>
    <w:rsid w:val="00AF06D5"/>
    <w:rsid w:val="00AF09DD"/>
    <w:rsid w:val="00B02655"/>
    <w:rsid w:val="00B03E52"/>
    <w:rsid w:val="00B05102"/>
    <w:rsid w:val="00B070B0"/>
    <w:rsid w:val="00B1475E"/>
    <w:rsid w:val="00B16A34"/>
    <w:rsid w:val="00B22102"/>
    <w:rsid w:val="00B25283"/>
    <w:rsid w:val="00B25453"/>
    <w:rsid w:val="00B31B9C"/>
    <w:rsid w:val="00B34D6C"/>
    <w:rsid w:val="00B5544F"/>
    <w:rsid w:val="00B55E5D"/>
    <w:rsid w:val="00B60A36"/>
    <w:rsid w:val="00B60D74"/>
    <w:rsid w:val="00B66867"/>
    <w:rsid w:val="00B66994"/>
    <w:rsid w:val="00B71AFB"/>
    <w:rsid w:val="00B71F3A"/>
    <w:rsid w:val="00B73C97"/>
    <w:rsid w:val="00B76340"/>
    <w:rsid w:val="00B80C43"/>
    <w:rsid w:val="00B94786"/>
    <w:rsid w:val="00BA4BDC"/>
    <w:rsid w:val="00BA78B6"/>
    <w:rsid w:val="00BB26AD"/>
    <w:rsid w:val="00BB79BD"/>
    <w:rsid w:val="00BC2FA0"/>
    <w:rsid w:val="00BC7208"/>
    <w:rsid w:val="00BD0B48"/>
    <w:rsid w:val="00BD2A0A"/>
    <w:rsid w:val="00BD5D0F"/>
    <w:rsid w:val="00BD7C68"/>
    <w:rsid w:val="00BE1CBC"/>
    <w:rsid w:val="00BE29DC"/>
    <w:rsid w:val="00BF3FE5"/>
    <w:rsid w:val="00BF697A"/>
    <w:rsid w:val="00BF6ADB"/>
    <w:rsid w:val="00C03776"/>
    <w:rsid w:val="00C13821"/>
    <w:rsid w:val="00C14051"/>
    <w:rsid w:val="00C15F73"/>
    <w:rsid w:val="00C2037B"/>
    <w:rsid w:val="00C22FF7"/>
    <w:rsid w:val="00C27F76"/>
    <w:rsid w:val="00C30DA4"/>
    <w:rsid w:val="00C31570"/>
    <w:rsid w:val="00C44719"/>
    <w:rsid w:val="00C50108"/>
    <w:rsid w:val="00C6572C"/>
    <w:rsid w:val="00C70CFF"/>
    <w:rsid w:val="00C75655"/>
    <w:rsid w:val="00C837C3"/>
    <w:rsid w:val="00C84497"/>
    <w:rsid w:val="00C868F6"/>
    <w:rsid w:val="00C9137C"/>
    <w:rsid w:val="00C91644"/>
    <w:rsid w:val="00C9663B"/>
    <w:rsid w:val="00CA43A5"/>
    <w:rsid w:val="00CA7C0B"/>
    <w:rsid w:val="00CB6E2B"/>
    <w:rsid w:val="00CB6FF7"/>
    <w:rsid w:val="00CB7302"/>
    <w:rsid w:val="00CC1E9F"/>
    <w:rsid w:val="00CC5896"/>
    <w:rsid w:val="00CD4257"/>
    <w:rsid w:val="00CE0C35"/>
    <w:rsid w:val="00CE3810"/>
    <w:rsid w:val="00CE52B4"/>
    <w:rsid w:val="00CE5DCD"/>
    <w:rsid w:val="00CE701C"/>
    <w:rsid w:val="00CE7599"/>
    <w:rsid w:val="00CF414A"/>
    <w:rsid w:val="00CF4FF0"/>
    <w:rsid w:val="00CF5B47"/>
    <w:rsid w:val="00D104F9"/>
    <w:rsid w:val="00D14323"/>
    <w:rsid w:val="00D16008"/>
    <w:rsid w:val="00D166D4"/>
    <w:rsid w:val="00D26B56"/>
    <w:rsid w:val="00D30254"/>
    <w:rsid w:val="00D33768"/>
    <w:rsid w:val="00D33D87"/>
    <w:rsid w:val="00D35077"/>
    <w:rsid w:val="00D35A6E"/>
    <w:rsid w:val="00D408A8"/>
    <w:rsid w:val="00D46DAE"/>
    <w:rsid w:val="00D475D2"/>
    <w:rsid w:val="00D51C8F"/>
    <w:rsid w:val="00D5204B"/>
    <w:rsid w:val="00D54C10"/>
    <w:rsid w:val="00D55191"/>
    <w:rsid w:val="00D55194"/>
    <w:rsid w:val="00D55CD0"/>
    <w:rsid w:val="00D57544"/>
    <w:rsid w:val="00D57973"/>
    <w:rsid w:val="00D60CE2"/>
    <w:rsid w:val="00D612EC"/>
    <w:rsid w:val="00D6153E"/>
    <w:rsid w:val="00D623C4"/>
    <w:rsid w:val="00D62EC8"/>
    <w:rsid w:val="00D722DF"/>
    <w:rsid w:val="00D80BEF"/>
    <w:rsid w:val="00D831A1"/>
    <w:rsid w:val="00D84675"/>
    <w:rsid w:val="00D8526A"/>
    <w:rsid w:val="00D86252"/>
    <w:rsid w:val="00D917F3"/>
    <w:rsid w:val="00D91F14"/>
    <w:rsid w:val="00D92CA0"/>
    <w:rsid w:val="00D97BAA"/>
    <w:rsid w:val="00DA08B8"/>
    <w:rsid w:val="00DA3AF3"/>
    <w:rsid w:val="00DA5455"/>
    <w:rsid w:val="00DA5C2B"/>
    <w:rsid w:val="00DB5EFB"/>
    <w:rsid w:val="00DB6EF1"/>
    <w:rsid w:val="00DC19BB"/>
    <w:rsid w:val="00DC6404"/>
    <w:rsid w:val="00DD6863"/>
    <w:rsid w:val="00DD7FDF"/>
    <w:rsid w:val="00DE1703"/>
    <w:rsid w:val="00DE25AC"/>
    <w:rsid w:val="00DF568D"/>
    <w:rsid w:val="00E00CCB"/>
    <w:rsid w:val="00E042C7"/>
    <w:rsid w:val="00E0781A"/>
    <w:rsid w:val="00E11475"/>
    <w:rsid w:val="00E11E77"/>
    <w:rsid w:val="00E175A7"/>
    <w:rsid w:val="00E20168"/>
    <w:rsid w:val="00E20740"/>
    <w:rsid w:val="00E20E92"/>
    <w:rsid w:val="00E22A7B"/>
    <w:rsid w:val="00E245DA"/>
    <w:rsid w:val="00E24645"/>
    <w:rsid w:val="00E31BCB"/>
    <w:rsid w:val="00E32963"/>
    <w:rsid w:val="00E337BC"/>
    <w:rsid w:val="00E350CD"/>
    <w:rsid w:val="00E372A9"/>
    <w:rsid w:val="00E4001B"/>
    <w:rsid w:val="00E51FDE"/>
    <w:rsid w:val="00E534B2"/>
    <w:rsid w:val="00E56B66"/>
    <w:rsid w:val="00E579AF"/>
    <w:rsid w:val="00E705B7"/>
    <w:rsid w:val="00E7086E"/>
    <w:rsid w:val="00E70ECC"/>
    <w:rsid w:val="00E71A89"/>
    <w:rsid w:val="00E77197"/>
    <w:rsid w:val="00E81B1A"/>
    <w:rsid w:val="00E82D34"/>
    <w:rsid w:val="00E84FB3"/>
    <w:rsid w:val="00E87037"/>
    <w:rsid w:val="00EA0F03"/>
    <w:rsid w:val="00EA1EF9"/>
    <w:rsid w:val="00EA2CA0"/>
    <w:rsid w:val="00EA7237"/>
    <w:rsid w:val="00EB055B"/>
    <w:rsid w:val="00EB112A"/>
    <w:rsid w:val="00EC1212"/>
    <w:rsid w:val="00EC1D3D"/>
    <w:rsid w:val="00EC3331"/>
    <w:rsid w:val="00EC677E"/>
    <w:rsid w:val="00EC7E67"/>
    <w:rsid w:val="00ED5B5C"/>
    <w:rsid w:val="00ED70BD"/>
    <w:rsid w:val="00EE0B3E"/>
    <w:rsid w:val="00EE37BB"/>
    <w:rsid w:val="00EE554C"/>
    <w:rsid w:val="00EF33A5"/>
    <w:rsid w:val="00EF4099"/>
    <w:rsid w:val="00EF6BDC"/>
    <w:rsid w:val="00F01C4C"/>
    <w:rsid w:val="00F02786"/>
    <w:rsid w:val="00F0434F"/>
    <w:rsid w:val="00F0670F"/>
    <w:rsid w:val="00F07FA6"/>
    <w:rsid w:val="00F11BB3"/>
    <w:rsid w:val="00F13036"/>
    <w:rsid w:val="00F21368"/>
    <w:rsid w:val="00F21D1A"/>
    <w:rsid w:val="00F22865"/>
    <w:rsid w:val="00F24D75"/>
    <w:rsid w:val="00F261E3"/>
    <w:rsid w:val="00F30B9C"/>
    <w:rsid w:val="00F3114E"/>
    <w:rsid w:val="00F34B2F"/>
    <w:rsid w:val="00F34F33"/>
    <w:rsid w:val="00F36D1F"/>
    <w:rsid w:val="00F3769E"/>
    <w:rsid w:val="00F40F06"/>
    <w:rsid w:val="00F42669"/>
    <w:rsid w:val="00F4749B"/>
    <w:rsid w:val="00F514FB"/>
    <w:rsid w:val="00F56CE9"/>
    <w:rsid w:val="00F61151"/>
    <w:rsid w:val="00F64ECE"/>
    <w:rsid w:val="00F67B6E"/>
    <w:rsid w:val="00F77765"/>
    <w:rsid w:val="00F77EC3"/>
    <w:rsid w:val="00F850B5"/>
    <w:rsid w:val="00F85E98"/>
    <w:rsid w:val="00FA7C8B"/>
    <w:rsid w:val="00FB0249"/>
    <w:rsid w:val="00FB793A"/>
    <w:rsid w:val="00FC5915"/>
    <w:rsid w:val="00FC5D6D"/>
    <w:rsid w:val="00FD6657"/>
    <w:rsid w:val="00FD6807"/>
    <w:rsid w:val="00FF0B93"/>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22604"/>
  </w:style>
  <w:style w:type="character" w:customStyle="1" w:styleId="FootnoteTextChar">
    <w:name w:val="Footnote Text Char"/>
    <w:basedOn w:val="DefaultParagraphFont"/>
    <w:link w:val="FootnoteText"/>
    <w:uiPriority w:val="99"/>
    <w:semiHidden/>
    <w:rsid w:val="0052260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053EE"/>
    <w:pPr>
      <w:tabs>
        <w:tab w:val="center" w:pos="4680"/>
        <w:tab w:val="right" w:pos="9360"/>
      </w:tabs>
    </w:pPr>
  </w:style>
  <w:style w:type="character" w:customStyle="1" w:styleId="HeaderChar">
    <w:name w:val="Header Char"/>
    <w:basedOn w:val="DefaultParagraphFont"/>
    <w:link w:val="Header"/>
    <w:uiPriority w:val="99"/>
    <w:rsid w:val="001053E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53EE"/>
    <w:pPr>
      <w:tabs>
        <w:tab w:val="center" w:pos="4680"/>
        <w:tab w:val="right" w:pos="9360"/>
      </w:tabs>
    </w:pPr>
  </w:style>
  <w:style w:type="character" w:customStyle="1" w:styleId="FooterChar">
    <w:name w:val="Footer Char"/>
    <w:basedOn w:val="DefaultParagraphFont"/>
    <w:link w:val="Footer"/>
    <w:uiPriority w:val="99"/>
    <w:rsid w:val="001053E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22604"/>
  </w:style>
  <w:style w:type="character" w:customStyle="1" w:styleId="FootnoteTextChar">
    <w:name w:val="Footnote Text Char"/>
    <w:basedOn w:val="DefaultParagraphFont"/>
    <w:link w:val="FootnoteText"/>
    <w:uiPriority w:val="99"/>
    <w:semiHidden/>
    <w:rsid w:val="0052260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053EE"/>
    <w:pPr>
      <w:tabs>
        <w:tab w:val="center" w:pos="4680"/>
        <w:tab w:val="right" w:pos="9360"/>
      </w:tabs>
    </w:pPr>
  </w:style>
  <w:style w:type="character" w:customStyle="1" w:styleId="HeaderChar">
    <w:name w:val="Header Char"/>
    <w:basedOn w:val="DefaultParagraphFont"/>
    <w:link w:val="Header"/>
    <w:uiPriority w:val="99"/>
    <w:rsid w:val="001053E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53EE"/>
    <w:pPr>
      <w:tabs>
        <w:tab w:val="center" w:pos="4680"/>
        <w:tab w:val="right" w:pos="9360"/>
      </w:tabs>
    </w:pPr>
  </w:style>
  <w:style w:type="character" w:customStyle="1" w:styleId="FooterChar">
    <w:name w:val="Footer Char"/>
    <w:basedOn w:val="DefaultParagraphFont"/>
    <w:link w:val="Footer"/>
    <w:uiPriority w:val="99"/>
    <w:rsid w:val="001053E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1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C769C-F94B-4974-AB98-BA45082A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11</cp:revision>
  <cp:lastPrinted>2013-08-05T16:25:00Z</cp:lastPrinted>
  <dcterms:created xsi:type="dcterms:W3CDTF">2013-07-29T14:01:00Z</dcterms:created>
  <dcterms:modified xsi:type="dcterms:W3CDTF">2013-08-15T17:58:00Z</dcterms:modified>
</cp:coreProperties>
</file>