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2A" w:rsidRPr="00624C51" w:rsidRDefault="0085762A" w:rsidP="0085762A">
      <w:pPr>
        <w:pStyle w:val="Title"/>
        <w:rPr>
          <w:sz w:val="24"/>
          <w:szCs w:val="24"/>
        </w:rPr>
      </w:pPr>
      <w:r w:rsidRPr="00624C51">
        <w:rPr>
          <w:sz w:val="24"/>
          <w:szCs w:val="24"/>
        </w:rPr>
        <w:t>BEFORE THE</w:t>
      </w:r>
    </w:p>
    <w:p w:rsidR="0085762A" w:rsidRPr="00624C51" w:rsidRDefault="0085762A" w:rsidP="0085762A">
      <w:pPr>
        <w:pStyle w:val="Subtitle"/>
        <w:rPr>
          <w:sz w:val="24"/>
          <w:szCs w:val="24"/>
        </w:rPr>
      </w:pPr>
      <w:r w:rsidRPr="00624C51">
        <w:rPr>
          <w:sz w:val="24"/>
          <w:szCs w:val="24"/>
        </w:rPr>
        <w:t>PENNSYLVANIA PUBLIC UTILITY COMMISSION</w:t>
      </w:r>
    </w:p>
    <w:p w:rsidR="0085762A" w:rsidRPr="00624C51" w:rsidRDefault="0085762A" w:rsidP="0085762A">
      <w:pPr>
        <w:jc w:val="both"/>
        <w:rPr>
          <w:sz w:val="24"/>
          <w:szCs w:val="24"/>
        </w:rPr>
      </w:pPr>
    </w:p>
    <w:p w:rsidR="0085762A" w:rsidRPr="00624C51" w:rsidRDefault="0085762A" w:rsidP="0085762A">
      <w:pPr>
        <w:jc w:val="both"/>
        <w:rPr>
          <w:sz w:val="24"/>
          <w:szCs w:val="24"/>
        </w:rPr>
      </w:pPr>
    </w:p>
    <w:p w:rsidR="0044273C" w:rsidRPr="00624C51" w:rsidRDefault="0044273C" w:rsidP="0044273C">
      <w:pPr>
        <w:tabs>
          <w:tab w:val="left" w:pos="360"/>
        </w:tabs>
        <w:rPr>
          <w:b/>
          <w:sz w:val="24"/>
          <w:szCs w:val="24"/>
        </w:rPr>
      </w:pPr>
    </w:p>
    <w:p w:rsidR="0044273C" w:rsidRPr="00624C51" w:rsidRDefault="0044273C" w:rsidP="0044273C">
      <w:pPr>
        <w:rPr>
          <w:sz w:val="24"/>
          <w:szCs w:val="24"/>
        </w:rPr>
      </w:pPr>
      <w:r w:rsidRPr="00624C51">
        <w:rPr>
          <w:sz w:val="24"/>
          <w:szCs w:val="24"/>
        </w:rPr>
        <w:t xml:space="preserve">Joseph </w:t>
      </w:r>
      <w:proofErr w:type="spellStart"/>
      <w:r w:rsidRPr="00624C51">
        <w:rPr>
          <w:sz w:val="24"/>
          <w:szCs w:val="24"/>
        </w:rPr>
        <w:t>Lucey</w:t>
      </w:r>
      <w:proofErr w:type="spellEnd"/>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t>:</w:t>
      </w:r>
    </w:p>
    <w:p w:rsidR="0044273C" w:rsidRPr="00624C51" w:rsidRDefault="0044273C" w:rsidP="0044273C">
      <w:pPr>
        <w:rPr>
          <w:sz w:val="24"/>
          <w:szCs w:val="24"/>
        </w:rPr>
      </w:pP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t>:</w:t>
      </w:r>
    </w:p>
    <w:p w:rsidR="0044273C" w:rsidRPr="00624C51" w:rsidRDefault="0044273C" w:rsidP="0044273C">
      <w:pPr>
        <w:rPr>
          <w:sz w:val="24"/>
          <w:szCs w:val="24"/>
        </w:rPr>
      </w:pPr>
      <w:r w:rsidRPr="00624C51">
        <w:rPr>
          <w:sz w:val="24"/>
          <w:szCs w:val="24"/>
        </w:rPr>
        <w:tab/>
        <w:t>v.</w:t>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t>:</w:t>
      </w:r>
      <w:r w:rsidRPr="00624C51">
        <w:rPr>
          <w:sz w:val="24"/>
          <w:szCs w:val="24"/>
        </w:rPr>
        <w:tab/>
      </w:r>
      <w:r w:rsidRPr="00624C51">
        <w:rPr>
          <w:sz w:val="24"/>
          <w:szCs w:val="24"/>
        </w:rPr>
        <w:tab/>
        <w:t>C</w:t>
      </w:r>
      <w:r w:rsidRPr="00624C51">
        <w:rPr>
          <w:sz w:val="24"/>
          <w:szCs w:val="24"/>
        </w:rPr>
        <w:noBreakHyphen/>
        <w:t>2011-2248370</w:t>
      </w:r>
    </w:p>
    <w:p w:rsidR="0044273C" w:rsidRPr="00624C51" w:rsidRDefault="0044273C" w:rsidP="0044273C">
      <w:pPr>
        <w:rPr>
          <w:sz w:val="24"/>
          <w:szCs w:val="24"/>
        </w:rPr>
      </w:pP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t>:</w:t>
      </w:r>
    </w:p>
    <w:p w:rsidR="0044273C" w:rsidRPr="00624C51" w:rsidRDefault="0044273C" w:rsidP="0044273C">
      <w:pPr>
        <w:rPr>
          <w:sz w:val="24"/>
          <w:szCs w:val="24"/>
        </w:rPr>
      </w:pPr>
      <w:proofErr w:type="gramStart"/>
      <w:r w:rsidRPr="00624C51">
        <w:rPr>
          <w:sz w:val="24"/>
          <w:szCs w:val="24"/>
        </w:rPr>
        <w:t>Columbia Gas of Pennsylvania, Inc.</w:t>
      </w:r>
      <w:proofErr w:type="gramEnd"/>
      <w:r w:rsidRPr="00624C51">
        <w:rPr>
          <w:sz w:val="24"/>
          <w:szCs w:val="24"/>
        </w:rPr>
        <w:t xml:space="preserve"> </w:t>
      </w:r>
      <w:r w:rsidRPr="00624C51">
        <w:rPr>
          <w:sz w:val="24"/>
          <w:szCs w:val="24"/>
        </w:rPr>
        <w:tab/>
      </w:r>
      <w:r w:rsidRPr="00624C51">
        <w:rPr>
          <w:sz w:val="24"/>
          <w:szCs w:val="24"/>
        </w:rPr>
        <w:tab/>
      </w:r>
      <w:r w:rsidRPr="00624C51">
        <w:rPr>
          <w:sz w:val="24"/>
          <w:szCs w:val="24"/>
        </w:rPr>
        <w:tab/>
        <w:t>:</w:t>
      </w:r>
    </w:p>
    <w:p w:rsidR="0044273C" w:rsidRPr="00624C51" w:rsidRDefault="0044273C" w:rsidP="0044273C">
      <w:pPr>
        <w:rPr>
          <w:sz w:val="24"/>
          <w:szCs w:val="24"/>
        </w:rPr>
      </w:pPr>
    </w:p>
    <w:p w:rsidR="0044273C" w:rsidRPr="00624C51" w:rsidRDefault="0044273C" w:rsidP="0044273C">
      <w:pPr>
        <w:rPr>
          <w:sz w:val="24"/>
          <w:szCs w:val="24"/>
        </w:rPr>
      </w:pPr>
    </w:p>
    <w:p w:rsidR="0044273C" w:rsidRPr="00624C51" w:rsidRDefault="0044273C" w:rsidP="0044273C">
      <w:pPr>
        <w:rPr>
          <w:sz w:val="24"/>
          <w:szCs w:val="24"/>
        </w:rPr>
      </w:pPr>
    </w:p>
    <w:p w:rsidR="0044273C" w:rsidRPr="00624C51" w:rsidRDefault="0044273C" w:rsidP="0044273C">
      <w:pPr>
        <w:rPr>
          <w:sz w:val="24"/>
          <w:szCs w:val="24"/>
        </w:rPr>
      </w:pPr>
      <w:proofErr w:type="gramStart"/>
      <w:r w:rsidRPr="00624C51">
        <w:rPr>
          <w:sz w:val="24"/>
          <w:szCs w:val="24"/>
        </w:rPr>
        <w:t>Columbia Gas of Pennsylvania, Inc.</w:t>
      </w:r>
      <w:proofErr w:type="gramEnd"/>
      <w:r w:rsidRPr="00624C51">
        <w:rPr>
          <w:sz w:val="24"/>
          <w:szCs w:val="24"/>
        </w:rPr>
        <w:tab/>
      </w:r>
      <w:r w:rsidRPr="00624C51">
        <w:rPr>
          <w:sz w:val="24"/>
          <w:szCs w:val="24"/>
        </w:rPr>
        <w:tab/>
      </w:r>
      <w:r w:rsidRPr="00624C51">
        <w:rPr>
          <w:sz w:val="24"/>
          <w:szCs w:val="24"/>
        </w:rPr>
        <w:tab/>
        <w:t>:</w:t>
      </w:r>
      <w:r w:rsidRPr="00624C51">
        <w:rPr>
          <w:sz w:val="24"/>
          <w:szCs w:val="24"/>
        </w:rPr>
        <w:tab/>
      </w:r>
      <w:r w:rsidRPr="00624C51">
        <w:rPr>
          <w:sz w:val="24"/>
          <w:szCs w:val="24"/>
        </w:rPr>
        <w:tab/>
      </w:r>
    </w:p>
    <w:p w:rsidR="0044273C" w:rsidRPr="00624C51" w:rsidRDefault="0044273C" w:rsidP="0044273C">
      <w:pPr>
        <w:rPr>
          <w:sz w:val="24"/>
          <w:szCs w:val="24"/>
        </w:rPr>
      </w:pPr>
      <w:r w:rsidRPr="00624C51">
        <w:rPr>
          <w:sz w:val="24"/>
          <w:szCs w:val="24"/>
        </w:rPr>
        <w:t xml:space="preserve">Application for Approval of </w:t>
      </w:r>
      <w:r w:rsidRPr="00624C51">
        <w:rPr>
          <w:sz w:val="24"/>
          <w:szCs w:val="24"/>
        </w:rPr>
        <w:tab/>
      </w:r>
      <w:r w:rsidRPr="00624C51">
        <w:rPr>
          <w:sz w:val="24"/>
          <w:szCs w:val="24"/>
        </w:rPr>
        <w:tab/>
      </w:r>
      <w:r w:rsidRPr="00624C51">
        <w:rPr>
          <w:sz w:val="24"/>
          <w:szCs w:val="24"/>
        </w:rPr>
        <w:tab/>
      </w:r>
      <w:r w:rsidRPr="00624C51">
        <w:rPr>
          <w:sz w:val="24"/>
          <w:szCs w:val="24"/>
        </w:rPr>
        <w:tab/>
        <w:t>:</w:t>
      </w:r>
    </w:p>
    <w:p w:rsidR="0044273C" w:rsidRPr="00624C51" w:rsidRDefault="0044273C" w:rsidP="0044273C">
      <w:pPr>
        <w:rPr>
          <w:sz w:val="24"/>
          <w:szCs w:val="24"/>
        </w:rPr>
      </w:pPr>
      <w:r w:rsidRPr="00624C51">
        <w:rPr>
          <w:sz w:val="24"/>
          <w:szCs w:val="24"/>
        </w:rPr>
        <w:t>Abandonment of Service to One (1)</w:t>
      </w:r>
      <w:r w:rsidRPr="00624C51">
        <w:rPr>
          <w:sz w:val="24"/>
          <w:szCs w:val="24"/>
        </w:rPr>
        <w:tab/>
      </w:r>
      <w:r w:rsidRPr="00624C51">
        <w:rPr>
          <w:sz w:val="24"/>
          <w:szCs w:val="24"/>
        </w:rPr>
        <w:tab/>
      </w:r>
      <w:r w:rsidRPr="00624C51">
        <w:rPr>
          <w:sz w:val="24"/>
          <w:szCs w:val="24"/>
        </w:rPr>
        <w:tab/>
        <w:t>:</w:t>
      </w:r>
      <w:r w:rsidRPr="00624C51">
        <w:rPr>
          <w:sz w:val="24"/>
          <w:szCs w:val="24"/>
        </w:rPr>
        <w:tab/>
      </w:r>
      <w:r w:rsidRPr="00624C51">
        <w:rPr>
          <w:sz w:val="24"/>
          <w:szCs w:val="24"/>
        </w:rPr>
        <w:tab/>
        <w:t>A-2011-2276780</w:t>
      </w:r>
    </w:p>
    <w:p w:rsidR="0044273C" w:rsidRPr="00624C51" w:rsidRDefault="0044273C" w:rsidP="0044273C">
      <w:pPr>
        <w:rPr>
          <w:sz w:val="24"/>
          <w:szCs w:val="24"/>
        </w:rPr>
      </w:pPr>
      <w:r w:rsidRPr="00624C51">
        <w:rPr>
          <w:sz w:val="24"/>
          <w:szCs w:val="24"/>
        </w:rPr>
        <w:t>Natural Gas Service Customer Located in</w:t>
      </w:r>
      <w:r w:rsidRPr="00624C51">
        <w:rPr>
          <w:sz w:val="24"/>
          <w:szCs w:val="24"/>
        </w:rPr>
        <w:tab/>
      </w:r>
      <w:r w:rsidRPr="00624C51">
        <w:rPr>
          <w:sz w:val="24"/>
          <w:szCs w:val="24"/>
        </w:rPr>
        <w:tab/>
        <w:t>:</w:t>
      </w:r>
    </w:p>
    <w:p w:rsidR="0044273C" w:rsidRPr="00624C51" w:rsidRDefault="0044273C" w:rsidP="0044273C">
      <w:pPr>
        <w:rPr>
          <w:sz w:val="24"/>
          <w:szCs w:val="24"/>
        </w:rPr>
      </w:pPr>
      <w:r w:rsidRPr="00624C51">
        <w:rPr>
          <w:sz w:val="24"/>
          <w:szCs w:val="24"/>
        </w:rPr>
        <w:t>Greene County, Pennsylvania</w:t>
      </w:r>
      <w:r w:rsidRPr="00624C51">
        <w:rPr>
          <w:sz w:val="24"/>
          <w:szCs w:val="24"/>
        </w:rPr>
        <w:tab/>
      </w:r>
      <w:r w:rsidRPr="00624C51">
        <w:rPr>
          <w:sz w:val="24"/>
          <w:szCs w:val="24"/>
        </w:rPr>
        <w:tab/>
      </w:r>
      <w:r w:rsidRPr="00624C51">
        <w:rPr>
          <w:sz w:val="24"/>
          <w:szCs w:val="24"/>
        </w:rPr>
        <w:tab/>
      </w:r>
      <w:r w:rsidRPr="00624C51">
        <w:rPr>
          <w:sz w:val="24"/>
          <w:szCs w:val="24"/>
        </w:rPr>
        <w:tab/>
        <w:t>:</w:t>
      </w:r>
    </w:p>
    <w:p w:rsidR="0044273C" w:rsidRPr="00624C51" w:rsidRDefault="0044273C" w:rsidP="0044273C">
      <w:pPr>
        <w:spacing w:line="233" w:lineRule="auto"/>
        <w:jc w:val="both"/>
        <w:rPr>
          <w:b/>
          <w:sz w:val="24"/>
          <w:szCs w:val="24"/>
        </w:rPr>
      </w:pPr>
    </w:p>
    <w:p w:rsidR="0044273C" w:rsidRPr="00624C51" w:rsidRDefault="0044273C" w:rsidP="0044273C">
      <w:pPr>
        <w:spacing w:line="233" w:lineRule="auto"/>
        <w:jc w:val="both"/>
        <w:rPr>
          <w:b/>
          <w:sz w:val="24"/>
          <w:szCs w:val="24"/>
        </w:rPr>
      </w:pPr>
    </w:p>
    <w:p w:rsidR="0044273C" w:rsidRPr="00624C51" w:rsidRDefault="0044273C" w:rsidP="0044273C">
      <w:pPr>
        <w:spacing w:line="233" w:lineRule="auto"/>
        <w:jc w:val="both"/>
        <w:rPr>
          <w:b/>
          <w:sz w:val="24"/>
          <w:szCs w:val="24"/>
        </w:rPr>
      </w:pPr>
    </w:p>
    <w:p w:rsidR="0085762A" w:rsidRPr="00624C51" w:rsidRDefault="0085762A" w:rsidP="0085762A">
      <w:pPr>
        <w:jc w:val="both"/>
        <w:rPr>
          <w:sz w:val="24"/>
          <w:szCs w:val="24"/>
        </w:rPr>
      </w:pPr>
    </w:p>
    <w:p w:rsidR="0085762A" w:rsidRPr="00624C51" w:rsidRDefault="0085762A" w:rsidP="0085762A">
      <w:pPr>
        <w:pStyle w:val="Heading1"/>
        <w:rPr>
          <w:sz w:val="24"/>
          <w:szCs w:val="24"/>
        </w:rPr>
      </w:pPr>
      <w:r w:rsidRPr="00624C51">
        <w:rPr>
          <w:sz w:val="24"/>
          <w:szCs w:val="24"/>
        </w:rPr>
        <w:t>INITIAL DECISION</w:t>
      </w:r>
    </w:p>
    <w:p w:rsidR="0085762A" w:rsidRPr="00624C51" w:rsidRDefault="0085762A" w:rsidP="0085762A">
      <w:pPr>
        <w:jc w:val="center"/>
        <w:rPr>
          <w:sz w:val="24"/>
          <w:szCs w:val="24"/>
        </w:rPr>
      </w:pPr>
    </w:p>
    <w:p w:rsidR="0085762A" w:rsidRPr="00624C51" w:rsidRDefault="0085762A" w:rsidP="0085762A">
      <w:pPr>
        <w:jc w:val="center"/>
        <w:rPr>
          <w:sz w:val="24"/>
          <w:szCs w:val="24"/>
        </w:rPr>
      </w:pPr>
    </w:p>
    <w:p w:rsidR="0085762A" w:rsidRPr="00624C51" w:rsidRDefault="0085762A" w:rsidP="0085762A">
      <w:pPr>
        <w:jc w:val="center"/>
        <w:rPr>
          <w:sz w:val="24"/>
          <w:szCs w:val="24"/>
        </w:rPr>
      </w:pPr>
      <w:r w:rsidRPr="00624C51">
        <w:rPr>
          <w:sz w:val="24"/>
          <w:szCs w:val="24"/>
        </w:rPr>
        <w:t>Before</w:t>
      </w:r>
    </w:p>
    <w:p w:rsidR="0085762A" w:rsidRPr="00624C51" w:rsidRDefault="0044273C" w:rsidP="0085762A">
      <w:pPr>
        <w:jc w:val="center"/>
        <w:rPr>
          <w:sz w:val="24"/>
          <w:szCs w:val="24"/>
        </w:rPr>
      </w:pPr>
      <w:r w:rsidRPr="00624C51">
        <w:rPr>
          <w:sz w:val="24"/>
          <w:szCs w:val="24"/>
        </w:rPr>
        <w:t>Katrina L. Dunderdale</w:t>
      </w:r>
    </w:p>
    <w:p w:rsidR="0085762A" w:rsidRPr="00624C51" w:rsidRDefault="0085762A" w:rsidP="0085762A">
      <w:pPr>
        <w:jc w:val="center"/>
        <w:rPr>
          <w:sz w:val="24"/>
          <w:szCs w:val="24"/>
        </w:rPr>
      </w:pPr>
      <w:r w:rsidRPr="00624C51">
        <w:rPr>
          <w:sz w:val="24"/>
          <w:szCs w:val="24"/>
        </w:rPr>
        <w:t>Administrative Law Judge</w:t>
      </w:r>
    </w:p>
    <w:p w:rsidR="0085762A" w:rsidRPr="00624C51" w:rsidRDefault="0085762A" w:rsidP="0085762A">
      <w:pPr>
        <w:jc w:val="both"/>
        <w:rPr>
          <w:sz w:val="24"/>
          <w:szCs w:val="24"/>
        </w:rPr>
      </w:pPr>
    </w:p>
    <w:p w:rsidR="0085762A" w:rsidRPr="00624C51" w:rsidRDefault="0085762A" w:rsidP="0085762A">
      <w:pPr>
        <w:jc w:val="both"/>
        <w:rPr>
          <w:sz w:val="24"/>
          <w:szCs w:val="24"/>
        </w:rPr>
      </w:pPr>
    </w:p>
    <w:p w:rsidR="0085762A" w:rsidRPr="00624C51" w:rsidRDefault="0085762A" w:rsidP="0085762A">
      <w:pPr>
        <w:pStyle w:val="Heading1"/>
        <w:rPr>
          <w:b w:val="0"/>
          <w:sz w:val="24"/>
          <w:szCs w:val="24"/>
        </w:rPr>
      </w:pPr>
      <w:r w:rsidRPr="00624C51">
        <w:rPr>
          <w:b w:val="0"/>
          <w:sz w:val="24"/>
          <w:szCs w:val="24"/>
        </w:rPr>
        <w:t>HISTORY OF THE PROCEEDING</w:t>
      </w:r>
    </w:p>
    <w:p w:rsidR="0085762A" w:rsidRPr="00624C51" w:rsidRDefault="0085762A" w:rsidP="0085762A">
      <w:pPr>
        <w:rPr>
          <w:sz w:val="24"/>
          <w:szCs w:val="24"/>
        </w:rPr>
      </w:pPr>
    </w:p>
    <w:p w:rsidR="0085762A" w:rsidRPr="00624C51" w:rsidRDefault="0085762A" w:rsidP="0085762A">
      <w:pPr>
        <w:rPr>
          <w:sz w:val="24"/>
          <w:szCs w:val="24"/>
        </w:rPr>
      </w:pPr>
    </w:p>
    <w:p w:rsidR="0044273C" w:rsidRPr="00624C51" w:rsidRDefault="0044273C" w:rsidP="0044273C">
      <w:pPr>
        <w:spacing w:line="360" w:lineRule="auto"/>
        <w:ind w:firstLine="1440"/>
        <w:rPr>
          <w:sz w:val="24"/>
          <w:szCs w:val="24"/>
        </w:rPr>
      </w:pPr>
      <w:r w:rsidRPr="00624C51">
        <w:rPr>
          <w:sz w:val="24"/>
          <w:szCs w:val="24"/>
        </w:rPr>
        <w:t xml:space="preserve">On June 10, 2011, Joseph </w:t>
      </w:r>
      <w:proofErr w:type="spellStart"/>
      <w:r w:rsidRPr="00624C51">
        <w:rPr>
          <w:sz w:val="24"/>
          <w:szCs w:val="24"/>
        </w:rPr>
        <w:t>Lucey</w:t>
      </w:r>
      <w:proofErr w:type="spellEnd"/>
      <w:r w:rsidRPr="00624C51">
        <w:rPr>
          <w:sz w:val="24"/>
          <w:szCs w:val="24"/>
        </w:rPr>
        <w:t xml:space="preserve"> (“Complainant” or “the ratepayer”) filed a formal complaint against Columbia Gas of Pennsylvania, Inc. (“Respondent” or “Columbia Gas”) alleging Columbia Gas disconnected service without prior notice and requesting the Public Utility Commission (“Commission”) order Respondent to fix the gas leak and resume service.  </w:t>
      </w:r>
    </w:p>
    <w:p w:rsidR="0044273C" w:rsidRPr="00624C51" w:rsidRDefault="0044273C" w:rsidP="0044273C">
      <w:pPr>
        <w:spacing w:line="360" w:lineRule="auto"/>
        <w:ind w:firstLine="1440"/>
        <w:rPr>
          <w:sz w:val="24"/>
          <w:szCs w:val="24"/>
        </w:rPr>
      </w:pPr>
    </w:p>
    <w:p w:rsidR="0044273C" w:rsidRPr="00624C51" w:rsidRDefault="0044273C" w:rsidP="0044273C">
      <w:pPr>
        <w:spacing w:line="360" w:lineRule="auto"/>
        <w:ind w:firstLine="1440"/>
        <w:rPr>
          <w:sz w:val="24"/>
          <w:szCs w:val="24"/>
        </w:rPr>
      </w:pPr>
      <w:r w:rsidRPr="00624C51">
        <w:rPr>
          <w:sz w:val="24"/>
          <w:szCs w:val="24"/>
        </w:rPr>
        <w:t>On July 14, 2011, Respondent filed an Answer to Complaint with the Commission in which it alleged it disconnected service because of the existence of a dangerous condition, specifically the existence of a natural gas leak in an eight-inch line servicing Complainant’s service address.</w:t>
      </w:r>
    </w:p>
    <w:p w:rsidR="007F09D3" w:rsidRPr="0030187E" w:rsidRDefault="002C117D" w:rsidP="0030187E">
      <w:pPr>
        <w:pStyle w:val="PlainText"/>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7F09D3" w:rsidRPr="0030187E">
        <w:rPr>
          <w:rFonts w:ascii="Times New Roman" w:hAnsi="Times New Roman" w:cs="Times New Roman"/>
          <w:sz w:val="24"/>
          <w:szCs w:val="24"/>
        </w:rPr>
        <w:t>On November 16, 2011, the Commission issued a Hearing Notice scheduling this matter for an initial telephonic hearing on Monday, December 19, 2011 in the Commission’s offices in Pittsburgh, Pennsylvania.  On the same date, the undersigned presiding officer issued a Prehearing Order to the parties directing the parties on various preliminary matters.</w:t>
      </w:r>
    </w:p>
    <w:p w:rsidR="007F09D3" w:rsidRDefault="0044273C" w:rsidP="00E94163">
      <w:pPr>
        <w:spacing w:line="360" w:lineRule="auto"/>
        <w:rPr>
          <w:sz w:val="24"/>
          <w:szCs w:val="24"/>
        </w:rPr>
      </w:pPr>
      <w:r w:rsidRPr="00624C51">
        <w:rPr>
          <w:sz w:val="24"/>
          <w:szCs w:val="24"/>
        </w:rPr>
        <w:tab/>
      </w:r>
      <w:r w:rsidRPr="00624C51">
        <w:rPr>
          <w:sz w:val="24"/>
          <w:szCs w:val="24"/>
        </w:rPr>
        <w:tab/>
      </w:r>
    </w:p>
    <w:p w:rsidR="0044273C" w:rsidRPr="00E94163" w:rsidRDefault="00E20EC0" w:rsidP="00E94163">
      <w:pPr>
        <w:spacing w:line="360" w:lineRule="auto"/>
        <w:rPr>
          <w:sz w:val="24"/>
          <w:szCs w:val="24"/>
        </w:rPr>
      </w:pPr>
      <w:r>
        <w:rPr>
          <w:sz w:val="24"/>
          <w:szCs w:val="24"/>
        </w:rPr>
        <w:tab/>
      </w:r>
      <w:r>
        <w:rPr>
          <w:sz w:val="24"/>
          <w:szCs w:val="24"/>
        </w:rPr>
        <w:tab/>
      </w:r>
      <w:r w:rsidR="0044273C" w:rsidRPr="00624C51">
        <w:rPr>
          <w:sz w:val="24"/>
          <w:szCs w:val="24"/>
        </w:rPr>
        <w:t xml:space="preserve">On </w:t>
      </w:r>
      <w:r w:rsidR="00646AF0">
        <w:rPr>
          <w:sz w:val="24"/>
          <w:szCs w:val="24"/>
        </w:rPr>
        <w:t>December 5, 2011,</w:t>
      </w:r>
      <w:r w:rsidR="0044273C" w:rsidRPr="00624C51">
        <w:rPr>
          <w:sz w:val="24"/>
          <w:szCs w:val="24"/>
        </w:rPr>
        <w:t xml:space="preserve"> Columbia Gas of Pennsylvania, Inc. (“Applicant” or “Columbia</w:t>
      </w:r>
      <w:r w:rsidR="00B2452A">
        <w:rPr>
          <w:sz w:val="24"/>
          <w:szCs w:val="24"/>
        </w:rPr>
        <w:t xml:space="preserve"> Gas</w:t>
      </w:r>
      <w:r w:rsidR="0044273C" w:rsidRPr="00624C51">
        <w:rPr>
          <w:sz w:val="24"/>
          <w:szCs w:val="24"/>
        </w:rPr>
        <w:t xml:space="preserve">”) filed an application with this Commission seeking permission to abandon natural gas service to one (1) field gathering line customer in Greene County, Pennsylvania.  </w:t>
      </w:r>
      <w:r w:rsidR="00B2452A">
        <w:rPr>
          <w:sz w:val="24"/>
          <w:szCs w:val="24"/>
        </w:rPr>
        <w:t xml:space="preserve">On the same date, Columbia Gas filed a Motion to </w:t>
      </w:r>
      <w:proofErr w:type="gramStart"/>
      <w:r w:rsidR="00B2452A">
        <w:rPr>
          <w:sz w:val="24"/>
          <w:szCs w:val="24"/>
        </w:rPr>
        <w:t>Consolidate</w:t>
      </w:r>
      <w:proofErr w:type="gramEnd"/>
      <w:r w:rsidR="00B2452A">
        <w:rPr>
          <w:sz w:val="24"/>
          <w:szCs w:val="24"/>
        </w:rPr>
        <w:t xml:space="preserve"> the application with the complaint proceeding docketed at No. </w:t>
      </w:r>
      <w:proofErr w:type="gramStart"/>
      <w:r w:rsidR="00B2452A">
        <w:rPr>
          <w:sz w:val="24"/>
          <w:szCs w:val="24"/>
        </w:rPr>
        <w:t>C-2011-2248370.</w:t>
      </w:r>
      <w:proofErr w:type="gramEnd"/>
      <w:r w:rsidR="00B2452A">
        <w:rPr>
          <w:sz w:val="24"/>
          <w:szCs w:val="24"/>
        </w:rPr>
        <w:t xml:space="preserve">  </w:t>
      </w:r>
      <w:r w:rsidR="0044273C" w:rsidRPr="00624C51">
        <w:rPr>
          <w:sz w:val="24"/>
          <w:szCs w:val="24"/>
        </w:rPr>
        <w:t xml:space="preserve">It also </w:t>
      </w:r>
      <w:r w:rsidR="0044273C" w:rsidRPr="00E94163">
        <w:rPr>
          <w:sz w:val="24"/>
          <w:szCs w:val="24"/>
        </w:rPr>
        <w:t xml:space="preserve">served copies of the application on the affected customer.  Notice of this application was published in the </w:t>
      </w:r>
      <w:r w:rsidR="0044273C" w:rsidRPr="00E94163">
        <w:rPr>
          <w:i/>
          <w:sz w:val="24"/>
          <w:szCs w:val="24"/>
        </w:rPr>
        <w:t>Observer-Reporter</w:t>
      </w:r>
      <w:r w:rsidR="0044273C" w:rsidRPr="00E94163">
        <w:rPr>
          <w:sz w:val="24"/>
          <w:szCs w:val="24"/>
        </w:rPr>
        <w:t xml:space="preserve">, a local newspaper of general circulation in Greene County, on </w:t>
      </w:r>
      <w:r w:rsidR="00646AF0" w:rsidRPr="00E94163">
        <w:rPr>
          <w:sz w:val="24"/>
          <w:szCs w:val="24"/>
        </w:rPr>
        <w:t>December 15, 2011</w:t>
      </w:r>
      <w:r w:rsidR="0044273C" w:rsidRPr="00E94163">
        <w:rPr>
          <w:sz w:val="24"/>
          <w:szCs w:val="24"/>
        </w:rPr>
        <w:t xml:space="preserve"> and in the </w:t>
      </w:r>
      <w:r w:rsidR="0044273C" w:rsidRPr="00E94163">
        <w:rPr>
          <w:i/>
          <w:sz w:val="24"/>
          <w:szCs w:val="24"/>
        </w:rPr>
        <w:t>Pennsylvania Bulletin</w:t>
      </w:r>
      <w:r w:rsidR="0044273C" w:rsidRPr="00E94163">
        <w:rPr>
          <w:sz w:val="24"/>
          <w:szCs w:val="24"/>
        </w:rPr>
        <w:t xml:space="preserve"> on </w:t>
      </w:r>
      <w:r w:rsidR="00646AF0" w:rsidRPr="00E94163">
        <w:rPr>
          <w:sz w:val="24"/>
          <w:szCs w:val="24"/>
        </w:rPr>
        <w:t>December 15, 201</w:t>
      </w:r>
      <w:r w:rsidR="00C3014A">
        <w:rPr>
          <w:sz w:val="24"/>
          <w:szCs w:val="24"/>
        </w:rPr>
        <w:t>1</w:t>
      </w:r>
      <w:r w:rsidR="0044273C" w:rsidRPr="00E94163">
        <w:rPr>
          <w:sz w:val="24"/>
          <w:szCs w:val="24"/>
        </w:rPr>
        <w:t xml:space="preserve">.  Protests were due to be filed on or before </w:t>
      </w:r>
      <w:r w:rsidR="00646AF0" w:rsidRPr="00E94163">
        <w:rPr>
          <w:sz w:val="24"/>
          <w:szCs w:val="24"/>
        </w:rPr>
        <w:t>January</w:t>
      </w:r>
      <w:r w:rsidR="000E59A6">
        <w:rPr>
          <w:sz w:val="24"/>
          <w:szCs w:val="24"/>
        </w:rPr>
        <w:t> </w:t>
      </w:r>
      <w:r w:rsidR="00646AF0" w:rsidRPr="00E94163">
        <w:rPr>
          <w:sz w:val="24"/>
          <w:szCs w:val="24"/>
        </w:rPr>
        <w:t>3, 2012</w:t>
      </w:r>
      <w:r w:rsidR="0044273C" w:rsidRPr="00E94163">
        <w:rPr>
          <w:sz w:val="24"/>
          <w:szCs w:val="24"/>
        </w:rPr>
        <w:t xml:space="preserve">.  </w:t>
      </w:r>
    </w:p>
    <w:p w:rsidR="00E94163" w:rsidRDefault="00E94163" w:rsidP="00E94163">
      <w:pPr>
        <w:pStyle w:val="PlainText"/>
        <w:spacing w:line="360" w:lineRule="auto"/>
        <w:rPr>
          <w:rFonts w:ascii="Times New Roman" w:hAnsi="Times New Roman" w:cs="Times New Roman"/>
          <w:sz w:val="24"/>
          <w:szCs w:val="24"/>
        </w:rPr>
      </w:pPr>
    </w:p>
    <w:p w:rsidR="00487CAA" w:rsidRPr="00487CAA" w:rsidRDefault="00230BE7" w:rsidP="00487CAA">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CAA" w:rsidRPr="00487CAA">
        <w:rPr>
          <w:rFonts w:ascii="Times New Roman" w:hAnsi="Times New Roman" w:cs="Times New Roman"/>
          <w:sz w:val="24"/>
          <w:szCs w:val="24"/>
        </w:rPr>
        <w:t xml:space="preserve">On December 13, 2011, Complainant’s counsel, David C. Hook, submitted a written request for a continuance on the grounds Complainant’s attorney would be unavailable on December 19, 2011 due to an emergency situation for another client in Spain.  The presiding officer granted that request on December 15, 2011.   On January 4, 2012, the presiding officer granted Columbia Gas’ request to consolidate and on January 4, 2012, these proceedings were scheduled for a prehearing conference to be conducted on February 10, 2012.  On January 12, 2012, Complainant’s attorney filed an Answer to the application in which many facts alleged by Columbia Gas in the application were disputed, especially those facts alleged concerning the termination of service and communications concerning conversion alternatives.  </w:t>
      </w:r>
    </w:p>
    <w:p w:rsidR="00487CAA" w:rsidRPr="00487CAA" w:rsidRDefault="00487CAA" w:rsidP="00487CAA">
      <w:pPr>
        <w:pStyle w:val="PlainText"/>
        <w:spacing w:line="360" w:lineRule="auto"/>
        <w:rPr>
          <w:rFonts w:ascii="Times New Roman" w:hAnsi="Times New Roman" w:cs="Times New Roman"/>
          <w:sz w:val="24"/>
          <w:szCs w:val="24"/>
        </w:rPr>
      </w:pPr>
    </w:p>
    <w:p w:rsidR="00487CAA" w:rsidRPr="00487CAA" w:rsidRDefault="00230BE7" w:rsidP="00487CAA">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87CAA" w:rsidRPr="00487CAA">
        <w:rPr>
          <w:rFonts w:ascii="Times New Roman" w:hAnsi="Times New Roman" w:cs="Times New Roman"/>
          <w:sz w:val="24"/>
          <w:szCs w:val="24"/>
        </w:rPr>
        <w:t>On February 8, 2012, Columbia Gas filed Preliminary Objections objecting to the use of the term “Answer” in Complainant’s January 12, 2012 filing and requested that the Answer be treated as a timely-filed protest to the application.  Further, Columbia Gas requested that paragraphs in the Answer which referenced discussions with Columbia Gas Transmission, LLC (“Columbia Transmission”</w:t>
      </w:r>
      <w:r w:rsidR="00DC3490">
        <w:rPr>
          <w:rFonts w:ascii="Times New Roman" w:hAnsi="Times New Roman" w:cs="Times New Roman"/>
          <w:sz w:val="24"/>
          <w:szCs w:val="24"/>
        </w:rPr>
        <w:t>)</w:t>
      </w:r>
      <w:r w:rsidR="00487CAA" w:rsidRPr="00487CAA">
        <w:rPr>
          <w:rFonts w:ascii="Times New Roman" w:hAnsi="Times New Roman" w:cs="Times New Roman"/>
          <w:sz w:val="24"/>
          <w:szCs w:val="24"/>
        </w:rPr>
        <w:t xml:space="preserve"> should be stricken.  Thereafter, the presiding officer conducted a prehearing conference on February 10, 2012 at which Complainant and his attorney-in-fact </w:t>
      </w:r>
      <w:r w:rsidR="00487CAA" w:rsidRPr="00487CAA">
        <w:rPr>
          <w:rFonts w:ascii="Times New Roman" w:hAnsi="Times New Roman" w:cs="Times New Roman"/>
          <w:sz w:val="24"/>
          <w:szCs w:val="24"/>
        </w:rPr>
        <w:lastRenderedPageBreak/>
        <w:t xml:space="preserve">were present and represented by David C. Hook, Esq.  Columbia Gas was presented and represented by Kimberly S. </w:t>
      </w:r>
      <w:proofErr w:type="spellStart"/>
      <w:r w:rsidR="00487CAA" w:rsidRPr="00487CAA">
        <w:rPr>
          <w:rFonts w:ascii="Times New Roman" w:hAnsi="Times New Roman" w:cs="Times New Roman"/>
          <w:sz w:val="24"/>
          <w:szCs w:val="24"/>
        </w:rPr>
        <w:t>Cuccia</w:t>
      </w:r>
      <w:proofErr w:type="spellEnd"/>
      <w:r w:rsidR="00487CAA" w:rsidRPr="00487CAA">
        <w:rPr>
          <w:rFonts w:ascii="Times New Roman" w:hAnsi="Times New Roman" w:cs="Times New Roman"/>
          <w:sz w:val="24"/>
          <w:szCs w:val="24"/>
        </w:rPr>
        <w:t xml:space="preserve">, Esq.  The Preliminary Objections filed by Columbia Gas were denied at the prehearing conference, at which the parties agreed to a litigation schedule.  </w:t>
      </w:r>
    </w:p>
    <w:p w:rsidR="00487CAA" w:rsidRPr="00E94163" w:rsidRDefault="00487CAA" w:rsidP="00E94163">
      <w:pPr>
        <w:pStyle w:val="PlainText"/>
        <w:spacing w:line="360" w:lineRule="auto"/>
        <w:rPr>
          <w:rFonts w:ascii="Times New Roman" w:hAnsi="Times New Roman" w:cs="Times New Roman"/>
          <w:sz w:val="24"/>
          <w:szCs w:val="24"/>
        </w:rPr>
      </w:pPr>
    </w:p>
    <w:p w:rsidR="00E94163" w:rsidRPr="00E94163" w:rsidRDefault="00E94163" w:rsidP="00E94163">
      <w:pPr>
        <w:pStyle w:val="PlainText"/>
        <w:spacing w:line="360" w:lineRule="auto"/>
        <w:rPr>
          <w:rFonts w:ascii="Times New Roman" w:hAnsi="Times New Roman" w:cs="Times New Roman"/>
          <w:sz w:val="24"/>
          <w:szCs w:val="24"/>
        </w:rPr>
      </w:pPr>
      <w:r w:rsidRPr="00E94163">
        <w:rPr>
          <w:rFonts w:ascii="Times New Roman" w:hAnsi="Times New Roman" w:cs="Times New Roman"/>
          <w:sz w:val="24"/>
          <w:szCs w:val="24"/>
        </w:rPr>
        <w:tab/>
      </w:r>
      <w:r w:rsidRPr="00E94163">
        <w:rPr>
          <w:rFonts w:ascii="Times New Roman" w:hAnsi="Times New Roman" w:cs="Times New Roman"/>
          <w:sz w:val="24"/>
          <w:szCs w:val="24"/>
        </w:rPr>
        <w:tab/>
        <w:t xml:space="preserve">On August 7, 2012, the presiding officer conducted the Initial Hearing in these proceedings with both parties present and represented by counsel.  David C. Hook, Esq., represented Complainant Joseph </w:t>
      </w:r>
      <w:proofErr w:type="spellStart"/>
      <w:r w:rsidRPr="00E94163">
        <w:rPr>
          <w:rFonts w:ascii="Times New Roman" w:hAnsi="Times New Roman" w:cs="Times New Roman"/>
          <w:sz w:val="24"/>
          <w:szCs w:val="24"/>
        </w:rPr>
        <w:t>Lucey</w:t>
      </w:r>
      <w:proofErr w:type="spellEnd"/>
      <w:r w:rsidRPr="00E94163">
        <w:rPr>
          <w:rFonts w:ascii="Times New Roman" w:hAnsi="Times New Roman" w:cs="Times New Roman"/>
          <w:sz w:val="24"/>
          <w:szCs w:val="24"/>
        </w:rPr>
        <w:t xml:space="preserve"> and his attorney-in-fact, Mark </w:t>
      </w:r>
      <w:proofErr w:type="spellStart"/>
      <w:r w:rsidRPr="00E94163">
        <w:rPr>
          <w:rFonts w:ascii="Times New Roman" w:hAnsi="Times New Roman" w:cs="Times New Roman"/>
          <w:sz w:val="24"/>
          <w:szCs w:val="24"/>
        </w:rPr>
        <w:t>Lucey</w:t>
      </w:r>
      <w:proofErr w:type="spellEnd"/>
      <w:r w:rsidRPr="00E94163">
        <w:rPr>
          <w:rFonts w:ascii="Times New Roman" w:hAnsi="Times New Roman" w:cs="Times New Roman"/>
          <w:sz w:val="24"/>
          <w:szCs w:val="24"/>
        </w:rPr>
        <w:t>.  Andrew S. Tubbs,</w:t>
      </w:r>
      <w:r w:rsidR="009A1875">
        <w:rPr>
          <w:rFonts w:ascii="Times New Roman" w:hAnsi="Times New Roman" w:cs="Times New Roman"/>
          <w:sz w:val="24"/>
          <w:szCs w:val="24"/>
        </w:rPr>
        <w:t> </w:t>
      </w:r>
      <w:r w:rsidRPr="00E94163">
        <w:rPr>
          <w:rFonts w:ascii="Times New Roman" w:hAnsi="Times New Roman" w:cs="Times New Roman"/>
          <w:sz w:val="24"/>
          <w:szCs w:val="24"/>
        </w:rPr>
        <w:t xml:space="preserve">Esq., represented Applicant Columbia.  Complainant presented the testimony of one witness and submitted one exhibit.  In addition, Applicant presented the written direct testimony of two witnesses and submitted four (4) exhibits.  </w:t>
      </w:r>
    </w:p>
    <w:p w:rsidR="00E94163" w:rsidRPr="00E94163" w:rsidRDefault="00E94163" w:rsidP="00E94163">
      <w:pPr>
        <w:pStyle w:val="PlainText"/>
        <w:spacing w:line="360" w:lineRule="auto"/>
        <w:rPr>
          <w:rFonts w:ascii="Times New Roman" w:hAnsi="Times New Roman" w:cs="Times New Roman"/>
          <w:sz w:val="24"/>
          <w:szCs w:val="24"/>
        </w:rPr>
      </w:pPr>
    </w:p>
    <w:p w:rsidR="00E94163" w:rsidRDefault="00E94163" w:rsidP="00E94163">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presiding officer scheduled a</w:t>
      </w:r>
      <w:r w:rsidRPr="00E94163">
        <w:rPr>
          <w:rFonts w:ascii="Times New Roman" w:hAnsi="Times New Roman" w:cs="Times New Roman"/>
          <w:sz w:val="24"/>
          <w:szCs w:val="24"/>
        </w:rPr>
        <w:t xml:space="preserve"> subsequent hearing in order to provide Complainant an opportunity to provide rebuttal testimony and to provide Applicant with an opportunity to present non-hearsay evidence concerning the length to the nearest distribution facilities, the cost to connect, and the route chosen.  Thereafter, the presiding officer conducted a Further Hearing with both parties present and represented on October 2, 2012, at which time Complainant presented testimony from one witness along with the witness’ written direct testimony.  Applicant presented the written direct and rebuttal testimony of one witness.  Complainant presented five (5) exhibits.  Applicant presented two (2) exhibits attached to the direct testimony.  The hearing generated a total of 298 pages of notes of testimony.  Both parties filed main briefs and reply briefs.  The record closed on January 31, 2013.</w:t>
      </w:r>
    </w:p>
    <w:p w:rsidR="00857D29" w:rsidRDefault="00857D29" w:rsidP="00E94163">
      <w:pPr>
        <w:pStyle w:val="PlainText"/>
        <w:spacing w:line="360" w:lineRule="auto"/>
        <w:rPr>
          <w:rFonts w:ascii="Times New Roman" w:hAnsi="Times New Roman" w:cs="Times New Roman"/>
          <w:sz w:val="24"/>
          <w:szCs w:val="24"/>
        </w:rPr>
      </w:pPr>
    </w:p>
    <w:p w:rsidR="00857D29" w:rsidRDefault="00857D29" w:rsidP="00857D29">
      <w:pPr>
        <w:pStyle w:val="PlainText"/>
        <w:spacing w:line="36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2073">
        <w:rPr>
          <w:rFonts w:ascii="Times New Roman" w:hAnsi="Times New Roman"/>
          <w:sz w:val="24"/>
          <w:szCs w:val="24"/>
        </w:rPr>
        <w:t xml:space="preserve">On May 3, 2013, the presiding officer notified counsel for both parties that a review of the hearing record revealed the matters in dispute were appropriate for mediation and it would be in the best interest of both parties if the parties participated in mediation before the presiding officer rendered a decision.  The presiding officer asked both parties to </w:t>
      </w:r>
      <w:r>
        <w:rPr>
          <w:rFonts w:ascii="Times New Roman" w:hAnsi="Times New Roman"/>
          <w:sz w:val="24"/>
          <w:szCs w:val="24"/>
        </w:rPr>
        <w:t xml:space="preserve">indicate on or before close of business on </w:t>
      </w:r>
      <w:r w:rsidRPr="00A02073">
        <w:rPr>
          <w:rFonts w:ascii="Times New Roman" w:hAnsi="Times New Roman"/>
          <w:sz w:val="24"/>
          <w:szCs w:val="24"/>
        </w:rPr>
        <w:t>May 8, 2013 if they consented to use the mediation process, and could commit to do so in good faith.</w:t>
      </w:r>
      <w:r>
        <w:rPr>
          <w:rFonts w:ascii="Times New Roman" w:hAnsi="Times New Roman"/>
          <w:sz w:val="24"/>
          <w:szCs w:val="24"/>
        </w:rPr>
        <w:t xml:space="preserve">  </w:t>
      </w:r>
      <w:r w:rsidRPr="00A02073">
        <w:rPr>
          <w:rFonts w:ascii="Times New Roman" w:hAnsi="Times New Roman"/>
          <w:sz w:val="24"/>
          <w:szCs w:val="24"/>
        </w:rPr>
        <w:t>Counsel for both Columbia Gas and Complainant indicated their consent and willingness to participate in me</w:t>
      </w:r>
      <w:r>
        <w:rPr>
          <w:rFonts w:ascii="Times New Roman" w:hAnsi="Times New Roman"/>
          <w:sz w:val="24"/>
          <w:szCs w:val="24"/>
        </w:rPr>
        <w:t>diation on May 3, 2013 and May 8</w:t>
      </w:r>
      <w:r w:rsidRPr="00A02073">
        <w:rPr>
          <w:rFonts w:ascii="Times New Roman" w:hAnsi="Times New Roman"/>
          <w:sz w:val="24"/>
          <w:szCs w:val="24"/>
        </w:rPr>
        <w:t xml:space="preserve">, 2013, respectively, and requested the complaint and abandonment proceedings be transferred to the Mediation Unit for a </w:t>
      </w:r>
      <w:r>
        <w:rPr>
          <w:rFonts w:ascii="Times New Roman" w:hAnsi="Times New Roman"/>
          <w:sz w:val="24"/>
          <w:szCs w:val="24"/>
        </w:rPr>
        <w:t xml:space="preserve">private </w:t>
      </w:r>
      <w:r w:rsidRPr="00A02073">
        <w:rPr>
          <w:rFonts w:ascii="Times New Roman" w:hAnsi="Times New Roman"/>
          <w:sz w:val="24"/>
          <w:szCs w:val="24"/>
        </w:rPr>
        <w:t>resolution</w:t>
      </w:r>
      <w:r>
        <w:rPr>
          <w:rFonts w:ascii="Times New Roman" w:hAnsi="Times New Roman"/>
          <w:sz w:val="24"/>
          <w:szCs w:val="24"/>
        </w:rPr>
        <w:t xml:space="preserve"> between the parties</w:t>
      </w:r>
      <w:r w:rsidRPr="00A02073">
        <w:rPr>
          <w:rFonts w:ascii="Times New Roman" w:hAnsi="Times New Roman"/>
          <w:sz w:val="24"/>
          <w:szCs w:val="24"/>
        </w:rPr>
        <w:t xml:space="preserve">.  </w:t>
      </w:r>
    </w:p>
    <w:p w:rsidR="00857D29" w:rsidRDefault="00857D29" w:rsidP="00857D29">
      <w:pPr>
        <w:pStyle w:val="PlainText"/>
        <w:spacing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Thereafter, on May 13, 2013, the presiding officer issued an Order which (1) reopened the hearing record; and (2) referred this matter </w:t>
      </w:r>
      <w:r w:rsidR="00554852">
        <w:rPr>
          <w:rFonts w:ascii="Times New Roman" w:hAnsi="Times New Roman"/>
          <w:sz w:val="24"/>
          <w:szCs w:val="24"/>
        </w:rPr>
        <w:t>t</w:t>
      </w:r>
      <w:r>
        <w:rPr>
          <w:rFonts w:ascii="Times New Roman" w:hAnsi="Times New Roman"/>
          <w:sz w:val="24"/>
          <w:szCs w:val="24"/>
        </w:rPr>
        <w:t xml:space="preserve">o the Office of Administrative Law Judge’s Mediation Unit for mediation proceedings.  On June 11, 2013, the parties met at the Commission’s offices at Piatt Place in Pittsburgh and engaged in mediation.  On June 12, 2013, the Mediator filed a report indicating the parties were unsuccessful in reaching any understanding or settlement of the two disputes.  </w:t>
      </w:r>
    </w:p>
    <w:p w:rsidR="00857D29" w:rsidRDefault="00857D29" w:rsidP="00857D29">
      <w:pPr>
        <w:pStyle w:val="PlainText"/>
        <w:spacing w:line="360" w:lineRule="auto"/>
        <w:rPr>
          <w:rFonts w:ascii="Times New Roman" w:hAnsi="Times New Roman"/>
          <w:sz w:val="24"/>
          <w:szCs w:val="24"/>
        </w:rPr>
      </w:pPr>
    </w:p>
    <w:p w:rsidR="00857D29" w:rsidRPr="00A02073" w:rsidRDefault="00857D29" w:rsidP="00857D29">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July 17, 2013, the presiding officer closed the hearing record as of June 17, 2013, having provided the parties with an opportunity to make any appropriate requests.  This matter is now ripe for resolution.</w:t>
      </w:r>
    </w:p>
    <w:p w:rsidR="00857D29" w:rsidRPr="00E94163" w:rsidRDefault="00857D29" w:rsidP="00E94163">
      <w:pPr>
        <w:pStyle w:val="PlainText"/>
        <w:spacing w:line="360" w:lineRule="auto"/>
        <w:rPr>
          <w:rFonts w:ascii="Times New Roman" w:hAnsi="Times New Roman" w:cs="Times New Roman"/>
          <w:sz w:val="24"/>
          <w:szCs w:val="24"/>
        </w:rPr>
      </w:pPr>
    </w:p>
    <w:p w:rsidR="00E14574" w:rsidRPr="00624C51" w:rsidRDefault="00E14574" w:rsidP="00E14574">
      <w:pPr>
        <w:spacing w:line="360" w:lineRule="auto"/>
        <w:jc w:val="center"/>
        <w:rPr>
          <w:sz w:val="24"/>
          <w:szCs w:val="24"/>
        </w:rPr>
      </w:pPr>
      <w:r w:rsidRPr="00624C51">
        <w:rPr>
          <w:sz w:val="24"/>
          <w:szCs w:val="24"/>
          <w:u w:val="single"/>
        </w:rPr>
        <w:t>FINDINGS OF FACT</w:t>
      </w:r>
    </w:p>
    <w:p w:rsidR="00E14574" w:rsidRPr="00624C51" w:rsidRDefault="00E14574" w:rsidP="00E14574">
      <w:pPr>
        <w:spacing w:line="360" w:lineRule="auto"/>
        <w:rPr>
          <w:sz w:val="24"/>
          <w:szCs w:val="24"/>
        </w:rPr>
      </w:pPr>
    </w:p>
    <w:p w:rsidR="008F0AB6" w:rsidRDefault="00D33298" w:rsidP="008F0AB6">
      <w:pPr>
        <w:numPr>
          <w:ilvl w:val="0"/>
          <w:numId w:val="1"/>
        </w:numPr>
        <w:tabs>
          <w:tab w:val="clear" w:pos="720"/>
          <w:tab w:val="num" w:pos="0"/>
        </w:tabs>
        <w:spacing w:line="360" w:lineRule="auto"/>
        <w:ind w:left="0" w:firstLine="1440"/>
        <w:rPr>
          <w:sz w:val="24"/>
          <w:szCs w:val="24"/>
        </w:rPr>
      </w:pPr>
      <w:r w:rsidRPr="00624C51">
        <w:rPr>
          <w:sz w:val="24"/>
          <w:szCs w:val="24"/>
        </w:rPr>
        <w:t xml:space="preserve">Mark R. </w:t>
      </w:r>
      <w:proofErr w:type="spellStart"/>
      <w:r w:rsidRPr="00624C51">
        <w:rPr>
          <w:sz w:val="24"/>
          <w:szCs w:val="24"/>
        </w:rPr>
        <w:t>Lucey</w:t>
      </w:r>
      <w:proofErr w:type="spellEnd"/>
      <w:r w:rsidRPr="00624C51">
        <w:rPr>
          <w:sz w:val="24"/>
          <w:szCs w:val="24"/>
        </w:rPr>
        <w:t xml:space="preserve"> owns </w:t>
      </w:r>
      <w:r w:rsidR="00286A46">
        <w:rPr>
          <w:sz w:val="24"/>
          <w:szCs w:val="24"/>
        </w:rPr>
        <w:t>250 acres</w:t>
      </w:r>
      <w:r w:rsidR="003738D1">
        <w:rPr>
          <w:sz w:val="24"/>
          <w:szCs w:val="24"/>
        </w:rPr>
        <w:t xml:space="preserve"> with a</w:t>
      </w:r>
      <w:r w:rsidRPr="00624C51">
        <w:rPr>
          <w:sz w:val="24"/>
          <w:szCs w:val="24"/>
        </w:rPr>
        <w:t xml:space="preserve"> residence </w:t>
      </w:r>
      <w:r w:rsidR="00286A46">
        <w:rPr>
          <w:sz w:val="24"/>
          <w:szCs w:val="24"/>
        </w:rPr>
        <w:t xml:space="preserve">included </w:t>
      </w:r>
      <w:r w:rsidR="003738D1">
        <w:rPr>
          <w:sz w:val="24"/>
          <w:szCs w:val="24"/>
        </w:rPr>
        <w:t xml:space="preserve">located </w:t>
      </w:r>
      <w:r w:rsidRPr="00624C51">
        <w:rPr>
          <w:sz w:val="24"/>
          <w:szCs w:val="24"/>
        </w:rPr>
        <w:t>at 107</w:t>
      </w:r>
      <w:r w:rsidR="00BE29C4">
        <w:rPr>
          <w:sz w:val="24"/>
          <w:szCs w:val="24"/>
        </w:rPr>
        <w:t> </w:t>
      </w:r>
      <w:r w:rsidRPr="00624C51">
        <w:rPr>
          <w:sz w:val="24"/>
          <w:szCs w:val="24"/>
        </w:rPr>
        <w:t>Roy Furman Highway, Wind Ridge, Greene County, Pennsylvania (“service addre</w:t>
      </w:r>
      <w:r w:rsidR="00534E98">
        <w:rPr>
          <w:sz w:val="24"/>
          <w:szCs w:val="24"/>
        </w:rPr>
        <w:t xml:space="preserve">ss”) where his brother, Joseph </w:t>
      </w:r>
      <w:proofErr w:type="spellStart"/>
      <w:r w:rsidR="00534E98">
        <w:rPr>
          <w:sz w:val="24"/>
          <w:szCs w:val="24"/>
        </w:rPr>
        <w:t>Lucey</w:t>
      </w:r>
      <w:proofErr w:type="spellEnd"/>
      <w:r w:rsidR="00534E98">
        <w:rPr>
          <w:sz w:val="24"/>
          <w:szCs w:val="24"/>
        </w:rPr>
        <w:t xml:space="preserve">, </w:t>
      </w:r>
      <w:r w:rsidR="00B03837">
        <w:rPr>
          <w:sz w:val="24"/>
          <w:szCs w:val="24"/>
        </w:rPr>
        <w:t xml:space="preserve">and his wife, Sheila, have </w:t>
      </w:r>
      <w:r w:rsidRPr="00624C51">
        <w:rPr>
          <w:sz w:val="24"/>
          <w:szCs w:val="24"/>
        </w:rPr>
        <w:t>reside</w:t>
      </w:r>
      <w:r w:rsidR="00B03837">
        <w:rPr>
          <w:sz w:val="24"/>
          <w:szCs w:val="24"/>
        </w:rPr>
        <w:t>d since January 16, 2010</w:t>
      </w:r>
      <w:r w:rsidRPr="00624C51">
        <w:rPr>
          <w:sz w:val="24"/>
          <w:szCs w:val="24"/>
        </w:rPr>
        <w:t xml:space="preserve">.  Joseph </w:t>
      </w:r>
      <w:proofErr w:type="spellStart"/>
      <w:r w:rsidRPr="00624C51">
        <w:rPr>
          <w:sz w:val="24"/>
          <w:szCs w:val="24"/>
        </w:rPr>
        <w:t>Lucey</w:t>
      </w:r>
      <w:proofErr w:type="spellEnd"/>
      <w:r w:rsidRPr="00624C51">
        <w:rPr>
          <w:sz w:val="24"/>
          <w:szCs w:val="24"/>
        </w:rPr>
        <w:t xml:space="preserve"> is a customer of Columbia Gas.  (Tr. </w:t>
      </w:r>
      <w:r w:rsidR="00B03837">
        <w:rPr>
          <w:sz w:val="24"/>
          <w:szCs w:val="24"/>
        </w:rPr>
        <w:t xml:space="preserve">13, 14, </w:t>
      </w:r>
      <w:r w:rsidR="00286A46">
        <w:rPr>
          <w:sz w:val="24"/>
          <w:szCs w:val="24"/>
        </w:rPr>
        <w:t xml:space="preserve">29, </w:t>
      </w:r>
      <w:r w:rsidR="00B03837">
        <w:rPr>
          <w:sz w:val="24"/>
          <w:szCs w:val="24"/>
        </w:rPr>
        <w:t>265</w:t>
      </w:r>
      <w:r w:rsidRPr="00624C51">
        <w:rPr>
          <w:sz w:val="24"/>
          <w:szCs w:val="24"/>
        </w:rPr>
        <w:t>).</w:t>
      </w:r>
    </w:p>
    <w:p w:rsidR="008F0AB6" w:rsidRPr="0030381C" w:rsidRDefault="008F0AB6" w:rsidP="008F0AB6">
      <w:pPr>
        <w:spacing w:line="360" w:lineRule="auto"/>
        <w:ind w:left="1440"/>
        <w:rPr>
          <w:sz w:val="24"/>
          <w:szCs w:val="24"/>
        </w:rPr>
      </w:pPr>
    </w:p>
    <w:p w:rsidR="008F0AB6" w:rsidRDefault="008F0AB6" w:rsidP="008F0AB6">
      <w:pPr>
        <w:numPr>
          <w:ilvl w:val="0"/>
          <w:numId w:val="1"/>
        </w:numPr>
        <w:tabs>
          <w:tab w:val="clear" w:pos="720"/>
          <w:tab w:val="num" w:pos="0"/>
        </w:tabs>
        <w:spacing w:line="360" w:lineRule="auto"/>
        <w:ind w:left="0" w:firstLine="1440"/>
        <w:rPr>
          <w:sz w:val="24"/>
          <w:szCs w:val="24"/>
        </w:rPr>
      </w:pPr>
      <w:r w:rsidRPr="0030381C">
        <w:rPr>
          <w:sz w:val="24"/>
          <w:szCs w:val="24"/>
        </w:rPr>
        <w:t xml:space="preserve">Joseph </w:t>
      </w:r>
      <w:proofErr w:type="spellStart"/>
      <w:r w:rsidRPr="0030381C">
        <w:rPr>
          <w:sz w:val="24"/>
          <w:szCs w:val="24"/>
        </w:rPr>
        <w:t>Lucey</w:t>
      </w:r>
      <w:proofErr w:type="spellEnd"/>
      <w:r w:rsidRPr="0030381C">
        <w:rPr>
          <w:sz w:val="24"/>
          <w:szCs w:val="24"/>
        </w:rPr>
        <w:t xml:space="preserve"> is deaf and Mar</w:t>
      </w:r>
      <w:r w:rsidR="00534E98">
        <w:rPr>
          <w:sz w:val="24"/>
          <w:szCs w:val="24"/>
        </w:rPr>
        <w:t xml:space="preserve">k </w:t>
      </w:r>
      <w:proofErr w:type="spellStart"/>
      <w:r w:rsidR="00534E98">
        <w:rPr>
          <w:sz w:val="24"/>
          <w:szCs w:val="24"/>
        </w:rPr>
        <w:t>Lucey</w:t>
      </w:r>
      <w:proofErr w:type="spellEnd"/>
      <w:r w:rsidR="00534E98">
        <w:rPr>
          <w:sz w:val="24"/>
          <w:szCs w:val="24"/>
        </w:rPr>
        <w:t xml:space="preserve"> is his Attorney-in-Fact</w:t>
      </w:r>
      <w:r w:rsidRPr="0030381C">
        <w:rPr>
          <w:sz w:val="24"/>
          <w:szCs w:val="24"/>
        </w:rPr>
        <w:t>.  (Tr. 5).</w:t>
      </w:r>
    </w:p>
    <w:p w:rsidR="00857D29" w:rsidRDefault="00857D29" w:rsidP="00857D29">
      <w:pPr>
        <w:spacing w:line="360" w:lineRule="auto"/>
        <w:ind w:left="1440"/>
        <w:rPr>
          <w:sz w:val="24"/>
          <w:szCs w:val="24"/>
        </w:rPr>
      </w:pPr>
    </w:p>
    <w:p w:rsidR="00534E98" w:rsidRDefault="00534E98" w:rsidP="008F0AB6">
      <w:pPr>
        <w:numPr>
          <w:ilvl w:val="0"/>
          <w:numId w:val="1"/>
        </w:numPr>
        <w:tabs>
          <w:tab w:val="clear" w:pos="720"/>
          <w:tab w:val="num" w:pos="0"/>
        </w:tabs>
        <w:spacing w:line="360" w:lineRule="auto"/>
        <w:ind w:left="0" w:firstLine="1440"/>
        <w:rPr>
          <w:sz w:val="24"/>
          <w:szCs w:val="24"/>
        </w:rPr>
      </w:pPr>
      <w:r>
        <w:rPr>
          <w:sz w:val="24"/>
          <w:szCs w:val="24"/>
        </w:rPr>
        <w:t>The service</w:t>
      </w:r>
      <w:r w:rsidRPr="00624C51">
        <w:rPr>
          <w:sz w:val="24"/>
          <w:szCs w:val="24"/>
        </w:rPr>
        <w:t xml:space="preserve"> </w:t>
      </w:r>
      <w:r w:rsidR="00286A46">
        <w:rPr>
          <w:sz w:val="24"/>
          <w:szCs w:val="24"/>
        </w:rPr>
        <w:t>address</w:t>
      </w:r>
      <w:r w:rsidR="00B03837">
        <w:rPr>
          <w:sz w:val="24"/>
          <w:szCs w:val="24"/>
        </w:rPr>
        <w:t>, which is located on a 250-acre parcel that abuts the West Virginia-Pennsylvania state line,</w:t>
      </w:r>
      <w:r w:rsidRPr="00624C51">
        <w:rPr>
          <w:sz w:val="24"/>
          <w:szCs w:val="24"/>
        </w:rPr>
        <w:t xml:space="preserve"> was purchased by Mark </w:t>
      </w:r>
      <w:proofErr w:type="spellStart"/>
      <w:r w:rsidRPr="00624C51">
        <w:rPr>
          <w:sz w:val="24"/>
          <w:szCs w:val="24"/>
        </w:rPr>
        <w:t>Lucey</w:t>
      </w:r>
      <w:proofErr w:type="spellEnd"/>
      <w:r w:rsidRPr="00624C51">
        <w:rPr>
          <w:sz w:val="24"/>
          <w:szCs w:val="24"/>
        </w:rPr>
        <w:t xml:space="preserve"> from </w:t>
      </w:r>
      <w:r>
        <w:rPr>
          <w:sz w:val="24"/>
          <w:szCs w:val="24"/>
        </w:rPr>
        <w:t>his</w:t>
      </w:r>
      <w:r w:rsidRPr="00624C51">
        <w:rPr>
          <w:sz w:val="24"/>
          <w:szCs w:val="24"/>
        </w:rPr>
        <w:t xml:space="preserve"> parents in 2005.  (Tr. 14</w:t>
      </w:r>
      <w:r w:rsidR="00B03837">
        <w:rPr>
          <w:sz w:val="24"/>
          <w:szCs w:val="24"/>
        </w:rPr>
        <w:t>, 29</w:t>
      </w:r>
      <w:r w:rsidR="001C5E86">
        <w:rPr>
          <w:sz w:val="24"/>
          <w:szCs w:val="24"/>
        </w:rPr>
        <w:t>, 31</w:t>
      </w:r>
      <w:r w:rsidRPr="00624C51">
        <w:rPr>
          <w:sz w:val="24"/>
          <w:szCs w:val="24"/>
        </w:rPr>
        <w:t>; Columbia Statement No. 1 at 3 and Columbia Statement No. 2 at 3-4</w:t>
      </w:r>
      <w:r w:rsidRPr="00624C51">
        <w:rPr>
          <w:color w:val="0C0C0C"/>
          <w:sz w:val="24"/>
          <w:szCs w:val="24"/>
        </w:rPr>
        <w:fldChar w:fldCharType="begin"/>
      </w:r>
      <w:r w:rsidRPr="00624C51">
        <w:rPr>
          <w:color w:val="0C0C0C"/>
          <w:sz w:val="24"/>
          <w:szCs w:val="24"/>
        </w:rPr>
        <w:instrText xml:space="preserve"> TA \s "Tr." </w:instrText>
      </w:r>
      <w:r w:rsidRPr="00624C51">
        <w:rPr>
          <w:color w:val="0C0C0C"/>
          <w:sz w:val="24"/>
          <w:szCs w:val="24"/>
        </w:rPr>
        <w:fldChar w:fldCharType="end"/>
      </w:r>
      <w:r w:rsidRPr="00624C51">
        <w:rPr>
          <w:sz w:val="24"/>
          <w:szCs w:val="24"/>
        </w:rPr>
        <w:t>).</w:t>
      </w:r>
    </w:p>
    <w:p w:rsidR="00B03837" w:rsidRDefault="00B03837" w:rsidP="00A050C6">
      <w:pPr>
        <w:pStyle w:val="ListParagraph"/>
        <w:spacing w:line="360" w:lineRule="auto"/>
        <w:rPr>
          <w:sz w:val="24"/>
          <w:szCs w:val="24"/>
        </w:rPr>
      </w:pPr>
    </w:p>
    <w:p w:rsidR="00B03837" w:rsidRPr="0030381C" w:rsidRDefault="00B03837" w:rsidP="008F0AB6">
      <w:pPr>
        <w:numPr>
          <w:ilvl w:val="0"/>
          <w:numId w:val="1"/>
        </w:numPr>
        <w:tabs>
          <w:tab w:val="clear" w:pos="720"/>
          <w:tab w:val="num" w:pos="0"/>
        </w:tabs>
        <w:spacing w:line="360" w:lineRule="auto"/>
        <w:ind w:left="0" w:firstLine="1440"/>
        <w:rPr>
          <w:sz w:val="24"/>
          <w:szCs w:val="24"/>
        </w:rPr>
      </w:pPr>
      <w:r>
        <w:rPr>
          <w:sz w:val="24"/>
          <w:szCs w:val="24"/>
        </w:rPr>
        <w:t xml:space="preserve">Mark </w:t>
      </w:r>
      <w:proofErr w:type="spellStart"/>
      <w:r>
        <w:rPr>
          <w:sz w:val="24"/>
          <w:szCs w:val="24"/>
        </w:rPr>
        <w:t>Lucey</w:t>
      </w:r>
      <w:proofErr w:type="spellEnd"/>
      <w:r>
        <w:rPr>
          <w:sz w:val="24"/>
          <w:szCs w:val="24"/>
        </w:rPr>
        <w:t xml:space="preserve"> lives in West Virginia, approximately one mile from the service </w:t>
      </w:r>
      <w:r w:rsidR="00286A46">
        <w:rPr>
          <w:sz w:val="24"/>
          <w:szCs w:val="24"/>
        </w:rPr>
        <w:t>address</w:t>
      </w:r>
      <w:r>
        <w:rPr>
          <w:sz w:val="24"/>
          <w:szCs w:val="24"/>
        </w:rPr>
        <w:t xml:space="preserve">, and receives natural gas service as a tap-in customer </w:t>
      </w:r>
      <w:r w:rsidR="00286A46">
        <w:rPr>
          <w:sz w:val="24"/>
          <w:szCs w:val="24"/>
        </w:rPr>
        <w:t>of Columbia Gas of West</w:t>
      </w:r>
      <w:r w:rsidR="002E3CE6">
        <w:rPr>
          <w:sz w:val="24"/>
          <w:szCs w:val="24"/>
        </w:rPr>
        <w:t> </w:t>
      </w:r>
      <w:r w:rsidR="00286A46">
        <w:rPr>
          <w:sz w:val="24"/>
          <w:szCs w:val="24"/>
        </w:rPr>
        <w:t>Virginia from Line 1360 belonging to C</w:t>
      </w:r>
      <w:r>
        <w:rPr>
          <w:sz w:val="24"/>
          <w:szCs w:val="24"/>
        </w:rPr>
        <w:t xml:space="preserve">olumbia </w:t>
      </w:r>
      <w:r w:rsidR="00286A46">
        <w:rPr>
          <w:sz w:val="24"/>
          <w:szCs w:val="24"/>
        </w:rPr>
        <w:t xml:space="preserve">Gas </w:t>
      </w:r>
      <w:r>
        <w:rPr>
          <w:sz w:val="24"/>
          <w:szCs w:val="24"/>
        </w:rPr>
        <w:t>Transmission</w:t>
      </w:r>
      <w:r w:rsidR="00286A46">
        <w:rPr>
          <w:sz w:val="24"/>
          <w:szCs w:val="24"/>
        </w:rPr>
        <w:t>, LLC (“Columbia Transmission”)</w:t>
      </w:r>
      <w:r>
        <w:rPr>
          <w:sz w:val="24"/>
          <w:szCs w:val="24"/>
        </w:rPr>
        <w:t>.  (Tr. 30, 31, 265-275).</w:t>
      </w:r>
    </w:p>
    <w:p w:rsidR="008F0AB6" w:rsidRPr="0030381C" w:rsidRDefault="008F0AB6" w:rsidP="008F0AB6">
      <w:pPr>
        <w:spacing w:line="360" w:lineRule="auto"/>
        <w:ind w:left="1440"/>
        <w:rPr>
          <w:sz w:val="24"/>
          <w:szCs w:val="24"/>
        </w:rPr>
      </w:pPr>
    </w:p>
    <w:p w:rsidR="008F0AB6" w:rsidRPr="0030381C" w:rsidRDefault="008F0AB6" w:rsidP="008F0AB6">
      <w:pPr>
        <w:numPr>
          <w:ilvl w:val="0"/>
          <w:numId w:val="1"/>
        </w:numPr>
        <w:tabs>
          <w:tab w:val="clear" w:pos="720"/>
          <w:tab w:val="num" w:pos="0"/>
        </w:tabs>
        <w:spacing w:line="360" w:lineRule="auto"/>
        <w:ind w:left="0" w:firstLine="1440"/>
        <w:rPr>
          <w:sz w:val="24"/>
          <w:szCs w:val="24"/>
        </w:rPr>
      </w:pPr>
      <w:r w:rsidRPr="0030381C">
        <w:rPr>
          <w:sz w:val="24"/>
          <w:szCs w:val="24"/>
        </w:rPr>
        <w:lastRenderedPageBreak/>
        <w:t xml:space="preserve">Columbia Gas provided natural gas service to </w:t>
      </w:r>
      <w:r w:rsidR="001C5E86">
        <w:rPr>
          <w:sz w:val="24"/>
          <w:szCs w:val="24"/>
        </w:rPr>
        <w:t xml:space="preserve">the </w:t>
      </w:r>
      <w:r w:rsidR="00330770">
        <w:rPr>
          <w:sz w:val="24"/>
          <w:szCs w:val="24"/>
        </w:rPr>
        <w:t>service address off of a transmission pipeline</w:t>
      </w:r>
      <w:r w:rsidR="001C5E86">
        <w:rPr>
          <w:sz w:val="24"/>
          <w:szCs w:val="24"/>
        </w:rPr>
        <w:t xml:space="preserve"> owned by Columbia Transmission</w:t>
      </w:r>
      <w:r w:rsidR="00330770">
        <w:rPr>
          <w:sz w:val="24"/>
          <w:szCs w:val="24"/>
        </w:rPr>
        <w:t xml:space="preserve"> fr</w:t>
      </w:r>
      <w:r w:rsidR="001C5E86">
        <w:rPr>
          <w:sz w:val="24"/>
          <w:szCs w:val="24"/>
        </w:rPr>
        <w:t>om January 20, 2010 until</w:t>
      </w:r>
      <w:r w:rsidR="00286A46">
        <w:rPr>
          <w:sz w:val="24"/>
          <w:szCs w:val="24"/>
        </w:rPr>
        <w:t xml:space="preserve"> on or about June 1</w:t>
      </w:r>
      <w:r w:rsidR="00330770">
        <w:rPr>
          <w:sz w:val="24"/>
          <w:szCs w:val="24"/>
        </w:rPr>
        <w:t>, 2011</w:t>
      </w:r>
      <w:r w:rsidRPr="0030381C">
        <w:rPr>
          <w:sz w:val="24"/>
          <w:szCs w:val="24"/>
        </w:rPr>
        <w:t>.  (Tr. 5</w:t>
      </w:r>
      <w:r w:rsidR="00330770">
        <w:rPr>
          <w:sz w:val="24"/>
          <w:szCs w:val="24"/>
        </w:rPr>
        <w:t>; Columbia Statement No. 1 at 3</w:t>
      </w:r>
      <w:r w:rsidRPr="0030381C">
        <w:rPr>
          <w:sz w:val="24"/>
          <w:szCs w:val="24"/>
        </w:rPr>
        <w:t>).</w:t>
      </w:r>
    </w:p>
    <w:p w:rsidR="00D33298" w:rsidRPr="00624C51" w:rsidRDefault="00D33298" w:rsidP="00D33298">
      <w:pPr>
        <w:spacing w:line="360" w:lineRule="auto"/>
        <w:ind w:left="1440"/>
        <w:rPr>
          <w:sz w:val="24"/>
          <w:szCs w:val="24"/>
        </w:rPr>
      </w:pPr>
    </w:p>
    <w:p w:rsidR="00D33298" w:rsidRDefault="00D33298" w:rsidP="00D33298">
      <w:pPr>
        <w:numPr>
          <w:ilvl w:val="0"/>
          <w:numId w:val="1"/>
        </w:numPr>
        <w:tabs>
          <w:tab w:val="clear" w:pos="720"/>
          <w:tab w:val="num" w:pos="0"/>
        </w:tabs>
        <w:spacing w:line="360" w:lineRule="auto"/>
        <w:ind w:left="0" w:firstLine="1440"/>
        <w:rPr>
          <w:sz w:val="24"/>
          <w:szCs w:val="24"/>
        </w:rPr>
      </w:pPr>
      <w:r w:rsidRPr="00624C51">
        <w:rPr>
          <w:sz w:val="24"/>
          <w:szCs w:val="24"/>
        </w:rPr>
        <w:t xml:space="preserve">Beginning in 2009, Columbia </w:t>
      </w:r>
      <w:r w:rsidR="001C5E86">
        <w:rPr>
          <w:sz w:val="24"/>
          <w:szCs w:val="24"/>
        </w:rPr>
        <w:t>Transmission</w:t>
      </w:r>
      <w:r w:rsidRPr="00624C51">
        <w:rPr>
          <w:sz w:val="24"/>
          <w:szCs w:val="24"/>
        </w:rPr>
        <w:t xml:space="preserve"> began negotiations with Mark</w:t>
      </w:r>
      <w:r w:rsidR="007F7441">
        <w:rPr>
          <w:sz w:val="24"/>
          <w:szCs w:val="24"/>
        </w:rPr>
        <w:t> </w:t>
      </w:r>
      <w:proofErr w:type="spellStart"/>
      <w:r w:rsidRPr="00624C51">
        <w:rPr>
          <w:sz w:val="24"/>
          <w:szCs w:val="24"/>
        </w:rPr>
        <w:t>Lucey</w:t>
      </w:r>
      <w:proofErr w:type="spellEnd"/>
      <w:r w:rsidRPr="00624C51">
        <w:rPr>
          <w:sz w:val="24"/>
          <w:szCs w:val="24"/>
        </w:rPr>
        <w:t xml:space="preserve"> to terminate natural gas service being d</w:t>
      </w:r>
      <w:r w:rsidR="00286A46">
        <w:rPr>
          <w:sz w:val="24"/>
          <w:szCs w:val="24"/>
        </w:rPr>
        <w:t>elivered to the service address</w:t>
      </w:r>
      <w:r w:rsidRPr="00624C51">
        <w:rPr>
          <w:sz w:val="24"/>
          <w:szCs w:val="24"/>
        </w:rPr>
        <w:t xml:space="preserve">.  (Tr. </w:t>
      </w:r>
      <w:r w:rsidR="001C5E86">
        <w:rPr>
          <w:sz w:val="24"/>
          <w:szCs w:val="24"/>
        </w:rPr>
        <w:t>15-19)</w:t>
      </w:r>
      <w:r w:rsidRPr="00624C51">
        <w:rPr>
          <w:sz w:val="24"/>
          <w:szCs w:val="24"/>
        </w:rPr>
        <w:t>.</w:t>
      </w:r>
    </w:p>
    <w:p w:rsidR="008B1A37" w:rsidRDefault="008B1A37" w:rsidP="007F7441">
      <w:pPr>
        <w:pStyle w:val="ListParagraph"/>
        <w:spacing w:line="360" w:lineRule="auto"/>
        <w:rPr>
          <w:sz w:val="24"/>
          <w:szCs w:val="24"/>
        </w:rPr>
      </w:pPr>
    </w:p>
    <w:p w:rsidR="008B1A37" w:rsidRDefault="008B1A37" w:rsidP="00D33298">
      <w:pPr>
        <w:numPr>
          <w:ilvl w:val="0"/>
          <w:numId w:val="1"/>
        </w:numPr>
        <w:tabs>
          <w:tab w:val="clear" w:pos="720"/>
          <w:tab w:val="num" w:pos="0"/>
        </w:tabs>
        <w:spacing w:line="360" w:lineRule="auto"/>
        <w:ind w:left="0" w:firstLine="1440"/>
        <w:rPr>
          <w:sz w:val="24"/>
          <w:szCs w:val="24"/>
        </w:rPr>
      </w:pPr>
      <w:r>
        <w:rPr>
          <w:sz w:val="24"/>
          <w:szCs w:val="24"/>
        </w:rPr>
        <w:t xml:space="preserve">In 2009, a Consolidated Coal Company employee provided Mark </w:t>
      </w:r>
      <w:proofErr w:type="spellStart"/>
      <w:r>
        <w:rPr>
          <w:sz w:val="24"/>
          <w:szCs w:val="24"/>
        </w:rPr>
        <w:t>Lucey</w:t>
      </w:r>
      <w:proofErr w:type="spellEnd"/>
      <w:r>
        <w:rPr>
          <w:sz w:val="24"/>
          <w:szCs w:val="24"/>
        </w:rPr>
        <w:t xml:space="preserve"> with a portion of a topographical map showing the pipelines under and near the service address.  The map shows that “Columbia Gas Co. Line 954” connects to “Columbia Gas Co. Line 17” near the location on the property where multiple pipelines cross into West Virginia near </w:t>
      </w:r>
      <w:proofErr w:type="spellStart"/>
      <w:r>
        <w:rPr>
          <w:sz w:val="24"/>
          <w:szCs w:val="24"/>
        </w:rPr>
        <w:t>Dodds</w:t>
      </w:r>
      <w:proofErr w:type="spellEnd"/>
      <w:r>
        <w:rPr>
          <w:sz w:val="24"/>
          <w:szCs w:val="24"/>
        </w:rPr>
        <w:t xml:space="preserve"> Ridge Road (State Route 4001).  </w:t>
      </w:r>
      <w:r w:rsidR="00855292">
        <w:rPr>
          <w:sz w:val="24"/>
          <w:szCs w:val="24"/>
        </w:rPr>
        <w:t xml:space="preserve">Line No. 954 originally terminated to the north of the service address where </w:t>
      </w:r>
      <w:r w:rsidR="00286A46">
        <w:rPr>
          <w:sz w:val="24"/>
          <w:szCs w:val="24"/>
        </w:rPr>
        <w:t>there is a junction</w:t>
      </w:r>
      <w:r w:rsidR="00855292">
        <w:rPr>
          <w:sz w:val="24"/>
          <w:szCs w:val="24"/>
        </w:rPr>
        <w:t xml:space="preserve"> with Line No. 17.  </w:t>
      </w:r>
      <w:r>
        <w:rPr>
          <w:sz w:val="24"/>
          <w:szCs w:val="24"/>
        </w:rPr>
        <w:t>(Tr. 286, 287</w:t>
      </w:r>
      <w:r w:rsidR="00855292">
        <w:rPr>
          <w:sz w:val="24"/>
          <w:szCs w:val="24"/>
        </w:rPr>
        <w:t xml:space="preserve">; </w:t>
      </w:r>
      <w:proofErr w:type="spellStart"/>
      <w:r w:rsidR="00855292">
        <w:rPr>
          <w:sz w:val="24"/>
          <w:szCs w:val="24"/>
        </w:rPr>
        <w:t>Lucey</w:t>
      </w:r>
      <w:proofErr w:type="spellEnd"/>
      <w:r w:rsidR="00855292">
        <w:rPr>
          <w:sz w:val="24"/>
          <w:szCs w:val="24"/>
        </w:rPr>
        <w:t xml:space="preserve"> Statement No. 1</w:t>
      </w:r>
      <w:r>
        <w:rPr>
          <w:sz w:val="24"/>
          <w:szCs w:val="24"/>
        </w:rPr>
        <w:t>; MRL</w:t>
      </w:r>
      <w:r w:rsidR="0033426C">
        <w:rPr>
          <w:sz w:val="24"/>
          <w:szCs w:val="24"/>
        </w:rPr>
        <w:noBreakHyphen/>
      </w:r>
      <w:r>
        <w:rPr>
          <w:sz w:val="24"/>
          <w:szCs w:val="24"/>
        </w:rPr>
        <w:t>4).</w:t>
      </w:r>
    </w:p>
    <w:p w:rsidR="00534E98" w:rsidRDefault="00534E98" w:rsidP="00534E98">
      <w:pPr>
        <w:pStyle w:val="ListParagraph"/>
        <w:rPr>
          <w:sz w:val="24"/>
          <w:szCs w:val="24"/>
        </w:rPr>
      </w:pPr>
    </w:p>
    <w:p w:rsidR="00534E98" w:rsidRDefault="00286A46" w:rsidP="00534E98">
      <w:pPr>
        <w:numPr>
          <w:ilvl w:val="0"/>
          <w:numId w:val="1"/>
        </w:numPr>
        <w:tabs>
          <w:tab w:val="clear" w:pos="720"/>
          <w:tab w:val="num" w:pos="0"/>
        </w:tabs>
        <w:spacing w:line="360" w:lineRule="auto"/>
        <w:ind w:left="0" w:firstLine="1440"/>
        <w:rPr>
          <w:sz w:val="24"/>
          <w:szCs w:val="24"/>
        </w:rPr>
      </w:pPr>
      <w:r>
        <w:rPr>
          <w:sz w:val="24"/>
          <w:szCs w:val="24"/>
        </w:rPr>
        <w:t>On January 20</w:t>
      </w:r>
      <w:r w:rsidR="00534E98">
        <w:rPr>
          <w:sz w:val="24"/>
          <w:szCs w:val="24"/>
        </w:rPr>
        <w:t xml:space="preserve">, 2010, </w:t>
      </w:r>
      <w:r w:rsidR="00534E98" w:rsidRPr="00624C51">
        <w:rPr>
          <w:sz w:val="24"/>
          <w:szCs w:val="24"/>
        </w:rPr>
        <w:t xml:space="preserve">Columbia Gas initiated </w:t>
      </w:r>
      <w:r w:rsidR="00534E98">
        <w:rPr>
          <w:sz w:val="24"/>
          <w:szCs w:val="24"/>
        </w:rPr>
        <w:t xml:space="preserve">residential gas </w:t>
      </w:r>
      <w:r w:rsidR="00534E98" w:rsidRPr="00624C51">
        <w:rPr>
          <w:sz w:val="24"/>
          <w:szCs w:val="24"/>
        </w:rPr>
        <w:t xml:space="preserve">service to Joseph </w:t>
      </w:r>
      <w:proofErr w:type="spellStart"/>
      <w:r w:rsidR="00534E98" w:rsidRPr="00624C51">
        <w:rPr>
          <w:sz w:val="24"/>
          <w:szCs w:val="24"/>
        </w:rPr>
        <w:t>Lucey</w:t>
      </w:r>
      <w:proofErr w:type="spellEnd"/>
      <w:r w:rsidR="00534E98" w:rsidRPr="00624C51">
        <w:rPr>
          <w:sz w:val="24"/>
          <w:szCs w:val="24"/>
        </w:rPr>
        <w:t xml:space="preserve"> </w:t>
      </w:r>
      <w:r w:rsidR="00534E98">
        <w:rPr>
          <w:sz w:val="24"/>
          <w:szCs w:val="24"/>
        </w:rPr>
        <w:t xml:space="preserve">at the service address </w:t>
      </w:r>
      <w:r w:rsidR="00534E98" w:rsidRPr="00624C51">
        <w:rPr>
          <w:sz w:val="24"/>
          <w:szCs w:val="24"/>
        </w:rPr>
        <w:t xml:space="preserve">with gas transported by Columbia Transmission on </w:t>
      </w:r>
      <w:r w:rsidR="00330770">
        <w:rPr>
          <w:sz w:val="24"/>
          <w:szCs w:val="24"/>
        </w:rPr>
        <w:t>Line</w:t>
      </w:r>
      <w:r w:rsidR="001013E4">
        <w:rPr>
          <w:sz w:val="24"/>
          <w:szCs w:val="24"/>
        </w:rPr>
        <w:t> </w:t>
      </w:r>
      <w:r w:rsidR="00330770">
        <w:rPr>
          <w:sz w:val="24"/>
          <w:szCs w:val="24"/>
        </w:rPr>
        <w:t>954, which</w:t>
      </w:r>
      <w:r w:rsidR="00534E98" w:rsidRPr="00624C51">
        <w:rPr>
          <w:sz w:val="24"/>
          <w:szCs w:val="24"/>
        </w:rPr>
        <w:t xml:space="preserve"> pipeline </w:t>
      </w:r>
      <w:r w:rsidR="00330770">
        <w:rPr>
          <w:sz w:val="24"/>
          <w:szCs w:val="24"/>
        </w:rPr>
        <w:t xml:space="preserve">is </w:t>
      </w:r>
      <w:r w:rsidR="00534E98" w:rsidRPr="00624C51">
        <w:rPr>
          <w:sz w:val="24"/>
          <w:szCs w:val="24"/>
        </w:rPr>
        <w:t>owned and operated by Columbia Transmission</w:t>
      </w:r>
      <w:r w:rsidR="00534E98">
        <w:rPr>
          <w:sz w:val="24"/>
          <w:szCs w:val="24"/>
        </w:rPr>
        <w:t xml:space="preserve">.  </w:t>
      </w:r>
      <w:r w:rsidR="00534E98" w:rsidRPr="00624C51">
        <w:rPr>
          <w:sz w:val="24"/>
          <w:szCs w:val="24"/>
        </w:rPr>
        <w:t>(Tr. 14; Columbia Statement No. 1 at 3</w:t>
      </w:r>
      <w:r w:rsidR="00330770">
        <w:rPr>
          <w:sz w:val="24"/>
          <w:szCs w:val="24"/>
        </w:rPr>
        <w:t>-4</w:t>
      </w:r>
      <w:r w:rsidR="00534E98" w:rsidRPr="00624C51">
        <w:rPr>
          <w:sz w:val="24"/>
          <w:szCs w:val="24"/>
        </w:rPr>
        <w:t xml:space="preserve"> and Columbia Statement No. 2 at 3-4</w:t>
      </w:r>
      <w:r w:rsidR="00534E98" w:rsidRPr="00624C51">
        <w:rPr>
          <w:color w:val="0C0C0C"/>
          <w:sz w:val="24"/>
          <w:szCs w:val="24"/>
        </w:rPr>
        <w:fldChar w:fldCharType="begin"/>
      </w:r>
      <w:r w:rsidR="00534E98" w:rsidRPr="00624C51">
        <w:rPr>
          <w:color w:val="0C0C0C"/>
          <w:sz w:val="24"/>
          <w:szCs w:val="24"/>
        </w:rPr>
        <w:instrText xml:space="preserve"> TA \s "Tr." </w:instrText>
      </w:r>
      <w:r w:rsidR="00534E98" w:rsidRPr="00624C51">
        <w:rPr>
          <w:color w:val="0C0C0C"/>
          <w:sz w:val="24"/>
          <w:szCs w:val="24"/>
        </w:rPr>
        <w:fldChar w:fldCharType="end"/>
      </w:r>
      <w:r w:rsidR="00534E98" w:rsidRPr="00624C51">
        <w:rPr>
          <w:sz w:val="24"/>
          <w:szCs w:val="24"/>
        </w:rPr>
        <w:t>).</w:t>
      </w:r>
    </w:p>
    <w:p w:rsidR="00855292" w:rsidRDefault="00855292" w:rsidP="003101A2">
      <w:pPr>
        <w:pStyle w:val="ListParagraph"/>
        <w:spacing w:line="360" w:lineRule="auto"/>
        <w:rPr>
          <w:sz w:val="24"/>
          <w:szCs w:val="24"/>
        </w:rPr>
      </w:pPr>
    </w:p>
    <w:p w:rsidR="00855292" w:rsidRPr="00855292" w:rsidRDefault="00855292" w:rsidP="00855292">
      <w:pPr>
        <w:numPr>
          <w:ilvl w:val="0"/>
          <w:numId w:val="1"/>
        </w:numPr>
        <w:tabs>
          <w:tab w:val="clear" w:pos="720"/>
          <w:tab w:val="num" w:pos="0"/>
        </w:tabs>
        <w:spacing w:line="360" w:lineRule="auto"/>
        <w:ind w:left="0" w:firstLine="1440"/>
        <w:rPr>
          <w:sz w:val="24"/>
          <w:szCs w:val="24"/>
        </w:rPr>
      </w:pPr>
      <w:r>
        <w:rPr>
          <w:sz w:val="24"/>
          <w:szCs w:val="24"/>
        </w:rPr>
        <w:t>Beginning in 2010, Columbia Transmission began negotiations with Mark</w:t>
      </w:r>
      <w:r w:rsidR="007A0120">
        <w:rPr>
          <w:sz w:val="24"/>
          <w:szCs w:val="24"/>
        </w:rPr>
        <w:t> </w:t>
      </w:r>
      <w:proofErr w:type="spellStart"/>
      <w:r>
        <w:rPr>
          <w:sz w:val="24"/>
          <w:szCs w:val="24"/>
        </w:rPr>
        <w:t>Lucey</w:t>
      </w:r>
      <w:proofErr w:type="spellEnd"/>
      <w:r>
        <w:rPr>
          <w:sz w:val="24"/>
          <w:szCs w:val="24"/>
        </w:rPr>
        <w:t xml:space="preserve"> for the right to replace its Line No. 17 with No. 1528 across the</w:t>
      </w:r>
      <w:r w:rsidR="00286A46">
        <w:rPr>
          <w:sz w:val="24"/>
          <w:szCs w:val="24"/>
        </w:rPr>
        <w:t xml:space="preserve"> northern portion of the</w:t>
      </w:r>
      <w:r>
        <w:rPr>
          <w:sz w:val="24"/>
          <w:szCs w:val="24"/>
        </w:rPr>
        <w:t xml:space="preserve"> 250</w:t>
      </w:r>
      <w:r w:rsidR="00286A46">
        <w:rPr>
          <w:sz w:val="24"/>
          <w:szCs w:val="24"/>
        </w:rPr>
        <w:t>-</w:t>
      </w:r>
      <w:r>
        <w:rPr>
          <w:sz w:val="24"/>
          <w:szCs w:val="24"/>
        </w:rPr>
        <w:t>acre property on which the service address is located.  (Tr. 285).</w:t>
      </w:r>
    </w:p>
    <w:p w:rsidR="0078205E" w:rsidRDefault="0078205E" w:rsidP="003101A2">
      <w:pPr>
        <w:pStyle w:val="ListParagraph"/>
        <w:spacing w:line="360" w:lineRule="auto"/>
        <w:rPr>
          <w:sz w:val="24"/>
          <w:szCs w:val="24"/>
        </w:rPr>
      </w:pPr>
    </w:p>
    <w:p w:rsidR="0078205E" w:rsidRDefault="0078205E" w:rsidP="0078205E">
      <w:pPr>
        <w:numPr>
          <w:ilvl w:val="0"/>
          <w:numId w:val="1"/>
        </w:numPr>
        <w:tabs>
          <w:tab w:val="clear" w:pos="720"/>
          <w:tab w:val="num" w:pos="0"/>
        </w:tabs>
        <w:spacing w:line="360" w:lineRule="auto"/>
        <w:ind w:left="0" w:firstLine="1440"/>
        <w:rPr>
          <w:sz w:val="24"/>
          <w:szCs w:val="24"/>
        </w:rPr>
      </w:pPr>
      <w:r w:rsidRPr="00624C51">
        <w:rPr>
          <w:sz w:val="24"/>
          <w:szCs w:val="24"/>
        </w:rPr>
        <w:t>Columbia Transmission</w:t>
      </w:r>
      <w:r w:rsidR="00286A46">
        <w:rPr>
          <w:sz w:val="24"/>
          <w:szCs w:val="24"/>
        </w:rPr>
        <w:t xml:space="preserve"> </w:t>
      </w:r>
      <w:r>
        <w:rPr>
          <w:sz w:val="24"/>
          <w:szCs w:val="24"/>
        </w:rPr>
        <w:t>is a subsidiary of NiSource</w:t>
      </w:r>
      <w:r w:rsidR="00286A46">
        <w:rPr>
          <w:sz w:val="24"/>
          <w:szCs w:val="24"/>
        </w:rPr>
        <w:t xml:space="preserve">, </w:t>
      </w:r>
      <w:r w:rsidRPr="00624C51">
        <w:rPr>
          <w:sz w:val="24"/>
          <w:szCs w:val="24"/>
        </w:rPr>
        <w:t>engaged in the business of transporting natural gas in interstate commerce</w:t>
      </w:r>
      <w:r>
        <w:rPr>
          <w:sz w:val="24"/>
          <w:szCs w:val="24"/>
        </w:rPr>
        <w:t xml:space="preserve">, </w:t>
      </w:r>
      <w:r w:rsidRPr="00624C51">
        <w:rPr>
          <w:sz w:val="24"/>
          <w:szCs w:val="24"/>
        </w:rPr>
        <w:t xml:space="preserve">subject to regulation by the </w:t>
      </w:r>
      <w:r w:rsidR="00286A46">
        <w:rPr>
          <w:sz w:val="24"/>
          <w:szCs w:val="24"/>
        </w:rPr>
        <w:t xml:space="preserve">Federal Energy Regulatory Commission, and </w:t>
      </w:r>
      <w:r w:rsidRPr="00624C51">
        <w:rPr>
          <w:sz w:val="24"/>
          <w:szCs w:val="24"/>
        </w:rPr>
        <w:t>provides storage and firm transportation service to Columbia</w:t>
      </w:r>
      <w:r>
        <w:rPr>
          <w:sz w:val="24"/>
          <w:szCs w:val="24"/>
        </w:rPr>
        <w:t xml:space="preserve"> Gas</w:t>
      </w:r>
      <w:r w:rsidRPr="00624C51">
        <w:rPr>
          <w:sz w:val="24"/>
          <w:szCs w:val="24"/>
        </w:rPr>
        <w:t xml:space="preserve"> </w:t>
      </w:r>
      <w:r w:rsidR="00286A46">
        <w:rPr>
          <w:sz w:val="24"/>
          <w:szCs w:val="24"/>
        </w:rPr>
        <w:t>without providing</w:t>
      </w:r>
      <w:r w:rsidRPr="00624C51">
        <w:rPr>
          <w:sz w:val="24"/>
          <w:szCs w:val="24"/>
        </w:rPr>
        <w:t xml:space="preserve"> service to end-use customers</w:t>
      </w:r>
      <w:r>
        <w:rPr>
          <w:sz w:val="24"/>
          <w:szCs w:val="24"/>
        </w:rPr>
        <w:t xml:space="preserve">.  </w:t>
      </w:r>
      <w:r w:rsidR="00CB54BD" w:rsidRPr="00624C51">
        <w:rPr>
          <w:sz w:val="24"/>
          <w:szCs w:val="24"/>
        </w:rPr>
        <w:t>(Columbia Statement No. 2 at</w:t>
      </w:r>
      <w:r w:rsidR="003101A2">
        <w:rPr>
          <w:sz w:val="24"/>
          <w:szCs w:val="24"/>
        </w:rPr>
        <w:t> </w:t>
      </w:r>
      <w:r w:rsidR="00CB54BD" w:rsidRPr="00624C51">
        <w:rPr>
          <w:sz w:val="24"/>
          <w:szCs w:val="24"/>
        </w:rPr>
        <w:t>3).</w:t>
      </w:r>
    </w:p>
    <w:p w:rsidR="00CB54BD" w:rsidRDefault="00CB54BD" w:rsidP="00160D69">
      <w:pPr>
        <w:pStyle w:val="ListParagraph"/>
        <w:spacing w:line="360" w:lineRule="auto"/>
        <w:rPr>
          <w:sz w:val="24"/>
          <w:szCs w:val="24"/>
        </w:rPr>
      </w:pPr>
    </w:p>
    <w:p w:rsidR="00CB54BD" w:rsidRPr="0078205E" w:rsidRDefault="00CB54BD" w:rsidP="0078205E">
      <w:pPr>
        <w:numPr>
          <w:ilvl w:val="0"/>
          <w:numId w:val="1"/>
        </w:numPr>
        <w:tabs>
          <w:tab w:val="clear" w:pos="720"/>
          <w:tab w:val="num" w:pos="0"/>
        </w:tabs>
        <w:spacing w:line="360" w:lineRule="auto"/>
        <w:ind w:left="0" w:firstLine="1440"/>
        <w:rPr>
          <w:sz w:val="24"/>
          <w:szCs w:val="24"/>
        </w:rPr>
      </w:pPr>
      <w:r>
        <w:rPr>
          <w:sz w:val="24"/>
          <w:szCs w:val="24"/>
        </w:rPr>
        <w:lastRenderedPageBreak/>
        <w:t xml:space="preserve">Columbia Gas is a subsidiary of NiSource </w:t>
      </w:r>
      <w:r w:rsidR="00286A46">
        <w:rPr>
          <w:sz w:val="24"/>
          <w:szCs w:val="24"/>
        </w:rPr>
        <w:t>and it</w:t>
      </w:r>
      <w:r>
        <w:rPr>
          <w:sz w:val="24"/>
          <w:szCs w:val="24"/>
        </w:rPr>
        <w:t xml:space="preserve"> takes </w:t>
      </w:r>
      <w:r w:rsidRPr="00624C51">
        <w:rPr>
          <w:sz w:val="24"/>
          <w:szCs w:val="24"/>
        </w:rPr>
        <w:t xml:space="preserve">ownership of </w:t>
      </w:r>
      <w:r>
        <w:rPr>
          <w:sz w:val="24"/>
          <w:szCs w:val="24"/>
        </w:rPr>
        <w:t xml:space="preserve">the </w:t>
      </w:r>
      <w:r w:rsidRPr="00624C51">
        <w:rPr>
          <w:sz w:val="24"/>
          <w:szCs w:val="24"/>
        </w:rPr>
        <w:t>gas transported by Columbia Transmission at Columbia Gas’</w:t>
      </w:r>
      <w:r>
        <w:rPr>
          <w:sz w:val="24"/>
          <w:szCs w:val="24"/>
        </w:rPr>
        <w:t xml:space="preserve"> meter under an agreement with Columbia Transmission and provides</w:t>
      </w:r>
      <w:r w:rsidRPr="00624C51">
        <w:rPr>
          <w:sz w:val="24"/>
          <w:szCs w:val="24"/>
        </w:rPr>
        <w:t xml:space="preserve"> retail service to </w:t>
      </w:r>
      <w:r>
        <w:rPr>
          <w:sz w:val="24"/>
          <w:szCs w:val="24"/>
        </w:rPr>
        <w:t>ratepayers</w:t>
      </w:r>
      <w:r w:rsidRPr="00624C51">
        <w:rPr>
          <w:sz w:val="24"/>
          <w:szCs w:val="24"/>
        </w:rPr>
        <w:t>.</w:t>
      </w:r>
      <w:r w:rsidR="001C5E86">
        <w:rPr>
          <w:sz w:val="24"/>
          <w:szCs w:val="24"/>
        </w:rPr>
        <w:t xml:space="preserve">  </w:t>
      </w:r>
      <w:r w:rsidRPr="00624C51">
        <w:rPr>
          <w:sz w:val="24"/>
          <w:szCs w:val="24"/>
        </w:rPr>
        <w:t>(</w:t>
      </w:r>
      <w:r w:rsidR="001C5E86">
        <w:rPr>
          <w:sz w:val="24"/>
          <w:szCs w:val="24"/>
        </w:rPr>
        <w:t xml:space="preserve">Tr. 42; </w:t>
      </w:r>
      <w:r w:rsidRPr="00624C51">
        <w:rPr>
          <w:sz w:val="24"/>
          <w:szCs w:val="24"/>
        </w:rPr>
        <w:t>Columbia Statement No. 2 at 3).</w:t>
      </w:r>
    </w:p>
    <w:p w:rsidR="0078205E" w:rsidRDefault="0078205E" w:rsidP="00E42D33">
      <w:pPr>
        <w:pStyle w:val="ListParagraph"/>
        <w:spacing w:line="360" w:lineRule="auto"/>
        <w:rPr>
          <w:sz w:val="24"/>
          <w:szCs w:val="24"/>
        </w:rPr>
      </w:pPr>
    </w:p>
    <w:p w:rsidR="008F0AB6" w:rsidRDefault="008F0AB6" w:rsidP="00D33298">
      <w:pPr>
        <w:numPr>
          <w:ilvl w:val="0"/>
          <w:numId w:val="1"/>
        </w:numPr>
        <w:tabs>
          <w:tab w:val="clear" w:pos="720"/>
          <w:tab w:val="num" w:pos="0"/>
        </w:tabs>
        <w:spacing w:line="360" w:lineRule="auto"/>
        <w:ind w:left="0" w:firstLine="1440"/>
        <w:rPr>
          <w:sz w:val="24"/>
          <w:szCs w:val="24"/>
        </w:rPr>
      </w:pPr>
      <w:r w:rsidRPr="008F0AB6">
        <w:rPr>
          <w:sz w:val="24"/>
          <w:szCs w:val="24"/>
        </w:rPr>
        <w:t xml:space="preserve">On December 5, 2010, a leak occurred </w:t>
      </w:r>
      <w:r w:rsidR="001C5E86">
        <w:rPr>
          <w:sz w:val="24"/>
          <w:szCs w:val="24"/>
        </w:rPr>
        <w:t>less than</w:t>
      </w:r>
      <w:r w:rsidRPr="008F0AB6">
        <w:rPr>
          <w:sz w:val="24"/>
          <w:szCs w:val="24"/>
        </w:rPr>
        <w:t xml:space="preserve"> 400 feet </w:t>
      </w:r>
      <w:r w:rsidR="00534E98">
        <w:rPr>
          <w:sz w:val="24"/>
          <w:szCs w:val="24"/>
        </w:rPr>
        <w:t xml:space="preserve">away </w:t>
      </w:r>
      <w:r w:rsidRPr="008F0AB6">
        <w:rPr>
          <w:sz w:val="24"/>
          <w:szCs w:val="24"/>
        </w:rPr>
        <w:t>from the service address, which leak</w:t>
      </w:r>
      <w:r w:rsidR="00286A46">
        <w:rPr>
          <w:sz w:val="24"/>
          <w:szCs w:val="24"/>
        </w:rPr>
        <w:t xml:space="preserve"> was repaired by “</w:t>
      </w:r>
      <w:r w:rsidRPr="008F0AB6">
        <w:rPr>
          <w:sz w:val="24"/>
          <w:szCs w:val="24"/>
        </w:rPr>
        <w:t>Columbia</w:t>
      </w:r>
      <w:r w:rsidR="00286A46">
        <w:rPr>
          <w:sz w:val="24"/>
          <w:szCs w:val="24"/>
        </w:rPr>
        <w:t>”</w:t>
      </w:r>
      <w:r w:rsidRPr="008F0AB6">
        <w:rPr>
          <w:sz w:val="24"/>
          <w:szCs w:val="24"/>
        </w:rPr>
        <w:t xml:space="preserve"> employees </w:t>
      </w:r>
      <w:r w:rsidR="001C5E86">
        <w:rPr>
          <w:sz w:val="24"/>
          <w:szCs w:val="24"/>
        </w:rPr>
        <w:t>from Pennsylvania and West</w:t>
      </w:r>
      <w:r w:rsidR="00166BE0">
        <w:rPr>
          <w:sz w:val="24"/>
          <w:szCs w:val="24"/>
        </w:rPr>
        <w:t> </w:t>
      </w:r>
      <w:r w:rsidR="001C5E86">
        <w:rPr>
          <w:sz w:val="24"/>
          <w:szCs w:val="24"/>
        </w:rPr>
        <w:t xml:space="preserve">Virginia </w:t>
      </w:r>
      <w:r w:rsidRPr="008F0AB6">
        <w:rPr>
          <w:sz w:val="24"/>
          <w:szCs w:val="24"/>
        </w:rPr>
        <w:t xml:space="preserve">with </w:t>
      </w:r>
      <w:r w:rsidR="00534E98">
        <w:rPr>
          <w:sz w:val="24"/>
          <w:szCs w:val="24"/>
        </w:rPr>
        <w:t xml:space="preserve">help from Mark </w:t>
      </w:r>
      <w:proofErr w:type="spellStart"/>
      <w:r w:rsidR="00534E98">
        <w:rPr>
          <w:sz w:val="24"/>
          <w:szCs w:val="24"/>
        </w:rPr>
        <w:t>Lucey</w:t>
      </w:r>
      <w:proofErr w:type="spellEnd"/>
      <w:r w:rsidRPr="008F0AB6">
        <w:rPr>
          <w:sz w:val="24"/>
          <w:szCs w:val="24"/>
        </w:rPr>
        <w:t xml:space="preserve">. </w:t>
      </w:r>
      <w:r w:rsidR="003D024B">
        <w:rPr>
          <w:sz w:val="24"/>
          <w:szCs w:val="24"/>
        </w:rPr>
        <w:t xml:space="preserve"> </w:t>
      </w:r>
      <w:r w:rsidR="00286A46">
        <w:rPr>
          <w:sz w:val="24"/>
          <w:szCs w:val="24"/>
        </w:rPr>
        <w:t xml:space="preserve">It was unclear to Mark </w:t>
      </w:r>
      <w:proofErr w:type="spellStart"/>
      <w:r w:rsidR="00286A46">
        <w:rPr>
          <w:sz w:val="24"/>
          <w:szCs w:val="24"/>
        </w:rPr>
        <w:t>Lucey</w:t>
      </w:r>
      <w:proofErr w:type="spellEnd"/>
      <w:r w:rsidR="00286A46">
        <w:rPr>
          <w:sz w:val="24"/>
          <w:szCs w:val="24"/>
        </w:rPr>
        <w:t xml:space="preserve"> if the employees represented Columbia Gas or Columbia Transmission but gas service was not interrupted and no corporate employees gave sa</w:t>
      </w:r>
      <w:r w:rsidRPr="008F0AB6">
        <w:rPr>
          <w:sz w:val="24"/>
          <w:szCs w:val="24"/>
        </w:rPr>
        <w:t>fety warning</w:t>
      </w:r>
      <w:r w:rsidR="0088770F">
        <w:rPr>
          <w:sz w:val="24"/>
          <w:szCs w:val="24"/>
        </w:rPr>
        <w:t>s</w:t>
      </w:r>
      <w:r w:rsidRPr="008F0AB6">
        <w:rPr>
          <w:sz w:val="24"/>
          <w:szCs w:val="24"/>
        </w:rPr>
        <w:t xml:space="preserve"> to Mark </w:t>
      </w:r>
      <w:proofErr w:type="spellStart"/>
      <w:r w:rsidRPr="008F0AB6">
        <w:rPr>
          <w:sz w:val="24"/>
          <w:szCs w:val="24"/>
        </w:rPr>
        <w:t>Lucey</w:t>
      </w:r>
      <w:proofErr w:type="spellEnd"/>
      <w:r w:rsidRPr="008F0AB6">
        <w:rPr>
          <w:sz w:val="24"/>
          <w:szCs w:val="24"/>
        </w:rPr>
        <w:t xml:space="preserve"> or the ratepayer.  </w:t>
      </w:r>
      <w:r w:rsidR="00286A46">
        <w:rPr>
          <w:sz w:val="24"/>
          <w:szCs w:val="24"/>
        </w:rPr>
        <w:t>(Tr. 41</w:t>
      </w:r>
      <w:r w:rsidR="001C5E86">
        <w:rPr>
          <w:sz w:val="24"/>
          <w:szCs w:val="24"/>
        </w:rPr>
        <w:t>-49).</w:t>
      </w:r>
    </w:p>
    <w:p w:rsidR="001C5E86" w:rsidRDefault="001C5E86" w:rsidP="008A5C40">
      <w:pPr>
        <w:pStyle w:val="ListParagraph"/>
        <w:spacing w:line="360" w:lineRule="auto"/>
        <w:rPr>
          <w:sz w:val="24"/>
          <w:szCs w:val="24"/>
        </w:rPr>
      </w:pPr>
    </w:p>
    <w:p w:rsidR="001C5E86" w:rsidRDefault="00855292" w:rsidP="00D33298">
      <w:pPr>
        <w:numPr>
          <w:ilvl w:val="0"/>
          <w:numId w:val="1"/>
        </w:numPr>
        <w:tabs>
          <w:tab w:val="clear" w:pos="720"/>
          <w:tab w:val="num" w:pos="0"/>
        </w:tabs>
        <w:spacing w:line="360" w:lineRule="auto"/>
        <w:ind w:left="0" w:firstLine="1440"/>
        <w:rPr>
          <w:sz w:val="24"/>
          <w:szCs w:val="24"/>
        </w:rPr>
      </w:pPr>
      <w:r>
        <w:rPr>
          <w:sz w:val="24"/>
          <w:szCs w:val="24"/>
        </w:rPr>
        <w:t xml:space="preserve">From 2009 through early 2011, </w:t>
      </w:r>
      <w:r w:rsidR="001C5E86">
        <w:rPr>
          <w:sz w:val="24"/>
          <w:szCs w:val="24"/>
        </w:rPr>
        <w:t xml:space="preserve">Complainant </w:t>
      </w:r>
      <w:r w:rsidR="00F9042E">
        <w:rPr>
          <w:sz w:val="24"/>
          <w:szCs w:val="24"/>
        </w:rPr>
        <w:t xml:space="preserve">and/or Mark </w:t>
      </w:r>
      <w:proofErr w:type="spellStart"/>
      <w:r w:rsidR="00F9042E">
        <w:rPr>
          <w:sz w:val="24"/>
          <w:szCs w:val="24"/>
        </w:rPr>
        <w:t>Lucey</w:t>
      </w:r>
      <w:proofErr w:type="spellEnd"/>
      <w:r w:rsidR="00F9042E">
        <w:rPr>
          <w:sz w:val="24"/>
          <w:szCs w:val="24"/>
        </w:rPr>
        <w:t xml:space="preserve"> </w:t>
      </w:r>
      <w:r w:rsidR="001C5E86">
        <w:rPr>
          <w:sz w:val="24"/>
          <w:szCs w:val="24"/>
        </w:rPr>
        <w:t xml:space="preserve">and Columbia Transmission engaged in numerous conversations about </w:t>
      </w:r>
      <w:r w:rsidR="00286A46">
        <w:rPr>
          <w:sz w:val="24"/>
          <w:szCs w:val="24"/>
        </w:rPr>
        <w:t>converting from natural gas</w:t>
      </w:r>
      <w:r w:rsidR="001C5E86">
        <w:rPr>
          <w:sz w:val="24"/>
          <w:szCs w:val="24"/>
        </w:rPr>
        <w:t xml:space="preserve"> in an attempt to prepare for a date (then unknown) when Columbia Transmission would shut off gas to Line 954.  </w:t>
      </w:r>
      <w:r>
        <w:rPr>
          <w:sz w:val="24"/>
          <w:szCs w:val="24"/>
        </w:rPr>
        <w:t xml:space="preserve">By early 2011, Mark </w:t>
      </w:r>
      <w:proofErr w:type="spellStart"/>
      <w:r>
        <w:rPr>
          <w:sz w:val="24"/>
          <w:szCs w:val="24"/>
        </w:rPr>
        <w:t>Lucey</w:t>
      </w:r>
      <w:proofErr w:type="spellEnd"/>
      <w:r>
        <w:rPr>
          <w:sz w:val="24"/>
          <w:szCs w:val="24"/>
        </w:rPr>
        <w:t xml:space="preserve"> believed a settlement in principle had been reached between him and who he perceived to be “Columbia Gas” for the installation of a geothermal conversion system.  </w:t>
      </w:r>
      <w:r w:rsidR="001C5E86">
        <w:rPr>
          <w:sz w:val="24"/>
          <w:szCs w:val="24"/>
        </w:rPr>
        <w:t>(Tr. 52-53).</w:t>
      </w:r>
    </w:p>
    <w:p w:rsidR="00286A46" w:rsidRDefault="00286A46" w:rsidP="00013A83">
      <w:pPr>
        <w:pStyle w:val="ListParagraph"/>
        <w:spacing w:line="360" w:lineRule="auto"/>
        <w:rPr>
          <w:sz w:val="24"/>
          <w:szCs w:val="24"/>
        </w:rPr>
      </w:pPr>
    </w:p>
    <w:p w:rsidR="00286A46" w:rsidRDefault="000D6229" w:rsidP="00286A46">
      <w:pPr>
        <w:numPr>
          <w:ilvl w:val="0"/>
          <w:numId w:val="1"/>
        </w:numPr>
        <w:tabs>
          <w:tab w:val="clear" w:pos="720"/>
          <w:tab w:val="num" w:pos="0"/>
        </w:tabs>
        <w:spacing w:line="360" w:lineRule="auto"/>
        <w:ind w:left="0" w:firstLine="1440"/>
        <w:rPr>
          <w:sz w:val="24"/>
          <w:szCs w:val="24"/>
        </w:rPr>
      </w:pPr>
      <w:r>
        <w:rPr>
          <w:sz w:val="24"/>
          <w:szCs w:val="24"/>
        </w:rPr>
        <w:t xml:space="preserve">Mark </w:t>
      </w:r>
      <w:proofErr w:type="spellStart"/>
      <w:r>
        <w:rPr>
          <w:sz w:val="24"/>
          <w:szCs w:val="24"/>
        </w:rPr>
        <w:t>Lucey</w:t>
      </w:r>
      <w:proofErr w:type="spellEnd"/>
      <w:r w:rsidR="00286A46">
        <w:rPr>
          <w:sz w:val="24"/>
          <w:szCs w:val="24"/>
        </w:rPr>
        <w:t xml:space="preserve"> prefers geothermal because it is cleaner and cheaper to maintain and use in the long run.  (Tr. 54).</w:t>
      </w:r>
    </w:p>
    <w:p w:rsidR="00286A46" w:rsidRDefault="00286A46" w:rsidP="00013A83">
      <w:pPr>
        <w:pStyle w:val="ListParagraph"/>
        <w:spacing w:line="360" w:lineRule="auto"/>
        <w:rPr>
          <w:sz w:val="24"/>
          <w:szCs w:val="24"/>
        </w:rPr>
      </w:pPr>
    </w:p>
    <w:p w:rsidR="00286A46" w:rsidRPr="00286A46" w:rsidRDefault="00286A46" w:rsidP="00286A46">
      <w:pPr>
        <w:numPr>
          <w:ilvl w:val="0"/>
          <w:numId w:val="1"/>
        </w:numPr>
        <w:tabs>
          <w:tab w:val="clear" w:pos="720"/>
          <w:tab w:val="num" w:pos="0"/>
        </w:tabs>
        <w:spacing w:line="360" w:lineRule="auto"/>
        <w:ind w:left="0" w:firstLine="1440"/>
        <w:rPr>
          <w:sz w:val="24"/>
          <w:szCs w:val="24"/>
        </w:rPr>
      </w:pPr>
      <w:r>
        <w:rPr>
          <w:sz w:val="24"/>
          <w:szCs w:val="24"/>
        </w:rPr>
        <w:t xml:space="preserve">During negotiations with Columbia Transmission in 2010, Mark </w:t>
      </w:r>
      <w:proofErr w:type="spellStart"/>
      <w:r>
        <w:rPr>
          <w:sz w:val="24"/>
          <w:szCs w:val="24"/>
        </w:rPr>
        <w:t>Lucey</w:t>
      </w:r>
      <w:proofErr w:type="spellEnd"/>
      <w:r>
        <w:rPr>
          <w:sz w:val="24"/>
          <w:szCs w:val="24"/>
        </w:rPr>
        <w:t xml:space="preserve"> objected to leasing a one-half acre portion of the property to Columbia Transmission for the installation of a “peg launcher” at the “Spectrum Tie-In line”.  (Tr. 285; MRL-5).</w:t>
      </w:r>
    </w:p>
    <w:p w:rsidR="00F46DB5" w:rsidRDefault="00F46DB5" w:rsidP="00013A83">
      <w:pPr>
        <w:pStyle w:val="ListParagraph"/>
        <w:spacing w:line="360" w:lineRule="auto"/>
        <w:rPr>
          <w:sz w:val="24"/>
          <w:szCs w:val="24"/>
        </w:rPr>
      </w:pPr>
    </w:p>
    <w:p w:rsidR="00F46DB5" w:rsidRDefault="00F46DB5" w:rsidP="00F46DB5">
      <w:pPr>
        <w:numPr>
          <w:ilvl w:val="0"/>
          <w:numId w:val="1"/>
        </w:numPr>
        <w:tabs>
          <w:tab w:val="clear" w:pos="720"/>
          <w:tab w:val="num" w:pos="0"/>
        </w:tabs>
        <w:spacing w:line="360" w:lineRule="auto"/>
        <w:ind w:left="0" w:firstLine="1440"/>
        <w:rPr>
          <w:sz w:val="24"/>
          <w:szCs w:val="24"/>
        </w:rPr>
      </w:pPr>
      <w:r>
        <w:rPr>
          <w:sz w:val="24"/>
          <w:szCs w:val="24"/>
        </w:rPr>
        <w:t xml:space="preserve">During negotiations, a land agent for Columbia Transmission provided Mark </w:t>
      </w:r>
      <w:proofErr w:type="spellStart"/>
      <w:r>
        <w:rPr>
          <w:sz w:val="24"/>
          <w:szCs w:val="24"/>
        </w:rPr>
        <w:t>Lucey</w:t>
      </w:r>
      <w:proofErr w:type="spellEnd"/>
      <w:r>
        <w:rPr>
          <w:sz w:val="24"/>
          <w:szCs w:val="24"/>
        </w:rPr>
        <w:t xml:space="preserve"> with MRL-5 in January 2011, which document is a general reference map showing a portion of the Line 1528 project over a portion of the property owned by Mark </w:t>
      </w:r>
      <w:proofErr w:type="spellStart"/>
      <w:r>
        <w:rPr>
          <w:sz w:val="24"/>
          <w:szCs w:val="24"/>
        </w:rPr>
        <w:t>Lucey</w:t>
      </w:r>
      <w:proofErr w:type="spellEnd"/>
      <w:r>
        <w:rPr>
          <w:sz w:val="24"/>
          <w:szCs w:val="24"/>
        </w:rPr>
        <w:t xml:space="preserve">.  MRL-5 shows multiple pipelines currently transverse the </w:t>
      </w:r>
      <w:proofErr w:type="gramStart"/>
      <w:r>
        <w:rPr>
          <w:sz w:val="24"/>
          <w:szCs w:val="24"/>
        </w:rPr>
        <w:t xml:space="preserve">property owned by Mark </w:t>
      </w:r>
      <w:proofErr w:type="spellStart"/>
      <w:r>
        <w:rPr>
          <w:sz w:val="24"/>
          <w:szCs w:val="24"/>
        </w:rPr>
        <w:t>Lucey</w:t>
      </w:r>
      <w:proofErr w:type="spellEnd"/>
      <w:r>
        <w:rPr>
          <w:sz w:val="24"/>
          <w:szCs w:val="24"/>
        </w:rPr>
        <w:t xml:space="preserve">, </w:t>
      </w:r>
      <w:r w:rsidR="003738D1">
        <w:rPr>
          <w:sz w:val="24"/>
          <w:szCs w:val="24"/>
        </w:rPr>
        <w:t>proceeds</w:t>
      </w:r>
      <w:r>
        <w:rPr>
          <w:sz w:val="24"/>
          <w:szCs w:val="24"/>
        </w:rPr>
        <w:t xml:space="preserve"> under </w:t>
      </w:r>
      <w:proofErr w:type="spellStart"/>
      <w:r>
        <w:rPr>
          <w:sz w:val="24"/>
          <w:szCs w:val="24"/>
        </w:rPr>
        <w:t>Dodds</w:t>
      </w:r>
      <w:proofErr w:type="spellEnd"/>
      <w:r>
        <w:rPr>
          <w:sz w:val="24"/>
          <w:szCs w:val="24"/>
        </w:rPr>
        <w:t xml:space="preserve"> Ridge Road (State Route 4001), continue</w:t>
      </w:r>
      <w:proofErr w:type="gramEnd"/>
      <w:r>
        <w:rPr>
          <w:sz w:val="24"/>
          <w:szCs w:val="24"/>
        </w:rPr>
        <w:t xml:space="preserve"> into Marshall County, West Virginia and are near the service address.  (Tr. 284-285; MRL-5).</w:t>
      </w:r>
    </w:p>
    <w:p w:rsidR="00D33298" w:rsidRPr="00624C51" w:rsidRDefault="001C5E86" w:rsidP="00D33298">
      <w:pPr>
        <w:numPr>
          <w:ilvl w:val="0"/>
          <w:numId w:val="1"/>
        </w:numPr>
        <w:tabs>
          <w:tab w:val="clear" w:pos="720"/>
          <w:tab w:val="num" w:pos="0"/>
        </w:tabs>
        <w:spacing w:line="360" w:lineRule="auto"/>
        <w:ind w:left="0" w:firstLine="1440"/>
        <w:rPr>
          <w:sz w:val="24"/>
          <w:szCs w:val="24"/>
        </w:rPr>
      </w:pPr>
      <w:r>
        <w:rPr>
          <w:sz w:val="24"/>
          <w:szCs w:val="24"/>
        </w:rPr>
        <w:lastRenderedPageBreak/>
        <w:t>On May 27</w:t>
      </w:r>
      <w:r w:rsidR="00D33298" w:rsidRPr="008F0AB6">
        <w:rPr>
          <w:sz w:val="24"/>
          <w:szCs w:val="24"/>
        </w:rPr>
        <w:t>, 2011, a gas leak occurred approximately 1400 feet away from the service</w:t>
      </w:r>
      <w:r w:rsidR="00D33298" w:rsidRPr="00624C51">
        <w:rPr>
          <w:sz w:val="24"/>
          <w:szCs w:val="24"/>
        </w:rPr>
        <w:t xml:space="preserve"> address.  On </w:t>
      </w:r>
      <w:r w:rsidR="00534E98">
        <w:rPr>
          <w:sz w:val="24"/>
          <w:szCs w:val="24"/>
        </w:rPr>
        <w:t>June 1, 2011, people</w:t>
      </w:r>
      <w:r w:rsidR="00D33298" w:rsidRPr="00624C51">
        <w:rPr>
          <w:sz w:val="24"/>
          <w:szCs w:val="24"/>
        </w:rPr>
        <w:t xml:space="preserve"> in vehicles marked as “Columbia” came to the </w:t>
      </w:r>
      <w:r w:rsidR="00286A46">
        <w:rPr>
          <w:sz w:val="24"/>
          <w:szCs w:val="24"/>
        </w:rPr>
        <w:t>service address</w:t>
      </w:r>
      <w:r w:rsidR="00D33298" w:rsidRPr="00624C51">
        <w:rPr>
          <w:sz w:val="24"/>
          <w:szCs w:val="24"/>
        </w:rPr>
        <w:t xml:space="preserve">, walked around the house and left without conducting tests, examining the leak or warning </w:t>
      </w:r>
      <w:r w:rsidR="00286A46">
        <w:rPr>
          <w:sz w:val="24"/>
          <w:szCs w:val="24"/>
        </w:rPr>
        <w:t>Complainant</w:t>
      </w:r>
      <w:r w:rsidR="00D33298" w:rsidRPr="00624C51">
        <w:rPr>
          <w:sz w:val="24"/>
          <w:szCs w:val="24"/>
        </w:rPr>
        <w:t xml:space="preserve"> about any safety concerns.  </w:t>
      </w:r>
      <w:r>
        <w:rPr>
          <w:sz w:val="24"/>
          <w:szCs w:val="24"/>
        </w:rPr>
        <w:t xml:space="preserve">There was no smell of gas detected at that time.  </w:t>
      </w:r>
      <w:r w:rsidR="00D33298" w:rsidRPr="00624C51">
        <w:rPr>
          <w:sz w:val="24"/>
          <w:szCs w:val="24"/>
        </w:rPr>
        <w:t xml:space="preserve">(Tr. </w:t>
      </w:r>
      <w:r>
        <w:rPr>
          <w:sz w:val="24"/>
          <w:szCs w:val="24"/>
        </w:rPr>
        <w:t>27-35</w:t>
      </w:r>
      <w:r w:rsidR="00D33298" w:rsidRPr="00624C51">
        <w:rPr>
          <w:sz w:val="24"/>
          <w:szCs w:val="24"/>
        </w:rPr>
        <w:t>).</w:t>
      </w:r>
    </w:p>
    <w:p w:rsidR="00534E98" w:rsidRDefault="00534E98" w:rsidP="00CA1C04">
      <w:pPr>
        <w:pStyle w:val="ListParagraph"/>
        <w:spacing w:line="360" w:lineRule="auto"/>
        <w:rPr>
          <w:sz w:val="24"/>
          <w:szCs w:val="24"/>
        </w:rPr>
      </w:pPr>
    </w:p>
    <w:p w:rsidR="00594702" w:rsidRPr="00330770" w:rsidRDefault="00534E98" w:rsidP="00E14574">
      <w:pPr>
        <w:numPr>
          <w:ilvl w:val="0"/>
          <w:numId w:val="1"/>
        </w:numPr>
        <w:tabs>
          <w:tab w:val="clear" w:pos="720"/>
          <w:tab w:val="num" w:pos="0"/>
        </w:tabs>
        <w:spacing w:line="360" w:lineRule="auto"/>
        <w:ind w:left="0" w:firstLine="1440"/>
        <w:rPr>
          <w:sz w:val="24"/>
          <w:szCs w:val="24"/>
        </w:rPr>
      </w:pPr>
      <w:r w:rsidRPr="00330770">
        <w:rPr>
          <w:sz w:val="24"/>
          <w:szCs w:val="24"/>
        </w:rPr>
        <w:t>Columbia Transmission</w:t>
      </w:r>
      <w:r w:rsidR="00081487" w:rsidRPr="00330770">
        <w:rPr>
          <w:sz w:val="24"/>
          <w:szCs w:val="24"/>
        </w:rPr>
        <w:t xml:space="preserve"> informed Columbia Gas on </w:t>
      </w:r>
      <w:r w:rsidR="00330770" w:rsidRPr="00330770">
        <w:rPr>
          <w:sz w:val="24"/>
          <w:szCs w:val="24"/>
        </w:rPr>
        <w:t>June 1, 2011</w:t>
      </w:r>
      <w:r w:rsidR="00081487" w:rsidRPr="00330770">
        <w:rPr>
          <w:sz w:val="24"/>
          <w:szCs w:val="24"/>
        </w:rPr>
        <w:t xml:space="preserve"> that Columbia Transmission had terminated the flow of gas in the transmission pipeline providing gas to the </w:t>
      </w:r>
      <w:r w:rsidRPr="00330770">
        <w:rPr>
          <w:sz w:val="24"/>
          <w:szCs w:val="24"/>
        </w:rPr>
        <w:t>service address</w:t>
      </w:r>
      <w:r w:rsidR="00081487" w:rsidRPr="00330770">
        <w:rPr>
          <w:sz w:val="24"/>
          <w:szCs w:val="24"/>
        </w:rPr>
        <w:t xml:space="preserve"> </w:t>
      </w:r>
      <w:r w:rsidR="00286A46">
        <w:rPr>
          <w:sz w:val="24"/>
          <w:szCs w:val="24"/>
        </w:rPr>
        <w:t>because</w:t>
      </w:r>
      <w:r w:rsidR="00594702" w:rsidRPr="00330770">
        <w:rPr>
          <w:sz w:val="24"/>
          <w:szCs w:val="24"/>
        </w:rPr>
        <w:t xml:space="preserve"> gas from Line 954 </w:t>
      </w:r>
      <w:r w:rsidR="00286A46">
        <w:rPr>
          <w:sz w:val="24"/>
          <w:szCs w:val="24"/>
        </w:rPr>
        <w:t xml:space="preserve">allegedly </w:t>
      </w:r>
      <w:r w:rsidR="00594702" w:rsidRPr="00330770">
        <w:rPr>
          <w:sz w:val="24"/>
          <w:szCs w:val="24"/>
        </w:rPr>
        <w:t xml:space="preserve">was blowing into a stream </w:t>
      </w:r>
      <w:r w:rsidR="00330770">
        <w:rPr>
          <w:sz w:val="24"/>
          <w:szCs w:val="24"/>
        </w:rPr>
        <w:t xml:space="preserve">near the service address, causing a dangerous situation.  </w:t>
      </w:r>
      <w:r w:rsidR="00594702" w:rsidRPr="00330770">
        <w:rPr>
          <w:sz w:val="24"/>
          <w:szCs w:val="24"/>
        </w:rPr>
        <w:t xml:space="preserve">(Columbia Statement No. 1 at </w:t>
      </w:r>
      <w:r w:rsidR="00330770">
        <w:rPr>
          <w:sz w:val="24"/>
          <w:szCs w:val="24"/>
        </w:rPr>
        <w:t>3-</w:t>
      </w:r>
      <w:r w:rsidR="00594702" w:rsidRPr="00330770">
        <w:rPr>
          <w:sz w:val="24"/>
          <w:szCs w:val="24"/>
        </w:rPr>
        <w:t>4; Columbia Exhibit NJDK-3).</w:t>
      </w:r>
    </w:p>
    <w:p w:rsidR="00594702" w:rsidRPr="00624C51" w:rsidRDefault="00594702" w:rsidP="009B335D">
      <w:pPr>
        <w:pStyle w:val="ListParagraph"/>
        <w:spacing w:line="360" w:lineRule="auto"/>
        <w:rPr>
          <w:sz w:val="24"/>
          <w:szCs w:val="24"/>
        </w:rPr>
      </w:pPr>
    </w:p>
    <w:p w:rsidR="00594702" w:rsidRDefault="00594702" w:rsidP="00E14574">
      <w:pPr>
        <w:numPr>
          <w:ilvl w:val="0"/>
          <w:numId w:val="1"/>
        </w:numPr>
        <w:tabs>
          <w:tab w:val="clear" w:pos="720"/>
          <w:tab w:val="num" w:pos="0"/>
        </w:tabs>
        <w:spacing w:line="360" w:lineRule="auto"/>
        <w:ind w:left="0" w:firstLine="1440"/>
        <w:rPr>
          <w:sz w:val="24"/>
          <w:szCs w:val="24"/>
        </w:rPr>
      </w:pPr>
      <w:r w:rsidRPr="00624C51">
        <w:rPr>
          <w:sz w:val="24"/>
          <w:szCs w:val="24"/>
        </w:rPr>
        <w:t xml:space="preserve">On </w:t>
      </w:r>
      <w:r w:rsidR="001C5E86">
        <w:rPr>
          <w:sz w:val="24"/>
          <w:szCs w:val="24"/>
        </w:rPr>
        <w:t>June 2, 2011,</w:t>
      </w:r>
      <w:r w:rsidRPr="00624C51">
        <w:rPr>
          <w:sz w:val="24"/>
          <w:szCs w:val="24"/>
        </w:rPr>
        <w:t xml:space="preserve"> Columbia Gas dispatched a </w:t>
      </w:r>
      <w:r w:rsidR="00330770">
        <w:rPr>
          <w:sz w:val="24"/>
          <w:szCs w:val="24"/>
        </w:rPr>
        <w:t xml:space="preserve">service technician to shut off Columbia Gas’ meter and to lock and plate </w:t>
      </w:r>
      <w:r w:rsidR="005E5F3A" w:rsidRPr="00624C51">
        <w:rPr>
          <w:sz w:val="24"/>
          <w:szCs w:val="24"/>
        </w:rPr>
        <w:t>the</w:t>
      </w:r>
      <w:r w:rsidRPr="00624C51">
        <w:rPr>
          <w:sz w:val="24"/>
          <w:szCs w:val="24"/>
        </w:rPr>
        <w:t xml:space="preserve"> meter at the mainline tap of Line 954</w:t>
      </w:r>
      <w:r w:rsidR="005E5F3A" w:rsidRPr="00624C51">
        <w:rPr>
          <w:sz w:val="24"/>
          <w:szCs w:val="24"/>
        </w:rPr>
        <w:t xml:space="preserve"> as a safety precaution.  (Columbia Statement No. 1 at 4; Columbia Exhibit NJDK-3).</w:t>
      </w:r>
    </w:p>
    <w:p w:rsidR="001C5E86" w:rsidRDefault="001C5E86" w:rsidP="00A736E5">
      <w:pPr>
        <w:pStyle w:val="ListParagraph"/>
        <w:spacing w:line="360" w:lineRule="auto"/>
        <w:rPr>
          <w:sz w:val="24"/>
          <w:szCs w:val="24"/>
        </w:rPr>
      </w:pPr>
    </w:p>
    <w:p w:rsidR="001C5E86" w:rsidRDefault="001C5E86" w:rsidP="00E14574">
      <w:pPr>
        <w:numPr>
          <w:ilvl w:val="0"/>
          <w:numId w:val="1"/>
        </w:numPr>
        <w:tabs>
          <w:tab w:val="clear" w:pos="720"/>
          <w:tab w:val="num" w:pos="0"/>
        </w:tabs>
        <w:spacing w:line="360" w:lineRule="auto"/>
        <w:ind w:left="0" w:firstLine="1440"/>
        <w:rPr>
          <w:sz w:val="24"/>
          <w:szCs w:val="24"/>
        </w:rPr>
      </w:pPr>
      <w:r>
        <w:rPr>
          <w:sz w:val="24"/>
          <w:szCs w:val="24"/>
        </w:rPr>
        <w:t xml:space="preserve">On June 2, 2011, </w:t>
      </w:r>
      <w:r w:rsidR="006024BB">
        <w:rPr>
          <w:sz w:val="24"/>
          <w:szCs w:val="24"/>
        </w:rPr>
        <w:t xml:space="preserve">Mark </w:t>
      </w:r>
      <w:proofErr w:type="spellStart"/>
      <w:r w:rsidR="006024BB">
        <w:rPr>
          <w:sz w:val="24"/>
          <w:szCs w:val="24"/>
        </w:rPr>
        <w:t>Lucey</w:t>
      </w:r>
      <w:proofErr w:type="spellEnd"/>
      <w:r>
        <w:rPr>
          <w:sz w:val="24"/>
          <w:szCs w:val="24"/>
        </w:rPr>
        <w:t xml:space="preserve"> received a call</w:t>
      </w:r>
      <w:r w:rsidR="006024BB">
        <w:rPr>
          <w:sz w:val="24"/>
          <w:szCs w:val="24"/>
        </w:rPr>
        <w:t xml:space="preserve"> at his residence in West</w:t>
      </w:r>
      <w:r w:rsidR="008E29F2">
        <w:rPr>
          <w:sz w:val="24"/>
          <w:szCs w:val="24"/>
        </w:rPr>
        <w:t> </w:t>
      </w:r>
      <w:r w:rsidR="006024BB">
        <w:rPr>
          <w:sz w:val="24"/>
          <w:szCs w:val="24"/>
        </w:rPr>
        <w:t>Virginia</w:t>
      </w:r>
      <w:r>
        <w:rPr>
          <w:sz w:val="24"/>
          <w:szCs w:val="24"/>
        </w:rPr>
        <w:t xml:space="preserve"> from</w:t>
      </w:r>
      <w:r w:rsidR="006024BB">
        <w:rPr>
          <w:sz w:val="24"/>
          <w:szCs w:val="24"/>
        </w:rPr>
        <w:t xml:space="preserve"> an employee of</w:t>
      </w:r>
      <w:r>
        <w:rPr>
          <w:sz w:val="24"/>
          <w:szCs w:val="24"/>
        </w:rPr>
        <w:t xml:space="preserve"> Columbia Gas of Ohio telling </w:t>
      </w:r>
      <w:r w:rsidR="00286A46">
        <w:rPr>
          <w:sz w:val="24"/>
          <w:szCs w:val="24"/>
        </w:rPr>
        <w:t>him</w:t>
      </w:r>
      <w:r>
        <w:rPr>
          <w:sz w:val="24"/>
          <w:szCs w:val="24"/>
        </w:rPr>
        <w:t xml:space="preserve"> the meter belonging to Columbia Gas of Pennsylvania was locked, tagged and shut off due to a gas rupture caused by </w:t>
      </w:r>
      <w:proofErr w:type="spellStart"/>
      <w:r>
        <w:rPr>
          <w:sz w:val="24"/>
          <w:szCs w:val="24"/>
        </w:rPr>
        <w:t>longwall</w:t>
      </w:r>
      <w:proofErr w:type="spellEnd"/>
      <w:r>
        <w:rPr>
          <w:sz w:val="24"/>
          <w:szCs w:val="24"/>
        </w:rPr>
        <w:t xml:space="preserve"> mining.  (Tr. 39-40).</w:t>
      </w:r>
    </w:p>
    <w:p w:rsidR="00857D29" w:rsidRDefault="00857D29" w:rsidP="00857D29">
      <w:pPr>
        <w:spacing w:line="360" w:lineRule="auto"/>
        <w:ind w:left="1440"/>
        <w:rPr>
          <w:sz w:val="24"/>
          <w:szCs w:val="24"/>
        </w:rPr>
      </w:pPr>
    </w:p>
    <w:p w:rsidR="001C5E86" w:rsidRPr="00624C51" w:rsidRDefault="001C5E86" w:rsidP="00E14574">
      <w:pPr>
        <w:numPr>
          <w:ilvl w:val="0"/>
          <w:numId w:val="1"/>
        </w:numPr>
        <w:tabs>
          <w:tab w:val="clear" w:pos="720"/>
          <w:tab w:val="num" w:pos="0"/>
        </w:tabs>
        <w:spacing w:line="360" w:lineRule="auto"/>
        <w:ind w:left="0" w:firstLine="1440"/>
        <w:rPr>
          <w:sz w:val="24"/>
          <w:szCs w:val="24"/>
        </w:rPr>
      </w:pPr>
      <w:r>
        <w:rPr>
          <w:sz w:val="24"/>
          <w:szCs w:val="24"/>
        </w:rPr>
        <w:t xml:space="preserve">No tag, door-knob notice or door notice was left at the service address or at the meter on or about June 1, 2011 </w:t>
      </w:r>
      <w:r w:rsidR="006024BB">
        <w:rPr>
          <w:sz w:val="24"/>
          <w:szCs w:val="24"/>
        </w:rPr>
        <w:t xml:space="preserve">by Columbia Gas of Pennsylvania </w:t>
      </w:r>
      <w:r>
        <w:rPr>
          <w:sz w:val="24"/>
          <w:szCs w:val="24"/>
        </w:rPr>
        <w:t>when the gas connection was terminated.  (Tr. 40).</w:t>
      </w:r>
    </w:p>
    <w:p w:rsidR="005E5F3A" w:rsidRPr="00624C51" w:rsidRDefault="005E5F3A" w:rsidP="00A736E5">
      <w:pPr>
        <w:pStyle w:val="ListParagraph"/>
        <w:spacing w:line="360" w:lineRule="auto"/>
        <w:rPr>
          <w:sz w:val="24"/>
          <w:szCs w:val="24"/>
        </w:rPr>
      </w:pPr>
    </w:p>
    <w:p w:rsidR="005E5F3A" w:rsidRPr="00624C51" w:rsidRDefault="005E5F3A" w:rsidP="00E14574">
      <w:pPr>
        <w:numPr>
          <w:ilvl w:val="0"/>
          <w:numId w:val="1"/>
        </w:numPr>
        <w:tabs>
          <w:tab w:val="clear" w:pos="720"/>
          <w:tab w:val="num" w:pos="0"/>
        </w:tabs>
        <w:spacing w:line="360" w:lineRule="auto"/>
        <w:ind w:left="0" w:firstLine="1440"/>
        <w:rPr>
          <w:sz w:val="24"/>
          <w:szCs w:val="24"/>
        </w:rPr>
      </w:pPr>
      <w:r w:rsidRPr="00624C51">
        <w:rPr>
          <w:sz w:val="24"/>
          <w:szCs w:val="24"/>
        </w:rPr>
        <w:t xml:space="preserve">On June 3, 2011, Columbia Transmission informed Columbia Gas </w:t>
      </w:r>
      <w:r w:rsidR="00286A46">
        <w:rPr>
          <w:sz w:val="24"/>
          <w:szCs w:val="24"/>
        </w:rPr>
        <w:t xml:space="preserve">in writing </w:t>
      </w:r>
      <w:r w:rsidRPr="00624C51">
        <w:rPr>
          <w:sz w:val="24"/>
          <w:szCs w:val="24"/>
        </w:rPr>
        <w:t xml:space="preserve">about Columbia Transmission’s decision to permanently discontinue service on Line 954 due to ongoing safety concerns related to chronic leaks as a result of </w:t>
      </w:r>
      <w:proofErr w:type="spellStart"/>
      <w:r w:rsidRPr="00624C51">
        <w:rPr>
          <w:sz w:val="24"/>
          <w:szCs w:val="24"/>
        </w:rPr>
        <w:t>longwall</w:t>
      </w:r>
      <w:proofErr w:type="spellEnd"/>
      <w:r w:rsidRPr="00624C51">
        <w:rPr>
          <w:sz w:val="24"/>
          <w:szCs w:val="24"/>
        </w:rPr>
        <w:t xml:space="preserve"> mining near Line</w:t>
      </w:r>
      <w:r w:rsidR="00F114FF">
        <w:rPr>
          <w:sz w:val="24"/>
          <w:szCs w:val="24"/>
        </w:rPr>
        <w:t> </w:t>
      </w:r>
      <w:r w:rsidRPr="00624C51">
        <w:rPr>
          <w:sz w:val="24"/>
          <w:szCs w:val="24"/>
        </w:rPr>
        <w:t>954, including a leak believed to be located in a nearby stream bed.  (Columbia Exhibit NJDK-1, Attachment B).</w:t>
      </w:r>
    </w:p>
    <w:p w:rsidR="005E5F3A" w:rsidRPr="00624C51" w:rsidRDefault="005E5F3A" w:rsidP="00A736E5">
      <w:pPr>
        <w:pStyle w:val="ListParagraph"/>
        <w:spacing w:line="360" w:lineRule="auto"/>
        <w:rPr>
          <w:sz w:val="24"/>
          <w:szCs w:val="24"/>
        </w:rPr>
      </w:pPr>
    </w:p>
    <w:p w:rsidR="005E5F3A" w:rsidRDefault="005E5F3A" w:rsidP="00E14574">
      <w:pPr>
        <w:numPr>
          <w:ilvl w:val="0"/>
          <w:numId w:val="1"/>
        </w:numPr>
        <w:tabs>
          <w:tab w:val="clear" w:pos="720"/>
          <w:tab w:val="num" w:pos="0"/>
        </w:tabs>
        <w:spacing w:line="360" w:lineRule="auto"/>
        <w:ind w:left="0" w:firstLine="1440"/>
        <w:rPr>
          <w:sz w:val="24"/>
          <w:szCs w:val="24"/>
        </w:rPr>
      </w:pPr>
      <w:r w:rsidRPr="00624C51">
        <w:rPr>
          <w:sz w:val="24"/>
          <w:szCs w:val="24"/>
        </w:rPr>
        <w:lastRenderedPageBreak/>
        <w:t xml:space="preserve">On June 3, 2011, Columbia Gas sent a “Notice of Termination” letter to Joseph </w:t>
      </w:r>
      <w:proofErr w:type="spellStart"/>
      <w:r w:rsidRPr="00624C51">
        <w:rPr>
          <w:sz w:val="24"/>
          <w:szCs w:val="24"/>
        </w:rPr>
        <w:t>Lucey</w:t>
      </w:r>
      <w:proofErr w:type="spellEnd"/>
      <w:r w:rsidRPr="00624C51">
        <w:rPr>
          <w:sz w:val="24"/>
          <w:szCs w:val="24"/>
        </w:rPr>
        <w:t xml:space="preserve"> via overnight mail</w:t>
      </w:r>
      <w:r w:rsidR="0033305A" w:rsidRPr="00624C51">
        <w:rPr>
          <w:sz w:val="24"/>
          <w:szCs w:val="24"/>
        </w:rPr>
        <w:t xml:space="preserve"> informing him </w:t>
      </w:r>
      <w:r w:rsidR="00286A46">
        <w:rPr>
          <w:sz w:val="24"/>
          <w:szCs w:val="24"/>
        </w:rPr>
        <w:t xml:space="preserve">(1) that </w:t>
      </w:r>
      <w:r w:rsidR="0033305A" w:rsidRPr="00624C51">
        <w:rPr>
          <w:sz w:val="24"/>
          <w:szCs w:val="24"/>
        </w:rPr>
        <w:t>the natural gas service to the service address was terminated due to immediate safety concerns</w:t>
      </w:r>
      <w:r w:rsidR="00286A46">
        <w:rPr>
          <w:sz w:val="24"/>
          <w:szCs w:val="24"/>
        </w:rPr>
        <w:t>,</w:t>
      </w:r>
      <w:r w:rsidR="0033305A" w:rsidRPr="00624C51">
        <w:rPr>
          <w:sz w:val="24"/>
          <w:szCs w:val="24"/>
        </w:rPr>
        <w:t xml:space="preserve"> and </w:t>
      </w:r>
      <w:r w:rsidR="00286A46">
        <w:rPr>
          <w:sz w:val="24"/>
          <w:szCs w:val="24"/>
        </w:rPr>
        <w:t xml:space="preserve">(2) that </w:t>
      </w:r>
      <w:r w:rsidR="0033305A" w:rsidRPr="00624C51">
        <w:rPr>
          <w:sz w:val="24"/>
          <w:szCs w:val="24"/>
        </w:rPr>
        <w:t>Columbia Transmission</w:t>
      </w:r>
      <w:r w:rsidR="00286A46">
        <w:rPr>
          <w:sz w:val="24"/>
          <w:szCs w:val="24"/>
        </w:rPr>
        <w:t xml:space="preserve"> had decided </w:t>
      </w:r>
      <w:r w:rsidR="0033305A" w:rsidRPr="00624C51">
        <w:rPr>
          <w:sz w:val="24"/>
          <w:szCs w:val="24"/>
        </w:rPr>
        <w:t xml:space="preserve">to permanently discontinue operation of Line 954 due to ongoing safety concerns related to chronic leaks as a result of </w:t>
      </w:r>
      <w:proofErr w:type="spellStart"/>
      <w:r w:rsidR="0033305A" w:rsidRPr="00624C51">
        <w:rPr>
          <w:sz w:val="24"/>
          <w:szCs w:val="24"/>
        </w:rPr>
        <w:t>longwall</w:t>
      </w:r>
      <w:proofErr w:type="spellEnd"/>
      <w:r w:rsidR="0033305A" w:rsidRPr="00624C51">
        <w:rPr>
          <w:sz w:val="24"/>
          <w:szCs w:val="24"/>
        </w:rPr>
        <w:t xml:space="preserve"> mining near Line 954, including a leak believed to be located in a nearby stream bed</w:t>
      </w:r>
      <w:r w:rsidRPr="00624C51">
        <w:rPr>
          <w:sz w:val="24"/>
          <w:szCs w:val="24"/>
        </w:rPr>
        <w:t>.  (</w:t>
      </w:r>
      <w:r w:rsidR="00330770">
        <w:rPr>
          <w:sz w:val="24"/>
          <w:szCs w:val="24"/>
        </w:rPr>
        <w:t xml:space="preserve">Columbia Statement No. 1 at 5; </w:t>
      </w:r>
      <w:r w:rsidRPr="00624C51">
        <w:rPr>
          <w:sz w:val="24"/>
          <w:szCs w:val="24"/>
        </w:rPr>
        <w:t>Columbia Exhibit NJDK-1, Attachment B).</w:t>
      </w:r>
    </w:p>
    <w:p w:rsidR="00330770" w:rsidRDefault="00330770" w:rsidP="00A736E5">
      <w:pPr>
        <w:pStyle w:val="ListParagraph"/>
        <w:spacing w:line="360" w:lineRule="auto"/>
        <w:rPr>
          <w:sz w:val="24"/>
          <w:szCs w:val="24"/>
        </w:rPr>
      </w:pPr>
    </w:p>
    <w:p w:rsidR="00330770" w:rsidRPr="00624C51" w:rsidRDefault="00330770" w:rsidP="00E14574">
      <w:pPr>
        <w:numPr>
          <w:ilvl w:val="0"/>
          <w:numId w:val="1"/>
        </w:numPr>
        <w:tabs>
          <w:tab w:val="clear" w:pos="720"/>
          <w:tab w:val="num" w:pos="0"/>
        </w:tabs>
        <w:spacing w:line="360" w:lineRule="auto"/>
        <w:ind w:left="0" w:firstLine="1440"/>
        <w:rPr>
          <w:sz w:val="24"/>
          <w:szCs w:val="24"/>
        </w:rPr>
      </w:pPr>
      <w:r>
        <w:rPr>
          <w:sz w:val="24"/>
          <w:szCs w:val="24"/>
        </w:rPr>
        <w:t xml:space="preserve">On June 3, 2011, Columbia Gas informed Complainant </w:t>
      </w:r>
      <w:r w:rsidR="00286A46">
        <w:rPr>
          <w:sz w:val="24"/>
          <w:szCs w:val="24"/>
        </w:rPr>
        <w:t xml:space="preserve">in writing </w:t>
      </w:r>
      <w:r>
        <w:rPr>
          <w:sz w:val="24"/>
          <w:szCs w:val="24"/>
        </w:rPr>
        <w:t>that Columbia Transmission would contact him “to discuss temporary service and possible conversion to an alternative fuel.”  (Columbia Statement No. 1 at 5</w:t>
      </w:r>
      <w:r w:rsidR="000B4BA5">
        <w:rPr>
          <w:sz w:val="24"/>
          <w:szCs w:val="24"/>
        </w:rPr>
        <w:t>; Columbia Exhibit NJDK-1</w:t>
      </w:r>
      <w:r>
        <w:rPr>
          <w:sz w:val="24"/>
          <w:szCs w:val="24"/>
        </w:rPr>
        <w:t>).</w:t>
      </w:r>
    </w:p>
    <w:p w:rsidR="0006069A" w:rsidRPr="00624C51" w:rsidRDefault="0006069A" w:rsidP="008D4FAB">
      <w:pPr>
        <w:pStyle w:val="ListParagraph"/>
        <w:spacing w:line="360" w:lineRule="auto"/>
        <w:rPr>
          <w:sz w:val="24"/>
          <w:szCs w:val="24"/>
        </w:rPr>
      </w:pPr>
    </w:p>
    <w:p w:rsidR="00010154" w:rsidRPr="00010154" w:rsidRDefault="0006069A" w:rsidP="00010154">
      <w:pPr>
        <w:numPr>
          <w:ilvl w:val="0"/>
          <w:numId w:val="1"/>
        </w:numPr>
        <w:tabs>
          <w:tab w:val="clear" w:pos="720"/>
          <w:tab w:val="num" w:pos="0"/>
        </w:tabs>
        <w:spacing w:line="360" w:lineRule="auto"/>
        <w:ind w:left="0" w:firstLine="1440"/>
        <w:rPr>
          <w:sz w:val="24"/>
          <w:szCs w:val="24"/>
        </w:rPr>
      </w:pPr>
      <w:r w:rsidRPr="00624C51">
        <w:rPr>
          <w:sz w:val="24"/>
          <w:szCs w:val="24"/>
        </w:rPr>
        <w:t>On or about June 6, 2011</w:t>
      </w:r>
      <w:r w:rsidR="00D33298" w:rsidRPr="00624C51">
        <w:rPr>
          <w:sz w:val="24"/>
          <w:szCs w:val="24"/>
        </w:rPr>
        <w:t xml:space="preserve">, Mark </w:t>
      </w:r>
      <w:proofErr w:type="spellStart"/>
      <w:r w:rsidR="00D33298" w:rsidRPr="00624C51">
        <w:rPr>
          <w:sz w:val="24"/>
          <w:szCs w:val="24"/>
        </w:rPr>
        <w:t>Lucey</w:t>
      </w:r>
      <w:proofErr w:type="spellEnd"/>
      <w:r w:rsidR="00D33298" w:rsidRPr="00624C51">
        <w:rPr>
          <w:sz w:val="24"/>
          <w:szCs w:val="24"/>
        </w:rPr>
        <w:t xml:space="preserve"> spent $1,535.52 to </w:t>
      </w:r>
      <w:r w:rsidR="001C5E86">
        <w:rPr>
          <w:sz w:val="24"/>
          <w:szCs w:val="24"/>
        </w:rPr>
        <w:t xml:space="preserve">purchase equipment and appliances in order to </w:t>
      </w:r>
      <w:r w:rsidR="00D33298" w:rsidRPr="00624C51">
        <w:rPr>
          <w:sz w:val="24"/>
          <w:szCs w:val="24"/>
        </w:rPr>
        <w:t>convert the service address f</w:t>
      </w:r>
      <w:r w:rsidRPr="00624C51">
        <w:rPr>
          <w:sz w:val="24"/>
          <w:szCs w:val="24"/>
        </w:rPr>
        <w:t>rom natural gas to propane</w:t>
      </w:r>
      <w:r w:rsidR="00D33298" w:rsidRPr="00624C51">
        <w:rPr>
          <w:sz w:val="24"/>
          <w:szCs w:val="24"/>
        </w:rPr>
        <w:t xml:space="preserve">.  </w:t>
      </w:r>
      <w:r w:rsidR="001C5E86">
        <w:rPr>
          <w:sz w:val="24"/>
          <w:szCs w:val="24"/>
        </w:rPr>
        <w:t xml:space="preserve">He purchased a </w:t>
      </w:r>
      <w:r w:rsidR="000B4BA5">
        <w:rPr>
          <w:sz w:val="24"/>
          <w:szCs w:val="24"/>
        </w:rPr>
        <w:t xml:space="preserve">new </w:t>
      </w:r>
      <w:r w:rsidR="001C5E86">
        <w:rPr>
          <w:sz w:val="24"/>
          <w:szCs w:val="24"/>
        </w:rPr>
        <w:t>propane hot water tank</w:t>
      </w:r>
      <w:r w:rsidR="000B4BA5">
        <w:rPr>
          <w:sz w:val="24"/>
          <w:szCs w:val="24"/>
        </w:rPr>
        <w:t xml:space="preserve"> and</w:t>
      </w:r>
      <w:r w:rsidR="001C5E86">
        <w:rPr>
          <w:sz w:val="24"/>
          <w:szCs w:val="24"/>
        </w:rPr>
        <w:t xml:space="preserve"> a used electric dryer</w:t>
      </w:r>
      <w:r w:rsidR="000B4BA5">
        <w:rPr>
          <w:sz w:val="24"/>
          <w:szCs w:val="24"/>
        </w:rPr>
        <w:t>.  Also he</w:t>
      </w:r>
      <w:r w:rsidR="001C5E86">
        <w:rPr>
          <w:sz w:val="24"/>
          <w:szCs w:val="24"/>
        </w:rPr>
        <w:t xml:space="preserve"> installed simple natural gas-to-propane converters to the furnace and stove, in addition to performing some of the work and paying Suburban Propane to complete the installation.  </w:t>
      </w:r>
      <w:r w:rsidR="00D33298" w:rsidRPr="00624C51">
        <w:rPr>
          <w:sz w:val="24"/>
          <w:szCs w:val="24"/>
        </w:rPr>
        <w:t xml:space="preserve">(Tr. </w:t>
      </w:r>
      <w:r w:rsidR="001C5E86">
        <w:rPr>
          <w:sz w:val="24"/>
          <w:szCs w:val="24"/>
        </w:rPr>
        <w:t>66-</w:t>
      </w:r>
      <w:r w:rsidR="00D33298" w:rsidRPr="00624C51">
        <w:rPr>
          <w:sz w:val="24"/>
          <w:szCs w:val="24"/>
        </w:rPr>
        <w:t>71, 145; Columbia Exhibit NJDK-4).</w:t>
      </w:r>
    </w:p>
    <w:p w:rsidR="00CB54BD" w:rsidRDefault="00CB54BD" w:rsidP="00A736E5">
      <w:pPr>
        <w:pStyle w:val="ListParagraph"/>
        <w:spacing w:line="360" w:lineRule="auto"/>
        <w:rPr>
          <w:sz w:val="24"/>
          <w:szCs w:val="24"/>
        </w:rPr>
      </w:pPr>
    </w:p>
    <w:p w:rsidR="00CB54BD" w:rsidRDefault="00CB54BD" w:rsidP="00E14574">
      <w:pPr>
        <w:numPr>
          <w:ilvl w:val="0"/>
          <w:numId w:val="1"/>
        </w:numPr>
        <w:tabs>
          <w:tab w:val="clear" w:pos="720"/>
          <w:tab w:val="num" w:pos="0"/>
        </w:tabs>
        <w:spacing w:line="360" w:lineRule="auto"/>
        <w:ind w:left="0" w:firstLine="1440"/>
        <w:rPr>
          <w:sz w:val="24"/>
          <w:szCs w:val="24"/>
        </w:rPr>
      </w:pPr>
      <w:r>
        <w:rPr>
          <w:sz w:val="24"/>
          <w:szCs w:val="24"/>
        </w:rPr>
        <w:t xml:space="preserve">On June 10, 2011, Mark </w:t>
      </w:r>
      <w:proofErr w:type="spellStart"/>
      <w:r>
        <w:rPr>
          <w:sz w:val="24"/>
          <w:szCs w:val="24"/>
        </w:rPr>
        <w:t>Lucey</w:t>
      </w:r>
      <w:proofErr w:type="spellEnd"/>
      <w:r>
        <w:rPr>
          <w:sz w:val="24"/>
          <w:szCs w:val="24"/>
        </w:rPr>
        <w:t xml:space="preserve"> filed a complaint against Columbia Gas on behalf of Joseph </w:t>
      </w:r>
      <w:proofErr w:type="spellStart"/>
      <w:r>
        <w:rPr>
          <w:sz w:val="24"/>
          <w:szCs w:val="24"/>
        </w:rPr>
        <w:t>Lucey</w:t>
      </w:r>
      <w:proofErr w:type="spellEnd"/>
      <w:r>
        <w:rPr>
          <w:sz w:val="24"/>
          <w:szCs w:val="24"/>
        </w:rPr>
        <w:t xml:space="preserve">.  </w:t>
      </w:r>
    </w:p>
    <w:p w:rsidR="00857D29" w:rsidRPr="00624C51" w:rsidRDefault="00857D29" w:rsidP="00857D29">
      <w:pPr>
        <w:spacing w:line="360" w:lineRule="auto"/>
        <w:ind w:left="1440"/>
        <w:rPr>
          <w:sz w:val="24"/>
          <w:szCs w:val="24"/>
        </w:rPr>
      </w:pPr>
    </w:p>
    <w:p w:rsidR="005E5F3A" w:rsidRPr="00624C51" w:rsidRDefault="005E5F3A" w:rsidP="00E14574">
      <w:pPr>
        <w:numPr>
          <w:ilvl w:val="0"/>
          <w:numId w:val="1"/>
        </w:numPr>
        <w:tabs>
          <w:tab w:val="clear" w:pos="720"/>
          <w:tab w:val="num" w:pos="0"/>
        </w:tabs>
        <w:spacing w:line="360" w:lineRule="auto"/>
        <w:ind w:left="0" w:firstLine="1440"/>
        <w:rPr>
          <w:sz w:val="24"/>
          <w:szCs w:val="24"/>
        </w:rPr>
      </w:pPr>
      <w:r w:rsidRPr="00624C51">
        <w:rPr>
          <w:sz w:val="24"/>
          <w:szCs w:val="24"/>
        </w:rPr>
        <w:t>By letter dated November 18, 2011</w:t>
      </w:r>
      <w:r w:rsidR="0078205E">
        <w:rPr>
          <w:sz w:val="24"/>
          <w:szCs w:val="24"/>
        </w:rPr>
        <w:t xml:space="preserve"> and sent to Columbia Gas</w:t>
      </w:r>
      <w:r w:rsidRPr="00624C51">
        <w:rPr>
          <w:sz w:val="24"/>
          <w:szCs w:val="24"/>
        </w:rPr>
        <w:t>, Columbia Transmission memorialized discussions from June 3, 2011, including a detailed history of</w:t>
      </w:r>
      <w:r w:rsidR="000B4BA5">
        <w:rPr>
          <w:sz w:val="24"/>
          <w:szCs w:val="24"/>
        </w:rPr>
        <w:t xml:space="preserve"> alleged </w:t>
      </w:r>
      <w:r w:rsidRPr="00624C51">
        <w:rPr>
          <w:sz w:val="24"/>
          <w:szCs w:val="24"/>
        </w:rPr>
        <w:t>prior leaks on Line 954 and of Columbia Transmission’s decision to permanently remove Line 954 from service due to the “multiple safety and pipeline integrity issues” on Line 954.  (Tr.</w:t>
      </w:r>
      <w:r w:rsidR="00EC36B5">
        <w:rPr>
          <w:sz w:val="24"/>
          <w:szCs w:val="24"/>
        </w:rPr>
        <w:t> </w:t>
      </w:r>
      <w:r w:rsidRPr="00624C51">
        <w:rPr>
          <w:sz w:val="24"/>
          <w:szCs w:val="24"/>
        </w:rPr>
        <w:t>97</w:t>
      </w:r>
      <w:r w:rsidRPr="00624C51">
        <w:rPr>
          <w:color w:val="0C0C0C"/>
          <w:sz w:val="24"/>
          <w:szCs w:val="24"/>
        </w:rPr>
        <w:fldChar w:fldCharType="begin"/>
      </w:r>
      <w:r w:rsidRPr="00624C51">
        <w:rPr>
          <w:color w:val="0C0C0C"/>
          <w:sz w:val="24"/>
          <w:szCs w:val="24"/>
        </w:rPr>
        <w:instrText xml:space="preserve"> TA \s "Tr." </w:instrText>
      </w:r>
      <w:r w:rsidRPr="00624C51">
        <w:rPr>
          <w:color w:val="0C0C0C"/>
          <w:sz w:val="24"/>
          <w:szCs w:val="24"/>
        </w:rPr>
        <w:fldChar w:fldCharType="end"/>
      </w:r>
      <w:r w:rsidRPr="00624C51">
        <w:rPr>
          <w:sz w:val="24"/>
          <w:szCs w:val="24"/>
        </w:rPr>
        <w:t>; Columbia Exhibit NJDK-1, Attachment A)</w:t>
      </w:r>
      <w:r w:rsidR="00F32DAF">
        <w:rPr>
          <w:sz w:val="24"/>
          <w:szCs w:val="24"/>
        </w:rPr>
        <w:t>.</w:t>
      </w:r>
    </w:p>
    <w:p w:rsidR="002D02FF" w:rsidRPr="00624C51" w:rsidRDefault="002D02FF" w:rsidP="002D02FF">
      <w:pPr>
        <w:spacing w:line="360" w:lineRule="auto"/>
        <w:rPr>
          <w:sz w:val="24"/>
          <w:szCs w:val="24"/>
        </w:rPr>
      </w:pPr>
    </w:p>
    <w:p w:rsidR="002D02FF" w:rsidRPr="00624C51" w:rsidRDefault="00081487" w:rsidP="00E14574">
      <w:pPr>
        <w:numPr>
          <w:ilvl w:val="0"/>
          <w:numId w:val="1"/>
        </w:numPr>
        <w:tabs>
          <w:tab w:val="clear" w:pos="720"/>
          <w:tab w:val="num" w:pos="0"/>
        </w:tabs>
        <w:spacing w:line="360" w:lineRule="auto"/>
        <w:ind w:left="0" w:firstLine="1440"/>
        <w:rPr>
          <w:sz w:val="24"/>
          <w:szCs w:val="24"/>
        </w:rPr>
      </w:pPr>
      <w:r w:rsidRPr="00624C51">
        <w:rPr>
          <w:sz w:val="24"/>
          <w:szCs w:val="24"/>
        </w:rPr>
        <w:t xml:space="preserve">On December 5, 2011, Columbia filed an Application for Approval of Abandonment of Service by Columbia Gas of Pennsylvania, Inc. to One (1) Natural Gas Service </w:t>
      </w:r>
      <w:r w:rsidRPr="00624C51">
        <w:rPr>
          <w:sz w:val="24"/>
          <w:szCs w:val="24"/>
        </w:rPr>
        <w:lastRenderedPageBreak/>
        <w:t>Customer Located in Greene County, Pennsylvania (“Abandonment Application”).  (</w:t>
      </w:r>
      <w:r w:rsidR="00594702" w:rsidRPr="00624C51">
        <w:rPr>
          <w:sz w:val="24"/>
          <w:szCs w:val="24"/>
        </w:rPr>
        <w:t xml:space="preserve">Columbia </w:t>
      </w:r>
      <w:r w:rsidRPr="00624C51">
        <w:rPr>
          <w:sz w:val="24"/>
          <w:szCs w:val="24"/>
        </w:rPr>
        <w:t>Exhibit NJDK-1).</w:t>
      </w:r>
    </w:p>
    <w:p w:rsidR="004C0428" w:rsidRPr="00624C51" w:rsidRDefault="004C0428" w:rsidP="004C0428">
      <w:pPr>
        <w:spacing w:line="360" w:lineRule="auto"/>
        <w:rPr>
          <w:sz w:val="24"/>
          <w:szCs w:val="24"/>
        </w:rPr>
      </w:pPr>
    </w:p>
    <w:p w:rsidR="00DD39F0" w:rsidRPr="005531B9" w:rsidRDefault="001474A4" w:rsidP="00DD39F0">
      <w:pPr>
        <w:spacing w:line="360" w:lineRule="auto"/>
        <w:rPr>
          <w:sz w:val="24"/>
          <w:szCs w:val="24"/>
        </w:rPr>
      </w:pPr>
      <w:r>
        <w:rPr>
          <w:sz w:val="24"/>
          <w:szCs w:val="24"/>
        </w:rPr>
        <w:tab/>
      </w:r>
      <w:r>
        <w:rPr>
          <w:sz w:val="24"/>
          <w:szCs w:val="24"/>
        </w:rPr>
        <w:tab/>
      </w:r>
      <w:r w:rsidR="00DD39F0" w:rsidRPr="005531B9">
        <w:rPr>
          <w:sz w:val="24"/>
          <w:szCs w:val="24"/>
        </w:rPr>
        <w:t>29.</w:t>
      </w:r>
      <w:r w:rsidR="00DD39F0" w:rsidRPr="005531B9">
        <w:rPr>
          <w:sz w:val="24"/>
          <w:szCs w:val="24"/>
        </w:rPr>
        <w:tab/>
        <w:t xml:space="preserve">Constructed in 1905, Line 954 consists of approximately 10,000 feet of a steel coupled 10-inch main owned by Columbia Transmission, which runs through </w:t>
      </w:r>
      <w:proofErr w:type="spellStart"/>
      <w:r w:rsidR="00DD39F0" w:rsidRPr="005531B9">
        <w:rPr>
          <w:sz w:val="24"/>
          <w:szCs w:val="24"/>
        </w:rPr>
        <w:t>Richhill</w:t>
      </w:r>
      <w:proofErr w:type="spellEnd"/>
      <w:r w:rsidR="00DD39F0" w:rsidRPr="005531B9">
        <w:rPr>
          <w:sz w:val="24"/>
          <w:szCs w:val="24"/>
        </w:rPr>
        <w:t xml:space="preserve"> Township in Greene County, Pennsylvania and the Liberty and Cameron Districts in Marshall County, West Virginia, where it connects to another Columbia Transmission pipeline in West Virginia, from which gas is provided.  </w:t>
      </w:r>
      <w:proofErr w:type="gramStart"/>
      <w:r w:rsidR="00DD39F0" w:rsidRPr="005531B9">
        <w:rPr>
          <w:sz w:val="24"/>
          <w:szCs w:val="24"/>
        </w:rPr>
        <w:t>(Tr. 151, 162, 167, 190; Columbia Statement No. 2 at 3).</w:t>
      </w:r>
      <w:proofErr w:type="gramEnd"/>
    </w:p>
    <w:p w:rsidR="00DD39F0" w:rsidRPr="005531B9" w:rsidRDefault="00DD39F0" w:rsidP="00DD39F0">
      <w:pPr>
        <w:spacing w:line="360" w:lineRule="auto"/>
        <w:rPr>
          <w:sz w:val="24"/>
          <w:szCs w:val="24"/>
        </w:rPr>
      </w:pPr>
    </w:p>
    <w:p w:rsidR="00DD39F0" w:rsidRPr="005531B9" w:rsidRDefault="00DD39F0" w:rsidP="00DD39F0">
      <w:pPr>
        <w:spacing w:line="360" w:lineRule="auto"/>
        <w:rPr>
          <w:sz w:val="24"/>
          <w:szCs w:val="24"/>
        </w:rPr>
      </w:pPr>
      <w:r w:rsidRPr="005531B9">
        <w:rPr>
          <w:sz w:val="24"/>
          <w:szCs w:val="24"/>
        </w:rPr>
        <w:tab/>
      </w:r>
      <w:r w:rsidRPr="005531B9">
        <w:rPr>
          <w:sz w:val="24"/>
          <w:szCs w:val="24"/>
        </w:rPr>
        <w:tab/>
        <w:t>30.</w:t>
      </w:r>
      <w:r w:rsidRPr="005531B9">
        <w:rPr>
          <w:sz w:val="24"/>
          <w:szCs w:val="24"/>
        </w:rPr>
        <w:tab/>
      </w:r>
      <w:proofErr w:type="spellStart"/>
      <w:r w:rsidRPr="005531B9">
        <w:rPr>
          <w:sz w:val="24"/>
          <w:szCs w:val="24"/>
        </w:rPr>
        <w:t>Longwall</w:t>
      </w:r>
      <w:proofErr w:type="spellEnd"/>
      <w:r w:rsidRPr="005531B9">
        <w:rPr>
          <w:sz w:val="24"/>
          <w:szCs w:val="24"/>
        </w:rPr>
        <w:t xml:space="preserve"> mining often leads to natural gas pipeline leaks and, by June 2011, Line 954 was rendered unsafe and incapable of operating safely, due to ongoing </w:t>
      </w:r>
      <w:proofErr w:type="spellStart"/>
      <w:r w:rsidRPr="005531B9">
        <w:rPr>
          <w:sz w:val="24"/>
          <w:szCs w:val="24"/>
        </w:rPr>
        <w:t>longwall</w:t>
      </w:r>
      <w:proofErr w:type="spellEnd"/>
      <w:r w:rsidRPr="005531B9">
        <w:rPr>
          <w:sz w:val="24"/>
          <w:szCs w:val="24"/>
        </w:rPr>
        <w:t xml:space="preserve"> mining in the surrounding area.  </w:t>
      </w:r>
      <w:proofErr w:type="gramStart"/>
      <w:r w:rsidRPr="005531B9">
        <w:rPr>
          <w:sz w:val="24"/>
          <w:szCs w:val="24"/>
        </w:rPr>
        <w:t>(Tr. 101, 144, 180, 197).</w:t>
      </w:r>
      <w:proofErr w:type="gramEnd"/>
    </w:p>
    <w:p w:rsidR="00DD39F0" w:rsidRPr="005531B9" w:rsidRDefault="00DD39F0" w:rsidP="00DD39F0">
      <w:pPr>
        <w:spacing w:line="360" w:lineRule="auto"/>
        <w:rPr>
          <w:sz w:val="24"/>
          <w:szCs w:val="24"/>
        </w:rPr>
      </w:pPr>
    </w:p>
    <w:p w:rsidR="00DD39F0" w:rsidRPr="005531B9" w:rsidRDefault="00DD39F0" w:rsidP="00DD39F0">
      <w:pPr>
        <w:spacing w:line="360" w:lineRule="auto"/>
        <w:rPr>
          <w:sz w:val="24"/>
          <w:szCs w:val="24"/>
        </w:rPr>
      </w:pPr>
      <w:r w:rsidRPr="005531B9">
        <w:rPr>
          <w:sz w:val="24"/>
          <w:szCs w:val="24"/>
        </w:rPr>
        <w:tab/>
      </w:r>
      <w:r w:rsidRPr="005531B9">
        <w:rPr>
          <w:sz w:val="24"/>
          <w:szCs w:val="24"/>
        </w:rPr>
        <w:tab/>
        <w:t>31.</w:t>
      </w:r>
      <w:r w:rsidRPr="005531B9">
        <w:rPr>
          <w:sz w:val="24"/>
          <w:szCs w:val="24"/>
        </w:rPr>
        <w:tab/>
        <w:t xml:space="preserve">In 2010, Columbia Transmission delivered 93.1 </w:t>
      </w:r>
      <w:proofErr w:type="spellStart"/>
      <w:r w:rsidRPr="005531B9">
        <w:rPr>
          <w:sz w:val="24"/>
          <w:szCs w:val="24"/>
        </w:rPr>
        <w:t>Mcf</w:t>
      </w:r>
      <w:proofErr w:type="spellEnd"/>
      <w:r w:rsidRPr="005531B9">
        <w:rPr>
          <w:sz w:val="24"/>
          <w:szCs w:val="24"/>
        </w:rPr>
        <w:t xml:space="preserve"> of gas to the service address with $422.80 in total distribution revenues received by Columbia Gas.  </w:t>
      </w:r>
      <w:proofErr w:type="gramStart"/>
      <w:r w:rsidRPr="005531B9">
        <w:rPr>
          <w:sz w:val="24"/>
          <w:szCs w:val="24"/>
        </w:rPr>
        <w:t>(Columbia Statement No. 1 at 6).</w:t>
      </w:r>
      <w:proofErr w:type="gramEnd"/>
    </w:p>
    <w:p w:rsidR="00DD39F0" w:rsidRPr="005531B9" w:rsidRDefault="00DD39F0" w:rsidP="00DD39F0">
      <w:pPr>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32.</w:t>
      </w:r>
      <w:r w:rsidRPr="005531B9">
        <w:rPr>
          <w:sz w:val="24"/>
          <w:szCs w:val="24"/>
        </w:rPr>
        <w:tab/>
        <w:t xml:space="preserve">Columbia Gas estimates the utility would incur $229,557 in annual revenue deficiency costs if it extended its distribution facilities to the service address based on Complainant’s 2010 consumption figures.  </w:t>
      </w:r>
      <w:proofErr w:type="gramStart"/>
      <w:r w:rsidRPr="005531B9">
        <w:rPr>
          <w:sz w:val="24"/>
          <w:szCs w:val="24"/>
        </w:rPr>
        <w:t>(Columbia Statement No. 1 at 6).</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33.</w:t>
      </w:r>
      <w:r w:rsidRPr="005531B9">
        <w:rPr>
          <w:sz w:val="24"/>
          <w:szCs w:val="24"/>
        </w:rPr>
        <w:tab/>
        <w:t xml:space="preserve">Section 8.1(b) of Columbia Gas’ tariff provides that service provided from a transmission line is at the sole discretion of the owner of the transmission line to allow service from their facilities to the customer.  </w:t>
      </w:r>
      <w:proofErr w:type="gramStart"/>
      <w:r w:rsidRPr="005531B9">
        <w:rPr>
          <w:sz w:val="24"/>
          <w:szCs w:val="24"/>
        </w:rPr>
        <w:t>(Columbia Exhibit NJDK-2).</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34.</w:t>
      </w:r>
      <w:r w:rsidRPr="005531B9">
        <w:rPr>
          <w:sz w:val="24"/>
          <w:szCs w:val="24"/>
        </w:rPr>
        <w:tab/>
        <w:t xml:space="preserve">The only property or equipment owned by Columbia Gas which was located on Mr. </w:t>
      </w:r>
      <w:proofErr w:type="spellStart"/>
      <w:r w:rsidRPr="005531B9">
        <w:rPr>
          <w:sz w:val="24"/>
          <w:szCs w:val="24"/>
        </w:rPr>
        <w:t>Lucey’s</w:t>
      </w:r>
      <w:proofErr w:type="spellEnd"/>
      <w:r w:rsidRPr="005531B9">
        <w:rPr>
          <w:sz w:val="24"/>
          <w:szCs w:val="24"/>
        </w:rPr>
        <w:t xml:space="preserve"> property by the end of May 2011 was the tap and the gas meter which was used to measure consumption of natural gas from Line 954.  </w:t>
      </w:r>
      <w:proofErr w:type="gramStart"/>
      <w:r w:rsidRPr="005531B9">
        <w:rPr>
          <w:sz w:val="24"/>
          <w:szCs w:val="24"/>
        </w:rPr>
        <w:t>(Tr. 101, 144).</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lastRenderedPageBreak/>
        <w:tab/>
      </w:r>
      <w:r w:rsidRPr="005531B9">
        <w:rPr>
          <w:sz w:val="24"/>
          <w:szCs w:val="24"/>
        </w:rPr>
        <w:tab/>
        <w:t>35.</w:t>
      </w:r>
      <w:r w:rsidRPr="005531B9">
        <w:rPr>
          <w:sz w:val="24"/>
          <w:szCs w:val="24"/>
        </w:rPr>
        <w:tab/>
        <w:t xml:space="preserve">Replacement of Line 954 to Mr. </w:t>
      </w:r>
      <w:proofErr w:type="spellStart"/>
      <w:r w:rsidRPr="005531B9">
        <w:rPr>
          <w:sz w:val="24"/>
          <w:szCs w:val="24"/>
        </w:rPr>
        <w:t>Lucey’s</w:t>
      </w:r>
      <w:proofErr w:type="spellEnd"/>
      <w:r w:rsidRPr="005531B9">
        <w:rPr>
          <w:sz w:val="24"/>
          <w:szCs w:val="24"/>
        </w:rPr>
        <w:t xml:space="preserve"> residence or any pipeline replacement near the path of Line 954 would require a stream permit and significant expense.  </w:t>
      </w:r>
      <w:proofErr w:type="gramStart"/>
      <w:r w:rsidRPr="005531B9">
        <w:rPr>
          <w:sz w:val="24"/>
          <w:szCs w:val="24"/>
        </w:rPr>
        <w:t>(Tr. 154).</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36.</w:t>
      </w:r>
      <w:r w:rsidRPr="005531B9">
        <w:rPr>
          <w:sz w:val="24"/>
          <w:szCs w:val="24"/>
        </w:rPr>
        <w:tab/>
        <w:t xml:space="preserve">Neither Columbia Transmission nor Columbia Gas </w:t>
      </w:r>
      <w:proofErr w:type="gramStart"/>
      <w:r w:rsidRPr="005531B9">
        <w:rPr>
          <w:sz w:val="24"/>
          <w:szCs w:val="24"/>
        </w:rPr>
        <w:t>are</w:t>
      </w:r>
      <w:proofErr w:type="gramEnd"/>
      <w:r w:rsidRPr="005531B9">
        <w:rPr>
          <w:sz w:val="24"/>
          <w:szCs w:val="24"/>
        </w:rPr>
        <w:t xml:space="preserve"> subject to a contractual or legal obligation to provide natural gas service to Mr. </w:t>
      </w:r>
      <w:proofErr w:type="spellStart"/>
      <w:r w:rsidRPr="005531B9">
        <w:rPr>
          <w:sz w:val="24"/>
          <w:szCs w:val="24"/>
        </w:rPr>
        <w:t>Lucey’s</w:t>
      </w:r>
      <w:proofErr w:type="spellEnd"/>
      <w:r w:rsidRPr="005531B9">
        <w:rPr>
          <w:sz w:val="24"/>
          <w:szCs w:val="24"/>
        </w:rPr>
        <w:t xml:space="preserve"> property, such as through a lease or right-of-way agreement.  </w:t>
      </w:r>
      <w:proofErr w:type="gramStart"/>
      <w:r w:rsidRPr="005531B9">
        <w:rPr>
          <w:sz w:val="24"/>
          <w:szCs w:val="24"/>
        </w:rPr>
        <w:t>(Tr. 169).</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37.</w:t>
      </w:r>
      <w:r w:rsidRPr="005531B9">
        <w:rPr>
          <w:sz w:val="24"/>
          <w:szCs w:val="24"/>
        </w:rPr>
        <w:tab/>
        <w:t xml:space="preserve">By following the West Roy Furman Highway, a new pipeline to service the subject residence from the closest point of Columbia Gas’ distribution system would be approximately 28,000 feet long and cost $2.9 million to construct.  </w:t>
      </w:r>
      <w:proofErr w:type="gramStart"/>
      <w:r w:rsidRPr="005531B9">
        <w:rPr>
          <w:sz w:val="24"/>
          <w:szCs w:val="24"/>
        </w:rPr>
        <w:t>(Tr. 236, 237; Columbia Statement 3 at 3-5; Ex. NWW-2).</w:t>
      </w:r>
      <w:proofErr w:type="gramEnd"/>
    </w:p>
    <w:p w:rsidR="00DD39F0" w:rsidRPr="005531B9" w:rsidRDefault="00DD39F0" w:rsidP="00DD39F0">
      <w:pPr>
        <w:tabs>
          <w:tab w:val="num" w:pos="0"/>
        </w:tabs>
        <w:spacing w:line="360" w:lineRule="auto"/>
        <w:rPr>
          <w:sz w:val="24"/>
          <w:szCs w:val="24"/>
        </w:rPr>
      </w:pPr>
    </w:p>
    <w:p w:rsidR="00DD39F0" w:rsidRPr="005531B9" w:rsidRDefault="00DD39F0" w:rsidP="00DD39F0">
      <w:pPr>
        <w:tabs>
          <w:tab w:val="num" w:pos="0"/>
        </w:tabs>
        <w:spacing w:line="360" w:lineRule="auto"/>
        <w:rPr>
          <w:sz w:val="24"/>
          <w:szCs w:val="24"/>
        </w:rPr>
      </w:pPr>
      <w:r w:rsidRPr="005531B9">
        <w:rPr>
          <w:sz w:val="24"/>
          <w:szCs w:val="24"/>
        </w:rPr>
        <w:tab/>
      </w:r>
      <w:r w:rsidRPr="005531B9">
        <w:rPr>
          <w:sz w:val="24"/>
          <w:szCs w:val="24"/>
        </w:rPr>
        <w:tab/>
        <w:t>38.</w:t>
      </w:r>
      <w:r w:rsidRPr="005531B9">
        <w:rPr>
          <w:sz w:val="24"/>
          <w:szCs w:val="24"/>
        </w:rPr>
        <w:tab/>
        <w:t xml:space="preserve">The path along the West Roy Furman Highway is the most efficient route for installing a new pipeline from Mr. </w:t>
      </w:r>
      <w:proofErr w:type="spellStart"/>
      <w:r w:rsidRPr="005531B9">
        <w:rPr>
          <w:sz w:val="24"/>
          <w:szCs w:val="24"/>
        </w:rPr>
        <w:t>Lucey’s</w:t>
      </w:r>
      <w:proofErr w:type="spellEnd"/>
      <w:r w:rsidRPr="005531B9">
        <w:rPr>
          <w:sz w:val="24"/>
          <w:szCs w:val="24"/>
        </w:rPr>
        <w:t xml:space="preserve"> property to Columbia Gas’ distribution system.  </w:t>
      </w:r>
      <w:proofErr w:type="gramStart"/>
      <w:r w:rsidRPr="005531B9">
        <w:rPr>
          <w:sz w:val="24"/>
          <w:szCs w:val="24"/>
        </w:rPr>
        <w:t>(Tr. 236, 237).</w:t>
      </w:r>
      <w:proofErr w:type="gramEnd"/>
    </w:p>
    <w:p w:rsidR="00142A35" w:rsidRDefault="00142A35" w:rsidP="00A736E5">
      <w:pPr>
        <w:pStyle w:val="ListParagraph"/>
        <w:spacing w:line="360" w:lineRule="auto"/>
        <w:rPr>
          <w:sz w:val="24"/>
          <w:szCs w:val="24"/>
        </w:rPr>
      </w:pPr>
    </w:p>
    <w:p w:rsidR="00C673AD" w:rsidRPr="00624C51" w:rsidRDefault="00C673AD" w:rsidP="00333E04">
      <w:pPr>
        <w:spacing w:line="360" w:lineRule="auto"/>
        <w:jc w:val="center"/>
        <w:rPr>
          <w:sz w:val="24"/>
          <w:szCs w:val="24"/>
        </w:rPr>
      </w:pPr>
      <w:r w:rsidRPr="00624C51">
        <w:rPr>
          <w:sz w:val="24"/>
          <w:szCs w:val="24"/>
          <w:u w:val="single"/>
        </w:rPr>
        <w:t>DISCUSSION</w:t>
      </w:r>
    </w:p>
    <w:p w:rsidR="00081487" w:rsidRPr="00EA4FEA" w:rsidRDefault="00081487" w:rsidP="00EA4FEA">
      <w:pPr>
        <w:pStyle w:val="ListNumber"/>
        <w:numPr>
          <w:ilvl w:val="0"/>
          <w:numId w:val="0"/>
        </w:numPr>
        <w:spacing w:line="360" w:lineRule="auto"/>
      </w:pPr>
    </w:p>
    <w:p w:rsidR="00333E04" w:rsidRPr="00EA4FEA" w:rsidRDefault="00333E04" w:rsidP="00EA4FEA">
      <w:pPr>
        <w:pStyle w:val="ListNumber"/>
        <w:numPr>
          <w:ilvl w:val="0"/>
          <w:numId w:val="0"/>
        </w:numPr>
        <w:spacing w:line="360" w:lineRule="auto"/>
      </w:pPr>
      <w:r w:rsidRPr="00EA4FEA">
        <w:tab/>
      </w:r>
      <w:r w:rsidRPr="00EA4FEA">
        <w:tab/>
        <w:t xml:space="preserve">This proceeding involved a formal complaint filed by a ratepayer followed </w:t>
      </w:r>
      <w:r w:rsidR="00900AFE">
        <w:t>five</w:t>
      </w:r>
      <w:r w:rsidR="00C651D9">
        <w:t> </w:t>
      </w:r>
      <w:r w:rsidR="00900AFE">
        <w:t xml:space="preserve">months later </w:t>
      </w:r>
      <w:r w:rsidRPr="00EA4FEA">
        <w:t>by a</w:t>
      </w:r>
      <w:r w:rsidR="00900AFE">
        <w:t xml:space="preserve">n </w:t>
      </w:r>
      <w:r w:rsidRPr="00EA4FEA">
        <w:t xml:space="preserve">application </w:t>
      </w:r>
      <w:r w:rsidR="00900AFE">
        <w:t xml:space="preserve">to abandon service filed </w:t>
      </w:r>
      <w:r w:rsidRPr="00EA4FEA">
        <w:t xml:space="preserve">by the utility listed as a respondent in the formal complaint.  The ratepayer alleged improper termination of service by respondent utility while the </w:t>
      </w:r>
      <w:r w:rsidR="00900AFE">
        <w:t xml:space="preserve">applicant </w:t>
      </w:r>
      <w:r w:rsidRPr="00EA4FEA">
        <w:t xml:space="preserve">utility requested permission to abandon service because a third party (natural gas </w:t>
      </w:r>
      <w:r w:rsidR="000B4BA5">
        <w:t>transmission company</w:t>
      </w:r>
      <w:r w:rsidRPr="00EA4FEA">
        <w:t>) terminated the provision of natural gas through an interstate transmission gas line</w:t>
      </w:r>
      <w:r w:rsidR="00900AFE">
        <w:t xml:space="preserve"> outside the applicant utility’s control</w:t>
      </w:r>
      <w:r w:rsidRPr="00EA4FEA">
        <w:t xml:space="preserve">.  The two proceedings were consolidated at the request of the utility because the evidence to be provided in the complaint would be similar to the evidence to be provided in the abandonment proceeding.  </w:t>
      </w:r>
      <w:r w:rsidR="00EA4FEA" w:rsidRPr="00EA4FEA">
        <w:t xml:space="preserve">Due to the varying burdens of proof, these two proceedings will be </w:t>
      </w:r>
      <w:r w:rsidR="00900AFE">
        <w:t>discussed</w:t>
      </w:r>
      <w:r w:rsidR="00EA4FEA" w:rsidRPr="00EA4FEA">
        <w:t xml:space="preserve"> separately below.</w:t>
      </w:r>
    </w:p>
    <w:p w:rsidR="00606ABE" w:rsidRDefault="00606ABE" w:rsidP="00EA4FEA">
      <w:pPr>
        <w:pStyle w:val="ListNumber"/>
        <w:numPr>
          <w:ilvl w:val="0"/>
          <w:numId w:val="0"/>
        </w:numPr>
        <w:spacing w:line="360" w:lineRule="auto"/>
        <w:rPr>
          <w:b/>
          <w:u w:val="single"/>
        </w:rPr>
      </w:pPr>
    </w:p>
    <w:p w:rsidR="007D4728" w:rsidRDefault="007D4728" w:rsidP="00EA4FEA">
      <w:pPr>
        <w:pStyle w:val="ListNumber"/>
        <w:numPr>
          <w:ilvl w:val="0"/>
          <w:numId w:val="0"/>
        </w:numPr>
        <w:spacing w:line="360" w:lineRule="auto"/>
        <w:rPr>
          <w:b/>
          <w:u w:val="single"/>
        </w:rPr>
      </w:pPr>
    </w:p>
    <w:p w:rsidR="007D4728" w:rsidRDefault="007D4728" w:rsidP="00EA4FEA">
      <w:pPr>
        <w:pStyle w:val="ListNumber"/>
        <w:numPr>
          <w:ilvl w:val="0"/>
          <w:numId w:val="0"/>
        </w:numPr>
        <w:spacing w:line="360" w:lineRule="auto"/>
        <w:rPr>
          <w:b/>
          <w:u w:val="single"/>
        </w:rPr>
      </w:pPr>
    </w:p>
    <w:p w:rsidR="00EA4FEA" w:rsidRPr="00EA4FEA" w:rsidRDefault="00EA4FEA" w:rsidP="00EA4FEA">
      <w:pPr>
        <w:pStyle w:val="ListNumber"/>
        <w:numPr>
          <w:ilvl w:val="0"/>
          <w:numId w:val="0"/>
        </w:numPr>
        <w:spacing w:line="360" w:lineRule="auto"/>
        <w:rPr>
          <w:b/>
          <w:u w:val="single"/>
        </w:rPr>
      </w:pPr>
      <w:r w:rsidRPr="00EA4FEA">
        <w:rPr>
          <w:b/>
          <w:u w:val="single"/>
        </w:rPr>
        <w:lastRenderedPageBreak/>
        <w:t xml:space="preserve">Formal Complaint filed by </w:t>
      </w:r>
      <w:proofErr w:type="spellStart"/>
      <w:r w:rsidRPr="00EA4FEA">
        <w:rPr>
          <w:b/>
          <w:u w:val="single"/>
        </w:rPr>
        <w:t>Lucey</w:t>
      </w:r>
      <w:proofErr w:type="spellEnd"/>
    </w:p>
    <w:p w:rsidR="00EA4FEA" w:rsidRDefault="00EA4FEA" w:rsidP="00EA4FEA">
      <w:pPr>
        <w:tabs>
          <w:tab w:val="left" w:pos="-1440"/>
          <w:tab w:val="left" w:pos="-720"/>
        </w:tabs>
        <w:suppressAutoHyphens/>
        <w:spacing w:line="360" w:lineRule="auto"/>
        <w:rPr>
          <w:sz w:val="24"/>
          <w:szCs w:val="24"/>
          <w:u w:val="single"/>
        </w:rPr>
      </w:pPr>
    </w:p>
    <w:p w:rsidR="00EA4FEA" w:rsidRPr="00EA4FEA" w:rsidRDefault="00EA4FEA" w:rsidP="00EA4FEA">
      <w:pPr>
        <w:tabs>
          <w:tab w:val="left" w:pos="-1440"/>
          <w:tab w:val="left" w:pos="-720"/>
        </w:tabs>
        <w:suppressAutoHyphens/>
        <w:spacing w:line="360" w:lineRule="auto"/>
        <w:rPr>
          <w:spacing w:val="-3"/>
          <w:sz w:val="24"/>
          <w:szCs w:val="24"/>
        </w:rPr>
      </w:pPr>
      <w:r w:rsidRPr="00EA4FEA">
        <w:rPr>
          <w:spacing w:val="-3"/>
          <w:sz w:val="24"/>
          <w:szCs w:val="24"/>
        </w:rPr>
        <w:tab/>
      </w:r>
      <w:r w:rsidRPr="00EA4FEA">
        <w:rPr>
          <w:spacing w:val="-3"/>
          <w:sz w:val="24"/>
          <w:szCs w:val="24"/>
        </w:rPr>
        <w:tab/>
        <w:t xml:space="preserve">In this matter, Complainant alleges Columbia Gas terminated natural gas service to the service address for an improper reason and in an improper manner.  </w:t>
      </w:r>
      <w:r w:rsidRPr="00EA4FEA">
        <w:rPr>
          <w:sz w:val="24"/>
          <w:szCs w:val="24"/>
        </w:rPr>
        <w:t>Complainant requests the Commission order Columbia Gas to restore natural gas service to the service address, and impose a civil penalty because Columbia Gas terminated natural gas service without notice and without cause.  In the alternative, Complainant requests $18,000 from Columbia Gas, which would cover the costs of converting the residence over to geothermal</w:t>
      </w:r>
      <w:r w:rsidRPr="00EA4FEA">
        <w:rPr>
          <w:spacing w:val="-3"/>
          <w:sz w:val="24"/>
          <w:szCs w:val="24"/>
        </w:rPr>
        <w:t>.</w:t>
      </w:r>
    </w:p>
    <w:p w:rsidR="00EA4FEA" w:rsidRPr="00EA4FEA" w:rsidRDefault="00EA4FEA" w:rsidP="00EA4FEA">
      <w:pPr>
        <w:tabs>
          <w:tab w:val="left" w:pos="-1440"/>
          <w:tab w:val="left" w:pos="-720"/>
        </w:tabs>
        <w:suppressAutoHyphens/>
        <w:spacing w:line="360" w:lineRule="auto"/>
        <w:rPr>
          <w:spacing w:val="-3"/>
          <w:sz w:val="24"/>
          <w:szCs w:val="24"/>
          <w:u w:val="single"/>
        </w:rPr>
      </w:pPr>
    </w:p>
    <w:p w:rsidR="00EA4FEA" w:rsidRPr="00EA4FEA" w:rsidRDefault="00EA4FEA" w:rsidP="00EA4FEA">
      <w:pPr>
        <w:tabs>
          <w:tab w:val="left" w:pos="-1440"/>
          <w:tab w:val="left" w:pos="-720"/>
        </w:tabs>
        <w:suppressAutoHyphens/>
        <w:spacing w:line="360" w:lineRule="auto"/>
        <w:rPr>
          <w:spacing w:val="-3"/>
          <w:sz w:val="24"/>
          <w:szCs w:val="24"/>
        </w:rPr>
      </w:pPr>
      <w:r w:rsidRPr="00EA4FEA">
        <w:rPr>
          <w:spacing w:val="-3"/>
          <w:sz w:val="24"/>
          <w:szCs w:val="24"/>
        </w:rPr>
        <w:tab/>
      </w:r>
      <w:r w:rsidRPr="00EA4FEA">
        <w:rPr>
          <w:spacing w:val="-3"/>
          <w:sz w:val="24"/>
          <w:szCs w:val="24"/>
        </w:rPr>
        <w:tab/>
      </w:r>
      <w:r w:rsidR="00C22FE1">
        <w:rPr>
          <w:spacing w:val="-3"/>
          <w:sz w:val="24"/>
          <w:szCs w:val="24"/>
        </w:rPr>
        <w:t>Columbia Gas</w:t>
      </w:r>
      <w:r w:rsidRPr="00EA4FEA">
        <w:rPr>
          <w:spacing w:val="-3"/>
          <w:sz w:val="24"/>
          <w:szCs w:val="24"/>
        </w:rPr>
        <w:t xml:space="preserve"> contends it properly discontinued service to </w:t>
      </w:r>
      <w:r w:rsidR="00C22FE1">
        <w:rPr>
          <w:spacing w:val="-3"/>
          <w:sz w:val="24"/>
          <w:szCs w:val="24"/>
        </w:rPr>
        <w:t>the service address on June 1, 2011</w:t>
      </w:r>
      <w:r w:rsidRPr="00EA4FEA">
        <w:rPr>
          <w:spacing w:val="-3"/>
          <w:sz w:val="24"/>
          <w:szCs w:val="24"/>
        </w:rPr>
        <w:t xml:space="preserve"> because</w:t>
      </w:r>
      <w:r w:rsidR="00C22FE1">
        <w:rPr>
          <w:spacing w:val="-3"/>
          <w:sz w:val="24"/>
          <w:szCs w:val="24"/>
        </w:rPr>
        <w:t xml:space="preserve"> Respondent lacks control over the natural gas transmission company.  Respondent avers, once the transmission company made the decision to turn off the flow of natural gas through its own transmission pipeline, Respondent lacked any ability to provide Complainant with natural gas service.  Respondent further contends it notified Complainant about the termination as soon as it could but the emergency nature of the shut off by the transmission company made </w:t>
      </w:r>
      <w:r w:rsidR="00C22FE1" w:rsidRPr="00C22FE1">
        <w:rPr>
          <w:spacing w:val="-3"/>
          <w:sz w:val="24"/>
          <w:szCs w:val="24"/>
          <w:u w:val="single"/>
        </w:rPr>
        <w:t>prior</w:t>
      </w:r>
      <w:r w:rsidR="00C22FE1">
        <w:rPr>
          <w:spacing w:val="-3"/>
          <w:sz w:val="24"/>
          <w:szCs w:val="24"/>
        </w:rPr>
        <w:t xml:space="preserve"> notification impossible.</w:t>
      </w:r>
    </w:p>
    <w:p w:rsidR="00FD6573" w:rsidRDefault="00FD6573">
      <w:pPr>
        <w:rPr>
          <w:sz w:val="24"/>
          <w:szCs w:val="24"/>
          <w:u w:val="single"/>
        </w:rPr>
      </w:pPr>
    </w:p>
    <w:p w:rsidR="00EA4FEA" w:rsidRPr="00EA4FEA" w:rsidRDefault="00EA4FEA" w:rsidP="00C96118">
      <w:pPr>
        <w:rPr>
          <w:sz w:val="24"/>
          <w:szCs w:val="24"/>
        </w:rPr>
      </w:pPr>
      <w:r w:rsidRPr="00EA4FEA">
        <w:rPr>
          <w:sz w:val="24"/>
          <w:szCs w:val="24"/>
          <w:u w:val="single"/>
        </w:rPr>
        <w:t>Burden of Proof</w:t>
      </w:r>
    </w:p>
    <w:p w:rsidR="00EA4FEA" w:rsidRPr="00EA4FEA" w:rsidRDefault="00EA4FEA" w:rsidP="00EA4FEA">
      <w:pPr>
        <w:tabs>
          <w:tab w:val="left" w:pos="-1440"/>
          <w:tab w:val="left" w:pos="-720"/>
        </w:tabs>
        <w:suppressAutoHyphens/>
        <w:spacing w:line="360" w:lineRule="auto"/>
        <w:rPr>
          <w:sz w:val="24"/>
          <w:szCs w:val="24"/>
        </w:rPr>
      </w:pPr>
    </w:p>
    <w:p w:rsidR="00EA4FEA" w:rsidRPr="00EA4FEA" w:rsidRDefault="00EA4FEA" w:rsidP="00EA4FEA">
      <w:pPr>
        <w:tabs>
          <w:tab w:val="left" w:pos="-1440"/>
          <w:tab w:val="left" w:pos="-720"/>
        </w:tabs>
        <w:suppressAutoHyphens/>
        <w:spacing w:line="360" w:lineRule="auto"/>
        <w:rPr>
          <w:sz w:val="24"/>
          <w:szCs w:val="24"/>
        </w:rPr>
      </w:pPr>
      <w:r w:rsidRPr="00EA4FEA">
        <w:rPr>
          <w:sz w:val="24"/>
          <w:szCs w:val="24"/>
        </w:rPr>
        <w:tab/>
      </w:r>
      <w:r w:rsidRPr="00EA4FEA">
        <w:rPr>
          <w:sz w:val="24"/>
          <w:szCs w:val="24"/>
        </w:rPr>
        <w:tab/>
        <w:t xml:space="preserve">As the party seeking intervention from this Commission, Complainant bears the burden of proving Respondent violated provisions of the Public Utility Code or the Public Utility </w:t>
      </w:r>
    </w:p>
    <w:p w:rsidR="00770245" w:rsidRDefault="00EA4FEA" w:rsidP="00EA4FEA">
      <w:pPr>
        <w:tabs>
          <w:tab w:val="left" w:pos="-1440"/>
          <w:tab w:val="left" w:pos="-720"/>
        </w:tabs>
        <w:suppressAutoHyphens/>
        <w:spacing w:line="360" w:lineRule="auto"/>
        <w:rPr>
          <w:spacing w:val="-3"/>
          <w:sz w:val="24"/>
          <w:szCs w:val="24"/>
        </w:rPr>
      </w:pPr>
      <w:proofErr w:type="gramStart"/>
      <w:r w:rsidRPr="00EA4FEA">
        <w:rPr>
          <w:sz w:val="24"/>
          <w:szCs w:val="24"/>
        </w:rPr>
        <w:t>Commission’s regulations in some fashion.</w:t>
      </w:r>
      <w:proofErr w:type="gramEnd"/>
      <w:r w:rsidRPr="00EA4FEA">
        <w:rPr>
          <w:rStyle w:val="FootnoteReference"/>
          <w:sz w:val="24"/>
          <w:szCs w:val="24"/>
        </w:rPr>
        <w:footnoteReference w:id="1"/>
      </w:r>
      <w:r w:rsidRPr="00EA4FEA">
        <w:rPr>
          <w:sz w:val="24"/>
          <w:szCs w:val="24"/>
        </w:rPr>
        <w:t xml:space="preserve">  </w:t>
      </w:r>
      <w:r w:rsidRPr="00EA4FEA">
        <w:rPr>
          <w:spacing w:val="-3"/>
          <w:sz w:val="24"/>
          <w:szCs w:val="24"/>
        </w:rPr>
        <w:t>To establish a sufficient case and satisfy the burden of proof, Complainant must show the public utility is responsible or accountable for the problem described in the Complaint.</w:t>
      </w:r>
      <w:r w:rsidRPr="00EA4FEA">
        <w:rPr>
          <w:rStyle w:val="FootnoteReference"/>
          <w:spacing w:val="-3"/>
          <w:sz w:val="24"/>
          <w:szCs w:val="24"/>
        </w:rPr>
        <w:footnoteReference w:id="2"/>
      </w:r>
      <w:r w:rsidRPr="00EA4FEA">
        <w:rPr>
          <w:spacing w:val="-3"/>
          <w:sz w:val="24"/>
          <w:szCs w:val="24"/>
        </w:rPr>
        <w:t xml:space="preserve">  Such a showing must be by a preponderance of the evidence.</w:t>
      </w:r>
      <w:r w:rsidRPr="00EA4FEA">
        <w:rPr>
          <w:rStyle w:val="FootnoteReference"/>
          <w:spacing w:val="-3"/>
          <w:sz w:val="24"/>
          <w:szCs w:val="24"/>
        </w:rPr>
        <w:footnoteReference w:id="3"/>
      </w:r>
      <w:r w:rsidRPr="00EA4FEA">
        <w:rPr>
          <w:spacing w:val="-3"/>
          <w:sz w:val="24"/>
          <w:szCs w:val="24"/>
        </w:rPr>
        <w:t xml:space="preserve">  </w:t>
      </w:r>
    </w:p>
    <w:p w:rsidR="00770245" w:rsidRDefault="00770245" w:rsidP="00EA4FEA">
      <w:pPr>
        <w:tabs>
          <w:tab w:val="left" w:pos="-1440"/>
          <w:tab w:val="left" w:pos="-720"/>
        </w:tabs>
        <w:suppressAutoHyphens/>
        <w:spacing w:line="360" w:lineRule="auto"/>
        <w:rPr>
          <w:spacing w:val="-3"/>
          <w:sz w:val="24"/>
          <w:szCs w:val="24"/>
        </w:rPr>
      </w:pPr>
    </w:p>
    <w:p w:rsidR="00770245" w:rsidRDefault="00770245" w:rsidP="00EA4FEA">
      <w:pPr>
        <w:tabs>
          <w:tab w:val="left" w:pos="-1440"/>
          <w:tab w:val="left" w:pos="-720"/>
        </w:tabs>
        <w:suppressAutoHyphens/>
        <w:spacing w:line="360" w:lineRule="auto"/>
        <w:rPr>
          <w:spacing w:val="-3"/>
          <w:sz w:val="24"/>
          <w:szCs w:val="24"/>
        </w:rPr>
      </w:pPr>
    </w:p>
    <w:p w:rsidR="00EA4FEA" w:rsidRDefault="00EA4FEA" w:rsidP="00EA4FEA">
      <w:pPr>
        <w:tabs>
          <w:tab w:val="left" w:pos="-1440"/>
          <w:tab w:val="left" w:pos="-720"/>
        </w:tabs>
        <w:suppressAutoHyphens/>
        <w:spacing w:line="360" w:lineRule="auto"/>
        <w:rPr>
          <w:spacing w:val="-3"/>
          <w:sz w:val="24"/>
          <w:szCs w:val="24"/>
        </w:rPr>
      </w:pPr>
      <w:r w:rsidRPr="00EA4FEA">
        <w:rPr>
          <w:spacing w:val="-3"/>
          <w:sz w:val="24"/>
          <w:szCs w:val="24"/>
        </w:rPr>
        <w:lastRenderedPageBreak/>
        <w:t>Complainant can meet that burden if he presents evidence more convincing, by even the smallest amount, than that evidence presented by Respondent.</w:t>
      </w:r>
      <w:r w:rsidRPr="00EA4FEA">
        <w:rPr>
          <w:rStyle w:val="FootnoteReference"/>
          <w:spacing w:val="-3"/>
          <w:sz w:val="24"/>
          <w:szCs w:val="24"/>
        </w:rPr>
        <w:footnoteReference w:id="4"/>
      </w:r>
      <w:r w:rsidRPr="00EA4FEA">
        <w:rPr>
          <w:spacing w:val="-3"/>
          <w:sz w:val="24"/>
          <w:szCs w:val="24"/>
        </w:rPr>
        <w:t xml:space="preserve">  </w:t>
      </w:r>
    </w:p>
    <w:p w:rsidR="00770245" w:rsidRPr="00EA4FEA" w:rsidRDefault="00770245" w:rsidP="00EA4FEA">
      <w:pPr>
        <w:tabs>
          <w:tab w:val="left" w:pos="-1440"/>
          <w:tab w:val="left" w:pos="-720"/>
        </w:tabs>
        <w:suppressAutoHyphens/>
        <w:spacing w:line="360" w:lineRule="auto"/>
        <w:rPr>
          <w:spacing w:val="-3"/>
          <w:sz w:val="24"/>
          <w:szCs w:val="24"/>
        </w:rPr>
      </w:pPr>
    </w:p>
    <w:p w:rsidR="00EA4FEA" w:rsidRDefault="00EA4FEA" w:rsidP="003A792A">
      <w:pPr>
        <w:spacing w:line="360" w:lineRule="auto"/>
        <w:jc w:val="center"/>
        <w:rPr>
          <w:sz w:val="24"/>
          <w:szCs w:val="24"/>
          <w:u w:val="single"/>
        </w:rPr>
      </w:pPr>
      <w:r w:rsidRPr="00EA4FEA">
        <w:rPr>
          <w:sz w:val="24"/>
          <w:szCs w:val="24"/>
          <w:u w:val="single"/>
        </w:rPr>
        <w:t>Applicable Regulations</w:t>
      </w:r>
    </w:p>
    <w:p w:rsidR="00A446BB" w:rsidRPr="00EA4FEA" w:rsidRDefault="00A446BB" w:rsidP="003A792A">
      <w:pPr>
        <w:spacing w:line="360" w:lineRule="auto"/>
        <w:jc w:val="center"/>
        <w:rPr>
          <w:sz w:val="24"/>
          <w:szCs w:val="24"/>
          <w:u w:val="single"/>
        </w:rPr>
      </w:pPr>
    </w:p>
    <w:p w:rsidR="00EA4FEA" w:rsidRPr="00EA4FEA" w:rsidRDefault="00EA4FEA" w:rsidP="00EA4FEA">
      <w:pPr>
        <w:spacing w:line="360" w:lineRule="auto"/>
        <w:rPr>
          <w:sz w:val="24"/>
          <w:szCs w:val="24"/>
        </w:rPr>
      </w:pPr>
      <w:r w:rsidRPr="00EA4FEA">
        <w:rPr>
          <w:sz w:val="24"/>
          <w:szCs w:val="24"/>
        </w:rPr>
        <w:tab/>
      </w:r>
      <w:r w:rsidRPr="00EA4FEA">
        <w:rPr>
          <w:sz w:val="24"/>
          <w:szCs w:val="24"/>
        </w:rPr>
        <w:tab/>
        <w:t xml:space="preserve">A violation of the Code may occur when a utility company fails to provide reasonable service, such as failure to </w:t>
      </w:r>
      <w:r w:rsidR="003A792A">
        <w:rPr>
          <w:sz w:val="24"/>
          <w:szCs w:val="24"/>
        </w:rPr>
        <w:t>properly terminate service</w:t>
      </w:r>
      <w:r w:rsidRPr="00EA4FEA">
        <w:rPr>
          <w:sz w:val="24"/>
          <w:szCs w:val="24"/>
        </w:rPr>
        <w:t>.  The reasonable service requirement found in Section 1501 of the Code, 66 Pa. C.S.</w:t>
      </w:r>
      <w:r w:rsidR="003A792A">
        <w:rPr>
          <w:sz w:val="24"/>
          <w:szCs w:val="24"/>
        </w:rPr>
        <w:t>A.</w:t>
      </w:r>
      <w:r w:rsidRPr="00EA4FEA">
        <w:rPr>
          <w:sz w:val="24"/>
          <w:szCs w:val="24"/>
        </w:rPr>
        <w:t xml:space="preserve"> §1501, reads in pertinent part:</w:t>
      </w:r>
    </w:p>
    <w:p w:rsidR="00EA4FEA" w:rsidRPr="00EA4FEA" w:rsidRDefault="00EA4FEA" w:rsidP="003C7D36">
      <w:pPr>
        <w:rPr>
          <w:sz w:val="24"/>
          <w:szCs w:val="24"/>
        </w:rPr>
      </w:pPr>
    </w:p>
    <w:p w:rsidR="00EA4FEA" w:rsidRDefault="00EA4FEA" w:rsidP="00BF0214">
      <w:pPr>
        <w:ind w:left="1440" w:right="720"/>
        <w:rPr>
          <w:sz w:val="24"/>
          <w:szCs w:val="24"/>
        </w:rPr>
      </w:pPr>
      <w:r w:rsidRPr="00EA4FEA">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rsidR="003C7D36" w:rsidRPr="00EA4FEA" w:rsidRDefault="003C7D36" w:rsidP="003C7D36">
      <w:pPr>
        <w:spacing w:line="360" w:lineRule="auto"/>
        <w:ind w:left="1440"/>
        <w:rPr>
          <w:sz w:val="24"/>
          <w:szCs w:val="24"/>
        </w:rPr>
      </w:pPr>
    </w:p>
    <w:p w:rsidR="00EA4FEA" w:rsidRPr="00EA4FEA" w:rsidRDefault="00EA4FEA" w:rsidP="00EA4FEA">
      <w:pPr>
        <w:spacing w:line="360" w:lineRule="auto"/>
        <w:rPr>
          <w:sz w:val="24"/>
          <w:szCs w:val="24"/>
        </w:rPr>
      </w:pPr>
      <w:r w:rsidRPr="00EA4FEA">
        <w:rPr>
          <w:sz w:val="24"/>
          <w:szCs w:val="24"/>
        </w:rPr>
        <w:tab/>
      </w:r>
      <w:r w:rsidRPr="00EA4FEA">
        <w:rPr>
          <w:sz w:val="24"/>
          <w:szCs w:val="24"/>
        </w:rPr>
        <w:tab/>
        <w:t xml:space="preserve">The Commission has exclusive jurisdiction to determine the reasonableness, adequacy and sufficiency of a public utility’s services and facilities.  </w:t>
      </w:r>
      <w:proofErr w:type="gramStart"/>
      <w:r w:rsidRPr="00EA4FEA">
        <w:rPr>
          <w:sz w:val="24"/>
          <w:szCs w:val="24"/>
          <w:u w:val="single"/>
        </w:rPr>
        <w:t>Elkin v. Bell of Pa.</w:t>
      </w:r>
      <w:r w:rsidRPr="00EA4FEA">
        <w:rPr>
          <w:sz w:val="24"/>
          <w:szCs w:val="24"/>
        </w:rPr>
        <w:t>, 491 Pa. 123, 420 A.2d 371 (1980).</w:t>
      </w:r>
      <w:proofErr w:type="gramEnd"/>
      <w:r w:rsidRPr="00EA4FEA">
        <w:rPr>
          <w:sz w:val="24"/>
          <w:szCs w:val="24"/>
        </w:rPr>
        <w:t xml:space="preserve">  The term “service” is “used in its broadest and most inclusive sense, </w:t>
      </w:r>
      <w:proofErr w:type="spellStart"/>
      <w:r w:rsidRPr="00EA4FEA">
        <w:rPr>
          <w:sz w:val="24"/>
          <w:szCs w:val="24"/>
        </w:rPr>
        <w:t>includ</w:t>
      </w:r>
      <w:proofErr w:type="spellEnd"/>
      <w:r w:rsidRPr="00EA4FEA">
        <w:rPr>
          <w:sz w:val="24"/>
          <w:szCs w:val="24"/>
        </w:rPr>
        <w:t>[</w:t>
      </w:r>
      <w:proofErr w:type="spellStart"/>
      <w:r w:rsidRPr="00EA4FEA">
        <w:rPr>
          <w:sz w:val="24"/>
          <w:szCs w:val="24"/>
        </w:rPr>
        <w:t>ing</w:t>
      </w:r>
      <w:proofErr w:type="spellEnd"/>
      <w:r w:rsidRPr="00EA4FEA">
        <w:rPr>
          <w:sz w:val="24"/>
          <w:szCs w:val="24"/>
        </w:rPr>
        <w:t xml:space="preserve">] any and all acts done, rendered, or performed, and any and all things furnished or supplied...by public utilities...in the performance of their duties under [the Public Utility Code]....”  66 Pa. C.S. §102.  Thus </w:t>
      </w:r>
      <w:r w:rsidR="003A792A" w:rsidRPr="003A792A">
        <w:rPr>
          <w:sz w:val="24"/>
          <w:szCs w:val="24"/>
          <w:u w:val="single"/>
        </w:rPr>
        <w:t>how</w:t>
      </w:r>
      <w:r w:rsidR="003A792A">
        <w:rPr>
          <w:sz w:val="24"/>
          <w:szCs w:val="24"/>
        </w:rPr>
        <w:t xml:space="preserve"> </w:t>
      </w:r>
      <w:r w:rsidRPr="00EA4FEA">
        <w:rPr>
          <w:sz w:val="24"/>
          <w:szCs w:val="24"/>
        </w:rPr>
        <w:t>a utility company</w:t>
      </w:r>
      <w:r w:rsidR="003A792A">
        <w:rPr>
          <w:sz w:val="24"/>
          <w:szCs w:val="24"/>
        </w:rPr>
        <w:t xml:space="preserve"> interrupts or delays providing natural gas, and/or if a utility company continues to reasonably provide natural gas service</w:t>
      </w:r>
      <w:r w:rsidR="00D47BD6">
        <w:rPr>
          <w:sz w:val="24"/>
          <w:szCs w:val="24"/>
        </w:rPr>
        <w:t>,</w:t>
      </w:r>
      <w:r w:rsidR="003A792A">
        <w:rPr>
          <w:sz w:val="24"/>
          <w:szCs w:val="24"/>
        </w:rPr>
        <w:t xml:space="preserve"> are factual conclusions that </w:t>
      </w:r>
      <w:proofErr w:type="spellStart"/>
      <w:r w:rsidR="00D47BD6">
        <w:rPr>
          <w:sz w:val="24"/>
          <w:szCs w:val="24"/>
        </w:rPr>
        <w:t>Lucey</w:t>
      </w:r>
      <w:proofErr w:type="spellEnd"/>
      <w:r w:rsidR="00D47BD6">
        <w:rPr>
          <w:sz w:val="24"/>
          <w:szCs w:val="24"/>
        </w:rPr>
        <w:t xml:space="preserve"> </w:t>
      </w:r>
      <w:r w:rsidR="003A792A">
        <w:rPr>
          <w:sz w:val="24"/>
          <w:szCs w:val="24"/>
        </w:rPr>
        <w:t xml:space="preserve">must </w:t>
      </w:r>
      <w:r w:rsidR="00D47BD6">
        <w:rPr>
          <w:sz w:val="24"/>
          <w:szCs w:val="24"/>
        </w:rPr>
        <w:t>show</w:t>
      </w:r>
      <w:r w:rsidR="003A792A">
        <w:rPr>
          <w:sz w:val="24"/>
          <w:szCs w:val="24"/>
        </w:rPr>
        <w:t xml:space="preserve"> </w:t>
      </w:r>
      <w:r w:rsidR="00D47BD6">
        <w:rPr>
          <w:sz w:val="24"/>
          <w:szCs w:val="24"/>
        </w:rPr>
        <w:t xml:space="preserve">to </w:t>
      </w:r>
      <w:r w:rsidR="003A792A">
        <w:rPr>
          <w:sz w:val="24"/>
          <w:szCs w:val="24"/>
        </w:rPr>
        <w:t xml:space="preserve">have been </w:t>
      </w:r>
      <w:r w:rsidR="003A792A" w:rsidRPr="003A792A">
        <w:rPr>
          <w:sz w:val="24"/>
          <w:szCs w:val="24"/>
          <w:u w:val="single"/>
        </w:rPr>
        <w:t>un</w:t>
      </w:r>
      <w:r w:rsidRPr="00EA4FEA">
        <w:rPr>
          <w:sz w:val="24"/>
          <w:szCs w:val="24"/>
        </w:rPr>
        <w:t xml:space="preserve">reasonable, </w:t>
      </w:r>
      <w:r w:rsidR="003A792A" w:rsidRPr="003A792A">
        <w:rPr>
          <w:sz w:val="24"/>
          <w:szCs w:val="24"/>
          <w:u w:val="single"/>
        </w:rPr>
        <w:t>in</w:t>
      </w:r>
      <w:r w:rsidRPr="00EA4FEA">
        <w:rPr>
          <w:sz w:val="24"/>
          <w:szCs w:val="24"/>
        </w:rPr>
        <w:t xml:space="preserve">adequate and </w:t>
      </w:r>
      <w:r w:rsidR="003A792A" w:rsidRPr="003A792A">
        <w:rPr>
          <w:sz w:val="24"/>
          <w:szCs w:val="24"/>
          <w:u w:val="single"/>
        </w:rPr>
        <w:t>in</w:t>
      </w:r>
      <w:r w:rsidRPr="00EA4FEA">
        <w:rPr>
          <w:sz w:val="24"/>
          <w:szCs w:val="24"/>
        </w:rPr>
        <w:t>sufficient.</w:t>
      </w:r>
    </w:p>
    <w:p w:rsidR="00EA4FEA" w:rsidRDefault="00EA4FEA" w:rsidP="00EA4FEA">
      <w:pPr>
        <w:spacing w:line="360" w:lineRule="auto"/>
        <w:rPr>
          <w:sz w:val="24"/>
          <w:szCs w:val="24"/>
        </w:rPr>
      </w:pPr>
    </w:p>
    <w:p w:rsidR="000B4BA5" w:rsidRDefault="000B4BA5" w:rsidP="000B4BA5">
      <w:pPr>
        <w:spacing w:line="360" w:lineRule="auto"/>
        <w:rPr>
          <w:sz w:val="24"/>
          <w:szCs w:val="24"/>
        </w:rPr>
      </w:pPr>
      <w:r w:rsidRPr="00EA4FEA">
        <w:rPr>
          <w:sz w:val="24"/>
          <w:szCs w:val="24"/>
        </w:rPr>
        <w:tab/>
      </w:r>
      <w:r w:rsidRPr="00EA4FEA">
        <w:rPr>
          <w:sz w:val="24"/>
          <w:szCs w:val="24"/>
        </w:rPr>
        <w:tab/>
        <w:t xml:space="preserve">A public utility is permitted to terminate service to a service address </w:t>
      </w:r>
      <w:r>
        <w:rPr>
          <w:sz w:val="24"/>
          <w:szCs w:val="24"/>
        </w:rPr>
        <w:t>after notifying the ratepayer if the ratepayer fails to take certain actions, such as refusing to pay on an undisputed delinquent account.</w:t>
      </w:r>
      <w:r w:rsidRPr="00EA4FEA">
        <w:rPr>
          <w:rStyle w:val="FootnoteReference"/>
          <w:sz w:val="24"/>
          <w:szCs w:val="24"/>
        </w:rPr>
        <w:footnoteReference w:id="5"/>
      </w:r>
      <w:r w:rsidRPr="00EA4FEA">
        <w:rPr>
          <w:sz w:val="24"/>
          <w:szCs w:val="24"/>
        </w:rPr>
        <w:t xml:space="preserve">  </w:t>
      </w:r>
      <w:r>
        <w:rPr>
          <w:sz w:val="24"/>
          <w:szCs w:val="24"/>
        </w:rPr>
        <w:t xml:space="preserve">The Public Utility Code specifies only those few actions when a utility company is permitted to terminate service and spells out the grounds for immediate </w:t>
      </w:r>
      <w:r>
        <w:rPr>
          <w:sz w:val="24"/>
          <w:szCs w:val="24"/>
        </w:rPr>
        <w:lastRenderedPageBreak/>
        <w:t>termination when ratepayers engage in especially troublesome behavior.</w:t>
      </w:r>
      <w:r w:rsidRPr="00EA4FEA">
        <w:rPr>
          <w:rStyle w:val="FootnoteReference"/>
          <w:sz w:val="24"/>
          <w:szCs w:val="24"/>
        </w:rPr>
        <w:footnoteReference w:id="6"/>
      </w:r>
      <w:r>
        <w:rPr>
          <w:sz w:val="24"/>
          <w:szCs w:val="24"/>
        </w:rPr>
        <w:t xml:space="preserve">  T</w:t>
      </w:r>
      <w:r w:rsidRPr="00EA4FEA">
        <w:rPr>
          <w:sz w:val="24"/>
          <w:szCs w:val="24"/>
        </w:rPr>
        <w:t>he Public Utility Code specifies how a public utility must notify a ratepayer about an impending termination.</w:t>
      </w:r>
      <w:r w:rsidRPr="00EA4FEA">
        <w:rPr>
          <w:rStyle w:val="FootnoteReference"/>
          <w:sz w:val="24"/>
          <w:szCs w:val="24"/>
        </w:rPr>
        <w:footnoteReference w:id="7"/>
      </w:r>
      <w:r w:rsidRPr="00EA4FEA">
        <w:rPr>
          <w:sz w:val="24"/>
          <w:szCs w:val="24"/>
        </w:rPr>
        <w:t xml:space="preserve">  In addition, the Public Utility Code requires a public utility to make an attempt to contact the ratepayer or an adult occupant at least three days before a termination can take place using either a personal attempt and/or a telephonic attempt.</w:t>
      </w:r>
      <w:r w:rsidRPr="00EA4FEA">
        <w:rPr>
          <w:rStyle w:val="FootnoteReference"/>
          <w:sz w:val="24"/>
          <w:szCs w:val="24"/>
        </w:rPr>
        <w:footnoteReference w:id="8"/>
      </w:r>
      <w:r w:rsidRPr="00EA4FEA">
        <w:rPr>
          <w:sz w:val="24"/>
          <w:szCs w:val="24"/>
        </w:rPr>
        <w:t xml:space="preserve">  </w:t>
      </w:r>
      <w:r>
        <w:rPr>
          <w:sz w:val="24"/>
          <w:szCs w:val="24"/>
        </w:rPr>
        <w:t xml:space="preserve">All of these provisions refer to terminations which result from some deleterious action or failure to act </w:t>
      </w:r>
      <w:r w:rsidRPr="00F2722E">
        <w:rPr>
          <w:sz w:val="24"/>
          <w:szCs w:val="24"/>
          <w:u w:val="single"/>
        </w:rPr>
        <w:t>by the ratepayer</w:t>
      </w:r>
      <w:r>
        <w:rPr>
          <w:sz w:val="24"/>
          <w:szCs w:val="24"/>
        </w:rPr>
        <w:t xml:space="preserve">.  </w:t>
      </w:r>
    </w:p>
    <w:p w:rsidR="00067994" w:rsidRDefault="00067994" w:rsidP="00545D93">
      <w:pPr>
        <w:rPr>
          <w:sz w:val="24"/>
          <w:szCs w:val="24"/>
          <w:u w:val="single"/>
        </w:rPr>
      </w:pPr>
    </w:p>
    <w:p w:rsidR="00051FA2" w:rsidRPr="00624C51" w:rsidRDefault="00051FA2" w:rsidP="00545D93">
      <w:pPr>
        <w:rPr>
          <w:sz w:val="24"/>
          <w:szCs w:val="24"/>
          <w:u w:val="single"/>
        </w:rPr>
      </w:pPr>
      <w:r>
        <w:rPr>
          <w:sz w:val="24"/>
          <w:szCs w:val="24"/>
          <w:u w:val="single"/>
        </w:rPr>
        <w:t>Columbia Gas’</w:t>
      </w:r>
      <w:r w:rsidRPr="00624C51">
        <w:rPr>
          <w:sz w:val="24"/>
          <w:szCs w:val="24"/>
          <w:u w:val="single"/>
        </w:rPr>
        <w:t xml:space="preserve"> Tariff</w:t>
      </w:r>
      <w:r>
        <w:rPr>
          <w:sz w:val="24"/>
          <w:szCs w:val="24"/>
          <w:u w:val="single"/>
        </w:rPr>
        <w:t xml:space="preserve"> Section 8.1(b)</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r>
      <w:r>
        <w:rPr>
          <w:sz w:val="24"/>
          <w:szCs w:val="24"/>
        </w:rPr>
        <w:t>Columbia Gas</w:t>
      </w:r>
      <w:r w:rsidRPr="00624C51">
        <w:rPr>
          <w:sz w:val="24"/>
          <w:szCs w:val="24"/>
        </w:rPr>
        <w:t xml:space="preserve"> provides the </w:t>
      </w:r>
      <w:r>
        <w:rPr>
          <w:sz w:val="24"/>
          <w:szCs w:val="24"/>
        </w:rPr>
        <w:t xml:space="preserve">residential gas </w:t>
      </w:r>
      <w:r w:rsidRPr="00624C51">
        <w:rPr>
          <w:sz w:val="24"/>
          <w:szCs w:val="24"/>
        </w:rPr>
        <w:t xml:space="preserve">service from </w:t>
      </w:r>
      <w:r>
        <w:rPr>
          <w:sz w:val="24"/>
          <w:szCs w:val="24"/>
        </w:rPr>
        <w:t>a transmission line</w:t>
      </w:r>
      <w:r w:rsidRPr="00624C51">
        <w:rPr>
          <w:sz w:val="24"/>
          <w:szCs w:val="24"/>
        </w:rPr>
        <w:t>, which differ</w:t>
      </w:r>
      <w:r>
        <w:rPr>
          <w:sz w:val="24"/>
          <w:szCs w:val="24"/>
        </w:rPr>
        <w:t>s</w:t>
      </w:r>
      <w:r w:rsidRPr="00624C51">
        <w:rPr>
          <w:sz w:val="24"/>
          <w:szCs w:val="24"/>
        </w:rPr>
        <w:t xml:space="preserve"> from </w:t>
      </w:r>
      <w:r>
        <w:rPr>
          <w:sz w:val="24"/>
          <w:szCs w:val="24"/>
        </w:rPr>
        <w:t>a distribution line</w:t>
      </w:r>
      <w:r w:rsidRPr="00624C51">
        <w:rPr>
          <w:sz w:val="24"/>
          <w:szCs w:val="24"/>
        </w:rPr>
        <w:t xml:space="preserve">.  </w:t>
      </w:r>
      <w:r>
        <w:rPr>
          <w:sz w:val="24"/>
          <w:szCs w:val="24"/>
        </w:rPr>
        <w:t>A transmission</w:t>
      </w:r>
      <w:r w:rsidRPr="00624C51">
        <w:rPr>
          <w:sz w:val="24"/>
          <w:szCs w:val="24"/>
        </w:rPr>
        <w:t xml:space="preserve"> line</w:t>
      </w:r>
      <w:r>
        <w:rPr>
          <w:sz w:val="24"/>
          <w:szCs w:val="24"/>
        </w:rPr>
        <w:t xml:space="preserve"> </w:t>
      </w:r>
      <w:r w:rsidR="00900AFE">
        <w:rPr>
          <w:sz w:val="24"/>
          <w:szCs w:val="24"/>
        </w:rPr>
        <w:t xml:space="preserve">primarily </w:t>
      </w:r>
      <w:r>
        <w:rPr>
          <w:sz w:val="24"/>
          <w:szCs w:val="24"/>
        </w:rPr>
        <w:t>transmit</w:t>
      </w:r>
      <w:r w:rsidR="00900AFE">
        <w:rPr>
          <w:sz w:val="24"/>
          <w:szCs w:val="24"/>
        </w:rPr>
        <w:t>s</w:t>
      </w:r>
      <w:r w:rsidRPr="00624C51">
        <w:rPr>
          <w:sz w:val="24"/>
          <w:szCs w:val="24"/>
        </w:rPr>
        <w:t xml:space="preserve"> gas, in contrast to </w:t>
      </w:r>
      <w:r>
        <w:rPr>
          <w:sz w:val="24"/>
          <w:szCs w:val="24"/>
        </w:rPr>
        <w:t xml:space="preserve">a distribution line which </w:t>
      </w:r>
      <w:r w:rsidRPr="00624C51">
        <w:rPr>
          <w:sz w:val="24"/>
          <w:szCs w:val="24"/>
        </w:rPr>
        <w:t>distribute</w:t>
      </w:r>
      <w:r w:rsidR="00900AFE">
        <w:rPr>
          <w:sz w:val="24"/>
          <w:szCs w:val="24"/>
        </w:rPr>
        <w:t>s</w:t>
      </w:r>
      <w:r w:rsidRPr="00624C51">
        <w:rPr>
          <w:sz w:val="24"/>
          <w:szCs w:val="24"/>
        </w:rPr>
        <w:t xml:space="preserve"> gas</w:t>
      </w:r>
      <w:r w:rsidR="00900AFE">
        <w:rPr>
          <w:sz w:val="24"/>
          <w:szCs w:val="24"/>
        </w:rPr>
        <w:t xml:space="preserve"> to a service address</w:t>
      </w:r>
      <w:r w:rsidRPr="00624C51">
        <w:rPr>
          <w:sz w:val="24"/>
          <w:szCs w:val="24"/>
        </w:rPr>
        <w:t xml:space="preserve">.  </w:t>
      </w:r>
      <w:r>
        <w:rPr>
          <w:sz w:val="24"/>
          <w:szCs w:val="24"/>
        </w:rPr>
        <w:t>Transmission</w:t>
      </w:r>
      <w:r w:rsidRPr="00624C51">
        <w:rPr>
          <w:sz w:val="24"/>
          <w:szCs w:val="24"/>
        </w:rPr>
        <w:t xml:space="preserve"> lines are subject to different operating standards </w:t>
      </w:r>
      <w:r>
        <w:rPr>
          <w:sz w:val="24"/>
          <w:szCs w:val="24"/>
        </w:rPr>
        <w:t xml:space="preserve">under a different regulatory authority (i.e., FERC) </w:t>
      </w:r>
      <w:r w:rsidRPr="00624C51">
        <w:rPr>
          <w:sz w:val="24"/>
          <w:szCs w:val="24"/>
        </w:rPr>
        <w:t>than distribution line</w:t>
      </w:r>
      <w:r w:rsidR="00900AFE">
        <w:rPr>
          <w:sz w:val="24"/>
          <w:szCs w:val="24"/>
        </w:rPr>
        <w:t>s</w:t>
      </w:r>
      <w:r w:rsidRPr="00624C51">
        <w:rPr>
          <w:sz w:val="24"/>
          <w:szCs w:val="24"/>
        </w:rPr>
        <w:t>.  Specifically,</w:t>
      </w:r>
      <w:r>
        <w:rPr>
          <w:sz w:val="24"/>
          <w:szCs w:val="24"/>
        </w:rPr>
        <w:t xml:space="preserve"> Columbia Gas’ tariff at Section 8.1(b) states</w:t>
      </w:r>
      <w:r w:rsidRPr="00624C51">
        <w:rPr>
          <w:sz w:val="24"/>
          <w:szCs w:val="24"/>
        </w:rPr>
        <w:t xml:space="preserve"> that service provided from a transmission line is at the sole discretion of the owner of the transmission line to allow service from the</w:t>
      </w:r>
      <w:r>
        <w:rPr>
          <w:sz w:val="24"/>
          <w:szCs w:val="24"/>
        </w:rPr>
        <w:t xml:space="preserve"> owner of the facilities to the customer.</w:t>
      </w:r>
      <w:r>
        <w:rPr>
          <w:rStyle w:val="FootnoteReference"/>
          <w:sz w:val="24"/>
          <w:szCs w:val="24"/>
        </w:rPr>
        <w:footnoteReference w:id="9"/>
      </w:r>
      <w:r>
        <w:rPr>
          <w:sz w:val="24"/>
          <w:szCs w:val="24"/>
        </w:rPr>
        <w:t xml:space="preserve">  </w:t>
      </w:r>
      <w:r w:rsidRPr="00624C51">
        <w:rPr>
          <w:sz w:val="24"/>
          <w:szCs w:val="24"/>
        </w:rPr>
        <w:t>Tariff</w:t>
      </w:r>
      <w:r>
        <w:rPr>
          <w:sz w:val="24"/>
          <w:szCs w:val="24"/>
        </w:rPr>
        <w:t xml:space="preserve"> Section 8.1(b) </w:t>
      </w:r>
      <w:r w:rsidRPr="00624C51">
        <w:rPr>
          <w:sz w:val="24"/>
          <w:szCs w:val="24"/>
        </w:rPr>
        <w:t xml:space="preserve">thus allows </w:t>
      </w:r>
      <w:r>
        <w:rPr>
          <w:sz w:val="24"/>
          <w:szCs w:val="24"/>
        </w:rPr>
        <w:t xml:space="preserve">Columbia Gas to </w:t>
      </w:r>
      <w:r w:rsidRPr="00624C51">
        <w:rPr>
          <w:sz w:val="24"/>
          <w:szCs w:val="24"/>
        </w:rPr>
        <w:t xml:space="preserve">cease furnishing </w:t>
      </w:r>
      <w:r>
        <w:rPr>
          <w:sz w:val="24"/>
          <w:szCs w:val="24"/>
        </w:rPr>
        <w:t xml:space="preserve">retail </w:t>
      </w:r>
      <w:r w:rsidRPr="00624C51">
        <w:rPr>
          <w:sz w:val="24"/>
          <w:szCs w:val="24"/>
        </w:rPr>
        <w:t xml:space="preserve">gas service from </w:t>
      </w:r>
      <w:r>
        <w:rPr>
          <w:sz w:val="24"/>
          <w:szCs w:val="24"/>
        </w:rPr>
        <w:t>a transmission line when Columbia Transmission elects to disallow service from its transmission pipeline</w:t>
      </w:r>
      <w:r w:rsidRPr="00624C51">
        <w:rPr>
          <w:sz w:val="24"/>
          <w:szCs w:val="24"/>
        </w:rPr>
        <w:t>.</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t xml:space="preserve">Tariff </w:t>
      </w:r>
      <w:r>
        <w:rPr>
          <w:sz w:val="24"/>
          <w:szCs w:val="24"/>
        </w:rPr>
        <w:t>Section 8.1(b)</w:t>
      </w:r>
      <w:r w:rsidRPr="00624C51">
        <w:rPr>
          <w:sz w:val="24"/>
          <w:szCs w:val="24"/>
        </w:rPr>
        <w:t xml:space="preserve"> is an existing and effective tariff term and condition of service and must be applied consistently with its language.  It has the full force and effect of law and is binding on </w:t>
      </w:r>
      <w:r>
        <w:rPr>
          <w:sz w:val="24"/>
          <w:szCs w:val="24"/>
        </w:rPr>
        <w:t>Columbia Gas</w:t>
      </w:r>
      <w:r w:rsidRPr="00624C51">
        <w:rPr>
          <w:sz w:val="24"/>
          <w:szCs w:val="24"/>
        </w:rPr>
        <w:t xml:space="preserve"> and its customers.</w:t>
      </w:r>
      <w:r>
        <w:rPr>
          <w:rStyle w:val="FootnoteReference"/>
          <w:sz w:val="24"/>
          <w:szCs w:val="24"/>
        </w:rPr>
        <w:footnoteReference w:id="10"/>
      </w:r>
      <w:r w:rsidRPr="00624C51">
        <w:rPr>
          <w:sz w:val="24"/>
          <w:szCs w:val="24"/>
        </w:rPr>
        <w:t xml:space="preserve">  </w:t>
      </w:r>
      <w:r>
        <w:rPr>
          <w:sz w:val="24"/>
          <w:szCs w:val="24"/>
        </w:rPr>
        <w:t>Because the subject line is a transmission line</w:t>
      </w:r>
      <w:r w:rsidRPr="00624C51">
        <w:rPr>
          <w:sz w:val="24"/>
          <w:szCs w:val="24"/>
        </w:rPr>
        <w:t xml:space="preserve">, Tariff </w:t>
      </w:r>
      <w:r>
        <w:rPr>
          <w:sz w:val="24"/>
          <w:szCs w:val="24"/>
        </w:rPr>
        <w:t>Section 8.1(b) would</w:t>
      </w:r>
      <w:r w:rsidRPr="00624C51">
        <w:rPr>
          <w:sz w:val="24"/>
          <w:szCs w:val="24"/>
        </w:rPr>
        <w:t xml:space="preserve"> apply to the abandonment of service at issue here and </w:t>
      </w:r>
      <w:r w:rsidR="00900AFE">
        <w:rPr>
          <w:sz w:val="24"/>
          <w:szCs w:val="24"/>
        </w:rPr>
        <w:t xml:space="preserve">would </w:t>
      </w:r>
      <w:r w:rsidRPr="00624C51">
        <w:rPr>
          <w:sz w:val="24"/>
          <w:szCs w:val="24"/>
        </w:rPr>
        <w:t xml:space="preserve">provide sufficient authority for </w:t>
      </w:r>
      <w:r w:rsidR="00900AFE">
        <w:rPr>
          <w:sz w:val="24"/>
          <w:szCs w:val="24"/>
        </w:rPr>
        <w:t xml:space="preserve">Columbia </w:t>
      </w:r>
      <w:r>
        <w:rPr>
          <w:sz w:val="24"/>
          <w:szCs w:val="24"/>
        </w:rPr>
        <w:t>Gas</w:t>
      </w:r>
      <w:r w:rsidRPr="00624C51">
        <w:rPr>
          <w:sz w:val="24"/>
          <w:szCs w:val="24"/>
        </w:rPr>
        <w:t xml:space="preserve"> to discontinue service to the </w:t>
      </w:r>
      <w:r>
        <w:rPr>
          <w:sz w:val="24"/>
          <w:szCs w:val="24"/>
        </w:rPr>
        <w:t>one</w:t>
      </w:r>
      <w:r w:rsidRPr="00624C51">
        <w:rPr>
          <w:sz w:val="24"/>
          <w:szCs w:val="24"/>
        </w:rPr>
        <w:t xml:space="preserve"> affected </w:t>
      </w:r>
      <w:r w:rsidRPr="00624C51">
        <w:rPr>
          <w:sz w:val="24"/>
          <w:szCs w:val="24"/>
        </w:rPr>
        <w:lastRenderedPageBreak/>
        <w:t>customer</w:t>
      </w:r>
      <w:r w:rsidR="00900AFE">
        <w:rPr>
          <w:sz w:val="24"/>
          <w:szCs w:val="24"/>
        </w:rPr>
        <w:t>, assuming Columbia Gas provided reasonable and adequate customer service in how Columbia Gas communicated the pending termination by Columbia Transmission</w:t>
      </w:r>
      <w:r w:rsidRPr="00624C51">
        <w:rPr>
          <w:sz w:val="24"/>
          <w:szCs w:val="24"/>
        </w:rPr>
        <w:t xml:space="preserve">.  </w:t>
      </w:r>
    </w:p>
    <w:p w:rsidR="00B91986" w:rsidRDefault="00B91986" w:rsidP="00F2722E">
      <w:pPr>
        <w:tabs>
          <w:tab w:val="left" w:pos="-1440"/>
          <w:tab w:val="left" w:pos="-720"/>
        </w:tabs>
        <w:suppressAutoHyphens/>
        <w:spacing w:line="360" w:lineRule="auto"/>
        <w:jc w:val="center"/>
        <w:rPr>
          <w:sz w:val="24"/>
          <w:szCs w:val="24"/>
          <w:u w:val="single"/>
        </w:rPr>
      </w:pPr>
    </w:p>
    <w:p w:rsidR="00F2722E" w:rsidRPr="00EA4FEA" w:rsidRDefault="00F2722E" w:rsidP="00F2722E">
      <w:pPr>
        <w:tabs>
          <w:tab w:val="left" w:pos="-1440"/>
          <w:tab w:val="left" w:pos="-720"/>
        </w:tabs>
        <w:suppressAutoHyphens/>
        <w:spacing w:line="360" w:lineRule="auto"/>
        <w:jc w:val="center"/>
        <w:rPr>
          <w:sz w:val="24"/>
          <w:szCs w:val="24"/>
        </w:rPr>
      </w:pPr>
      <w:r w:rsidRPr="00EA4FEA">
        <w:rPr>
          <w:sz w:val="24"/>
          <w:szCs w:val="24"/>
          <w:u w:val="single"/>
        </w:rPr>
        <w:t xml:space="preserve">Conclusion of Formal Complaint filed by </w:t>
      </w:r>
      <w:proofErr w:type="spellStart"/>
      <w:r w:rsidRPr="00EA4FEA">
        <w:rPr>
          <w:sz w:val="24"/>
          <w:szCs w:val="24"/>
          <w:u w:val="single"/>
        </w:rPr>
        <w:t>Lucey</w:t>
      </w:r>
      <w:proofErr w:type="spellEnd"/>
    </w:p>
    <w:p w:rsidR="00F2722E" w:rsidRPr="00EA4FEA" w:rsidRDefault="00F2722E" w:rsidP="00EA4FEA">
      <w:pPr>
        <w:spacing w:line="360" w:lineRule="auto"/>
        <w:rPr>
          <w:sz w:val="24"/>
          <w:szCs w:val="24"/>
        </w:rPr>
      </w:pPr>
    </w:p>
    <w:p w:rsidR="00F2722E" w:rsidRPr="00EA4FEA" w:rsidRDefault="00F2722E" w:rsidP="00EA4FEA">
      <w:pPr>
        <w:spacing w:line="360" w:lineRule="auto"/>
        <w:rPr>
          <w:sz w:val="24"/>
          <w:szCs w:val="24"/>
        </w:rPr>
      </w:pPr>
      <w:r>
        <w:rPr>
          <w:sz w:val="24"/>
          <w:szCs w:val="24"/>
        </w:rPr>
        <w:tab/>
      </w:r>
      <w:r>
        <w:rPr>
          <w:sz w:val="24"/>
          <w:szCs w:val="24"/>
        </w:rPr>
        <w:tab/>
        <w:t xml:space="preserve">In this complaint proceeding, termination did not result because </w:t>
      </w:r>
      <w:proofErr w:type="spellStart"/>
      <w:r>
        <w:rPr>
          <w:sz w:val="24"/>
          <w:szCs w:val="24"/>
        </w:rPr>
        <w:t>Lucey</w:t>
      </w:r>
      <w:proofErr w:type="spellEnd"/>
      <w:r>
        <w:rPr>
          <w:sz w:val="24"/>
          <w:szCs w:val="24"/>
        </w:rPr>
        <w:t xml:space="preserve"> failed to pay his bills or permit access to the gas meter.  The termination resulted because of the actions of a third party </w:t>
      </w:r>
      <w:r w:rsidR="00CB017F">
        <w:rPr>
          <w:sz w:val="24"/>
          <w:szCs w:val="24"/>
        </w:rPr>
        <w:t>–</w:t>
      </w:r>
      <w:r w:rsidR="000B4BA5">
        <w:rPr>
          <w:sz w:val="24"/>
          <w:szCs w:val="24"/>
        </w:rPr>
        <w:t xml:space="preserve"> </w:t>
      </w:r>
      <w:r>
        <w:rPr>
          <w:sz w:val="24"/>
          <w:szCs w:val="24"/>
        </w:rPr>
        <w:t xml:space="preserve">which </w:t>
      </w:r>
      <w:r w:rsidR="000B4BA5">
        <w:rPr>
          <w:sz w:val="24"/>
          <w:szCs w:val="24"/>
        </w:rPr>
        <w:t xml:space="preserve">entity </w:t>
      </w:r>
      <w:r>
        <w:rPr>
          <w:sz w:val="24"/>
          <w:szCs w:val="24"/>
        </w:rPr>
        <w:t>is not a party to these proceedings and which is not subject to the jurisdiction of the Public Utility Commission</w:t>
      </w:r>
      <w:r w:rsidR="00900AFE">
        <w:rPr>
          <w:sz w:val="24"/>
          <w:szCs w:val="24"/>
        </w:rPr>
        <w:t xml:space="preserve">, i.e., </w:t>
      </w:r>
      <w:r>
        <w:rPr>
          <w:sz w:val="24"/>
          <w:szCs w:val="24"/>
        </w:rPr>
        <w:t xml:space="preserve">Columbia Gas Transmission LLC.  </w:t>
      </w:r>
      <w:r w:rsidR="00B72FFD">
        <w:rPr>
          <w:sz w:val="24"/>
          <w:szCs w:val="24"/>
        </w:rPr>
        <w:t>Columbia Transmission made a unilateral decision to turn off the supply of natural gas to its pipeline</w:t>
      </w:r>
      <w:r w:rsidR="00900AFE">
        <w:rPr>
          <w:sz w:val="24"/>
          <w:szCs w:val="24"/>
        </w:rPr>
        <w:t xml:space="preserve"> and there is nothing Complainant or the Public Utility Commission can do to alter or reverse that decision.</w:t>
      </w:r>
    </w:p>
    <w:p w:rsidR="00EA4FEA" w:rsidRDefault="00EA4FEA" w:rsidP="00EA4FEA">
      <w:pPr>
        <w:spacing w:line="360" w:lineRule="auto"/>
        <w:rPr>
          <w:sz w:val="24"/>
          <w:szCs w:val="24"/>
        </w:rPr>
      </w:pPr>
    </w:p>
    <w:p w:rsidR="00B72FFD" w:rsidRDefault="00B72FFD" w:rsidP="00B72FFD">
      <w:pPr>
        <w:spacing w:line="360" w:lineRule="auto"/>
        <w:ind w:firstLine="1440"/>
        <w:rPr>
          <w:sz w:val="24"/>
          <w:szCs w:val="24"/>
        </w:rPr>
      </w:pPr>
      <w:r>
        <w:rPr>
          <w:sz w:val="24"/>
          <w:szCs w:val="24"/>
        </w:rPr>
        <w:t>Complainant failed to</w:t>
      </w:r>
      <w:r w:rsidRPr="00EA4FEA">
        <w:rPr>
          <w:sz w:val="24"/>
          <w:szCs w:val="24"/>
        </w:rPr>
        <w:t xml:space="preserve"> show </w:t>
      </w:r>
      <w:r>
        <w:rPr>
          <w:sz w:val="24"/>
          <w:szCs w:val="24"/>
        </w:rPr>
        <w:t>Columbia Gas</w:t>
      </w:r>
      <w:r w:rsidRPr="00EA4FEA">
        <w:rPr>
          <w:sz w:val="24"/>
          <w:szCs w:val="24"/>
        </w:rPr>
        <w:t xml:space="preserve"> terminated </w:t>
      </w:r>
      <w:r>
        <w:rPr>
          <w:sz w:val="24"/>
          <w:szCs w:val="24"/>
        </w:rPr>
        <w:t xml:space="preserve">service </w:t>
      </w:r>
      <w:r w:rsidRPr="00EA4FEA">
        <w:rPr>
          <w:sz w:val="24"/>
          <w:szCs w:val="24"/>
        </w:rPr>
        <w:t xml:space="preserve">for an inappropriate reason </w:t>
      </w:r>
      <w:r>
        <w:rPr>
          <w:sz w:val="24"/>
          <w:szCs w:val="24"/>
        </w:rPr>
        <w:t xml:space="preserve">because actually Columbia Gas did not terminate service.  Columbia Gas </w:t>
      </w:r>
      <w:r w:rsidR="00900AFE" w:rsidRPr="00900AFE">
        <w:rPr>
          <w:sz w:val="24"/>
          <w:szCs w:val="24"/>
          <w:u w:val="single"/>
        </w:rPr>
        <w:t>may have</w:t>
      </w:r>
      <w:r w:rsidR="00900AFE">
        <w:rPr>
          <w:sz w:val="24"/>
          <w:szCs w:val="24"/>
        </w:rPr>
        <w:t xml:space="preserve"> </w:t>
      </w:r>
      <w:r w:rsidRPr="00EA4FEA">
        <w:rPr>
          <w:sz w:val="24"/>
          <w:szCs w:val="24"/>
        </w:rPr>
        <w:t xml:space="preserve">failed to take reasonable efforts to provide </w:t>
      </w:r>
      <w:r w:rsidR="00900AFE">
        <w:rPr>
          <w:sz w:val="24"/>
          <w:szCs w:val="24"/>
        </w:rPr>
        <w:t>Complainant</w:t>
      </w:r>
      <w:r w:rsidRPr="00EA4FEA">
        <w:rPr>
          <w:sz w:val="24"/>
          <w:szCs w:val="24"/>
        </w:rPr>
        <w:t xml:space="preserve"> with prior noti</w:t>
      </w:r>
      <w:r>
        <w:rPr>
          <w:sz w:val="24"/>
          <w:szCs w:val="24"/>
        </w:rPr>
        <w:t>ce of the impending termination</w:t>
      </w:r>
      <w:r w:rsidRPr="00EA4FEA">
        <w:rPr>
          <w:sz w:val="24"/>
          <w:szCs w:val="24"/>
        </w:rPr>
        <w:t>.</w:t>
      </w:r>
      <w:r>
        <w:rPr>
          <w:sz w:val="24"/>
          <w:szCs w:val="24"/>
        </w:rPr>
        <w:t xml:space="preserve">  </w:t>
      </w:r>
      <w:r w:rsidRPr="00EA4FEA">
        <w:rPr>
          <w:sz w:val="24"/>
          <w:szCs w:val="24"/>
        </w:rPr>
        <w:t xml:space="preserve">The evidence presented showed </w:t>
      </w:r>
      <w:r>
        <w:rPr>
          <w:sz w:val="24"/>
          <w:szCs w:val="24"/>
        </w:rPr>
        <w:t xml:space="preserve">Columbia Gas knew Columbia Transmission was discussing taking Pipeline 954 out of service as far back as </w:t>
      </w:r>
      <w:r w:rsidR="00C0056F">
        <w:rPr>
          <w:sz w:val="24"/>
          <w:szCs w:val="24"/>
        </w:rPr>
        <w:t xml:space="preserve">December </w:t>
      </w:r>
      <w:r w:rsidR="00AD068C">
        <w:rPr>
          <w:sz w:val="24"/>
          <w:szCs w:val="24"/>
        </w:rPr>
        <w:t>201</w:t>
      </w:r>
      <w:r w:rsidR="00C0056F">
        <w:rPr>
          <w:sz w:val="24"/>
          <w:szCs w:val="24"/>
        </w:rPr>
        <w:t>0</w:t>
      </w:r>
      <w:r w:rsidR="00AD068C">
        <w:rPr>
          <w:sz w:val="24"/>
          <w:szCs w:val="24"/>
        </w:rPr>
        <w:t xml:space="preserve"> (See Exhibit NJDK-1)</w:t>
      </w:r>
      <w:r>
        <w:rPr>
          <w:sz w:val="24"/>
          <w:szCs w:val="24"/>
        </w:rPr>
        <w:t xml:space="preserve">.  </w:t>
      </w:r>
      <w:r w:rsidR="00AD068C">
        <w:rPr>
          <w:sz w:val="24"/>
          <w:szCs w:val="24"/>
        </w:rPr>
        <w:t xml:space="preserve">Letters from both Columbia Gas and Columbia Transmission were sent to Mark </w:t>
      </w:r>
      <w:proofErr w:type="spellStart"/>
      <w:r w:rsidR="00AD068C">
        <w:rPr>
          <w:sz w:val="24"/>
          <w:szCs w:val="24"/>
        </w:rPr>
        <w:t>Lucey</w:t>
      </w:r>
      <w:proofErr w:type="spellEnd"/>
      <w:r w:rsidR="00AD068C">
        <w:rPr>
          <w:sz w:val="24"/>
          <w:szCs w:val="24"/>
        </w:rPr>
        <w:t xml:space="preserve"> on NiSource letterhead and, in the case of correspondence from Columbia Gas, the letterhead did not specify Columbia Gas of Pennsylvania.  </w:t>
      </w:r>
      <w:proofErr w:type="gramStart"/>
      <w:r w:rsidR="00AD068C">
        <w:rPr>
          <w:sz w:val="24"/>
          <w:szCs w:val="24"/>
        </w:rPr>
        <w:t>(See Exhibit NJDK-1).</w:t>
      </w:r>
      <w:proofErr w:type="gramEnd"/>
      <w:r w:rsidR="00AD068C">
        <w:rPr>
          <w:sz w:val="24"/>
          <w:szCs w:val="24"/>
        </w:rPr>
        <w:t xml:space="preserve">  </w:t>
      </w:r>
      <w:r>
        <w:rPr>
          <w:sz w:val="24"/>
          <w:szCs w:val="24"/>
        </w:rPr>
        <w:t>Columbia Gas</w:t>
      </w:r>
      <w:r w:rsidR="00900AFE">
        <w:rPr>
          <w:sz w:val="24"/>
          <w:szCs w:val="24"/>
        </w:rPr>
        <w:t xml:space="preserve"> asserts</w:t>
      </w:r>
      <w:r>
        <w:rPr>
          <w:sz w:val="24"/>
          <w:szCs w:val="24"/>
        </w:rPr>
        <w:t xml:space="preserve"> it is a separate entity from Columbia Transmission</w:t>
      </w:r>
      <w:r w:rsidR="00900AFE">
        <w:rPr>
          <w:sz w:val="24"/>
          <w:szCs w:val="24"/>
        </w:rPr>
        <w:t xml:space="preserve">, </w:t>
      </w:r>
      <w:r w:rsidR="00AD068C">
        <w:rPr>
          <w:sz w:val="24"/>
          <w:szCs w:val="24"/>
        </w:rPr>
        <w:t xml:space="preserve">and yet it brought </w:t>
      </w:r>
      <w:r w:rsidR="000B4BA5">
        <w:rPr>
          <w:sz w:val="24"/>
          <w:szCs w:val="24"/>
        </w:rPr>
        <w:t xml:space="preserve">substantive </w:t>
      </w:r>
      <w:r>
        <w:rPr>
          <w:sz w:val="24"/>
          <w:szCs w:val="24"/>
        </w:rPr>
        <w:t xml:space="preserve">witnesses </w:t>
      </w:r>
      <w:r w:rsidR="00AD068C">
        <w:rPr>
          <w:sz w:val="24"/>
          <w:szCs w:val="24"/>
        </w:rPr>
        <w:t>to the hearing who were</w:t>
      </w:r>
      <w:r>
        <w:rPr>
          <w:sz w:val="24"/>
          <w:szCs w:val="24"/>
        </w:rPr>
        <w:t xml:space="preserve"> NiSource employees – which is the parent company for both entities (Columbia Gas and Columbia Transmission).  </w:t>
      </w:r>
    </w:p>
    <w:p w:rsidR="00051FA2" w:rsidRDefault="00051FA2" w:rsidP="00051FA2">
      <w:pPr>
        <w:spacing w:line="360" w:lineRule="auto"/>
        <w:rPr>
          <w:sz w:val="24"/>
          <w:szCs w:val="24"/>
        </w:rPr>
      </w:pPr>
    </w:p>
    <w:p w:rsidR="00051FA2" w:rsidRDefault="00051FA2" w:rsidP="00051FA2">
      <w:pPr>
        <w:spacing w:line="360" w:lineRule="auto"/>
        <w:rPr>
          <w:sz w:val="24"/>
          <w:szCs w:val="24"/>
        </w:rPr>
      </w:pPr>
      <w:r>
        <w:rPr>
          <w:sz w:val="24"/>
          <w:szCs w:val="24"/>
        </w:rPr>
        <w:tab/>
      </w:r>
      <w:r>
        <w:rPr>
          <w:sz w:val="24"/>
          <w:szCs w:val="24"/>
        </w:rPr>
        <w:tab/>
        <w:t>In this proceeding, the evidence showed Columbia Gas did not terminate the natural gas service because the termination was effectuated by Columbia Transmission.</w:t>
      </w:r>
      <w:r w:rsidR="000B4BA5">
        <w:rPr>
          <w:sz w:val="24"/>
          <w:szCs w:val="24"/>
        </w:rPr>
        <w:t xml:space="preserve">  Furthermore, </w:t>
      </w:r>
      <w:r>
        <w:rPr>
          <w:sz w:val="24"/>
          <w:szCs w:val="24"/>
        </w:rPr>
        <w:t xml:space="preserve">Complainant </w:t>
      </w:r>
      <w:r w:rsidR="000B4BA5">
        <w:rPr>
          <w:sz w:val="24"/>
          <w:szCs w:val="24"/>
        </w:rPr>
        <w:t>did not prove</w:t>
      </w:r>
      <w:r>
        <w:rPr>
          <w:sz w:val="24"/>
          <w:szCs w:val="24"/>
        </w:rPr>
        <w:t xml:space="preserve"> Columbia Gas failed to provide Complainant with </w:t>
      </w:r>
      <w:r w:rsidR="00900AFE">
        <w:rPr>
          <w:sz w:val="24"/>
          <w:szCs w:val="24"/>
        </w:rPr>
        <w:t>reasonable and adequate service by providing prior notice about the termination</w:t>
      </w:r>
      <w:r>
        <w:rPr>
          <w:sz w:val="24"/>
          <w:szCs w:val="24"/>
        </w:rPr>
        <w:t xml:space="preserve">.  </w:t>
      </w:r>
      <w:r w:rsidR="00900AFE">
        <w:rPr>
          <w:sz w:val="24"/>
          <w:szCs w:val="24"/>
        </w:rPr>
        <w:t>Although</w:t>
      </w:r>
      <w:r>
        <w:rPr>
          <w:sz w:val="24"/>
          <w:szCs w:val="24"/>
        </w:rPr>
        <w:t xml:space="preserve"> Complainant proved Columbia Gas, through its relationship with Columbia Transmission, knew Columbia Transmission intended to terminate service through its distribution line</w:t>
      </w:r>
      <w:r w:rsidR="00900AFE">
        <w:rPr>
          <w:sz w:val="24"/>
          <w:szCs w:val="24"/>
        </w:rPr>
        <w:t xml:space="preserve">, Complainant </w:t>
      </w:r>
      <w:r w:rsidR="00900AFE">
        <w:rPr>
          <w:sz w:val="24"/>
          <w:szCs w:val="24"/>
        </w:rPr>
        <w:lastRenderedPageBreak/>
        <w:t>did not prove</w:t>
      </w:r>
      <w:r>
        <w:rPr>
          <w:sz w:val="24"/>
          <w:szCs w:val="24"/>
        </w:rPr>
        <w:t xml:space="preserve"> Columbia Gas failed to provide adequate customer service to the ratepayer by </w:t>
      </w:r>
      <w:r w:rsidR="00900AFE">
        <w:rPr>
          <w:sz w:val="24"/>
          <w:szCs w:val="24"/>
        </w:rPr>
        <w:t>failing to give</w:t>
      </w:r>
      <w:r>
        <w:rPr>
          <w:sz w:val="24"/>
          <w:szCs w:val="24"/>
        </w:rPr>
        <w:t xml:space="preserve"> </w:t>
      </w:r>
      <w:r w:rsidRPr="00CA7848">
        <w:rPr>
          <w:sz w:val="24"/>
          <w:szCs w:val="24"/>
          <w:u w:val="single"/>
        </w:rPr>
        <w:t>advance</w:t>
      </w:r>
      <w:r>
        <w:rPr>
          <w:sz w:val="24"/>
          <w:szCs w:val="24"/>
        </w:rPr>
        <w:t xml:space="preserve"> notice.  </w:t>
      </w:r>
      <w:r w:rsidR="00CA7848">
        <w:rPr>
          <w:sz w:val="24"/>
          <w:szCs w:val="24"/>
        </w:rPr>
        <w:t>There is no evidence that shows Columbia Gas knew or should have known that Columbia Transmission would effectuate an immediate termination on or around June 1, 2011.</w:t>
      </w:r>
    </w:p>
    <w:p w:rsidR="00051FA2" w:rsidRDefault="00051FA2" w:rsidP="00B72FFD">
      <w:pPr>
        <w:spacing w:line="360" w:lineRule="auto"/>
        <w:ind w:firstLine="1440"/>
        <w:rPr>
          <w:sz w:val="24"/>
          <w:szCs w:val="24"/>
        </w:rPr>
      </w:pPr>
    </w:p>
    <w:p w:rsidR="00AD068C" w:rsidRDefault="00AD068C" w:rsidP="00E17E5E">
      <w:pPr>
        <w:spacing w:line="360" w:lineRule="auto"/>
        <w:ind w:firstLine="1440"/>
        <w:rPr>
          <w:sz w:val="24"/>
          <w:szCs w:val="24"/>
        </w:rPr>
      </w:pPr>
      <w:r>
        <w:rPr>
          <w:sz w:val="24"/>
          <w:szCs w:val="24"/>
        </w:rPr>
        <w:t>In addition, the correspondence provided by Columbia Gas as part of Exhibit NJDK-1 shows Complainant was advised a few months prior to final termination about the need to finalize plans to convert from natural gas due to the pending termination.  Complainant is correct that</w:t>
      </w:r>
      <w:r w:rsidR="00B72FFD">
        <w:rPr>
          <w:sz w:val="24"/>
          <w:szCs w:val="24"/>
        </w:rPr>
        <w:t xml:space="preserve"> the evidence </w:t>
      </w:r>
      <w:r w:rsidR="00EC6C72">
        <w:rPr>
          <w:sz w:val="24"/>
          <w:szCs w:val="24"/>
        </w:rPr>
        <w:t>–</w:t>
      </w:r>
      <w:r>
        <w:rPr>
          <w:sz w:val="24"/>
          <w:szCs w:val="24"/>
        </w:rPr>
        <w:t xml:space="preserve"> </w:t>
      </w:r>
      <w:r w:rsidR="00900AFE">
        <w:rPr>
          <w:sz w:val="24"/>
          <w:szCs w:val="24"/>
        </w:rPr>
        <w:t>showing</w:t>
      </w:r>
      <w:r w:rsidR="00B72FFD">
        <w:rPr>
          <w:sz w:val="24"/>
          <w:szCs w:val="24"/>
        </w:rPr>
        <w:t xml:space="preserve"> a </w:t>
      </w:r>
      <w:r w:rsidR="00B72FFD" w:rsidRPr="000B4BA5">
        <w:rPr>
          <w:sz w:val="24"/>
          <w:szCs w:val="24"/>
          <w:u w:val="single"/>
        </w:rPr>
        <w:t>serious</w:t>
      </w:r>
      <w:r w:rsidR="00B72FFD">
        <w:rPr>
          <w:sz w:val="24"/>
          <w:szCs w:val="24"/>
        </w:rPr>
        <w:t xml:space="preserve"> natural gas leak on the pipeline on June 1, 2011 </w:t>
      </w:r>
      <w:r w:rsidR="00EC6C72">
        <w:rPr>
          <w:sz w:val="24"/>
          <w:szCs w:val="24"/>
        </w:rPr>
        <w:t>–</w:t>
      </w:r>
      <w:r>
        <w:rPr>
          <w:sz w:val="24"/>
          <w:szCs w:val="24"/>
        </w:rPr>
        <w:t xml:space="preserve"> </w:t>
      </w:r>
      <w:r w:rsidR="00B72FFD">
        <w:rPr>
          <w:sz w:val="24"/>
          <w:szCs w:val="24"/>
        </w:rPr>
        <w:t>was inconclusive and more than controverted by Complainant’s evidence to the contrary.  Complainant’s evidence, taken in its totality and as seen through the prism of the utility’s evidence, was more than sufficient to show Columbia Transmission</w:t>
      </w:r>
      <w:r w:rsidR="00900AFE">
        <w:rPr>
          <w:sz w:val="24"/>
          <w:szCs w:val="24"/>
        </w:rPr>
        <w:t xml:space="preserve">’s alleged assertion for why it terminated service off of Line 954 was incorrect.  However, Columbia Transmission is not under the Public Utility Commission’s jurisdiction and the reasonableness (or </w:t>
      </w:r>
      <w:r w:rsidR="00E17E5E">
        <w:rPr>
          <w:sz w:val="24"/>
          <w:szCs w:val="24"/>
        </w:rPr>
        <w:t xml:space="preserve">lack of </w:t>
      </w:r>
      <w:r w:rsidR="00900AFE">
        <w:rPr>
          <w:sz w:val="24"/>
          <w:szCs w:val="24"/>
        </w:rPr>
        <w:t xml:space="preserve">reasonableness) of Columbia Transmission’s actions cannot be at issue here.  </w:t>
      </w:r>
      <w:r w:rsidR="00B72FFD">
        <w:rPr>
          <w:sz w:val="24"/>
          <w:szCs w:val="24"/>
        </w:rPr>
        <w:t xml:space="preserve"> </w:t>
      </w:r>
    </w:p>
    <w:p w:rsidR="00AD068C" w:rsidRDefault="00AD068C" w:rsidP="00E17E5E">
      <w:pPr>
        <w:spacing w:line="360" w:lineRule="auto"/>
        <w:ind w:firstLine="1440"/>
        <w:rPr>
          <w:sz w:val="24"/>
          <w:szCs w:val="24"/>
        </w:rPr>
      </w:pPr>
    </w:p>
    <w:p w:rsidR="00C22FE1" w:rsidRDefault="00AD068C" w:rsidP="00E17E5E">
      <w:pPr>
        <w:spacing w:line="360" w:lineRule="auto"/>
        <w:ind w:firstLine="1440"/>
        <w:rPr>
          <w:sz w:val="24"/>
          <w:szCs w:val="24"/>
        </w:rPr>
      </w:pPr>
      <w:r>
        <w:rPr>
          <w:sz w:val="24"/>
          <w:szCs w:val="24"/>
        </w:rPr>
        <w:t xml:space="preserve">Complainant has not shown that the </w:t>
      </w:r>
      <w:r w:rsidR="00E17E5E">
        <w:rPr>
          <w:sz w:val="24"/>
          <w:szCs w:val="24"/>
        </w:rPr>
        <w:t xml:space="preserve">actions of Columbia Gas to terminate distribution services off the transmission pipeline were </w:t>
      </w:r>
      <w:r>
        <w:rPr>
          <w:sz w:val="24"/>
          <w:szCs w:val="24"/>
        </w:rPr>
        <w:t>in</w:t>
      </w:r>
      <w:r w:rsidR="00E17E5E">
        <w:rPr>
          <w:sz w:val="24"/>
          <w:szCs w:val="24"/>
        </w:rPr>
        <w:t xml:space="preserve">consistent with its Tariff </w:t>
      </w:r>
      <w:r>
        <w:rPr>
          <w:sz w:val="24"/>
          <w:szCs w:val="24"/>
        </w:rPr>
        <w:t xml:space="preserve">or the Commission’s rules.  Therefore, </w:t>
      </w:r>
      <w:r w:rsidR="00E17E5E">
        <w:rPr>
          <w:sz w:val="24"/>
          <w:szCs w:val="24"/>
        </w:rPr>
        <w:t xml:space="preserve">Complainant’s formal complaint must be denied.  </w:t>
      </w:r>
    </w:p>
    <w:p w:rsidR="00EA4FEA" w:rsidRPr="00EA4FEA" w:rsidRDefault="00EA4FEA" w:rsidP="00EA4FEA">
      <w:pPr>
        <w:pStyle w:val="ListNumber"/>
        <w:numPr>
          <w:ilvl w:val="0"/>
          <w:numId w:val="0"/>
        </w:numPr>
        <w:spacing w:line="360" w:lineRule="auto"/>
      </w:pPr>
    </w:p>
    <w:p w:rsidR="00585E11" w:rsidRPr="00EA4FEA" w:rsidRDefault="00585E11" w:rsidP="00585E11">
      <w:pPr>
        <w:pStyle w:val="ListNumber"/>
        <w:numPr>
          <w:ilvl w:val="0"/>
          <w:numId w:val="0"/>
        </w:numPr>
        <w:spacing w:line="360" w:lineRule="auto"/>
        <w:rPr>
          <w:b/>
          <w:u w:val="single"/>
        </w:rPr>
      </w:pPr>
      <w:r>
        <w:rPr>
          <w:b/>
          <w:u w:val="single"/>
        </w:rPr>
        <w:t>Application to Abandon Service</w:t>
      </w:r>
      <w:r w:rsidRPr="00EA4FEA">
        <w:rPr>
          <w:b/>
          <w:u w:val="single"/>
        </w:rPr>
        <w:t xml:space="preserve"> filed by </w:t>
      </w:r>
      <w:r>
        <w:rPr>
          <w:b/>
          <w:u w:val="single"/>
        </w:rPr>
        <w:t>Columbia Gas of Pennsylvania</w:t>
      </w:r>
    </w:p>
    <w:p w:rsidR="0033305A" w:rsidRPr="00624C51" w:rsidRDefault="00081487" w:rsidP="00333E04">
      <w:pPr>
        <w:pStyle w:val="ListNumber"/>
        <w:numPr>
          <w:ilvl w:val="0"/>
          <w:numId w:val="0"/>
        </w:numPr>
        <w:spacing w:line="360" w:lineRule="auto"/>
      </w:pPr>
      <w:r w:rsidRPr="00624C51">
        <w:tab/>
      </w:r>
      <w:r w:rsidRPr="00624C51">
        <w:tab/>
      </w:r>
    </w:p>
    <w:p w:rsidR="00081487" w:rsidRPr="00624C51" w:rsidRDefault="0033305A" w:rsidP="00333E04">
      <w:pPr>
        <w:pStyle w:val="ListNumber"/>
        <w:numPr>
          <w:ilvl w:val="0"/>
          <w:numId w:val="0"/>
        </w:numPr>
        <w:spacing w:line="360" w:lineRule="auto"/>
      </w:pPr>
      <w:r w:rsidRPr="00624C51">
        <w:tab/>
      </w:r>
      <w:r w:rsidRPr="00624C51">
        <w:tab/>
      </w:r>
      <w:r w:rsidR="00081487" w:rsidRPr="00624C51">
        <w:t xml:space="preserve">Columbia Gas requests Commission approval to abandon gas service to the same </w:t>
      </w:r>
      <w:r w:rsidR="00CB54BD">
        <w:t>service address</w:t>
      </w:r>
      <w:r w:rsidR="00081487" w:rsidRPr="00624C51">
        <w:t xml:space="preserve"> identified in the Complaint because Columbia Transmission concluded it would not repair or replace the transmission pipeline providing service to the </w:t>
      </w:r>
      <w:r w:rsidR="00CB54BD">
        <w:t>service address</w:t>
      </w:r>
      <w:r w:rsidR="00081487" w:rsidRPr="00624C51">
        <w:t xml:space="preserve">, and because the cost for Columbia Gas to construct new </w:t>
      </w:r>
      <w:r w:rsidR="00E17E5E">
        <w:t xml:space="preserve">distribution </w:t>
      </w:r>
      <w:r w:rsidR="00081487" w:rsidRPr="00624C51">
        <w:t xml:space="preserve">facilities to connect to Columbia Gas’ nearest distribution </w:t>
      </w:r>
      <w:r w:rsidR="00E17E5E">
        <w:t>line</w:t>
      </w:r>
      <w:r w:rsidR="00081487" w:rsidRPr="00624C51">
        <w:t xml:space="preserve"> was uneconomical.  </w:t>
      </w:r>
      <w:r w:rsidRPr="00624C51">
        <w:t xml:space="preserve">Columbia Gas </w:t>
      </w:r>
      <w:r w:rsidR="000B4BA5">
        <w:t>contends</w:t>
      </w:r>
      <w:r w:rsidRPr="00624C51">
        <w:t xml:space="preserve"> </w:t>
      </w:r>
      <w:r w:rsidR="000B4BA5">
        <w:t>extending</w:t>
      </w:r>
      <w:r w:rsidRPr="00624C51">
        <w:t xml:space="preserve"> its existing facilities to the service address would require Columbia Gas to install approximately 28,000 feet of new distribution facilities from its existing facilities to the service address at an approximate cost of $2.9 million.  Columbia Gas avers it evaluated the potential revenues associated with the new facilities to determine whether the potential revenues could support the required plant </w:t>
      </w:r>
      <w:r w:rsidRPr="00624C51">
        <w:lastRenderedPageBreak/>
        <w:t>investment</w:t>
      </w:r>
      <w:r w:rsidR="00E17E5E">
        <w:t>, and contends it</w:t>
      </w:r>
      <w:r w:rsidRPr="00624C51">
        <w:t xml:space="preserve"> found the annual gas consumption at the service address for the twelve-month period covering 2010 generated less than $500 of annual total distribution revenues.</w:t>
      </w:r>
      <w:r w:rsidR="000E0B48">
        <w:t xml:space="preserve"> </w:t>
      </w:r>
      <w:r w:rsidRPr="00624C51">
        <w:t xml:space="preserve"> Therefore, based upon the limited revenue potential associated with extending its facilities to the service address, Columbia Gas </w:t>
      </w:r>
      <w:r w:rsidR="000B4BA5">
        <w:t>opines</w:t>
      </w:r>
      <w:r w:rsidRPr="00624C51">
        <w:t xml:space="preserve"> extension would result in a revenue deficiency of approximately $230,000 per year.  Columbia Gas requests the Commission conclude the li</w:t>
      </w:r>
      <w:r w:rsidR="00330770">
        <w:t>ne extension is not justified, and condition the grant of the abandonment on the payment of $3,437.10</w:t>
      </w:r>
      <w:r w:rsidR="00330770">
        <w:rPr>
          <w:rStyle w:val="FootnoteReference"/>
        </w:rPr>
        <w:footnoteReference w:id="11"/>
      </w:r>
      <w:r w:rsidR="00330770">
        <w:t xml:space="preserve"> from Columbia Gas to Complainant.</w:t>
      </w:r>
      <w:r w:rsidR="00E17E5E">
        <w:t xml:space="preserve">  Mark </w:t>
      </w:r>
      <w:proofErr w:type="spellStart"/>
      <w:r w:rsidR="00E17E5E">
        <w:t>Lucey</w:t>
      </w:r>
      <w:proofErr w:type="spellEnd"/>
      <w:r w:rsidR="00E17E5E">
        <w:t xml:space="preserve"> protests the application and requests the Commission deny the application and order Columbia Gas to extend its distribution line to the service address.</w:t>
      </w:r>
    </w:p>
    <w:p w:rsidR="00585E11" w:rsidRDefault="00585E11" w:rsidP="0033305A">
      <w:pPr>
        <w:spacing w:line="360" w:lineRule="auto"/>
        <w:rPr>
          <w:sz w:val="24"/>
          <w:szCs w:val="24"/>
        </w:rPr>
      </w:pPr>
    </w:p>
    <w:p w:rsidR="00585E11" w:rsidRPr="00585E11" w:rsidRDefault="00585E11" w:rsidP="00585E11">
      <w:pPr>
        <w:spacing w:line="360" w:lineRule="auto"/>
        <w:jc w:val="center"/>
        <w:rPr>
          <w:sz w:val="24"/>
          <w:szCs w:val="24"/>
          <w:u w:val="single"/>
        </w:rPr>
      </w:pPr>
      <w:r w:rsidRPr="00585E11">
        <w:rPr>
          <w:sz w:val="24"/>
          <w:szCs w:val="24"/>
          <w:u w:val="single"/>
        </w:rPr>
        <w:t>Burden of Proof for Abandonment of Service</w:t>
      </w:r>
    </w:p>
    <w:p w:rsidR="007D4668" w:rsidRPr="00624C51" w:rsidRDefault="007D4668" w:rsidP="00081487">
      <w:pPr>
        <w:spacing w:line="360" w:lineRule="auto"/>
        <w:rPr>
          <w:sz w:val="24"/>
          <w:szCs w:val="24"/>
        </w:rPr>
      </w:pPr>
    </w:p>
    <w:p w:rsidR="000A145A" w:rsidRDefault="007D4668" w:rsidP="007D4668">
      <w:pPr>
        <w:spacing w:line="360" w:lineRule="auto"/>
        <w:rPr>
          <w:sz w:val="24"/>
          <w:szCs w:val="24"/>
        </w:rPr>
      </w:pPr>
      <w:r w:rsidRPr="00624C51">
        <w:rPr>
          <w:sz w:val="24"/>
          <w:szCs w:val="24"/>
        </w:rPr>
        <w:tab/>
      </w:r>
      <w:r w:rsidRPr="00624C51">
        <w:rPr>
          <w:sz w:val="24"/>
          <w:szCs w:val="24"/>
        </w:rPr>
        <w:tab/>
      </w:r>
      <w:r w:rsidR="000A145A">
        <w:rPr>
          <w:sz w:val="24"/>
          <w:szCs w:val="24"/>
        </w:rPr>
        <w:t xml:space="preserve">In this proceeding, there are two separate burdens of proof.  </w:t>
      </w:r>
      <w:r w:rsidR="000A145A" w:rsidRPr="00624C51">
        <w:rPr>
          <w:sz w:val="24"/>
          <w:szCs w:val="24"/>
        </w:rPr>
        <w:t>The term “burden of proof” means a duty to establish a fact by a preponderance of the evidence.</w:t>
      </w:r>
      <w:r w:rsidR="000A145A" w:rsidRPr="00624C51">
        <w:rPr>
          <w:rStyle w:val="FootnoteReference"/>
          <w:sz w:val="24"/>
          <w:szCs w:val="24"/>
        </w:rPr>
        <w:footnoteReference w:id="12"/>
      </w:r>
      <w:r w:rsidR="000A145A" w:rsidRPr="00624C51">
        <w:rPr>
          <w:sz w:val="24"/>
          <w:szCs w:val="24"/>
        </w:rPr>
        <w:t xml:space="preserve">  The term “preponderance of the evidence” means one party must present evidence which is more convincing, by even the smallest amount, than the evidence presented by the other party.  </w:t>
      </w:r>
      <w:r w:rsidR="000A145A" w:rsidRPr="00624C51">
        <w:rPr>
          <w:sz w:val="24"/>
          <w:szCs w:val="24"/>
        </w:rPr>
        <w:tab/>
      </w:r>
      <w:r w:rsidR="000A145A">
        <w:rPr>
          <w:sz w:val="24"/>
          <w:szCs w:val="24"/>
        </w:rPr>
        <w:t>O</w:t>
      </w:r>
      <w:r w:rsidR="000A145A" w:rsidRPr="00624C51">
        <w:rPr>
          <w:sz w:val="24"/>
          <w:szCs w:val="24"/>
        </w:rPr>
        <w:t>ne must exercise care to ensure the decision of the Commission is supported by substantial evidence in the record.</w:t>
      </w:r>
      <w:r w:rsidR="000A145A" w:rsidRPr="00624C51">
        <w:rPr>
          <w:rStyle w:val="FootnoteReference"/>
          <w:sz w:val="24"/>
          <w:szCs w:val="24"/>
        </w:rPr>
        <w:footnoteReference w:id="13"/>
      </w:r>
      <w:r w:rsidR="000A145A" w:rsidRPr="00624C51">
        <w:rPr>
          <w:sz w:val="24"/>
          <w:szCs w:val="24"/>
        </w:rPr>
        <w:t xml:space="preserve">  The term “substantial evidence” means such relevant evidence that a reasonable mind may accept as adequate to support a conclusion.  More is required than a mere trace of evidence or a suspicion of the existence of a fact sought to be established.</w:t>
      </w:r>
      <w:r w:rsidR="000A145A" w:rsidRPr="00624C51">
        <w:rPr>
          <w:rStyle w:val="FootnoteReference"/>
          <w:sz w:val="24"/>
          <w:szCs w:val="24"/>
        </w:rPr>
        <w:footnoteReference w:id="14"/>
      </w:r>
      <w:r w:rsidR="000A145A" w:rsidRPr="00624C51">
        <w:rPr>
          <w:sz w:val="24"/>
          <w:szCs w:val="24"/>
        </w:rPr>
        <w:t xml:space="preserve">  </w:t>
      </w:r>
      <w:r w:rsidR="000A145A">
        <w:rPr>
          <w:sz w:val="24"/>
          <w:szCs w:val="24"/>
        </w:rPr>
        <w:t>Here, Columbia Gas carries the burden of proving it is just, reasonable and in the public interest for the Commission to approve Columbia Gas’ application to abandon service</w:t>
      </w:r>
      <w:r w:rsidR="009224B0">
        <w:rPr>
          <w:sz w:val="24"/>
          <w:szCs w:val="24"/>
        </w:rPr>
        <w:t xml:space="preserve"> to one mainline tap customer.</w:t>
      </w:r>
    </w:p>
    <w:p w:rsidR="00724B15" w:rsidRDefault="00724B15" w:rsidP="00585E11">
      <w:pPr>
        <w:spacing w:line="360" w:lineRule="auto"/>
        <w:jc w:val="center"/>
        <w:rPr>
          <w:sz w:val="24"/>
          <w:szCs w:val="24"/>
          <w:u w:val="single"/>
        </w:rPr>
      </w:pPr>
    </w:p>
    <w:p w:rsidR="00585E11" w:rsidRPr="00585E11" w:rsidRDefault="00585E11" w:rsidP="00585E11">
      <w:pPr>
        <w:spacing w:line="360" w:lineRule="auto"/>
        <w:jc w:val="center"/>
        <w:rPr>
          <w:sz w:val="24"/>
          <w:szCs w:val="24"/>
          <w:u w:val="single"/>
        </w:rPr>
      </w:pPr>
      <w:r w:rsidRPr="00585E11">
        <w:rPr>
          <w:sz w:val="24"/>
          <w:szCs w:val="24"/>
          <w:u w:val="single"/>
        </w:rPr>
        <w:lastRenderedPageBreak/>
        <w:t>Applicable Law in Abandonment Proceedings</w:t>
      </w:r>
    </w:p>
    <w:p w:rsidR="00585E11" w:rsidRDefault="00585E11" w:rsidP="00585E11">
      <w:pPr>
        <w:spacing w:line="360" w:lineRule="auto"/>
        <w:rPr>
          <w:sz w:val="24"/>
          <w:szCs w:val="24"/>
        </w:rPr>
      </w:pPr>
    </w:p>
    <w:p w:rsidR="00585E11" w:rsidRPr="00624C51" w:rsidRDefault="00585E11" w:rsidP="00585E11">
      <w:pPr>
        <w:spacing w:line="360" w:lineRule="auto"/>
        <w:rPr>
          <w:sz w:val="24"/>
          <w:szCs w:val="24"/>
        </w:rPr>
      </w:pPr>
      <w:r>
        <w:rPr>
          <w:sz w:val="24"/>
          <w:szCs w:val="24"/>
        </w:rPr>
        <w:tab/>
      </w:r>
      <w:r>
        <w:rPr>
          <w:sz w:val="24"/>
          <w:szCs w:val="24"/>
        </w:rPr>
        <w:tab/>
      </w:r>
      <w:r w:rsidRPr="00624C51">
        <w:rPr>
          <w:sz w:val="24"/>
          <w:szCs w:val="24"/>
        </w:rPr>
        <w:t>Before a public utility may abandon service to the public, the utility must first apply for, and obtain, a certificate of public convenience.  Section 1102(a</w:t>
      </w:r>
      <w:proofErr w:type="gramStart"/>
      <w:r w:rsidRPr="00624C51">
        <w:rPr>
          <w:sz w:val="24"/>
          <w:szCs w:val="24"/>
        </w:rPr>
        <w:t>)(</w:t>
      </w:r>
      <w:proofErr w:type="gramEnd"/>
      <w:r w:rsidRPr="00624C51">
        <w:rPr>
          <w:sz w:val="24"/>
          <w:szCs w:val="24"/>
        </w:rPr>
        <w:t>2) of the Public Utility Code (the “Code”), 66 Pa. C.S. §1102(a)(2).  Section 1103(a) of the Code, 66 Pa. C.S. §1103(a), defines the general standard by which the Commission determines whether to grant a certificate of public convenience:</w:t>
      </w:r>
    </w:p>
    <w:p w:rsidR="00585E11" w:rsidRPr="00624C51" w:rsidRDefault="00585E11" w:rsidP="00585E11">
      <w:pPr>
        <w:spacing w:line="360" w:lineRule="auto"/>
        <w:rPr>
          <w:sz w:val="24"/>
          <w:szCs w:val="24"/>
        </w:rPr>
      </w:pPr>
    </w:p>
    <w:p w:rsidR="00585E11" w:rsidRPr="00624C51" w:rsidRDefault="00585E11" w:rsidP="00585E11">
      <w:pPr>
        <w:ind w:left="1440" w:right="1440"/>
        <w:rPr>
          <w:sz w:val="24"/>
          <w:szCs w:val="24"/>
        </w:rPr>
      </w:pPr>
      <w:r w:rsidRPr="00624C51">
        <w:rPr>
          <w:sz w:val="24"/>
          <w:szCs w:val="24"/>
        </w:rPr>
        <w:t>A certificate of public convenience shall be granted by order of the commission, only if the commission shall find or determine that the granting of such certificate is necessary or proper for the service, accommodation, convenience, or safety of the public.  The commission, in granting such certificate, may impose such conditions as it may deem to be just and reasonable.</w:t>
      </w:r>
    </w:p>
    <w:p w:rsidR="00585E11" w:rsidRPr="00624C51" w:rsidRDefault="00585E11" w:rsidP="00585E11">
      <w:pPr>
        <w:rPr>
          <w:sz w:val="24"/>
          <w:szCs w:val="24"/>
        </w:rPr>
      </w:pPr>
    </w:p>
    <w:p w:rsidR="00585E11" w:rsidRPr="00624C51" w:rsidRDefault="00585E11" w:rsidP="00585E11">
      <w:pPr>
        <w:rPr>
          <w:sz w:val="24"/>
          <w:szCs w:val="24"/>
        </w:rPr>
      </w:pPr>
    </w:p>
    <w:p w:rsidR="00585E11" w:rsidRPr="00624C51" w:rsidRDefault="00585E11" w:rsidP="00585E11">
      <w:pPr>
        <w:spacing w:line="360" w:lineRule="auto"/>
        <w:rPr>
          <w:sz w:val="24"/>
          <w:szCs w:val="24"/>
        </w:rPr>
      </w:pPr>
      <w:r w:rsidRPr="00624C51">
        <w:rPr>
          <w:sz w:val="24"/>
          <w:szCs w:val="24"/>
        </w:rPr>
        <w:t>The touchstone for the Commission’s approval of a public utility’s voluntary relinquishment of its franchise right is the public interest.</w:t>
      </w:r>
      <w:r w:rsidRPr="00624C51">
        <w:rPr>
          <w:rStyle w:val="FootnoteReference"/>
          <w:sz w:val="24"/>
          <w:szCs w:val="24"/>
        </w:rPr>
        <w:footnoteReference w:id="15"/>
      </w:r>
      <w:r w:rsidRPr="00624C51">
        <w:rPr>
          <w:sz w:val="24"/>
          <w:szCs w:val="24"/>
        </w:rPr>
        <w:t xml:space="preserve">  As </w:t>
      </w:r>
      <w:r>
        <w:rPr>
          <w:sz w:val="24"/>
          <w:szCs w:val="24"/>
        </w:rPr>
        <w:t xml:space="preserve">noted previously, </w:t>
      </w:r>
      <w:r w:rsidRPr="00624C51">
        <w:rPr>
          <w:sz w:val="24"/>
          <w:szCs w:val="24"/>
        </w:rPr>
        <w:t>Columbia</w:t>
      </w:r>
      <w:r>
        <w:rPr>
          <w:sz w:val="24"/>
          <w:szCs w:val="24"/>
        </w:rPr>
        <w:t xml:space="preserve"> Gas</w:t>
      </w:r>
      <w:r w:rsidRPr="00624C51">
        <w:rPr>
          <w:sz w:val="24"/>
          <w:szCs w:val="24"/>
        </w:rPr>
        <w:t xml:space="preserve">, as Applicant, bears the burden of proof, pursuant to </w:t>
      </w:r>
      <w:r>
        <w:rPr>
          <w:sz w:val="24"/>
          <w:szCs w:val="24"/>
        </w:rPr>
        <w:t xml:space="preserve">66 Pa. C.S. §332(a), because it is </w:t>
      </w:r>
      <w:r w:rsidRPr="00624C51">
        <w:rPr>
          <w:sz w:val="24"/>
          <w:szCs w:val="24"/>
        </w:rPr>
        <w:t>the party seeking affirmative relief from this Commission</w:t>
      </w:r>
      <w:r w:rsidR="00215865">
        <w:rPr>
          <w:sz w:val="24"/>
          <w:szCs w:val="24"/>
        </w:rPr>
        <w:t>.</w:t>
      </w:r>
    </w:p>
    <w:p w:rsidR="00585E11" w:rsidRDefault="00585E11" w:rsidP="00585E11">
      <w:pPr>
        <w:spacing w:line="360" w:lineRule="auto"/>
        <w:rPr>
          <w:sz w:val="24"/>
          <w:szCs w:val="24"/>
        </w:rPr>
      </w:pPr>
    </w:p>
    <w:p w:rsidR="00585E11" w:rsidRPr="00624C51" w:rsidRDefault="00585E11" w:rsidP="00585E11">
      <w:pPr>
        <w:spacing w:line="360" w:lineRule="auto"/>
        <w:rPr>
          <w:sz w:val="24"/>
          <w:szCs w:val="24"/>
        </w:rPr>
      </w:pPr>
      <w:r>
        <w:rPr>
          <w:sz w:val="24"/>
          <w:szCs w:val="24"/>
        </w:rPr>
        <w:tab/>
      </w:r>
      <w:r>
        <w:rPr>
          <w:sz w:val="24"/>
          <w:szCs w:val="24"/>
        </w:rPr>
        <w:tab/>
      </w:r>
      <w:r w:rsidRPr="00624C51">
        <w:rPr>
          <w:sz w:val="24"/>
          <w:szCs w:val="24"/>
        </w:rPr>
        <w:t xml:space="preserve">Accordingly, one must review the record in this application to determine whether Columbia </w:t>
      </w:r>
      <w:r>
        <w:rPr>
          <w:sz w:val="24"/>
          <w:szCs w:val="24"/>
        </w:rPr>
        <w:t xml:space="preserve">Gas </w:t>
      </w:r>
      <w:r w:rsidRPr="00624C51">
        <w:rPr>
          <w:sz w:val="24"/>
          <w:szCs w:val="24"/>
        </w:rPr>
        <w:t xml:space="preserve">satisfied its burden of proof.  If the review indicates the burden has been satisfied, one must then determine whether </w:t>
      </w:r>
      <w:proofErr w:type="spellStart"/>
      <w:r>
        <w:rPr>
          <w:sz w:val="24"/>
          <w:szCs w:val="24"/>
        </w:rPr>
        <w:t>Lucey</w:t>
      </w:r>
      <w:proofErr w:type="spellEnd"/>
      <w:r w:rsidRPr="00624C51">
        <w:rPr>
          <w:sz w:val="24"/>
          <w:szCs w:val="24"/>
        </w:rPr>
        <w:t xml:space="preserve"> submitted evidence of “co-equal” value or weight to refute </w:t>
      </w:r>
      <w:r>
        <w:rPr>
          <w:sz w:val="24"/>
          <w:szCs w:val="24"/>
        </w:rPr>
        <w:t>Columbia Gas’</w:t>
      </w:r>
      <w:r w:rsidRPr="00624C51">
        <w:rPr>
          <w:sz w:val="24"/>
          <w:szCs w:val="24"/>
        </w:rPr>
        <w:t xml:space="preserve"> evidence, and, if “yes”, one cannot deem the burden of proof to have been satisfied, unless the party bearing the burden of proof (i.e., Columbia</w:t>
      </w:r>
      <w:r>
        <w:rPr>
          <w:sz w:val="24"/>
          <w:szCs w:val="24"/>
        </w:rPr>
        <w:t xml:space="preserve"> Gas</w:t>
      </w:r>
      <w:r w:rsidRPr="00624C51">
        <w:rPr>
          <w:sz w:val="24"/>
          <w:szCs w:val="24"/>
        </w:rPr>
        <w:t xml:space="preserve">) presents additional evidence. </w:t>
      </w:r>
      <w:r w:rsidRPr="00624C51">
        <w:rPr>
          <w:rStyle w:val="FootnoteReference"/>
          <w:sz w:val="24"/>
          <w:szCs w:val="24"/>
        </w:rPr>
        <w:footnoteReference w:id="16"/>
      </w:r>
      <w:r>
        <w:rPr>
          <w:sz w:val="24"/>
          <w:szCs w:val="24"/>
        </w:rPr>
        <w:t xml:space="preserve">  A</w:t>
      </w:r>
      <w:r w:rsidRPr="00624C51">
        <w:rPr>
          <w:sz w:val="24"/>
          <w:szCs w:val="24"/>
        </w:rPr>
        <w:t>mong the factors the Commission considers in assessing whether public convenience and necessity will be served by any proposed abandonment are:</w:t>
      </w:r>
      <w:r w:rsidR="00215865">
        <w:rPr>
          <w:sz w:val="24"/>
          <w:szCs w:val="24"/>
        </w:rPr>
        <w:t xml:space="preserve"> </w:t>
      </w:r>
      <w:r w:rsidRPr="00624C51">
        <w:rPr>
          <w:sz w:val="24"/>
          <w:szCs w:val="24"/>
        </w:rPr>
        <w:t xml:space="preserve"> (1) the availability of supply; (2) the economics of maintaining the system; (3) the number of customers affected; </w:t>
      </w:r>
      <w:r w:rsidRPr="00624C51">
        <w:rPr>
          <w:sz w:val="24"/>
          <w:szCs w:val="24"/>
        </w:rPr>
        <w:lastRenderedPageBreak/>
        <w:t>(4) the availability of alternative fuels and/or suppliers; (5) the costs of converting to alternate fuels or suppliers; and (6) the allocation of such costs.</w:t>
      </w:r>
      <w:r w:rsidRPr="00624C51">
        <w:rPr>
          <w:rStyle w:val="FootnoteReference"/>
          <w:sz w:val="24"/>
          <w:szCs w:val="24"/>
        </w:rPr>
        <w:footnoteReference w:id="17"/>
      </w:r>
      <w:r w:rsidRPr="00624C51">
        <w:rPr>
          <w:sz w:val="24"/>
          <w:szCs w:val="24"/>
        </w:rPr>
        <w:t xml:space="preserve">  </w:t>
      </w:r>
    </w:p>
    <w:p w:rsidR="00F17B41" w:rsidRDefault="00F17B41" w:rsidP="00585E11">
      <w:pPr>
        <w:spacing w:line="360" w:lineRule="auto"/>
        <w:jc w:val="center"/>
        <w:rPr>
          <w:sz w:val="24"/>
          <w:szCs w:val="24"/>
          <w:u w:val="single"/>
        </w:rPr>
      </w:pPr>
    </w:p>
    <w:p w:rsidR="007C3CF3" w:rsidRPr="007C3CF3" w:rsidRDefault="00585E11" w:rsidP="00585E11">
      <w:pPr>
        <w:spacing w:line="360" w:lineRule="auto"/>
        <w:jc w:val="center"/>
        <w:rPr>
          <w:sz w:val="24"/>
          <w:szCs w:val="24"/>
          <w:u w:val="single"/>
        </w:rPr>
      </w:pPr>
      <w:r>
        <w:rPr>
          <w:sz w:val="24"/>
          <w:szCs w:val="24"/>
          <w:u w:val="single"/>
        </w:rPr>
        <w:t>Availability of Supply</w:t>
      </w:r>
    </w:p>
    <w:p w:rsidR="00051FA2" w:rsidRDefault="00051FA2" w:rsidP="007D4668">
      <w:pPr>
        <w:spacing w:line="360" w:lineRule="auto"/>
        <w:rPr>
          <w:sz w:val="24"/>
          <w:szCs w:val="24"/>
        </w:rPr>
      </w:pPr>
    </w:p>
    <w:p w:rsidR="001E1B0E" w:rsidRPr="0071103F" w:rsidRDefault="00BE23CE" w:rsidP="001E1B0E">
      <w:pPr>
        <w:spacing w:line="360" w:lineRule="auto"/>
        <w:rPr>
          <w:sz w:val="24"/>
          <w:szCs w:val="24"/>
        </w:rPr>
      </w:pPr>
      <w:r>
        <w:rPr>
          <w:sz w:val="24"/>
          <w:szCs w:val="24"/>
        </w:rPr>
        <w:tab/>
      </w:r>
      <w:r>
        <w:rPr>
          <w:sz w:val="24"/>
          <w:szCs w:val="24"/>
        </w:rPr>
        <w:tab/>
      </w:r>
      <w:r w:rsidR="001E1B0E" w:rsidRPr="0071103F">
        <w:rPr>
          <w:sz w:val="24"/>
          <w:szCs w:val="24"/>
        </w:rPr>
        <w:t xml:space="preserve">Although Applicant utility company initially provided only hearsay testimony concerning an available supply source, the utility did provide more than sufficient evidence that the only Columbia Gas-owned facilities on Mr. </w:t>
      </w:r>
      <w:proofErr w:type="spellStart"/>
      <w:r w:rsidR="001E1B0E" w:rsidRPr="0071103F">
        <w:rPr>
          <w:sz w:val="24"/>
          <w:szCs w:val="24"/>
        </w:rPr>
        <w:t>Lucey’s</w:t>
      </w:r>
      <w:proofErr w:type="spellEnd"/>
      <w:r w:rsidR="001E1B0E" w:rsidRPr="0071103F">
        <w:rPr>
          <w:sz w:val="24"/>
          <w:szCs w:val="24"/>
        </w:rPr>
        <w:t xml:space="preserve"> property were the tap and meter.  Both of these items were located at the transmission line owned by a non-jurisdictional company.  Unfortunately, the transmission line is no longer operational, and the source of the gas previously supplied to the </w:t>
      </w:r>
      <w:proofErr w:type="spellStart"/>
      <w:r w:rsidR="001E1B0E" w:rsidRPr="0071103F">
        <w:rPr>
          <w:sz w:val="24"/>
          <w:szCs w:val="24"/>
        </w:rPr>
        <w:t>Lucey</w:t>
      </w:r>
      <w:proofErr w:type="spellEnd"/>
      <w:r w:rsidR="001E1B0E" w:rsidRPr="0071103F">
        <w:rPr>
          <w:sz w:val="24"/>
          <w:szCs w:val="24"/>
        </w:rPr>
        <w:t xml:space="preserve"> residence is no longer available.  </w:t>
      </w:r>
    </w:p>
    <w:p w:rsidR="001E1B0E" w:rsidRPr="0071103F" w:rsidRDefault="001E1B0E" w:rsidP="001E1B0E">
      <w:pPr>
        <w:spacing w:line="360" w:lineRule="auto"/>
        <w:rPr>
          <w:sz w:val="24"/>
          <w:szCs w:val="24"/>
        </w:rPr>
      </w:pPr>
    </w:p>
    <w:p w:rsidR="001E1B0E" w:rsidRDefault="001E1B0E" w:rsidP="001E1B0E">
      <w:pPr>
        <w:spacing w:line="360" w:lineRule="auto"/>
        <w:rPr>
          <w:sz w:val="24"/>
          <w:szCs w:val="24"/>
        </w:rPr>
      </w:pPr>
      <w:r w:rsidRPr="0071103F">
        <w:rPr>
          <w:sz w:val="24"/>
          <w:szCs w:val="24"/>
        </w:rPr>
        <w:tab/>
      </w:r>
      <w:r w:rsidRPr="0071103F">
        <w:rPr>
          <w:sz w:val="24"/>
          <w:szCs w:val="24"/>
        </w:rPr>
        <w:tab/>
        <w:t xml:space="preserve">Therefore, the analysis herein must determine the nearest point of possible delivery.  Columbia Gas’ Director of Rates and Regulatory Affairs testified the public utility would have to invest $2 million dollars to extend 21,799 feet of additional pipe in order to connect Complainant’s residence to the nearest natural gas distribution line.  </w:t>
      </w:r>
      <w:proofErr w:type="gramStart"/>
      <w:r w:rsidRPr="0071103F">
        <w:rPr>
          <w:sz w:val="24"/>
          <w:szCs w:val="24"/>
        </w:rPr>
        <w:t>(See Columbia Statement No. 1 at 6).</w:t>
      </w:r>
      <w:proofErr w:type="gramEnd"/>
      <w:r w:rsidRPr="0071103F">
        <w:rPr>
          <w:sz w:val="24"/>
          <w:szCs w:val="24"/>
        </w:rPr>
        <w:t xml:space="preserve">  </w:t>
      </w:r>
    </w:p>
    <w:p w:rsidR="001E1B0E" w:rsidRDefault="001E1B0E" w:rsidP="001E1B0E">
      <w:pPr>
        <w:spacing w:line="360" w:lineRule="auto"/>
        <w:rPr>
          <w:sz w:val="24"/>
          <w:szCs w:val="24"/>
        </w:rPr>
      </w:pPr>
    </w:p>
    <w:p w:rsidR="001E1B0E" w:rsidRDefault="001E1B0E" w:rsidP="001E1B0E">
      <w:pPr>
        <w:spacing w:line="360" w:lineRule="auto"/>
        <w:rPr>
          <w:sz w:val="24"/>
          <w:szCs w:val="24"/>
        </w:rPr>
      </w:pPr>
      <w:r>
        <w:rPr>
          <w:sz w:val="24"/>
          <w:szCs w:val="24"/>
        </w:rPr>
        <w:tab/>
      </w:r>
      <w:r>
        <w:rPr>
          <w:sz w:val="24"/>
          <w:szCs w:val="24"/>
        </w:rPr>
        <w:tab/>
      </w:r>
      <w:r w:rsidRPr="0071103F">
        <w:rPr>
          <w:sz w:val="24"/>
          <w:szCs w:val="24"/>
        </w:rPr>
        <w:t xml:space="preserve">Later, Columbia Gas’ provided the testimony of the NiSource Corporate Services Manager of Field Engineering who testified the distance was incorrectly calculated initially because the true distance is approximately 28,000 feet at an investment cost of $2.9 million.  </w:t>
      </w:r>
      <w:proofErr w:type="gramStart"/>
      <w:r w:rsidRPr="0071103F">
        <w:rPr>
          <w:sz w:val="24"/>
          <w:szCs w:val="24"/>
        </w:rPr>
        <w:t>(See Tr. 236-237; Col</w:t>
      </w:r>
      <w:r>
        <w:rPr>
          <w:sz w:val="24"/>
          <w:szCs w:val="24"/>
        </w:rPr>
        <w:t>umbia Stmt. 3 at 3-4; Ex. NWW-2</w:t>
      </w:r>
      <w:r w:rsidRPr="0071103F">
        <w:rPr>
          <w:sz w:val="24"/>
          <w:szCs w:val="24"/>
        </w:rPr>
        <w:t>).</w:t>
      </w:r>
      <w:proofErr w:type="gramEnd"/>
      <w:r w:rsidRPr="0071103F">
        <w:rPr>
          <w:sz w:val="24"/>
          <w:szCs w:val="24"/>
        </w:rPr>
        <w:t xml:space="preserve">  The pathway for the proposed pipeline would follow Columbia Gas’ public right-of-way along the West Roy Furman Highway runs, and would be the best route for a pipeline under the circumstances presented.  </w:t>
      </w:r>
    </w:p>
    <w:p w:rsidR="001E1B0E" w:rsidRDefault="001E1B0E" w:rsidP="001E1B0E">
      <w:pPr>
        <w:spacing w:line="360" w:lineRule="auto"/>
        <w:rPr>
          <w:sz w:val="24"/>
          <w:szCs w:val="24"/>
        </w:rPr>
      </w:pPr>
    </w:p>
    <w:p w:rsidR="001E1B0E" w:rsidRPr="0071103F" w:rsidRDefault="001E1B0E" w:rsidP="001E1B0E">
      <w:pPr>
        <w:spacing w:line="360" w:lineRule="auto"/>
        <w:rPr>
          <w:sz w:val="24"/>
          <w:szCs w:val="24"/>
        </w:rPr>
      </w:pPr>
      <w:r>
        <w:rPr>
          <w:sz w:val="24"/>
          <w:szCs w:val="24"/>
        </w:rPr>
        <w:tab/>
      </w:r>
      <w:r>
        <w:rPr>
          <w:sz w:val="24"/>
          <w:szCs w:val="24"/>
        </w:rPr>
        <w:tab/>
      </w:r>
      <w:r w:rsidRPr="0071103F">
        <w:rPr>
          <w:sz w:val="24"/>
          <w:szCs w:val="24"/>
        </w:rPr>
        <w:t xml:space="preserve">Columbia Gas’ evidence, provided by an engineer, concerning the distance, cost and route of the proposed pipeline was </w:t>
      </w:r>
      <w:proofErr w:type="spellStart"/>
      <w:r w:rsidRPr="0071103F">
        <w:rPr>
          <w:sz w:val="24"/>
          <w:szCs w:val="24"/>
        </w:rPr>
        <w:t>unrebutted</w:t>
      </w:r>
      <w:proofErr w:type="spellEnd"/>
      <w:r w:rsidRPr="0071103F">
        <w:rPr>
          <w:sz w:val="24"/>
          <w:szCs w:val="24"/>
        </w:rPr>
        <w:t xml:space="preserve"> by Mr. </w:t>
      </w:r>
      <w:proofErr w:type="spellStart"/>
      <w:r w:rsidRPr="0071103F">
        <w:rPr>
          <w:sz w:val="24"/>
          <w:szCs w:val="24"/>
        </w:rPr>
        <w:t>Lucey</w:t>
      </w:r>
      <w:proofErr w:type="spellEnd"/>
      <w:r w:rsidRPr="0071103F">
        <w:rPr>
          <w:sz w:val="24"/>
          <w:szCs w:val="24"/>
        </w:rPr>
        <w:t xml:space="preserve"> and supports a finding that an alternate source of a supply of natural gas is not readily available for the utility.  Absent a </w:t>
      </w:r>
      <w:r w:rsidRPr="0071103F">
        <w:rPr>
          <w:sz w:val="24"/>
          <w:szCs w:val="24"/>
        </w:rPr>
        <w:lastRenderedPageBreak/>
        <w:t xml:space="preserve">willingness of the customer to pay for the line extension in accordance with the utility's tariff, it is unreasonable for Mr. </w:t>
      </w:r>
      <w:proofErr w:type="spellStart"/>
      <w:r w:rsidRPr="0071103F">
        <w:rPr>
          <w:sz w:val="24"/>
          <w:szCs w:val="24"/>
        </w:rPr>
        <w:t>Lucey</w:t>
      </w:r>
      <w:proofErr w:type="spellEnd"/>
      <w:r w:rsidRPr="0071103F">
        <w:rPr>
          <w:sz w:val="24"/>
          <w:szCs w:val="24"/>
        </w:rPr>
        <w:t xml:space="preserve"> to expect Columbia Gas </w:t>
      </w:r>
      <w:r>
        <w:rPr>
          <w:sz w:val="24"/>
          <w:szCs w:val="24"/>
        </w:rPr>
        <w:t xml:space="preserve">and its other ratepayers </w:t>
      </w:r>
      <w:r w:rsidRPr="0071103F">
        <w:rPr>
          <w:sz w:val="24"/>
          <w:szCs w:val="24"/>
        </w:rPr>
        <w:t xml:space="preserve">to extend service to the </w:t>
      </w:r>
      <w:proofErr w:type="spellStart"/>
      <w:r w:rsidRPr="0071103F">
        <w:rPr>
          <w:sz w:val="24"/>
          <w:szCs w:val="24"/>
        </w:rPr>
        <w:t>Lucey</w:t>
      </w:r>
      <w:proofErr w:type="spellEnd"/>
      <w:r w:rsidRPr="0071103F">
        <w:rPr>
          <w:sz w:val="24"/>
          <w:szCs w:val="24"/>
        </w:rPr>
        <w:t xml:space="preserve"> residence.  Therefore, Columbia Gas met this prong of the test.</w:t>
      </w:r>
    </w:p>
    <w:p w:rsidR="001E1B0E" w:rsidRPr="0071103F" w:rsidRDefault="001E1B0E" w:rsidP="001E1B0E">
      <w:pPr>
        <w:spacing w:line="360" w:lineRule="auto"/>
        <w:rPr>
          <w:sz w:val="24"/>
          <w:szCs w:val="24"/>
        </w:rPr>
      </w:pPr>
    </w:p>
    <w:p w:rsidR="001E1B0E" w:rsidRPr="00EB39AE" w:rsidRDefault="001E1B0E" w:rsidP="001E1B0E">
      <w:pPr>
        <w:spacing w:line="360" w:lineRule="auto"/>
        <w:jc w:val="center"/>
        <w:rPr>
          <w:sz w:val="24"/>
          <w:szCs w:val="24"/>
          <w:u w:val="single"/>
        </w:rPr>
      </w:pPr>
      <w:r w:rsidRPr="00EB39AE">
        <w:rPr>
          <w:sz w:val="24"/>
          <w:szCs w:val="24"/>
          <w:u w:val="single"/>
        </w:rPr>
        <w:t>Conclusion on the Assessment of Public Interest</w:t>
      </w:r>
    </w:p>
    <w:p w:rsidR="001E1B0E" w:rsidRDefault="001E1B0E" w:rsidP="001E1B0E">
      <w:pPr>
        <w:spacing w:line="360" w:lineRule="auto"/>
        <w:rPr>
          <w:sz w:val="24"/>
          <w:szCs w:val="24"/>
        </w:rPr>
      </w:pPr>
    </w:p>
    <w:p w:rsidR="001E1B0E" w:rsidRDefault="001E1B0E" w:rsidP="001E1B0E">
      <w:pPr>
        <w:spacing w:line="360" w:lineRule="auto"/>
        <w:rPr>
          <w:sz w:val="24"/>
          <w:szCs w:val="24"/>
        </w:rPr>
      </w:pPr>
      <w:r>
        <w:rPr>
          <w:sz w:val="24"/>
          <w:szCs w:val="24"/>
        </w:rPr>
        <w:tab/>
      </w:r>
      <w:r>
        <w:rPr>
          <w:sz w:val="24"/>
          <w:szCs w:val="24"/>
        </w:rPr>
        <w:tab/>
        <w:t xml:space="preserve">The public interest requirement was met when Columbia Gas provided factual evidence concerning the available supply of natural gas in the area, the proximity of its distribution system to Mr. </w:t>
      </w:r>
      <w:proofErr w:type="spellStart"/>
      <w:r>
        <w:rPr>
          <w:sz w:val="24"/>
          <w:szCs w:val="24"/>
        </w:rPr>
        <w:t>Lucey’s</w:t>
      </w:r>
      <w:proofErr w:type="spellEnd"/>
      <w:r>
        <w:rPr>
          <w:sz w:val="24"/>
          <w:szCs w:val="24"/>
        </w:rPr>
        <w:t xml:space="preserve"> residence, and the cost to install a pipeline to connect the residence to the distribution system.  Columbia Gas also provided factual evidence that the cost of laying a new pipeline relative to the income Columbia Gas could reasonably expect to receive for providing natural gas service to the residence was too excessive and the Commission cannot reasonably expect the other ratepayers of Columbia Gas to pay for the cost of such a pipeline.  Therefore, the application to abandon will be approved.  </w:t>
      </w:r>
    </w:p>
    <w:p w:rsidR="001E1B0E" w:rsidRDefault="001E1B0E" w:rsidP="001E1B0E">
      <w:pPr>
        <w:spacing w:line="360" w:lineRule="auto"/>
        <w:rPr>
          <w:sz w:val="24"/>
          <w:szCs w:val="24"/>
        </w:rPr>
      </w:pPr>
    </w:p>
    <w:p w:rsidR="001E1B0E" w:rsidRDefault="001E1B0E" w:rsidP="001E1B0E">
      <w:pPr>
        <w:spacing w:line="360" w:lineRule="auto"/>
        <w:rPr>
          <w:sz w:val="24"/>
          <w:szCs w:val="24"/>
        </w:rPr>
      </w:pPr>
      <w:r>
        <w:rPr>
          <w:sz w:val="24"/>
          <w:szCs w:val="24"/>
        </w:rPr>
        <w:tab/>
      </w:r>
      <w:r>
        <w:rPr>
          <w:sz w:val="24"/>
          <w:szCs w:val="24"/>
        </w:rPr>
        <w:tab/>
        <w:t xml:space="preserve">Columbia Gas asked Mr. </w:t>
      </w:r>
      <w:proofErr w:type="spellStart"/>
      <w:r>
        <w:rPr>
          <w:sz w:val="24"/>
          <w:szCs w:val="24"/>
        </w:rPr>
        <w:t>Lucey</w:t>
      </w:r>
      <w:proofErr w:type="spellEnd"/>
      <w:r>
        <w:rPr>
          <w:sz w:val="24"/>
          <w:szCs w:val="24"/>
        </w:rPr>
        <w:t xml:space="preserve"> to provide an estimate of converting to propane as the energy source for the residence and to also provide an additional estimate for conversion to another type of energy source.  Mr. </w:t>
      </w:r>
      <w:proofErr w:type="spellStart"/>
      <w:r>
        <w:rPr>
          <w:sz w:val="24"/>
          <w:szCs w:val="24"/>
        </w:rPr>
        <w:t>Lucey</w:t>
      </w:r>
      <w:proofErr w:type="spellEnd"/>
      <w:r>
        <w:rPr>
          <w:sz w:val="24"/>
          <w:szCs w:val="24"/>
        </w:rPr>
        <w:t xml:space="preserve"> provided no evidence concerning those estimates, although he mentioned a geothermal conversion as a preferred energy source.  It was known how much money he spent to convert over to propane in June 2011 and the efforts he made to contain his costs of conversion as low as possible.  However, nothing prevents Mr. </w:t>
      </w:r>
      <w:proofErr w:type="spellStart"/>
      <w:r>
        <w:rPr>
          <w:sz w:val="24"/>
          <w:szCs w:val="24"/>
        </w:rPr>
        <w:t>Lucey</w:t>
      </w:r>
      <w:proofErr w:type="spellEnd"/>
      <w:r>
        <w:rPr>
          <w:sz w:val="24"/>
          <w:szCs w:val="24"/>
        </w:rPr>
        <w:t xml:space="preserve"> from utilizing the funds to be received from Columbia Gas as a means to defray the cost of converting to geothermal, if he so chooses.</w:t>
      </w:r>
    </w:p>
    <w:p w:rsidR="001E1B0E" w:rsidRPr="00B002E4" w:rsidRDefault="001E1B0E" w:rsidP="001E1B0E">
      <w:pPr>
        <w:spacing w:line="360" w:lineRule="auto"/>
        <w:rPr>
          <w:sz w:val="24"/>
          <w:szCs w:val="24"/>
        </w:rPr>
      </w:pPr>
    </w:p>
    <w:p w:rsidR="001E1B0E" w:rsidRPr="00C0274D" w:rsidRDefault="001E1B0E" w:rsidP="001E1B0E">
      <w:pPr>
        <w:spacing w:line="360" w:lineRule="auto"/>
        <w:jc w:val="center"/>
        <w:rPr>
          <w:sz w:val="24"/>
          <w:szCs w:val="24"/>
          <w:u w:val="single"/>
        </w:rPr>
      </w:pPr>
      <w:r w:rsidRPr="00C0274D">
        <w:rPr>
          <w:sz w:val="24"/>
          <w:szCs w:val="24"/>
          <w:u w:val="single"/>
        </w:rPr>
        <w:t>Terms and Conditions of Abandonment</w:t>
      </w:r>
    </w:p>
    <w:p w:rsidR="001E1B0E" w:rsidRPr="00B002E4" w:rsidRDefault="001E1B0E" w:rsidP="001E1B0E">
      <w:pPr>
        <w:spacing w:line="360" w:lineRule="auto"/>
        <w:rPr>
          <w:sz w:val="24"/>
          <w:szCs w:val="24"/>
        </w:rPr>
      </w:pPr>
    </w:p>
    <w:p w:rsidR="001E1B0E" w:rsidRPr="00B002E4" w:rsidRDefault="001E1B0E" w:rsidP="001E1B0E">
      <w:pPr>
        <w:pStyle w:val="BodyText"/>
        <w:jc w:val="left"/>
        <w:rPr>
          <w:sz w:val="24"/>
          <w:szCs w:val="24"/>
        </w:rPr>
      </w:pPr>
      <w:r w:rsidRPr="00B002E4">
        <w:rPr>
          <w:sz w:val="24"/>
          <w:szCs w:val="24"/>
        </w:rPr>
        <w:tab/>
      </w:r>
      <w:r w:rsidRPr="00B002E4">
        <w:rPr>
          <w:sz w:val="24"/>
          <w:szCs w:val="24"/>
        </w:rPr>
        <w:tab/>
        <w:t xml:space="preserve">As noted previously, Section 1103(a) of the Code, 66 </w:t>
      </w:r>
      <w:smartTag w:uri="urn:schemas-microsoft-com:office:smarttags" w:element="place">
        <w:smartTag w:uri="urn:schemas-microsoft-com:office:smarttags" w:element="State">
          <w:r w:rsidRPr="00B002E4">
            <w:rPr>
              <w:sz w:val="24"/>
              <w:szCs w:val="24"/>
            </w:rPr>
            <w:t>Pa.</w:t>
          </w:r>
        </w:smartTag>
      </w:smartTag>
      <w:r w:rsidRPr="00B002E4">
        <w:rPr>
          <w:sz w:val="24"/>
          <w:szCs w:val="24"/>
        </w:rPr>
        <w:t xml:space="preserve"> C.S. § 1103(a), authorizes the Commission to impose reasonable terms and conditions on the abandonment of service by a utility.  </w:t>
      </w:r>
      <w:proofErr w:type="gramStart"/>
      <w:r w:rsidRPr="00B002E4">
        <w:rPr>
          <w:sz w:val="24"/>
          <w:szCs w:val="24"/>
          <w:u w:val="single"/>
        </w:rPr>
        <w:t>Duncannon</w:t>
      </w:r>
      <w:r w:rsidRPr="00B002E4">
        <w:rPr>
          <w:sz w:val="24"/>
          <w:szCs w:val="24"/>
        </w:rPr>
        <w:t xml:space="preserve">, </w:t>
      </w:r>
      <w:r w:rsidRPr="00B002E4">
        <w:rPr>
          <w:i/>
          <w:sz w:val="24"/>
          <w:szCs w:val="24"/>
        </w:rPr>
        <w:t>supra</w:t>
      </w:r>
      <w:r w:rsidRPr="00B002E4">
        <w:rPr>
          <w:sz w:val="24"/>
          <w:szCs w:val="24"/>
        </w:rPr>
        <w:t>.</w:t>
      </w:r>
      <w:proofErr w:type="gramEnd"/>
      <w:r w:rsidRPr="00B002E4">
        <w:rPr>
          <w:sz w:val="24"/>
          <w:szCs w:val="24"/>
        </w:rPr>
        <w:t xml:space="preserve">  For the reasons discussed </w:t>
      </w:r>
      <w:r w:rsidRPr="00B002E4">
        <w:rPr>
          <w:i/>
          <w:sz w:val="24"/>
          <w:szCs w:val="24"/>
        </w:rPr>
        <w:t>supra</w:t>
      </w:r>
      <w:r w:rsidRPr="00B002E4">
        <w:rPr>
          <w:sz w:val="24"/>
          <w:szCs w:val="24"/>
        </w:rPr>
        <w:t xml:space="preserve">, this application will be granted subject to certain conditions.  </w:t>
      </w:r>
      <w:r>
        <w:rPr>
          <w:sz w:val="24"/>
          <w:szCs w:val="24"/>
        </w:rPr>
        <w:t>Columbia Gas</w:t>
      </w:r>
      <w:r w:rsidRPr="00B002E4">
        <w:rPr>
          <w:sz w:val="24"/>
          <w:szCs w:val="24"/>
        </w:rPr>
        <w:t xml:space="preserve"> must pay </w:t>
      </w:r>
      <w:r>
        <w:rPr>
          <w:sz w:val="24"/>
          <w:szCs w:val="24"/>
        </w:rPr>
        <w:t xml:space="preserve">Joseph </w:t>
      </w:r>
      <w:proofErr w:type="spellStart"/>
      <w:r>
        <w:rPr>
          <w:sz w:val="24"/>
          <w:szCs w:val="24"/>
        </w:rPr>
        <w:t>Lucey</w:t>
      </w:r>
      <w:proofErr w:type="spellEnd"/>
      <w:r>
        <w:rPr>
          <w:sz w:val="24"/>
          <w:szCs w:val="24"/>
        </w:rPr>
        <w:t xml:space="preserve"> the sum of</w:t>
      </w:r>
      <w:r w:rsidRPr="00B002E4">
        <w:rPr>
          <w:sz w:val="24"/>
          <w:szCs w:val="24"/>
        </w:rPr>
        <w:t xml:space="preserve"> $</w:t>
      </w:r>
      <w:r>
        <w:rPr>
          <w:sz w:val="24"/>
          <w:szCs w:val="24"/>
        </w:rPr>
        <w:t>3,4</w:t>
      </w:r>
      <w:r w:rsidR="00B02FB4">
        <w:rPr>
          <w:sz w:val="24"/>
          <w:szCs w:val="24"/>
        </w:rPr>
        <w:t>3</w:t>
      </w:r>
      <w:r>
        <w:rPr>
          <w:sz w:val="24"/>
          <w:szCs w:val="24"/>
        </w:rPr>
        <w:t>7.10</w:t>
      </w:r>
      <w:r w:rsidRPr="00B002E4">
        <w:rPr>
          <w:sz w:val="24"/>
          <w:szCs w:val="24"/>
        </w:rPr>
        <w:t xml:space="preserve"> to help defray the costs of converting to an alternate energy source.  Next, </w:t>
      </w:r>
      <w:r>
        <w:rPr>
          <w:sz w:val="24"/>
          <w:szCs w:val="24"/>
        </w:rPr>
        <w:t xml:space="preserve">Columbia </w:t>
      </w:r>
      <w:r>
        <w:rPr>
          <w:sz w:val="24"/>
          <w:szCs w:val="24"/>
        </w:rPr>
        <w:lastRenderedPageBreak/>
        <w:t>Gas</w:t>
      </w:r>
      <w:r w:rsidRPr="00B002E4">
        <w:rPr>
          <w:sz w:val="24"/>
          <w:szCs w:val="24"/>
        </w:rPr>
        <w:t xml:space="preserve"> must purge and cap all service lines, </w:t>
      </w:r>
      <w:r>
        <w:rPr>
          <w:sz w:val="24"/>
          <w:szCs w:val="24"/>
        </w:rPr>
        <w:t xml:space="preserve">if it has not done so already, </w:t>
      </w:r>
      <w:r w:rsidRPr="00B002E4">
        <w:rPr>
          <w:sz w:val="24"/>
          <w:szCs w:val="24"/>
        </w:rPr>
        <w:t xml:space="preserve">which </w:t>
      </w:r>
      <w:r>
        <w:rPr>
          <w:sz w:val="24"/>
          <w:szCs w:val="24"/>
        </w:rPr>
        <w:t xml:space="preserve">lines </w:t>
      </w:r>
      <w:r w:rsidRPr="00B002E4">
        <w:rPr>
          <w:sz w:val="24"/>
          <w:szCs w:val="24"/>
        </w:rPr>
        <w:t xml:space="preserve">had been used to deliver gas to </w:t>
      </w:r>
      <w:r>
        <w:rPr>
          <w:sz w:val="24"/>
          <w:szCs w:val="24"/>
        </w:rPr>
        <w:t>the affected customer</w:t>
      </w:r>
      <w:r w:rsidRPr="00B002E4">
        <w:rPr>
          <w:sz w:val="24"/>
          <w:szCs w:val="24"/>
        </w:rPr>
        <w:t xml:space="preserve">, at its sole cost and expense as directed by the Gas Safety Division of the Bureau of Transportation and Safety.  It is understood the subject </w:t>
      </w:r>
      <w:r>
        <w:rPr>
          <w:sz w:val="24"/>
          <w:szCs w:val="24"/>
        </w:rPr>
        <w:t xml:space="preserve">transmission line is owned by Columbia Transmission, </w:t>
      </w:r>
      <w:r w:rsidRPr="00B002E4">
        <w:rPr>
          <w:sz w:val="24"/>
          <w:szCs w:val="24"/>
        </w:rPr>
        <w:t>an entity not subject to the jurisdiction of this Commission.</w:t>
      </w:r>
    </w:p>
    <w:p w:rsidR="001E1B0E" w:rsidRPr="00B002E4" w:rsidRDefault="001E1B0E" w:rsidP="001E1B0E">
      <w:pPr>
        <w:spacing w:line="360" w:lineRule="auto"/>
        <w:rPr>
          <w:sz w:val="24"/>
          <w:szCs w:val="24"/>
        </w:rPr>
      </w:pPr>
    </w:p>
    <w:p w:rsidR="001E1B0E" w:rsidRPr="00B002E4" w:rsidRDefault="001E1B0E" w:rsidP="001E1B0E">
      <w:pPr>
        <w:spacing w:line="360" w:lineRule="auto"/>
        <w:rPr>
          <w:sz w:val="24"/>
          <w:szCs w:val="24"/>
        </w:rPr>
      </w:pPr>
      <w:r w:rsidRPr="00B002E4">
        <w:rPr>
          <w:sz w:val="24"/>
          <w:szCs w:val="24"/>
        </w:rPr>
        <w:tab/>
      </w:r>
      <w:r w:rsidRPr="00B002E4">
        <w:rPr>
          <w:sz w:val="24"/>
          <w:szCs w:val="24"/>
        </w:rPr>
        <w:tab/>
        <w:t xml:space="preserve">In order to assure compliance with these terms and conditions, </w:t>
      </w:r>
      <w:r>
        <w:rPr>
          <w:sz w:val="24"/>
          <w:szCs w:val="24"/>
        </w:rPr>
        <w:t>Columbia Gas</w:t>
      </w:r>
      <w:r w:rsidRPr="00B002E4">
        <w:rPr>
          <w:sz w:val="24"/>
          <w:szCs w:val="24"/>
        </w:rPr>
        <w:t xml:space="preserve"> will be directed to file a sworn certification with the Commission within 90 days of entry of the Commission’s final Order i</w:t>
      </w:r>
      <w:r>
        <w:rPr>
          <w:sz w:val="24"/>
          <w:szCs w:val="24"/>
        </w:rPr>
        <w:t xml:space="preserve">n this application proceeding, a copy of which certification Columbia Gas </w:t>
      </w:r>
      <w:r w:rsidRPr="00B002E4">
        <w:rPr>
          <w:sz w:val="24"/>
          <w:szCs w:val="24"/>
        </w:rPr>
        <w:t xml:space="preserve">must also serve </w:t>
      </w:r>
      <w:r>
        <w:rPr>
          <w:sz w:val="24"/>
          <w:szCs w:val="24"/>
        </w:rPr>
        <w:t>upon the affected customer</w:t>
      </w:r>
      <w:r w:rsidRPr="00B002E4">
        <w:rPr>
          <w:sz w:val="24"/>
          <w:szCs w:val="24"/>
        </w:rPr>
        <w:t>.</w:t>
      </w:r>
    </w:p>
    <w:p w:rsidR="001E1B0E" w:rsidRDefault="001E1B0E" w:rsidP="00FF5789">
      <w:pPr>
        <w:spacing w:line="360" w:lineRule="auto"/>
        <w:rPr>
          <w:sz w:val="24"/>
          <w:szCs w:val="24"/>
        </w:rPr>
      </w:pPr>
    </w:p>
    <w:p w:rsidR="00585E11" w:rsidRPr="00585E11" w:rsidRDefault="00585E11" w:rsidP="00585E11">
      <w:pPr>
        <w:spacing w:line="360" w:lineRule="auto"/>
        <w:jc w:val="center"/>
        <w:rPr>
          <w:sz w:val="24"/>
          <w:szCs w:val="24"/>
          <w:u w:val="single"/>
        </w:rPr>
      </w:pPr>
      <w:r w:rsidRPr="00585E11">
        <w:rPr>
          <w:sz w:val="24"/>
          <w:szCs w:val="24"/>
          <w:u w:val="single"/>
        </w:rPr>
        <w:t>The Economics of Maintaining the System</w:t>
      </w:r>
    </w:p>
    <w:p w:rsidR="00051FA2" w:rsidRPr="00624C51" w:rsidRDefault="00051FA2" w:rsidP="00051FA2">
      <w:pPr>
        <w:spacing w:line="360" w:lineRule="auto"/>
        <w:rPr>
          <w:sz w:val="24"/>
          <w:szCs w:val="24"/>
        </w:rPr>
      </w:pPr>
    </w:p>
    <w:p w:rsidR="00051FA2" w:rsidRPr="00624C51" w:rsidRDefault="00051FA2" w:rsidP="002F7F68">
      <w:pPr>
        <w:spacing w:line="360" w:lineRule="auto"/>
        <w:rPr>
          <w:sz w:val="24"/>
          <w:szCs w:val="24"/>
        </w:rPr>
      </w:pPr>
      <w:r w:rsidRPr="00624C51">
        <w:rPr>
          <w:sz w:val="24"/>
          <w:szCs w:val="24"/>
        </w:rPr>
        <w:tab/>
      </w:r>
      <w:r w:rsidRPr="00624C51">
        <w:rPr>
          <w:sz w:val="24"/>
          <w:szCs w:val="24"/>
        </w:rPr>
        <w:tab/>
      </w:r>
      <w:r w:rsidR="00E17E5E">
        <w:rPr>
          <w:sz w:val="24"/>
          <w:szCs w:val="24"/>
        </w:rPr>
        <w:t>The economics of m</w:t>
      </w:r>
      <w:r w:rsidRPr="00624C51">
        <w:rPr>
          <w:sz w:val="24"/>
          <w:szCs w:val="24"/>
        </w:rPr>
        <w:t xml:space="preserve">aintaining </w:t>
      </w:r>
      <w:r w:rsidR="00C94F00">
        <w:rPr>
          <w:sz w:val="24"/>
          <w:szCs w:val="24"/>
        </w:rPr>
        <w:t>L</w:t>
      </w:r>
      <w:r w:rsidR="00E17E5E">
        <w:rPr>
          <w:sz w:val="24"/>
          <w:szCs w:val="24"/>
        </w:rPr>
        <w:t xml:space="preserve">ine 954 is not an applicable </w:t>
      </w:r>
      <w:r w:rsidR="002F7F68">
        <w:rPr>
          <w:sz w:val="24"/>
          <w:szCs w:val="24"/>
        </w:rPr>
        <w:t>consideration to this proceeding because the line in question belongs to Columbia Transmission, not Columbia Gas</w:t>
      </w:r>
      <w:r w:rsidRPr="00624C51">
        <w:rPr>
          <w:sz w:val="24"/>
          <w:szCs w:val="24"/>
        </w:rPr>
        <w:t xml:space="preserve">.  </w:t>
      </w:r>
      <w:r w:rsidR="002F7F68">
        <w:rPr>
          <w:sz w:val="24"/>
          <w:szCs w:val="24"/>
        </w:rPr>
        <w:t>Columbia Transmission’s</w:t>
      </w:r>
      <w:r>
        <w:rPr>
          <w:sz w:val="24"/>
          <w:szCs w:val="24"/>
        </w:rPr>
        <w:t xml:space="preserve"> decision to abandon use of this pipeline is not, and cannot be, within the purview of this decision.  </w:t>
      </w:r>
      <w:r w:rsidR="002F7F68">
        <w:rPr>
          <w:sz w:val="24"/>
          <w:szCs w:val="24"/>
        </w:rPr>
        <w:t>Columbia Gas contends l</w:t>
      </w:r>
      <w:r>
        <w:rPr>
          <w:sz w:val="24"/>
          <w:szCs w:val="24"/>
        </w:rPr>
        <w:t>aying a new distribution line from which to serve Complainant</w:t>
      </w:r>
      <w:r w:rsidRPr="00624C51">
        <w:rPr>
          <w:sz w:val="24"/>
          <w:szCs w:val="24"/>
        </w:rPr>
        <w:t>, moreover, will be cost-prohibitive</w:t>
      </w:r>
      <w:r w:rsidR="002F7F68">
        <w:rPr>
          <w:sz w:val="24"/>
          <w:szCs w:val="24"/>
        </w:rPr>
        <w:t xml:space="preserve"> because installing </w:t>
      </w:r>
      <w:r w:rsidRPr="00624C51">
        <w:rPr>
          <w:sz w:val="24"/>
          <w:szCs w:val="24"/>
        </w:rPr>
        <w:t xml:space="preserve">approximately </w:t>
      </w:r>
      <w:r w:rsidR="002F7F68">
        <w:rPr>
          <w:sz w:val="24"/>
          <w:szCs w:val="24"/>
        </w:rPr>
        <w:t>28,000</w:t>
      </w:r>
      <w:r w:rsidRPr="00624C51">
        <w:rPr>
          <w:sz w:val="24"/>
          <w:szCs w:val="24"/>
        </w:rPr>
        <w:t xml:space="preserve"> feet of pipe, as well as additional facilities and equipment, at an estimated cost of </w:t>
      </w:r>
      <w:r>
        <w:rPr>
          <w:sz w:val="24"/>
          <w:szCs w:val="24"/>
        </w:rPr>
        <w:t>approximately</w:t>
      </w:r>
      <w:r w:rsidRPr="00624C51">
        <w:rPr>
          <w:sz w:val="24"/>
          <w:szCs w:val="24"/>
        </w:rPr>
        <w:t xml:space="preserve"> $</w:t>
      </w:r>
      <w:r w:rsidR="002F7F68">
        <w:rPr>
          <w:sz w:val="24"/>
          <w:szCs w:val="24"/>
        </w:rPr>
        <w:t>2.9 million, in order</w:t>
      </w:r>
      <w:r w:rsidRPr="00624C51">
        <w:rPr>
          <w:sz w:val="24"/>
          <w:szCs w:val="24"/>
        </w:rPr>
        <w:t xml:space="preserve"> to serve </w:t>
      </w:r>
      <w:r w:rsidRPr="002F7F68">
        <w:rPr>
          <w:sz w:val="24"/>
          <w:szCs w:val="24"/>
          <w:u w:val="single"/>
        </w:rPr>
        <w:t>one</w:t>
      </w:r>
      <w:r>
        <w:rPr>
          <w:sz w:val="24"/>
          <w:szCs w:val="24"/>
        </w:rPr>
        <w:t xml:space="preserve"> affected residential customer</w:t>
      </w:r>
      <w:r w:rsidR="002F7F68">
        <w:rPr>
          <w:sz w:val="24"/>
          <w:szCs w:val="24"/>
        </w:rPr>
        <w:t xml:space="preserve"> is not in the public interest</w:t>
      </w:r>
      <w:r w:rsidRPr="00624C51">
        <w:rPr>
          <w:sz w:val="24"/>
          <w:szCs w:val="24"/>
        </w:rPr>
        <w:t xml:space="preserve">.  </w:t>
      </w:r>
      <w:r>
        <w:rPr>
          <w:sz w:val="24"/>
          <w:szCs w:val="24"/>
        </w:rPr>
        <w:t>In addition</w:t>
      </w:r>
      <w:r w:rsidR="002F7F68">
        <w:rPr>
          <w:sz w:val="24"/>
          <w:szCs w:val="24"/>
        </w:rPr>
        <w:t xml:space="preserve"> to the installation costs</w:t>
      </w:r>
      <w:r>
        <w:rPr>
          <w:sz w:val="24"/>
          <w:szCs w:val="24"/>
        </w:rPr>
        <w:t>, Columbia Gas</w:t>
      </w:r>
      <w:r w:rsidRPr="00624C51">
        <w:rPr>
          <w:sz w:val="24"/>
          <w:szCs w:val="24"/>
        </w:rPr>
        <w:t xml:space="preserve"> </w:t>
      </w:r>
      <w:r w:rsidR="002F7F68">
        <w:rPr>
          <w:sz w:val="24"/>
          <w:szCs w:val="24"/>
        </w:rPr>
        <w:t xml:space="preserve">points out it </w:t>
      </w:r>
      <w:r w:rsidRPr="00624C51">
        <w:rPr>
          <w:sz w:val="24"/>
          <w:szCs w:val="24"/>
        </w:rPr>
        <w:t>would incur incremental annual operation and maintenance expenses to maintain the new facilities, as well as incremental depreciation expenses.</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r>
      <w:r w:rsidR="002579AC">
        <w:rPr>
          <w:sz w:val="24"/>
          <w:szCs w:val="24"/>
        </w:rPr>
        <w:t>S</w:t>
      </w:r>
      <w:r w:rsidRPr="00624C51">
        <w:rPr>
          <w:sz w:val="24"/>
          <w:szCs w:val="24"/>
        </w:rPr>
        <w:t xml:space="preserve">ervice to </w:t>
      </w:r>
      <w:r>
        <w:rPr>
          <w:sz w:val="24"/>
          <w:szCs w:val="24"/>
        </w:rPr>
        <w:t xml:space="preserve">one </w:t>
      </w:r>
      <w:r w:rsidR="002F7F68">
        <w:rPr>
          <w:sz w:val="24"/>
          <w:szCs w:val="24"/>
        </w:rPr>
        <w:t xml:space="preserve">residential </w:t>
      </w:r>
      <w:r>
        <w:rPr>
          <w:sz w:val="24"/>
          <w:szCs w:val="24"/>
        </w:rPr>
        <w:t>ratepayer</w:t>
      </w:r>
      <w:r w:rsidR="002F7F68">
        <w:rPr>
          <w:sz w:val="24"/>
          <w:szCs w:val="24"/>
        </w:rPr>
        <w:t xml:space="preserve"> would not generate</w:t>
      </w:r>
      <w:r w:rsidRPr="00624C51">
        <w:rPr>
          <w:sz w:val="24"/>
          <w:szCs w:val="24"/>
        </w:rPr>
        <w:t xml:space="preserve"> sufficient revenue to provide </w:t>
      </w:r>
      <w:r>
        <w:rPr>
          <w:sz w:val="24"/>
          <w:szCs w:val="24"/>
        </w:rPr>
        <w:t>Columbia Gas</w:t>
      </w:r>
      <w:r w:rsidRPr="00624C51">
        <w:rPr>
          <w:sz w:val="24"/>
          <w:szCs w:val="24"/>
        </w:rPr>
        <w:t xml:space="preserve"> with a fair rate of return on its capital investment.  </w:t>
      </w:r>
      <w:r w:rsidR="007B3680">
        <w:rPr>
          <w:sz w:val="24"/>
          <w:szCs w:val="24"/>
        </w:rPr>
        <w:t xml:space="preserve">Although </w:t>
      </w:r>
      <w:r w:rsidR="002F7F68">
        <w:rPr>
          <w:sz w:val="24"/>
          <w:szCs w:val="24"/>
        </w:rPr>
        <w:t xml:space="preserve">Columbia Gas did not provide evidence concerning the natural gas receipts </w:t>
      </w:r>
      <w:r w:rsidRPr="00624C51">
        <w:rPr>
          <w:sz w:val="24"/>
          <w:szCs w:val="24"/>
        </w:rPr>
        <w:t xml:space="preserve">for the </w:t>
      </w:r>
      <w:r w:rsidR="007B3680">
        <w:rPr>
          <w:sz w:val="24"/>
          <w:szCs w:val="24"/>
        </w:rPr>
        <w:t>more</w:t>
      </w:r>
      <w:r w:rsidRPr="00624C51">
        <w:rPr>
          <w:sz w:val="24"/>
          <w:szCs w:val="24"/>
        </w:rPr>
        <w:t xml:space="preserve"> recent twelve-month period</w:t>
      </w:r>
      <w:r w:rsidR="007B3680">
        <w:rPr>
          <w:sz w:val="24"/>
          <w:szCs w:val="24"/>
        </w:rPr>
        <w:t>s</w:t>
      </w:r>
      <w:r w:rsidR="002F7F68">
        <w:rPr>
          <w:sz w:val="24"/>
          <w:szCs w:val="24"/>
        </w:rPr>
        <w:t xml:space="preserve"> (either 2011 or 2012)</w:t>
      </w:r>
      <w:r w:rsidR="007B3680">
        <w:rPr>
          <w:sz w:val="24"/>
          <w:szCs w:val="24"/>
        </w:rPr>
        <w:t>, Columbia Gas</w:t>
      </w:r>
      <w:r w:rsidR="007B3680" w:rsidRPr="00624C51">
        <w:rPr>
          <w:sz w:val="24"/>
          <w:szCs w:val="24"/>
        </w:rPr>
        <w:t xml:space="preserve"> </w:t>
      </w:r>
      <w:r w:rsidR="007B3680">
        <w:rPr>
          <w:sz w:val="24"/>
          <w:szCs w:val="24"/>
        </w:rPr>
        <w:t>did show it received only $422.80</w:t>
      </w:r>
      <w:r w:rsidR="007B3680" w:rsidRPr="00624C51">
        <w:rPr>
          <w:sz w:val="24"/>
          <w:szCs w:val="24"/>
        </w:rPr>
        <w:t xml:space="preserve"> from service </w:t>
      </w:r>
      <w:r w:rsidR="007B3680">
        <w:rPr>
          <w:sz w:val="24"/>
          <w:szCs w:val="24"/>
        </w:rPr>
        <w:t xml:space="preserve">provided </w:t>
      </w:r>
      <w:r w:rsidR="007B3680" w:rsidRPr="00624C51">
        <w:rPr>
          <w:sz w:val="24"/>
          <w:szCs w:val="24"/>
        </w:rPr>
        <w:t xml:space="preserve">to </w:t>
      </w:r>
      <w:r w:rsidR="007B3680">
        <w:rPr>
          <w:sz w:val="24"/>
          <w:szCs w:val="24"/>
        </w:rPr>
        <w:t>Complainant</w:t>
      </w:r>
      <w:r w:rsidR="007B3680" w:rsidRPr="00624C51">
        <w:rPr>
          <w:sz w:val="24"/>
          <w:szCs w:val="24"/>
        </w:rPr>
        <w:t xml:space="preserve"> </w:t>
      </w:r>
      <w:r w:rsidR="007B3680">
        <w:rPr>
          <w:sz w:val="24"/>
          <w:szCs w:val="24"/>
        </w:rPr>
        <w:t>in 2010</w:t>
      </w:r>
      <w:r w:rsidRPr="00624C51">
        <w:rPr>
          <w:sz w:val="24"/>
          <w:szCs w:val="24"/>
        </w:rPr>
        <w:t xml:space="preserve">.  Due to the limited revenue to be earned from a replacement line and the extensive work required to replace the pipe and maintain and operate new lines, </w:t>
      </w:r>
      <w:r w:rsidR="007B3680">
        <w:rPr>
          <w:sz w:val="24"/>
          <w:szCs w:val="24"/>
        </w:rPr>
        <w:t xml:space="preserve">Columbia Gas contends </w:t>
      </w:r>
      <w:r w:rsidRPr="00624C51">
        <w:rPr>
          <w:sz w:val="24"/>
          <w:szCs w:val="24"/>
        </w:rPr>
        <w:t xml:space="preserve">replacement of the </w:t>
      </w:r>
      <w:r>
        <w:rPr>
          <w:sz w:val="24"/>
          <w:szCs w:val="24"/>
        </w:rPr>
        <w:t>transmission line with a distribution line</w:t>
      </w:r>
      <w:r w:rsidRPr="00624C51">
        <w:rPr>
          <w:sz w:val="24"/>
          <w:szCs w:val="24"/>
        </w:rPr>
        <w:t xml:space="preserve"> </w:t>
      </w:r>
      <w:r w:rsidRPr="00624C51">
        <w:rPr>
          <w:sz w:val="24"/>
          <w:szCs w:val="24"/>
        </w:rPr>
        <w:lastRenderedPageBreak/>
        <w:t xml:space="preserve">would result in a revenue deficiency of </w:t>
      </w:r>
      <w:r>
        <w:rPr>
          <w:sz w:val="24"/>
          <w:szCs w:val="24"/>
        </w:rPr>
        <w:t>$</w:t>
      </w:r>
      <w:r w:rsidR="002F7F68">
        <w:rPr>
          <w:sz w:val="24"/>
          <w:szCs w:val="24"/>
        </w:rPr>
        <w:t>229,557</w:t>
      </w:r>
      <w:r>
        <w:rPr>
          <w:sz w:val="24"/>
          <w:szCs w:val="24"/>
        </w:rPr>
        <w:t xml:space="preserve"> </w:t>
      </w:r>
      <w:r w:rsidRPr="00624C51">
        <w:rPr>
          <w:sz w:val="24"/>
          <w:szCs w:val="24"/>
        </w:rPr>
        <w:t xml:space="preserve">annually.  </w:t>
      </w:r>
      <w:r w:rsidR="002579AC">
        <w:rPr>
          <w:sz w:val="24"/>
          <w:szCs w:val="24"/>
        </w:rPr>
        <w:t>C</w:t>
      </w:r>
      <w:r w:rsidRPr="00624C51">
        <w:rPr>
          <w:sz w:val="24"/>
          <w:szCs w:val="24"/>
        </w:rPr>
        <w:t xml:space="preserve">learly the costs </w:t>
      </w:r>
      <w:r>
        <w:rPr>
          <w:sz w:val="24"/>
          <w:szCs w:val="24"/>
        </w:rPr>
        <w:t xml:space="preserve">of a new distribution line </w:t>
      </w:r>
      <w:r w:rsidRPr="00624C51">
        <w:rPr>
          <w:sz w:val="24"/>
          <w:szCs w:val="24"/>
        </w:rPr>
        <w:t xml:space="preserve">far outweigh the revenue </w:t>
      </w:r>
      <w:r w:rsidR="002F7F68">
        <w:rPr>
          <w:sz w:val="24"/>
          <w:szCs w:val="24"/>
        </w:rPr>
        <w:t>a</w:t>
      </w:r>
      <w:r>
        <w:rPr>
          <w:sz w:val="24"/>
          <w:szCs w:val="24"/>
        </w:rPr>
        <w:t xml:space="preserve"> new</w:t>
      </w:r>
      <w:r w:rsidRPr="00624C51">
        <w:rPr>
          <w:sz w:val="24"/>
          <w:szCs w:val="24"/>
        </w:rPr>
        <w:t xml:space="preserve"> line would generate.</w:t>
      </w:r>
    </w:p>
    <w:p w:rsidR="00051FA2" w:rsidRPr="00624C51" w:rsidRDefault="00051FA2" w:rsidP="00051FA2">
      <w:pPr>
        <w:spacing w:line="360" w:lineRule="auto"/>
        <w:rPr>
          <w:sz w:val="24"/>
          <w:szCs w:val="24"/>
        </w:rPr>
      </w:pPr>
    </w:p>
    <w:p w:rsidR="003738D1" w:rsidRDefault="00051FA2" w:rsidP="00051FA2">
      <w:pPr>
        <w:spacing w:line="360" w:lineRule="auto"/>
        <w:rPr>
          <w:sz w:val="24"/>
          <w:szCs w:val="24"/>
        </w:rPr>
      </w:pPr>
      <w:r w:rsidRPr="00624C51">
        <w:rPr>
          <w:sz w:val="24"/>
          <w:szCs w:val="24"/>
        </w:rPr>
        <w:tab/>
      </w:r>
      <w:r w:rsidRPr="00624C51">
        <w:rPr>
          <w:sz w:val="24"/>
          <w:szCs w:val="24"/>
        </w:rPr>
        <w:tab/>
      </w:r>
      <w:r>
        <w:rPr>
          <w:sz w:val="24"/>
          <w:szCs w:val="24"/>
        </w:rPr>
        <w:t>The Commission approved abandonment applications in similar economic situations</w:t>
      </w:r>
      <w:r w:rsidRPr="00624C51">
        <w:rPr>
          <w:sz w:val="24"/>
          <w:szCs w:val="24"/>
        </w:rPr>
        <w:t xml:space="preserve">.  In </w:t>
      </w:r>
      <w:r w:rsidRPr="00624C51">
        <w:rPr>
          <w:sz w:val="24"/>
          <w:szCs w:val="24"/>
          <w:u w:val="single"/>
        </w:rPr>
        <w:t>Groff v. North Penn Gas Company</w:t>
      </w:r>
      <w:r w:rsidRPr="00624C51">
        <w:rPr>
          <w:sz w:val="24"/>
          <w:szCs w:val="24"/>
        </w:rPr>
        <w:t>, 77 Pa. P.U.C. 203 (1992), North Penn sought to abandon gas service to four customers in Potter Township.  The customers receiv</w:t>
      </w:r>
      <w:r>
        <w:rPr>
          <w:sz w:val="24"/>
          <w:szCs w:val="24"/>
        </w:rPr>
        <w:t>ed</w:t>
      </w:r>
      <w:r w:rsidRPr="00624C51">
        <w:rPr>
          <w:sz w:val="24"/>
          <w:szCs w:val="24"/>
        </w:rPr>
        <w:t xml:space="preserve"> service from a 10,500 foot long section of deteriorated two-inch steel pipe, which was installed in 1937.  Annual revenues from the customers totaled $846.53 and the cost of replacing the pipe was $50,000.00.  The Commission </w:t>
      </w:r>
      <w:r>
        <w:rPr>
          <w:sz w:val="24"/>
          <w:szCs w:val="24"/>
        </w:rPr>
        <w:t xml:space="preserve">found </w:t>
      </w:r>
      <w:r w:rsidRPr="00624C51">
        <w:rPr>
          <w:sz w:val="24"/>
          <w:szCs w:val="24"/>
        </w:rPr>
        <w:t xml:space="preserve">the economic factors favored abandonment over replacement </w:t>
      </w:r>
      <w:r>
        <w:rPr>
          <w:sz w:val="24"/>
          <w:szCs w:val="24"/>
        </w:rPr>
        <w:t xml:space="preserve">and </w:t>
      </w:r>
      <w:r w:rsidRPr="00624C51">
        <w:rPr>
          <w:sz w:val="24"/>
          <w:szCs w:val="24"/>
        </w:rPr>
        <w:t>approved North Penn’s application for abandonment.</w:t>
      </w:r>
      <w:r>
        <w:rPr>
          <w:rStyle w:val="FootnoteReference"/>
          <w:sz w:val="24"/>
          <w:szCs w:val="24"/>
        </w:rPr>
        <w:footnoteReference w:id="18"/>
      </w:r>
      <w:r w:rsidRPr="00624C51">
        <w:rPr>
          <w:sz w:val="24"/>
          <w:szCs w:val="24"/>
        </w:rPr>
        <w:t xml:space="preserve">  </w:t>
      </w:r>
    </w:p>
    <w:p w:rsidR="003738D1" w:rsidRDefault="003738D1" w:rsidP="00051FA2">
      <w:pPr>
        <w:spacing w:line="360" w:lineRule="auto"/>
        <w:rPr>
          <w:sz w:val="24"/>
          <w:szCs w:val="24"/>
        </w:rPr>
      </w:pPr>
    </w:p>
    <w:p w:rsidR="007B3680" w:rsidRPr="00624C51" w:rsidRDefault="003738D1" w:rsidP="00051FA2">
      <w:pPr>
        <w:spacing w:line="360" w:lineRule="auto"/>
        <w:rPr>
          <w:sz w:val="24"/>
          <w:szCs w:val="24"/>
        </w:rPr>
      </w:pPr>
      <w:r>
        <w:rPr>
          <w:sz w:val="24"/>
          <w:szCs w:val="24"/>
        </w:rPr>
        <w:tab/>
      </w:r>
      <w:r>
        <w:rPr>
          <w:sz w:val="24"/>
          <w:szCs w:val="24"/>
        </w:rPr>
        <w:tab/>
        <w:t>A</w:t>
      </w:r>
      <w:r w:rsidR="002F7F68">
        <w:rPr>
          <w:sz w:val="24"/>
          <w:szCs w:val="24"/>
        </w:rPr>
        <w:t>s noted previously, Applicant provide</w:t>
      </w:r>
      <w:r w:rsidR="00680CEE">
        <w:rPr>
          <w:sz w:val="24"/>
          <w:szCs w:val="24"/>
        </w:rPr>
        <w:t>d</w:t>
      </w:r>
      <w:r w:rsidR="002F7F68">
        <w:rPr>
          <w:sz w:val="24"/>
          <w:szCs w:val="24"/>
        </w:rPr>
        <w:t xml:space="preserve"> sufficient evidence to prove the distance </w:t>
      </w:r>
      <w:r w:rsidR="004A3FA7">
        <w:rPr>
          <w:sz w:val="24"/>
          <w:szCs w:val="24"/>
        </w:rPr>
        <w:t>and</w:t>
      </w:r>
      <w:r w:rsidR="002F7F68">
        <w:rPr>
          <w:sz w:val="24"/>
          <w:szCs w:val="24"/>
        </w:rPr>
        <w:t xml:space="preserve"> cost of installing a new distribution line to the service address.</w:t>
      </w:r>
      <w:r w:rsidR="007B3680">
        <w:rPr>
          <w:sz w:val="24"/>
          <w:szCs w:val="24"/>
        </w:rPr>
        <w:t xml:space="preserve">  At the second day of hearing, NiSource’s Manager of Field Engineering testified the cost to install 28,000 of pipeline, as proposed by Columbia Gas, would be approximately $2.9 million.  </w:t>
      </w:r>
      <w:r w:rsidR="00C647F0">
        <w:rPr>
          <w:sz w:val="24"/>
          <w:szCs w:val="24"/>
        </w:rPr>
        <w:t>There is s</w:t>
      </w:r>
      <w:r>
        <w:rPr>
          <w:sz w:val="24"/>
          <w:szCs w:val="24"/>
        </w:rPr>
        <w:t>ufficient credible facts in the record to prove the cost of connecting the service address to the distribution system would be $2.9 million</w:t>
      </w:r>
      <w:r w:rsidR="00E73541">
        <w:rPr>
          <w:sz w:val="24"/>
          <w:szCs w:val="24"/>
        </w:rPr>
        <w:t>,</w:t>
      </w:r>
      <w:r w:rsidR="004A3FA7">
        <w:rPr>
          <w:sz w:val="24"/>
          <w:szCs w:val="24"/>
        </w:rPr>
        <w:t xml:space="preserve"> and </w:t>
      </w:r>
      <w:r>
        <w:rPr>
          <w:sz w:val="24"/>
          <w:szCs w:val="24"/>
        </w:rPr>
        <w:t xml:space="preserve">it is </w:t>
      </w:r>
      <w:r w:rsidR="004A3FA7">
        <w:rPr>
          <w:sz w:val="24"/>
          <w:szCs w:val="24"/>
        </w:rPr>
        <w:t>unreasonable</w:t>
      </w:r>
      <w:r>
        <w:rPr>
          <w:sz w:val="24"/>
          <w:szCs w:val="24"/>
        </w:rPr>
        <w:t xml:space="preserve"> for </w:t>
      </w:r>
      <w:r w:rsidR="004A3FA7">
        <w:rPr>
          <w:sz w:val="24"/>
          <w:szCs w:val="24"/>
        </w:rPr>
        <w:t xml:space="preserve">the Commission to order </w:t>
      </w:r>
      <w:r>
        <w:rPr>
          <w:sz w:val="24"/>
          <w:szCs w:val="24"/>
        </w:rPr>
        <w:t xml:space="preserve">Columbia Gas to connect the service address to the distribution system.  </w:t>
      </w:r>
    </w:p>
    <w:p w:rsidR="00585E11" w:rsidRDefault="00585E11" w:rsidP="007D4668">
      <w:pPr>
        <w:spacing w:line="360" w:lineRule="auto"/>
        <w:rPr>
          <w:sz w:val="24"/>
          <w:szCs w:val="24"/>
        </w:rPr>
      </w:pPr>
    </w:p>
    <w:p w:rsidR="00585E11" w:rsidRPr="00585E11" w:rsidRDefault="00585E11" w:rsidP="00585E11">
      <w:pPr>
        <w:spacing w:line="360" w:lineRule="auto"/>
        <w:jc w:val="center"/>
        <w:rPr>
          <w:sz w:val="24"/>
          <w:szCs w:val="24"/>
          <w:u w:val="single"/>
        </w:rPr>
      </w:pPr>
      <w:r w:rsidRPr="00585E11">
        <w:rPr>
          <w:sz w:val="24"/>
          <w:szCs w:val="24"/>
          <w:u w:val="single"/>
        </w:rPr>
        <w:t>The Number of Customers Affected</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t xml:space="preserve">The proposed abandonment affects </w:t>
      </w:r>
      <w:r>
        <w:rPr>
          <w:sz w:val="24"/>
          <w:szCs w:val="24"/>
        </w:rPr>
        <w:t>one (1</w:t>
      </w:r>
      <w:r w:rsidRPr="00624C51">
        <w:rPr>
          <w:sz w:val="24"/>
          <w:szCs w:val="24"/>
        </w:rPr>
        <w:t>) residential customer</w:t>
      </w:r>
      <w:r>
        <w:rPr>
          <w:sz w:val="24"/>
          <w:szCs w:val="24"/>
        </w:rPr>
        <w:t xml:space="preserve">.  </w:t>
      </w:r>
      <w:r w:rsidRPr="00624C51">
        <w:rPr>
          <w:sz w:val="24"/>
          <w:szCs w:val="24"/>
        </w:rPr>
        <w:t xml:space="preserve">No other </w:t>
      </w:r>
      <w:r>
        <w:rPr>
          <w:sz w:val="24"/>
          <w:szCs w:val="24"/>
        </w:rPr>
        <w:t>Columbia Gas</w:t>
      </w:r>
      <w:r w:rsidRPr="00624C51">
        <w:rPr>
          <w:sz w:val="24"/>
          <w:szCs w:val="24"/>
        </w:rPr>
        <w:t xml:space="preserve"> customers will be affected.  Moreover, the only function of the subject </w:t>
      </w:r>
      <w:r>
        <w:rPr>
          <w:sz w:val="24"/>
          <w:szCs w:val="24"/>
        </w:rPr>
        <w:t>Columbia Transmission</w:t>
      </w:r>
      <w:r w:rsidR="009C0476">
        <w:rPr>
          <w:sz w:val="24"/>
          <w:szCs w:val="24"/>
        </w:rPr>
        <w:t xml:space="preserve"> pipeline at the time of termination wa</w:t>
      </w:r>
      <w:r w:rsidRPr="00624C51">
        <w:rPr>
          <w:sz w:val="24"/>
          <w:szCs w:val="24"/>
        </w:rPr>
        <w:t xml:space="preserve">s to provide gas service to </w:t>
      </w:r>
      <w:r>
        <w:rPr>
          <w:sz w:val="24"/>
          <w:szCs w:val="24"/>
        </w:rPr>
        <w:t>this one residential customer</w:t>
      </w:r>
      <w:r w:rsidRPr="00624C51">
        <w:rPr>
          <w:sz w:val="24"/>
          <w:szCs w:val="24"/>
        </w:rPr>
        <w:t>.</w:t>
      </w:r>
    </w:p>
    <w:p w:rsidR="00067994" w:rsidRDefault="00067994" w:rsidP="00585E11">
      <w:pPr>
        <w:spacing w:line="360" w:lineRule="auto"/>
        <w:jc w:val="center"/>
        <w:rPr>
          <w:sz w:val="24"/>
          <w:szCs w:val="24"/>
          <w:u w:val="single"/>
        </w:rPr>
      </w:pPr>
    </w:p>
    <w:p w:rsidR="00554852" w:rsidRDefault="00554852">
      <w:pPr>
        <w:rPr>
          <w:sz w:val="24"/>
          <w:szCs w:val="24"/>
          <w:u w:val="single"/>
        </w:rPr>
      </w:pPr>
      <w:r>
        <w:rPr>
          <w:sz w:val="24"/>
          <w:szCs w:val="24"/>
          <w:u w:val="single"/>
        </w:rPr>
        <w:br w:type="page"/>
      </w:r>
    </w:p>
    <w:p w:rsidR="00585E11" w:rsidRPr="00585E11" w:rsidRDefault="00585E11" w:rsidP="00585E11">
      <w:pPr>
        <w:spacing w:line="360" w:lineRule="auto"/>
        <w:jc w:val="center"/>
        <w:rPr>
          <w:sz w:val="24"/>
          <w:szCs w:val="24"/>
          <w:u w:val="single"/>
        </w:rPr>
      </w:pPr>
      <w:r w:rsidRPr="00585E11">
        <w:rPr>
          <w:sz w:val="24"/>
          <w:szCs w:val="24"/>
          <w:u w:val="single"/>
        </w:rPr>
        <w:lastRenderedPageBreak/>
        <w:t>The Availability of Alternative Fuels and/or Suppliers</w:t>
      </w:r>
    </w:p>
    <w:p w:rsidR="00585E11" w:rsidRDefault="00585E11" w:rsidP="007D4668">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t>A number of adequate, safe, and competitively priced alternate fuel sources are readily available to the affected customer, including oil,</w:t>
      </w:r>
      <w:r>
        <w:rPr>
          <w:sz w:val="24"/>
          <w:szCs w:val="24"/>
        </w:rPr>
        <w:t xml:space="preserve"> propane, electricity, and wood.  </w:t>
      </w:r>
      <w:r w:rsidRPr="00624C51">
        <w:rPr>
          <w:sz w:val="24"/>
          <w:szCs w:val="24"/>
        </w:rPr>
        <w:t>The Commission has recognized these energy sources as available alternatives to natural gas in abandonment cases.</w:t>
      </w:r>
      <w:r>
        <w:rPr>
          <w:rStyle w:val="FootnoteReference"/>
          <w:sz w:val="24"/>
          <w:szCs w:val="24"/>
        </w:rPr>
        <w:footnoteReference w:id="19"/>
      </w:r>
      <w:r>
        <w:rPr>
          <w:sz w:val="24"/>
          <w:szCs w:val="24"/>
        </w:rPr>
        <w:t xml:space="preserve">  </w:t>
      </w:r>
      <w:r w:rsidRPr="00624C51">
        <w:rPr>
          <w:sz w:val="24"/>
          <w:szCs w:val="24"/>
        </w:rPr>
        <w:t>Propane, in particular, has been found to be an efficient, clean burning energy source that is commonly used in homes when natural gas is unavailable</w:t>
      </w:r>
      <w:r>
        <w:rPr>
          <w:sz w:val="24"/>
          <w:szCs w:val="24"/>
        </w:rPr>
        <w:t>.</w:t>
      </w:r>
      <w:r w:rsidR="009C0476">
        <w:rPr>
          <w:sz w:val="24"/>
          <w:szCs w:val="24"/>
        </w:rPr>
        <w:t xml:space="preserve">  Mark </w:t>
      </w:r>
      <w:proofErr w:type="spellStart"/>
      <w:r w:rsidR="009C0476">
        <w:rPr>
          <w:sz w:val="24"/>
          <w:szCs w:val="24"/>
        </w:rPr>
        <w:t>Lucey</w:t>
      </w:r>
      <w:proofErr w:type="spellEnd"/>
      <w:r w:rsidR="009C0476">
        <w:rPr>
          <w:sz w:val="24"/>
          <w:szCs w:val="24"/>
        </w:rPr>
        <w:t xml:space="preserve"> converted the service address to propane in order to maintain the service address as a habitable structure, pending a final determination in this matter by the Public Utility Commission.</w:t>
      </w:r>
      <w:r w:rsidR="000B4BA5">
        <w:rPr>
          <w:sz w:val="24"/>
          <w:szCs w:val="24"/>
        </w:rPr>
        <w:t xml:space="preserve">  Neither party provided specifics concerning another alternative fuel source other than propane.</w:t>
      </w:r>
    </w:p>
    <w:p w:rsidR="00051FA2" w:rsidRDefault="00051FA2" w:rsidP="007D4668">
      <w:pPr>
        <w:spacing w:line="360" w:lineRule="auto"/>
        <w:rPr>
          <w:sz w:val="24"/>
          <w:szCs w:val="24"/>
        </w:rPr>
      </w:pPr>
    </w:p>
    <w:p w:rsidR="00585E11" w:rsidRPr="00585E11" w:rsidRDefault="00585E11" w:rsidP="00585E11">
      <w:pPr>
        <w:spacing w:line="360" w:lineRule="auto"/>
        <w:jc w:val="center"/>
        <w:rPr>
          <w:sz w:val="24"/>
          <w:szCs w:val="24"/>
          <w:u w:val="single"/>
        </w:rPr>
      </w:pPr>
      <w:r w:rsidRPr="00585E11">
        <w:rPr>
          <w:sz w:val="24"/>
          <w:szCs w:val="24"/>
          <w:u w:val="single"/>
        </w:rPr>
        <w:t>The Costs of Converting to Alternate Fuels or Suppliers</w:t>
      </w:r>
    </w:p>
    <w:p w:rsidR="009C0476" w:rsidRDefault="009C0476" w:rsidP="00051FA2">
      <w:pPr>
        <w:spacing w:line="360" w:lineRule="auto"/>
        <w:rPr>
          <w:sz w:val="24"/>
          <w:szCs w:val="24"/>
        </w:rPr>
      </w:pPr>
    </w:p>
    <w:p w:rsidR="00051FA2" w:rsidRDefault="00051FA2" w:rsidP="00051FA2">
      <w:pPr>
        <w:spacing w:line="360" w:lineRule="auto"/>
        <w:rPr>
          <w:sz w:val="24"/>
          <w:szCs w:val="24"/>
        </w:rPr>
      </w:pPr>
      <w:r w:rsidRPr="00624C51">
        <w:rPr>
          <w:sz w:val="24"/>
          <w:szCs w:val="24"/>
        </w:rPr>
        <w:tab/>
      </w:r>
      <w:r w:rsidRPr="00624C51">
        <w:rPr>
          <w:sz w:val="24"/>
          <w:szCs w:val="24"/>
        </w:rPr>
        <w:tab/>
      </w:r>
      <w:r w:rsidR="003738D1">
        <w:rPr>
          <w:sz w:val="24"/>
          <w:szCs w:val="24"/>
        </w:rPr>
        <w:t xml:space="preserve">There is no disagreement amongst the parties that, while awaiting a final outcome in his formal complaint proceedings, </w:t>
      </w:r>
      <w:r>
        <w:rPr>
          <w:sz w:val="24"/>
          <w:szCs w:val="24"/>
        </w:rPr>
        <w:t xml:space="preserve">Complainant paid $1,535.52 for the propane conversion back in June 2011.  </w:t>
      </w:r>
      <w:r w:rsidRPr="00624C51">
        <w:rPr>
          <w:sz w:val="24"/>
          <w:szCs w:val="24"/>
        </w:rPr>
        <w:t xml:space="preserve">At the hearing, </w:t>
      </w:r>
      <w:r>
        <w:rPr>
          <w:sz w:val="24"/>
          <w:szCs w:val="24"/>
        </w:rPr>
        <w:t xml:space="preserve">Complainant </w:t>
      </w:r>
      <w:r w:rsidRPr="00624C51">
        <w:rPr>
          <w:sz w:val="24"/>
          <w:szCs w:val="24"/>
        </w:rPr>
        <w:t>failed to present any evidence with respect to actual conversion costs</w:t>
      </w:r>
      <w:r w:rsidR="003738D1">
        <w:rPr>
          <w:sz w:val="24"/>
          <w:szCs w:val="24"/>
        </w:rPr>
        <w:t xml:space="preserve"> to a geothermal system</w:t>
      </w:r>
      <w:r w:rsidRPr="00624C51">
        <w:rPr>
          <w:sz w:val="24"/>
          <w:szCs w:val="24"/>
        </w:rPr>
        <w:t xml:space="preserve">, </w:t>
      </w:r>
      <w:r w:rsidR="003738D1">
        <w:rPr>
          <w:sz w:val="24"/>
          <w:szCs w:val="24"/>
        </w:rPr>
        <w:t xml:space="preserve">or </w:t>
      </w:r>
      <w:r w:rsidRPr="00624C51">
        <w:rPr>
          <w:sz w:val="24"/>
          <w:szCs w:val="24"/>
        </w:rPr>
        <w:t xml:space="preserve">current prices of propane or </w:t>
      </w:r>
      <w:r w:rsidR="003738D1">
        <w:rPr>
          <w:sz w:val="24"/>
          <w:szCs w:val="24"/>
        </w:rPr>
        <w:t>BTU comparisons of the two fueling systems</w:t>
      </w:r>
      <w:r w:rsidRPr="00624C51">
        <w:rPr>
          <w:sz w:val="24"/>
          <w:szCs w:val="24"/>
        </w:rPr>
        <w:t xml:space="preserve">.  Such general statements, without any evidentiary support, are therefore unpersuasive and will be given no weight.  </w:t>
      </w:r>
      <w:r>
        <w:rPr>
          <w:sz w:val="24"/>
          <w:szCs w:val="24"/>
        </w:rPr>
        <w:t>Neither party addressed t</w:t>
      </w:r>
      <w:r w:rsidRPr="00624C51">
        <w:rPr>
          <w:sz w:val="24"/>
          <w:szCs w:val="24"/>
        </w:rPr>
        <w:t>he cost of converting to oil, electricity or wood</w:t>
      </w:r>
      <w:r>
        <w:rPr>
          <w:sz w:val="24"/>
          <w:szCs w:val="24"/>
        </w:rPr>
        <w:t>, however, it should be noted</w:t>
      </w:r>
      <w:r w:rsidRPr="00624C51">
        <w:rPr>
          <w:sz w:val="24"/>
          <w:szCs w:val="24"/>
        </w:rPr>
        <w:t xml:space="preserve"> these alternative energy sources are readily ava</w:t>
      </w:r>
      <w:r>
        <w:rPr>
          <w:sz w:val="24"/>
          <w:szCs w:val="24"/>
        </w:rPr>
        <w:t>ilable to the affected customer</w:t>
      </w:r>
      <w:r w:rsidR="009C0476">
        <w:rPr>
          <w:sz w:val="24"/>
          <w:szCs w:val="24"/>
        </w:rPr>
        <w:t>.</w:t>
      </w:r>
    </w:p>
    <w:p w:rsidR="003738D1" w:rsidRDefault="003738D1" w:rsidP="00051FA2">
      <w:pPr>
        <w:spacing w:line="360" w:lineRule="auto"/>
        <w:rPr>
          <w:sz w:val="24"/>
          <w:szCs w:val="24"/>
        </w:rPr>
      </w:pPr>
    </w:p>
    <w:p w:rsidR="003738D1" w:rsidRPr="00624C51" w:rsidRDefault="003738D1" w:rsidP="00051FA2">
      <w:pPr>
        <w:spacing w:line="360" w:lineRule="auto"/>
        <w:rPr>
          <w:sz w:val="24"/>
          <w:szCs w:val="24"/>
        </w:rPr>
      </w:pPr>
      <w:r>
        <w:rPr>
          <w:sz w:val="24"/>
          <w:szCs w:val="24"/>
        </w:rPr>
        <w:tab/>
      </w:r>
      <w:r>
        <w:rPr>
          <w:sz w:val="24"/>
          <w:szCs w:val="24"/>
        </w:rPr>
        <w:tab/>
        <w:t xml:space="preserve">It should also be noted that both parties agreed Mark </w:t>
      </w:r>
      <w:proofErr w:type="spellStart"/>
      <w:r>
        <w:rPr>
          <w:sz w:val="24"/>
          <w:szCs w:val="24"/>
        </w:rPr>
        <w:t>Lucey</w:t>
      </w:r>
      <w:proofErr w:type="spellEnd"/>
      <w:r>
        <w:rPr>
          <w:sz w:val="24"/>
          <w:szCs w:val="24"/>
        </w:rPr>
        <w:t xml:space="preserve"> incorporated cost-saving measures in order to cut the costs of converting over to propane.  Presumably these cost-saving measures are the reason why Columbia Gas recommended </w:t>
      </w:r>
      <w:r w:rsidR="000B4BA5">
        <w:rPr>
          <w:sz w:val="24"/>
          <w:szCs w:val="24"/>
        </w:rPr>
        <w:t>a</w:t>
      </w:r>
      <w:r>
        <w:rPr>
          <w:sz w:val="24"/>
          <w:szCs w:val="24"/>
        </w:rPr>
        <w:t xml:space="preserve"> payment </w:t>
      </w:r>
      <w:r w:rsidR="000B4BA5">
        <w:rPr>
          <w:sz w:val="24"/>
          <w:szCs w:val="24"/>
        </w:rPr>
        <w:t xml:space="preserve">less than or equal to </w:t>
      </w:r>
      <w:r>
        <w:rPr>
          <w:sz w:val="24"/>
          <w:szCs w:val="24"/>
        </w:rPr>
        <w:t>$3,</w:t>
      </w:r>
      <w:r w:rsidR="000B4BA5">
        <w:rPr>
          <w:sz w:val="24"/>
          <w:szCs w:val="24"/>
        </w:rPr>
        <w:t>437.10</w:t>
      </w:r>
      <w:r>
        <w:rPr>
          <w:sz w:val="24"/>
          <w:szCs w:val="24"/>
        </w:rPr>
        <w:t xml:space="preserve"> in its Application to Abandon.  Columbia Gas never provided any explanation for why it suggested </w:t>
      </w:r>
      <w:r w:rsidR="000B4BA5">
        <w:rPr>
          <w:sz w:val="24"/>
          <w:szCs w:val="24"/>
        </w:rPr>
        <w:t>this specific amount or why the amount is</w:t>
      </w:r>
      <w:r>
        <w:rPr>
          <w:sz w:val="24"/>
          <w:szCs w:val="24"/>
        </w:rPr>
        <w:t xml:space="preserve"> larger than </w:t>
      </w:r>
      <w:r w:rsidR="000B4BA5">
        <w:rPr>
          <w:sz w:val="24"/>
          <w:szCs w:val="24"/>
        </w:rPr>
        <w:t xml:space="preserve">what </w:t>
      </w:r>
      <w:r>
        <w:rPr>
          <w:sz w:val="24"/>
          <w:szCs w:val="24"/>
        </w:rPr>
        <w:t>was spent at the time of conversion, although past Commission decisions</w:t>
      </w:r>
      <w:r w:rsidR="006126A5">
        <w:rPr>
          <w:sz w:val="24"/>
          <w:szCs w:val="24"/>
        </w:rPr>
        <w:t xml:space="preserve">, as noted above, allow for some flexibility when determining appropriate amounts for conversions. </w:t>
      </w:r>
      <w:r w:rsidR="00864532">
        <w:rPr>
          <w:sz w:val="24"/>
          <w:szCs w:val="24"/>
        </w:rPr>
        <w:t xml:space="preserve"> However, given the frugality of </w:t>
      </w:r>
      <w:r w:rsidR="00864532">
        <w:rPr>
          <w:sz w:val="24"/>
          <w:szCs w:val="24"/>
        </w:rPr>
        <w:lastRenderedPageBreak/>
        <w:t>Mr. </w:t>
      </w:r>
      <w:proofErr w:type="spellStart"/>
      <w:r w:rsidR="00864532">
        <w:rPr>
          <w:sz w:val="24"/>
          <w:szCs w:val="24"/>
        </w:rPr>
        <w:t>Lucey’s</w:t>
      </w:r>
      <w:proofErr w:type="spellEnd"/>
      <w:r w:rsidR="00864532">
        <w:rPr>
          <w:sz w:val="24"/>
          <w:szCs w:val="24"/>
        </w:rPr>
        <w:t xml:space="preserve"> conversion, the sum of $3,437.10 is a reasonable level of compensation to assist Mr. </w:t>
      </w:r>
      <w:proofErr w:type="spellStart"/>
      <w:r w:rsidR="00864532">
        <w:rPr>
          <w:sz w:val="24"/>
          <w:szCs w:val="24"/>
        </w:rPr>
        <w:t>Lucey</w:t>
      </w:r>
      <w:proofErr w:type="spellEnd"/>
      <w:r w:rsidR="00864532">
        <w:rPr>
          <w:sz w:val="24"/>
          <w:szCs w:val="24"/>
        </w:rPr>
        <w:t xml:space="preserve"> in making a conversion to the energy source of his choice.</w:t>
      </w:r>
      <w:r w:rsidR="006126A5">
        <w:rPr>
          <w:sz w:val="24"/>
          <w:szCs w:val="24"/>
        </w:rPr>
        <w:t xml:space="preserve"> </w:t>
      </w:r>
    </w:p>
    <w:p w:rsidR="00051FA2" w:rsidRPr="00624C51" w:rsidRDefault="00051FA2" w:rsidP="00051FA2">
      <w:pPr>
        <w:spacing w:line="360" w:lineRule="auto"/>
        <w:rPr>
          <w:sz w:val="24"/>
          <w:szCs w:val="24"/>
        </w:rPr>
      </w:pPr>
    </w:p>
    <w:p w:rsidR="00585E11" w:rsidRPr="00585E11" w:rsidRDefault="00585E11" w:rsidP="00585E11">
      <w:pPr>
        <w:spacing w:line="360" w:lineRule="auto"/>
        <w:jc w:val="center"/>
        <w:rPr>
          <w:sz w:val="24"/>
          <w:szCs w:val="24"/>
          <w:u w:val="single"/>
        </w:rPr>
      </w:pPr>
      <w:r w:rsidRPr="00585E11">
        <w:rPr>
          <w:sz w:val="24"/>
          <w:szCs w:val="24"/>
          <w:u w:val="single"/>
        </w:rPr>
        <w:t>The Allocation of the Costs of Converting to Alternate Fuels or Suppliers</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t>The Commission require</w:t>
      </w:r>
      <w:r>
        <w:rPr>
          <w:sz w:val="24"/>
          <w:szCs w:val="24"/>
        </w:rPr>
        <w:t>s</w:t>
      </w:r>
      <w:r w:rsidRPr="00624C51">
        <w:rPr>
          <w:sz w:val="24"/>
          <w:szCs w:val="24"/>
        </w:rPr>
        <w:t xml:space="preserve"> a utility seeking to abandon service to provide some contribution to the affected customers to convert to an alternate fuel supply.</w:t>
      </w:r>
      <w:r>
        <w:rPr>
          <w:rStyle w:val="FootnoteReference"/>
          <w:sz w:val="24"/>
          <w:szCs w:val="24"/>
        </w:rPr>
        <w:footnoteReference w:id="20"/>
      </w:r>
      <w:r w:rsidRPr="00624C51">
        <w:rPr>
          <w:sz w:val="24"/>
          <w:szCs w:val="24"/>
        </w:rPr>
        <w:t xml:space="preserve">  Before </w:t>
      </w:r>
      <w:r>
        <w:rPr>
          <w:sz w:val="24"/>
          <w:szCs w:val="24"/>
        </w:rPr>
        <w:t xml:space="preserve">terminating service, </w:t>
      </w:r>
      <w:r w:rsidR="006126A5">
        <w:rPr>
          <w:sz w:val="24"/>
          <w:szCs w:val="24"/>
        </w:rPr>
        <w:t xml:space="preserve">Columbia Transmission </w:t>
      </w:r>
      <w:r>
        <w:rPr>
          <w:sz w:val="24"/>
          <w:szCs w:val="24"/>
        </w:rPr>
        <w:t>notified Complainant and discussed paying for a conversion to a geothermal system</w:t>
      </w:r>
      <w:r w:rsidR="006126A5">
        <w:rPr>
          <w:sz w:val="24"/>
          <w:szCs w:val="24"/>
        </w:rPr>
        <w:t xml:space="preserve"> as well as converting to other systems</w:t>
      </w:r>
      <w:r>
        <w:rPr>
          <w:sz w:val="24"/>
          <w:szCs w:val="24"/>
        </w:rPr>
        <w:t>.</w:t>
      </w:r>
      <w:r w:rsidR="006126A5">
        <w:rPr>
          <w:sz w:val="24"/>
          <w:szCs w:val="24"/>
        </w:rPr>
        <w:t xml:space="preserve">  Columbia Gas was aware of these discussions</w:t>
      </w:r>
      <w:r w:rsidR="000B4BA5">
        <w:rPr>
          <w:sz w:val="24"/>
          <w:szCs w:val="24"/>
        </w:rPr>
        <w:t xml:space="preserve"> and, on June 3, 2011, </w:t>
      </w:r>
      <w:r w:rsidR="006126A5">
        <w:rPr>
          <w:sz w:val="24"/>
          <w:szCs w:val="24"/>
        </w:rPr>
        <w:t xml:space="preserve">recommended Complainant should continue to negotiate with Columbia Transmission in the hopes of reaching an amicable settlement.  </w:t>
      </w:r>
      <w:r>
        <w:rPr>
          <w:sz w:val="24"/>
          <w:szCs w:val="24"/>
        </w:rPr>
        <w:t xml:space="preserve"> </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r>
      <w:r w:rsidR="009C0476">
        <w:rPr>
          <w:sz w:val="24"/>
          <w:szCs w:val="24"/>
        </w:rPr>
        <w:t>T</w:t>
      </w:r>
      <w:r w:rsidRPr="00624C51">
        <w:rPr>
          <w:sz w:val="24"/>
          <w:szCs w:val="24"/>
        </w:rPr>
        <w:t xml:space="preserve">he Commission has declined to order utilities seeking abandonment to compensate customers </w:t>
      </w:r>
      <w:r>
        <w:rPr>
          <w:sz w:val="24"/>
          <w:szCs w:val="24"/>
        </w:rPr>
        <w:t>for the</w:t>
      </w:r>
      <w:r w:rsidRPr="00624C51">
        <w:rPr>
          <w:sz w:val="24"/>
          <w:szCs w:val="24"/>
        </w:rPr>
        <w:t xml:space="preserve"> full or actua</w:t>
      </w:r>
      <w:r w:rsidR="009C0476">
        <w:rPr>
          <w:sz w:val="24"/>
          <w:szCs w:val="24"/>
        </w:rPr>
        <w:t>l amount of conversion expenses</w:t>
      </w:r>
      <w:r w:rsidRPr="00624C51">
        <w:rPr>
          <w:sz w:val="24"/>
          <w:szCs w:val="24"/>
        </w:rPr>
        <w:t xml:space="preserve">.  </w:t>
      </w:r>
      <w:r w:rsidRPr="00624C51">
        <w:rPr>
          <w:i/>
          <w:sz w:val="24"/>
          <w:szCs w:val="24"/>
        </w:rPr>
        <w:t>See</w:t>
      </w:r>
      <w:r w:rsidRPr="00624C51">
        <w:rPr>
          <w:sz w:val="24"/>
          <w:szCs w:val="24"/>
        </w:rPr>
        <w:t xml:space="preserve">, </w:t>
      </w:r>
      <w:r w:rsidRPr="00624C51">
        <w:rPr>
          <w:i/>
          <w:sz w:val="24"/>
          <w:szCs w:val="24"/>
        </w:rPr>
        <w:t>e.g.</w:t>
      </w:r>
      <w:r w:rsidRPr="00624C51">
        <w:rPr>
          <w:sz w:val="24"/>
          <w:szCs w:val="24"/>
        </w:rPr>
        <w:t xml:space="preserve">, </w:t>
      </w:r>
      <w:r w:rsidRPr="00624C51">
        <w:rPr>
          <w:sz w:val="24"/>
          <w:szCs w:val="24"/>
          <w:u w:val="single"/>
        </w:rPr>
        <w:t>Groff</w:t>
      </w:r>
      <w:r w:rsidRPr="00624C51">
        <w:rPr>
          <w:sz w:val="24"/>
          <w:szCs w:val="24"/>
        </w:rPr>
        <w:t xml:space="preserve">, </w:t>
      </w:r>
      <w:r w:rsidRPr="00624C51">
        <w:rPr>
          <w:i/>
          <w:sz w:val="24"/>
          <w:szCs w:val="24"/>
        </w:rPr>
        <w:t>supra</w:t>
      </w:r>
      <w:r w:rsidRPr="00624C51">
        <w:rPr>
          <w:sz w:val="24"/>
          <w:szCs w:val="24"/>
        </w:rPr>
        <w:t xml:space="preserve"> (ordering gas company to pay $1,000 to each of the affected customers despite one complainant testifying that the cost to convert would total $2,000); </w:t>
      </w:r>
      <w:r w:rsidRPr="00624C51">
        <w:rPr>
          <w:sz w:val="24"/>
          <w:szCs w:val="24"/>
          <w:u w:val="single"/>
        </w:rPr>
        <w:t>Application of National Fuel Gas Distribution Corporation</w:t>
      </w:r>
      <w:r w:rsidRPr="00624C51">
        <w:rPr>
          <w:sz w:val="24"/>
          <w:szCs w:val="24"/>
        </w:rPr>
        <w:t xml:space="preserve">, Docket Nos. A-121850F2011 and C-00968108 (Initial Decision issued January 3, 1997) (directing utility to contribute $4,304 to help defray the cost of converting to propane even though the affected customer requested $10,000 to cover expenses); </w:t>
      </w:r>
      <w:r w:rsidRPr="00624C51">
        <w:rPr>
          <w:sz w:val="24"/>
          <w:szCs w:val="24"/>
          <w:u w:val="single"/>
        </w:rPr>
        <w:t>Able Company</w:t>
      </w:r>
      <w:r w:rsidRPr="00624C51">
        <w:rPr>
          <w:sz w:val="24"/>
          <w:szCs w:val="24"/>
        </w:rPr>
        <w:t xml:space="preserve">, </w:t>
      </w:r>
      <w:r w:rsidRPr="00624C51">
        <w:rPr>
          <w:i/>
          <w:sz w:val="24"/>
          <w:szCs w:val="24"/>
        </w:rPr>
        <w:t>supra</w:t>
      </w:r>
      <w:r w:rsidRPr="00624C51">
        <w:rPr>
          <w:sz w:val="24"/>
          <w:szCs w:val="24"/>
        </w:rPr>
        <w:t xml:space="preserve"> (ordering utility to pay $500.00 to each of seven customers to defray conversion costs); </w:t>
      </w:r>
      <w:r w:rsidRPr="00624C51">
        <w:rPr>
          <w:sz w:val="24"/>
          <w:szCs w:val="24"/>
          <w:u w:val="single"/>
        </w:rPr>
        <w:t>Application of NFG</w:t>
      </w:r>
      <w:r w:rsidRPr="00624C51">
        <w:rPr>
          <w:sz w:val="24"/>
          <w:szCs w:val="24"/>
        </w:rPr>
        <w:t xml:space="preserve">, </w:t>
      </w:r>
      <w:r w:rsidRPr="00624C51">
        <w:rPr>
          <w:i/>
          <w:sz w:val="24"/>
          <w:szCs w:val="24"/>
        </w:rPr>
        <w:t>supra</w:t>
      </w:r>
      <w:r w:rsidRPr="00624C51">
        <w:rPr>
          <w:sz w:val="24"/>
          <w:szCs w:val="24"/>
        </w:rPr>
        <w:t xml:space="preserve"> (denying customers’ request for $68,411 in reimbursement and ordering utility to pay $7,475 to defray conversion costs); </w:t>
      </w:r>
      <w:r w:rsidRPr="00624C51">
        <w:rPr>
          <w:sz w:val="24"/>
          <w:szCs w:val="24"/>
          <w:u w:val="single"/>
        </w:rPr>
        <w:t>Application of National Fuel Gas Distribution Corporation</w:t>
      </w:r>
      <w:r w:rsidRPr="00624C51">
        <w:rPr>
          <w:sz w:val="24"/>
          <w:szCs w:val="24"/>
        </w:rPr>
        <w:t>, Docket No. A-121850F2014 (Initial Decision issued November 17, 1997) (ordering gas company to pay customer $4,750 to help defray costs of converting to propane despite customer’s request that utility fully reimburse his cost of $10,702 to obtain natural gas service from another supplier).</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t xml:space="preserve">In </w:t>
      </w:r>
      <w:r w:rsidRPr="00624C51">
        <w:rPr>
          <w:sz w:val="24"/>
          <w:szCs w:val="24"/>
          <w:u w:val="single"/>
        </w:rPr>
        <w:t>Victor Gas</w:t>
      </w:r>
      <w:r w:rsidRPr="00624C51">
        <w:rPr>
          <w:sz w:val="24"/>
          <w:szCs w:val="24"/>
        </w:rPr>
        <w:t xml:space="preserve">, </w:t>
      </w:r>
      <w:r w:rsidRPr="00624C51">
        <w:rPr>
          <w:i/>
          <w:sz w:val="24"/>
          <w:szCs w:val="24"/>
        </w:rPr>
        <w:t>supra</w:t>
      </w:r>
      <w:r w:rsidRPr="00624C51">
        <w:rPr>
          <w:sz w:val="24"/>
          <w:szCs w:val="24"/>
        </w:rPr>
        <w:t xml:space="preserve">, the Commission accepted the utility’s offer to contribute an amount approximately equal to $90.00 per customer.  In </w:t>
      </w:r>
      <w:r w:rsidRPr="00624C51">
        <w:rPr>
          <w:sz w:val="24"/>
          <w:szCs w:val="24"/>
          <w:u w:val="single"/>
        </w:rPr>
        <w:t xml:space="preserve">Re </w:t>
      </w:r>
      <w:proofErr w:type="spellStart"/>
      <w:r w:rsidRPr="00624C51">
        <w:rPr>
          <w:sz w:val="24"/>
          <w:szCs w:val="24"/>
          <w:u w:val="single"/>
        </w:rPr>
        <w:t>Scotrun</w:t>
      </w:r>
      <w:proofErr w:type="spellEnd"/>
      <w:r w:rsidRPr="00624C51">
        <w:rPr>
          <w:sz w:val="24"/>
          <w:szCs w:val="24"/>
          <w:u w:val="single"/>
        </w:rPr>
        <w:t xml:space="preserve"> Water Supply Company</w:t>
      </w:r>
      <w:r w:rsidRPr="00624C51">
        <w:rPr>
          <w:sz w:val="24"/>
          <w:szCs w:val="24"/>
        </w:rPr>
        <w:t xml:space="preserve">, 55 Pa. P.U.C. 297 (1981), the Commission conditioned approval of the abandonment application </w:t>
      </w:r>
      <w:r w:rsidRPr="00624C51">
        <w:rPr>
          <w:sz w:val="24"/>
          <w:szCs w:val="24"/>
        </w:rPr>
        <w:lastRenderedPageBreak/>
        <w:t xml:space="preserve">upon the willingness of the water company to offer to its customers all of the company’s facilities, as is and at no cost.  In </w:t>
      </w:r>
      <w:r w:rsidRPr="00624C51">
        <w:rPr>
          <w:sz w:val="24"/>
          <w:szCs w:val="24"/>
          <w:u w:val="single"/>
        </w:rPr>
        <w:t>Leechburg Gas Company</w:t>
      </w:r>
      <w:r w:rsidRPr="00624C51">
        <w:rPr>
          <w:sz w:val="24"/>
          <w:szCs w:val="24"/>
        </w:rPr>
        <w:t xml:space="preserve">, </w:t>
      </w:r>
      <w:r w:rsidRPr="00624C51">
        <w:rPr>
          <w:i/>
          <w:sz w:val="24"/>
          <w:szCs w:val="24"/>
        </w:rPr>
        <w:t>supra</w:t>
      </w:r>
      <w:r w:rsidRPr="00624C51">
        <w:rPr>
          <w:sz w:val="24"/>
          <w:szCs w:val="24"/>
        </w:rPr>
        <w:t xml:space="preserve">, the Commission conditioned the gas company’s abandonment of service upon the company’s willingness to pay one-half the cost incurred by any customer in transferring to the service of a certificated gas or electric utility, or an amount equal to $500.00, whichever was greater.  In </w:t>
      </w:r>
      <w:r w:rsidRPr="00624C51">
        <w:rPr>
          <w:sz w:val="24"/>
          <w:szCs w:val="24"/>
          <w:u w:val="single"/>
        </w:rPr>
        <w:t>Re Pennsylvania Electric Company</w:t>
      </w:r>
      <w:r w:rsidRPr="00624C51">
        <w:rPr>
          <w:sz w:val="24"/>
          <w:szCs w:val="24"/>
        </w:rPr>
        <w:t>, 70 Pa. P.U.C. 148 (1989), the Commission accepted the utility’s offer to contribute an amount equal to 50% of each customer’s total 1987 steam heating bills and made the payment of such contribution a condition for the approval of the utility</w:t>
      </w:r>
      <w:r w:rsidR="00C14682">
        <w:rPr>
          <w:sz w:val="24"/>
          <w:szCs w:val="24"/>
        </w:rPr>
        <w:t>’</w:t>
      </w:r>
      <w:r w:rsidRPr="00624C51">
        <w:rPr>
          <w:sz w:val="24"/>
          <w:szCs w:val="24"/>
        </w:rPr>
        <w:t xml:space="preserve">s abandonment of steam heating in the City of Erie.  In </w:t>
      </w:r>
      <w:r w:rsidRPr="00624C51">
        <w:rPr>
          <w:sz w:val="24"/>
          <w:szCs w:val="24"/>
          <w:u w:val="single"/>
        </w:rPr>
        <w:t>Re Bald Eagle Water Company</w:t>
      </w:r>
      <w:r w:rsidRPr="00624C51">
        <w:rPr>
          <w:sz w:val="24"/>
          <w:szCs w:val="24"/>
        </w:rPr>
        <w:t>, 76 Pa. P.U.C. 556 (1992), the Commission approved settlement agreements providing for the water company to install a private, residential water well, up to $3,500, or to contribute $3,500 to customers solely for installing domestic water supply systems for their individual homes.</w:t>
      </w:r>
    </w:p>
    <w:p w:rsidR="00051FA2" w:rsidRPr="00624C51" w:rsidRDefault="00051FA2" w:rsidP="00051FA2">
      <w:pPr>
        <w:spacing w:line="360" w:lineRule="auto"/>
        <w:rPr>
          <w:sz w:val="24"/>
          <w:szCs w:val="24"/>
        </w:rPr>
      </w:pPr>
    </w:p>
    <w:p w:rsidR="00051FA2" w:rsidRPr="00624C51" w:rsidRDefault="00051FA2" w:rsidP="00051FA2">
      <w:pPr>
        <w:spacing w:line="360" w:lineRule="auto"/>
        <w:rPr>
          <w:sz w:val="24"/>
          <w:szCs w:val="24"/>
        </w:rPr>
      </w:pPr>
      <w:r w:rsidRPr="00624C51">
        <w:rPr>
          <w:sz w:val="24"/>
          <w:szCs w:val="24"/>
        </w:rPr>
        <w:tab/>
      </w:r>
      <w:r w:rsidRPr="00624C51">
        <w:rPr>
          <w:sz w:val="24"/>
          <w:szCs w:val="24"/>
        </w:rPr>
        <w:tab/>
      </w:r>
      <w:r w:rsidR="009C0476">
        <w:rPr>
          <w:sz w:val="24"/>
          <w:szCs w:val="24"/>
        </w:rPr>
        <w:t>T</w:t>
      </w:r>
      <w:r w:rsidRPr="00624C51">
        <w:rPr>
          <w:sz w:val="24"/>
          <w:szCs w:val="24"/>
        </w:rPr>
        <w:t xml:space="preserve">he compensation offered to </w:t>
      </w:r>
      <w:r>
        <w:rPr>
          <w:sz w:val="24"/>
          <w:szCs w:val="24"/>
        </w:rPr>
        <w:t>Complainant</w:t>
      </w:r>
      <w:r w:rsidRPr="00624C51">
        <w:rPr>
          <w:sz w:val="24"/>
          <w:szCs w:val="24"/>
        </w:rPr>
        <w:t xml:space="preserve"> </w:t>
      </w:r>
      <w:r w:rsidR="00BF0F6A">
        <w:rPr>
          <w:sz w:val="24"/>
          <w:szCs w:val="24"/>
        </w:rPr>
        <w:t>($3,4</w:t>
      </w:r>
      <w:r w:rsidR="00C36F8E">
        <w:rPr>
          <w:sz w:val="24"/>
          <w:szCs w:val="24"/>
        </w:rPr>
        <w:t>3</w:t>
      </w:r>
      <w:r w:rsidR="00BF0F6A">
        <w:rPr>
          <w:sz w:val="24"/>
          <w:szCs w:val="24"/>
        </w:rPr>
        <w:t>7.10) is</w:t>
      </w:r>
      <w:r w:rsidRPr="00624C51">
        <w:rPr>
          <w:sz w:val="24"/>
          <w:szCs w:val="24"/>
        </w:rPr>
        <w:t xml:space="preserve"> reasonable</w:t>
      </w:r>
      <w:r>
        <w:rPr>
          <w:sz w:val="24"/>
          <w:szCs w:val="24"/>
        </w:rPr>
        <w:t xml:space="preserve"> and </w:t>
      </w:r>
      <w:r w:rsidRPr="00624C51">
        <w:rPr>
          <w:sz w:val="24"/>
          <w:szCs w:val="24"/>
        </w:rPr>
        <w:t xml:space="preserve">falls within the parameters of what </w:t>
      </w:r>
      <w:r>
        <w:rPr>
          <w:sz w:val="24"/>
          <w:szCs w:val="24"/>
        </w:rPr>
        <w:t xml:space="preserve">the Commission considers to be </w:t>
      </w:r>
      <w:r w:rsidRPr="00624C51">
        <w:rPr>
          <w:sz w:val="24"/>
          <w:szCs w:val="24"/>
        </w:rPr>
        <w:t xml:space="preserve">reasonable in similar cases.  </w:t>
      </w:r>
      <w:r w:rsidR="009C0476">
        <w:rPr>
          <w:sz w:val="24"/>
          <w:szCs w:val="24"/>
        </w:rPr>
        <w:t>It covers the cost of conversion plus provides additional funds in consideration of Complainant’s frugality when installing the propane system in 2011.</w:t>
      </w:r>
    </w:p>
    <w:p w:rsidR="00051FA2" w:rsidRPr="00624C51" w:rsidRDefault="00051FA2" w:rsidP="00051FA2">
      <w:pPr>
        <w:spacing w:line="360" w:lineRule="auto"/>
        <w:rPr>
          <w:sz w:val="24"/>
          <w:szCs w:val="24"/>
        </w:rPr>
      </w:pPr>
    </w:p>
    <w:p w:rsidR="007D4668" w:rsidRPr="00051FA2" w:rsidRDefault="00051FA2" w:rsidP="00051FA2">
      <w:pPr>
        <w:spacing w:line="360" w:lineRule="auto"/>
        <w:jc w:val="center"/>
        <w:rPr>
          <w:sz w:val="24"/>
          <w:szCs w:val="24"/>
          <w:u w:val="single"/>
        </w:rPr>
      </w:pPr>
      <w:r w:rsidRPr="00051FA2">
        <w:rPr>
          <w:sz w:val="24"/>
          <w:szCs w:val="24"/>
          <w:u w:val="single"/>
        </w:rPr>
        <w:t>Conclusion on the Assessment of Public Interest</w:t>
      </w:r>
    </w:p>
    <w:p w:rsidR="00051FA2" w:rsidRDefault="00051FA2" w:rsidP="007D4668">
      <w:pPr>
        <w:spacing w:line="360" w:lineRule="auto"/>
        <w:rPr>
          <w:sz w:val="24"/>
          <w:szCs w:val="24"/>
        </w:rPr>
      </w:pPr>
    </w:p>
    <w:p w:rsidR="009C0476" w:rsidRDefault="009C0476" w:rsidP="007D4668">
      <w:pPr>
        <w:spacing w:line="360" w:lineRule="auto"/>
        <w:rPr>
          <w:sz w:val="24"/>
          <w:szCs w:val="24"/>
        </w:rPr>
      </w:pPr>
      <w:r>
        <w:rPr>
          <w:sz w:val="24"/>
          <w:szCs w:val="24"/>
        </w:rPr>
        <w:tab/>
      </w:r>
      <w:r>
        <w:rPr>
          <w:sz w:val="24"/>
          <w:szCs w:val="24"/>
        </w:rPr>
        <w:tab/>
        <w:t xml:space="preserve">The public interest </w:t>
      </w:r>
      <w:r w:rsidR="00AC275F">
        <w:rPr>
          <w:sz w:val="24"/>
          <w:szCs w:val="24"/>
        </w:rPr>
        <w:t>is</w:t>
      </w:r>
      <w:r>
        <w:rPr>
          <w:sz w:val="24"/>
          <w:szCs w:val="24"/>
        </w:rPr>
        <w:t xml:space="preserve"> met </w:t>
      </w:r>
      <w:r w:rsidR="00AC275F">
        <w:rPr>
          <w:sz w:val="24"/>
          <w:szCs w:val="24"/>
        </w:rPr>
        <w:t>because</w:t>
      </w:r>
      <w:r>
        <w:rPr>
          <w:sz w:val="24"/>
          <w:szCs w:val="24"/>
        </w:rPr>
        <w:t xml:space="preserve"> Columbia Gas provided </w:t>
      </w:r>
      <w:r w:rsidR="00AC275F">
        <w:rPr>
          <w:sz w:val="24"/>
          <w:szCs w:val="24"/>
        </w:rPr>
        <w:t xml:space="preserve">sufficient </w:t>
      </w:r>
      <w:r>
        <w:rPr>
          <w:sz w:val="24"/>
          <w:szCs w:val="24"/>
        </w:rPr>
        <w:t>factual evidence concerning the available supply, the proximity to its distribution system and the cost of installation</w:t>
      </w:r>
      <w:r w:rsidR="00AC275F">
        <w:rPr>
          <w:sz w:val="24"/>
          <w:szCs w:val="24"/>
        </w:rPr>
        <w:t xml:space="preserve"> in order </w:t>
      </w:r>
      <w:r w:rsidR="00063976">
        <w:rPr>
          <w:sz w:val="24"/>
          <w:szCs w:val="24"/>
        </w:rPr>
        <w:t>to prove</w:t>
      </w:r>
      <w:r>
        <w:rPr>
          <w:sz w:val="24"/>
          <w:szCs w:val="24"/>
        </w:rPr>
        <w:t xml:space="preserve"> these factors.  Therefore, the application is </w:t>
      </w:r>
      <w:r w:rsidR="00AC275F">
        <w:rPr>
          <w:sz w:val="24"/>
          <w:szCs w:val="24"/>
        </w:rPr>
        <w:t>granted.</w:t>
      </w:r>
    </w:p>
    <w:p w:rsidR="000A145A" w:rsidRPr="00624C51" w:rsidRDefault="000A145A" w:rsidP="007D4668">
      <w:pPr>
        <w:spacing w:line="360" w:lineRule="auto"/>
        <w:rPr>
          <w:sz w:val="24"/>
          <w:szCs w:val="24"/>
        </w:rPr>
      </w:pPr>
    </w:p>
    <w:p w:rsidR="00363408" w:rsidRPr="00624C51" w:rsidRDefault="00172C39" w:rsidP="00172C39">
      <w:pPr>
        <w:spacing w:line="360" w:lineRule="auto"/>
        <w:jc w:val="center"/>
        <w:rPr>
          <w:sz w:val="24"/>
          <w:szCs w:val="24"/>
        </w:rPr>
      </w:pPr>
      <w:r w:rsidRPr="00624C51">
        <w:rPr>
          <w:sz w:val="24"/>
          <w:szCs w:val="24"/>
          <w:u w:val="single"/>
        </w:rPr>
        <w:t>CONCLUSIONS OF LAW</w:t>
      </w:r>
    </w:p>
    <w:p w:rsidR="00172C39" w:rsidRPr="00624C51" w:rsidRDefault="00172C39" w:rsidP="00172C39">
      <w:pPr>
        <w:spacing w:line="360" w:lineRule="auto"/>
        <w:rPr>
          <w:sz w:val="24"/>
          <w:szCs w:val="24"/>
        </w:rPr>
      </w:pPr>
    </w:p>
    <w:p w:rsidR="00172C39" w:rsidRDefault="003E31E3" w:rsidP="002965CA">
      <w:pPr>
        <w:numPr>
          <w:ilvl w:val="0"/>
          <w:numId w:val="4"/>
        </w:numPr>
        <w:tabs>
          <w:tab w:val="clear" w:pos="720"/>
          <w:tab w:val="num" w:pos="0"/>
        </w:tabs>
        <w:spacing w:line="360" w:lineRule="auto"/>
        <w:ind w:left="0" w:firstLine="1440"/>
        <w:rPr>
          <w:sz w:val="24"/>
          <w:szCs w:val="24"/>
        </w:rPr>
      </w:pPr>
      <w:r w:rsidRPr="00624C51">
        <w:rPr>
          <w:sz w:val="24"/>
          <w:szCs w:val="24"/>
        </w:rPr>
        <w:t xml:space="preserve">The Commission has jurisdiction over the subject matter and the parties to this proceeding.  </w:t>
      </w:r>
      <w:r w:rsidRPr="00624C51">
        <w:rPr>
          <w:i/>
          <w:sz w:val="24"/>
          <w:szCs w:val="24"/>
        </w:rPr>
        <w:t>See</w:t>
      </w:r>
      <w:r w:rsidRPr="00624C51">
        <w:rPr>
          <w:sz w:val="24"/>
          <w:szCs w:val="24"/>
        </w:rPr>
        <w:t>, 66 Pa. C.S.</w:t>
      </w:r>
      <w:r w:rsidR="00E90857">
        <w:rPr>
          <w:sz w:val="24"/>
          <w:szCs w:val="24"/>
        </w:rPr>
        <w:t>A.</w:t>
      </w:r>
      <w:r w:rsidRPr="00624C51">
        <w:rPr>
          <w:sz w:val="24"/>
          <w:szCs w:val="24"/>
        </w:rPr>
        <w:t xml:space="preserve"> §§501, </w:t>
      </w:r>
      <w:r w:rsidRPr="00624C51">
        <w:rPr>
          <w:i/>
          <w:sz w:val="24"/>
          <w:szCs w:val="24"/>
        </w:rPr>
        <w:t>et seq</w:t>
      </w:r>
      <w:r w:rsidRPr="00624C51">
        <w:rPr>
          <w:sz w:val="24"/>
          <w:szCs w:val="24"/>
        </w:rPr>
        <w:t>.</w:t>
      </w:r>
    </w:p>
    <w:p w:rsidR="00AC275F" w:rsidRDefault="00AC275F">
      <w:pPr>
        <w:rPr>
          <w:sz w:val="24"/>
          <w:szCs w:val="24"/>
        </w:rPr>
      </w:pPr>
      <w:r>
        <w:rPr>
          <w:sz w:val="24"/>
          <w:szCs w:val="24"/>
        </w:rPr>
        <w:br w:type="page"/>
      </w:r>
    </w:p>
    <w:p w:rsidR="00C42A59" w:rsidRPr="00C42A59" w:rsidRDefault="00C42A59" w:rsidP="002965CA">
      <w:pPr>
        <w:numPr>
          <w:ilvl w:val="0"/>
          <w:numId w:val="4"/>
        </w:numPr>
        <w:tabs>
          <w:tab w:val="clear" w:pos="720"/>
          <w:tab w:val="num" w:pos="0"/>
        </w:tabs>
        <w:spacing w:line="360" w:lineRule="auto"/>
        <w:ind w:left="0" w:firstLine="1440"/>
        <w:rPr>
          <w:sz w:val="24"/>
          <w:szCs w:val="24"/>
        </w:rPr>
      </w:pPr>
      <w:bookmarkStart w:id="0" w:name="_GoBack"/>
      <w:bookmarkEnd w:id="0"/>
      <w:r w:rsidRPr="00C42A59">
        <w:rPr>
          <w:sz w:val="24"/>
          <w:szCs w:val="24"/>
        </w:rPr>
        <w:lastRenderedPageBreak/>
        <w:t xml:space="preserve">“Burden of proof” means a duty to establish one’s case by a preponderance of the evidence, which requires that the evidence be more convincing by even the smallest degree, than the evidence presented by the other side.  </w:t>
      </w:r>
      <w:r w:rsidRPr="00C42A59">
        <w:rPr>
          <w:sz w:val="24"/>
          <w:szCs w:val="24"/>
          <w:u w:val="single"/>
        </w:rPr>
        <w:t>Se-Ling Hosiery, Inc. v. Margulies</w:t>
      </w:r>
      <w:r w:rsidRPr="00C42A59">
        <w:rPr>
          <w:sz w:val="24"/>
          <w:szCs w:val="24"/>
        </w:rPr>
        <w:t xml:space="preserve">, 364 </w:t>
      </w:r>
      <w:smartTag w:uri="urn:schemas-microsoft-com:office:smarttags" w:element="time">
        <w:r w:rsidRPr="00C42A59">
          <w:rPr>
            <w:sz w:val="24"/>
            <w:szCs w:val="24"/>
          </w:rPr>
          <w:t>Pa.</w:t>
        </w:r>
      </w:smartTag>
      <w:r w:rsidRPr="00C42A59">
        <w:rPr>
          <w:sz w:val="24"/>
          <w:szCs w:val="24"/>
        </w:rPr>
        <w:t xml:space="preserve"> 45, 70 A.2d 854 (1950).</w:t>
      </w:r>
    </w:p>
    <w:p w:rsidR="0046089A" w:rsidRPr="00C42A59" w:rsidRDefault="0046089A" w:rsidP="0046089A">
      <w:pPr>
        <w:spacing w:line="360" w:lineRule="auto"/>
        <w:ind w:left="1440"/>
        <w:rPr>
          <w:sz w:val="24"/>
          <w:szCs w:val="24"/>
        </w:rPr>
      </w:pPr>
    </w:p>
    <w:p w:rsidR="003E31E3" w:rsidRPr="00C42A59" w:rsidRDefault="003E31E3" w:rsidP="002965CA">
      <w:pPr>
        <w:numPr>
          <w:ilvl w:val="0"/>
          <w:numId w:val="4"/>
        </w:numPr>
        <w:tabs>
          <w:tab w:val="clear" w:pos="720"/>
          <w:tab w:val="num" w:pos="0"/>
        </w:tabs>
        <w:spacing w:line="360" w:lineRule="auto"/>
        <w:ind w:left="0" w:firstLine="1440"/>
        <w:rPr>
          <w:sz w:val="24"/>
          <w:szCs w:val="24"/>
        </w:rPr>
      </w:pPr>
      <w:r w:rsidRPr="00C42A59">
        <w:rPr>
          <w:sz w:val="24"/>
          <w:szCs w:val="24"/>
        </w:rPr>
        <w:t xml:space="preserve">As the party seeking affirmative relief in this application, </w:t>
      </w:r>
      <w:r w:rsidR="00EA3826" w:rsidRPr="00C42A59">
        <w:rPr>
          <w:sz w:val="24"/>
          <w:szCs w:val="24"/>
        </w:rPr>
        <w:t>Columbia Gas of Pennsylvania, Inc.,</w:t>
      </w:r>
      <w:r w:rsidRPr="00C42A59">
        <w:rPr>
          <w:sz w:val="24"/>
          <w:szCs w:val="24"/>
        </w:rPr>
        <w:t xml:space="preserve"> bears the burden of proving that abandonment of natural gas service to th</w:t>
      </w:r>
      <w:r w:rsidR="00EA3826" w:rsidRPr="00C42A59">
        <w:rPr>
          <w:sz w:val="24"/>
          <w:szCs w:val="24"/>
        </w:rPr>
        <w:t>is one</w:t>
      </w:r>
      <w:r w:rsidRPr="00C42A59">
        <w:rPr>
          <w:sz w:val="24"/>
          <w:szCs w:val="24"/>
        </w:rPr>
        <w:t xml:space="preserve"> customer is in the public interest.  </w:t>
      </w:r>
      <w:r w:rsidRPr="00C42A59">
        <w:rPr>
          <w:i/>
          <w:sz w:val="24"/>
          <w:szCs w:val="24"/>
        </w:rPr>
        <w:t>See</w:t>
      </w:r>
      <w:r w:rsidRPr="00C42A59">
        <w:rPr>
          <w:sz w:val="24"/>
          <w:szCs w:val="24"/>
        </w:rPr>
        <w:t>, 66 Pa. C.S.</w:t>
      </w:r>
      <w:r w:rsidR="00E90857">
        <w:rPr>
          <w:sz w:val="24"/>
          <w:szCs w:val="24"/>
        </w:rPr>
        <w:t>A.</w:t>
      </w:r>
      <w:r w:rsidRPr="00C42A59">
        <w:rPr>
          <w:sz w:val="24"/>
          <w:szCs w:val="24"/>
        </w:rPr>
        <w:t xml:space="preserve"> §§332(a) &amp; 1102(a)(2).</w:t>
      </w:r>
    </w:p>
    <w:p w:rsidR="003E31E3" w:rsidRPr="00C42A59" w:rsidRDefault="003E31E3" w:rsidP="003E31E3">
      <w:pPr>
        <w:spacing w:line="360" w:lineRule="auto"/>
        <w:rPr>
          <w:sz w:val="24"/>
          <w:szCs w:val="24"/>
        </w:rPr>
      </w:pPr>
    </w:p>
    <w:p w:rsidR="005E189E" w:rsidRPr="00B002E4" w:rsidRDefault="005E189E" w:rsidP="005E189E">
      <w:pPr>
        <w:spacing w:line="360" w:lineRule="auto"/>
        <w:rPr>
          <w:sz w:val="24"/>
          <w:szCs w:val="24"/>
        </w:rPr>
      </w:pPr>
      <w:r>
        <w:rPr>
          <w:sz w:val="24"/>
          <w:szCs w:val="24"/>
        </w:rPr>
        <w:tab/>
      </w:r>
      <w:r>
        <w:rPr>
          <w:sz w:val="24"/>
          <w:szCs w:val="24"/>
        </w:rPr>
        <w:tab/>
      </w:r>
      <w:r w:rsidRPr="00B002E4">
        <w:rPr>
          <w:sz w:val="24"/>
          <w:szCs w:val="24"/>
        </w:rPr>
        <w:t>4.</w:t>
      </w:r>
      <w:r w:rsidRPr="00B002E4">
        <w:rPr>
          <w:sz w:val="24"/>
          <w:szCs w:val="24"/>
        </w:rPr>
        <w:tab/>
        <w:t xml:space="preserve">Columbia Gas of Pennsylvania, Inc. satisfied its burden of proving that approval of this application is necessary or proper for the service, accommodation, convenience and safety of the public.  </w:t>
      </w:r>
      <w:r w:rsidRPr="00B002E4">
        <w:rPr>
          <w:i/>
          <w:sz w:val="24"/>
          <w:szCs w:val="24"/>
        </w:rPr>
        <w:t>See</w:t>
      </w:r>
      <w:r w:rsidRPr="00B002E4">
        <w:rPr>
          <w:sz w:val="24"/>
          <w:szCs w:val="24"/>
        </w:rPr>
        <w:t xml:space="preserve">, 66 </w:t>
      </w:r>
      <w:smartTag w:uri="urn:schemas-microsoft-com:office:smarttags" w:element="place">
        <w:smartTag w:uri="urn:schemas-microsoft-com:office:smarttags" w:element="State">
          <w:r w:rsidRPr="00B002E4">
            <w:rPr>
              <w:sz w:val="24"/>
              <w:szCs w:val="24"/>
            </w:rPr>
            <w:t>Pa.</w:t>
          </w:r>
        </w:smartTag>
      </w:smartTag>
      <w:r w:rsidRPr="00B002E4">
        <w:rPr>
          <w:sz w:val="24"/>
          <w:szCs w:val="24"/>
        </w:rPr>
        <w:t xml:space="preserve"> C.S. §1103(a).</w:t>
      </w:r>
    </w:p>
    <w:p w:rsidR="005E189E" w:rsidRPr="00B002E4" w:rsidRDefault="005E189E" w:rsidP="005E189E">
      <w:pPr>
        <w:spacing w:line="360" w:lineRule="auto"/>
        <w:rPr>
          <w:sz w:val="24"/>
          <w:szCs w:val="24"/>
        </w:rPr>
      </w:pPr>
    </w:p>
    <w:p w:rsidR="005E189E" w:rsidRPr="00B002E4" w:rsidRDefault="005E189E" w:rsidP="005E189E">
      <w:pPr>
        <w:spacing w:line="360" w:lineRule="auto"/>
        <w:rPr>
          <w:sz w:val="24"/>
          <w:szCs w:val="24"/>
        </w:rPr>
      </w:pPr>
      <w:r>
        <w:rPr>
          <w:sz w:val="24"/>
          <w:szCs w:val="24"/>
        </w:rPr>
        <w:tab/>
      </w:r>
      <w:r>
        <w:rPr>
          <w:sz w:val="24"/>
          <w:szCs w:val="24"/>
        </w:rPr>
        <w:tab/>
      </w:r>
      <w:r w:rsidRPr="00B002E4">
        <w:rPr>
          <w:sz w:val="24"/>
          <w:szCs w:val="24"/>
        </w:rPr>
        <w:t>5.</w:t>
      </w:r>
      <w:r w:rsidRPr="00B002E4">
        <w:rPr>
          <w:sz w:val="24"/>
          <w:szCs w:val="24"/>
        </w:rPr>
        <w:tab/>
        <w:t xml:space="preserve">Under the circumstances, approval of this application is conditioned upon </w:t>
      </w:r>
      <w:r w:rsidR="007E18C3">
        <w:rPr>
          <w:sz w:val="24"/>
          <w:szCs w:val="24"/>
        </w:rPr>
        <w:t>Columbia Gas of Pennsylvania, Inc.</w:t>
      </w:r>
      <w:r w:rsidRPr="00B002E4">
        <w:rPr>
          <w:sz w:val="24"/>
          <w:szCs w:val="24"/>
        </w:rPr>
        <w:t xml:space="preserve"> accepting the terms and conditions of abandonment as discussed, </w:t>
      </w:r>
      <w:r w:rsidRPr="00B002E4">
        <w:rPr>
          <w:i/>
          <w:sz w:val="24"/>
          <w:szCs w:val="24"/>
        </w:rPr>
        <w:t>supra</w:t>
      </w:r>
      <w:r w:rsidRPr="00B002E4">
        <w:rPr>
          <w:sz w:val="24"/>
          <w:szCs w:val="24"/>
        </w:rPr>
        <w:t xml:space="preserve">.  </w:t>
      </w:r>
      <w:r w:rsidRPr="00B002E4">
        <w:rPr>
          <w:i/>
          <w:sz w:val="24"/>
          <w:szCs w:val="24"/>
        </w:rPr>
        <w:t>See</w:t>
      </w:r>
      <w:r w:rsidRPr="00B002E4">
        <w:rPr>
          <w:sz w:val="24"/>
          <w:szCs w:val="24"/>
        </w:rPr>
        <w:t>, 66 Pa. C.S. §1103(a).</w:t>
      </w:r>
    </w:p>
    <w:p w:rsidR="005E189E" w:rsidRPr="00B002E4" w:rsidRDefault="005E189E" w:rsidP="005E189E">
      <w:pPr>
        <w:tabs>
          <w:tab w:val="num" w:pos="0"/>
        </w:tabs>
        <w:spacing w:line="360" w:lineRule="auto"/>
        <w:rPr>
          <w:sz w:val="24"/>
          <w:szCs w:val="24"/>
        </w:rPr>
      </w:pPr>
    </w:p>
    <w:p w:rsidR="005E189E" w:rsidRPr="00B002E4" w:rsidRDefault="00D134A1" w:rsidP="005E189E">
      <w:pPr>
        <w:tabs>
          <w:tab w:val="num" w:pos="0"/>
        </w:tabs>
        <w:spacing w:line="360" w:lineRule="auto"/>
        <w:rPr>
          <w:sz w:val="24"/>
          <w:szCs w:val="24"/>
        </w:rPr>
      </w:pPr>
      <w:r>
        <w:rPr>
          <w:sz w:val="24"/>
          <w:szCs w:val="24"/>
        </w:rPr>
        <w:tab/>
      </w:r>
      <w:r>
        <w:rPr>
          <w:sz w:val="24"/>
          <w:szCs w:val="24"/>
        </w:rPr>
        <w:tab/>
      </w:r>
      <w:r w:rsidR="005E189E" w:rsidRPr="00B002E4">
        <w:rPr>
          <w:sz w:val="24"/>
          <w:szCs w:val="24"/>
        </w:rPr>
        <w:t>6.</w:t>
      </w:r>
      <w:r w:rsidR="005E189E" w:rsidRPr="00B002E4">
        <w:rPr>
          <w:sz w:val="24"/>
          <w:szCs w:val="24"/>
        </w:rPr>
        <w:tab/>
        <w:t xml:space="preserve">Joseph </w:t>
      </w:r>
      <w:proofErr w:type="spellStart"/>
      <w:r w:rsidR="005E189E" w:rsidRPr="00B002E4">
        <w:rPr>
          <w:sz w:val="24"/>
          <w:szCs w:val="24"/>
        </w:rPr>
        <w:t>Lucey</w:t>
      </w:r>
      <w:proofErr w:type="spellEnd"/>
      <w:r w:rsidR="005E189E" w:rsidRPr="00B002E4">
        <w:rPr>
          <w:sz w:val="24"/>
          <w:szCs w:val="24"/>
        </w:rPr>
        <w:t xml:space="preserve"> has the burden of proving Columbia Gas of </w:t>
      </w:r>
      <w:proofErr w:type="gramStart"/>
      <w:r w:rsidR="005E189E" w:rsidRPr="00B002E4">
        <w:rPr>
          <w:sz w:val="24"/>
          <w:szCs w:val="24"/>
        </w:rPr>
        <w:t>Pennsylvania,</w:t>
      </w:r>
      <w:proofErr w:type="gramEnd"/>
      <w:r w:rsidR="005E189E" w:rsidRPr="00B002E4">
        <w:rPr>
          <w:sz w:val="24"/>
          <w:szCs w:val="24"/>
        </w:rPr>
        <w:t xml:space="preserve"> Inc. did not provide reasonable and adequate service.  </w:t>
      </w:r>
      <w:proofErr w:type="gramStart"/>
      <w:r w:rsidR="005E189E" w:rsidRPr="00B002E4">
        <w:rPr>
          <w:sz w:val="24"/>
          <w:szCs w:val="24"/>
        </w:rPr>
        <w:t>66 Pa. C.S.A. §332(a) and 66 Pa. C.S.A. §1501.</w:t>
      </w:r>
      <w:proofErr w:type="gramEnd"/>
    </w:p>
    <w:p w:rsidR="005E189E" w:rsidRPr="00B002E4" w:rsidRDefault="005E189E" w:rsidP="005E189E">
      <w:pPr>
        <w:tabs>
          <w:tab w:val="num" w:pos="0"/>
        </w:tabs>
        <w:spacing w:line="360" w:lineRule="auto"/>
        <w:rPr>
          <w:sz w:val="24"/>
          <w:szCs w:val="24"/>
        </w:rPr>
      </w:pPr>
    </w:p>
    <w:p w:rsidR="005E189E" w:rsidRPr="00B002E4" w:rsidRDefault="00D134A1" w:rsidP="005E189E">
      <w:pPr>
        <w:tabs>
          <w:tab w:val="num" w:pos="0"/>
        </w:tabs>
        <w:spacing w:line="360" w:lineRule="auto"/>
        <w:rPr>
          <w:sz w:val="24"/>
          <w:szCs w:val="24"/>
        </w:rPr>
      </w:pPr>
      <w:r>
        <w:rPr>
          <w:sz w:val="24"/>
          <w:szCs w:val="24"/>
        </w:rPr>
        <w:tab/>
      </w:r>
      <w:r>
        <w:rPr>
          <w:sz w:val="24"/>
          <w:szCs w:val="24"/>
        </w:rPr>
        <w:tab/>
      </w:r>
      <w:r w:rsidR="005E189E" w:rsidRPr="00B002E4">
        <w:rPr>
          <w:sz w:val="24"/>
          <w:szCs w:val="24"/>
        </w:rPr>
        <w:t>7.</w:t>
      </w:r>
      <w:r w:rsidR="005E189E" w:rsidRPr="00B002E4">
        <w:rPr>
          <w:sz w:val="24"/>
          <w:szCs w:val="24"/>
        </w:rPr>
        <w:tab/>
        <w:t xml:space="preserve">Joseph </w:t>
      </w:r>
      <w:proofErr w:type="spellStart"/>
      <w:r w:rsidR="005E189E" w:rsidRPr="00B002E4">
        <w:rPr>
          <w:sz w:val="24"/>
          <w:szCs w:val="24"/>
        </w:rPr>
        <w:t>Lucey</w:t>
      </w:r>
      <w:proofErr w:type="spellEnd"/>
      <w:r w:rsidR="005E189E" w:rsidRPr="00B002E4">
        <w:rPr>
          <w:sz w:val="24"/>
          <w:szCs w:val="24"/>
        </w:rPr>
        <w:t xml:space="preserve"> failed to meet the burden of proving Columbia Gas of Pennsylvania, Inc. improperly discontinued service to the service address on June 1, 2011.</w:t>
      </w:r>
    </w:p>
    <w:p w:rsidR="005E189E" w:rsidRPr="00B002E4" w:rsidRDefault="005E189E" w:rsidP="005E189E">
      <w:pPr>
        <w:spacing w:line="360" w:lineRule="auto"/>
        <w:rPr>
          <w:sz w:val="24"/>
          <w:szCs w:val="24"/>
        </w:rPr>
      </w:pPr>
    </w:p>
    <w:p w:rsidR="005E189E" w:rsidRPr="00B002E4" w:rsidRDefault="005E189E" w:rsidP="005E189E">
      <w:pPr>
        <w:spacing w:line="360" w:lineRule="auto"/>
        <w:rPr>
          <w:sz w:val="24"/>
          <w:szCs w:val="24"/>
        </w:rPr>
      </w:pPr>
    </w:p>
    <w:p w:rsidR="005E22D4" w:rsidRPr="00C42A59" w:rsidRDefault="005E22D4" w:rsidP="005E22D4">
      <w:pPr>
        <w:spacing w:line="360" w:lineRule="auto"/>
        <w:rPr>
          <w:sz w:val="24"/>
          <w:szCs w:val="24"/>
        </w:rPr>
      </w:pPr>
    </w:p>
    <w:p w:rsidR="00601E85" w:rsidRDefault="00601E85" w:rsidP="003077FA">
      <w:pPr>
        <w:spacing w:line="360" w:lineRule="auto"/>
        <w:jc w:val="center"/>
        <w:rPr>
          <w:sz w:val="24"/>
          <w:szCs w:val="24"/>
          <w:u w:val="single"/>
        </w:rPr>
      </w:pPr>
    </w:p>
    <w:p w:rsidR="00601E85" w:rsidRDefault="00601E85" w:rsidP="003077FA">
      <w:pPr>
        <w:spacing w:line="360" w:lineRule="auto"/>
        <w:jc w:val="center"/>
        <w:rPr>
          <w:sz w:val="24"/>
          <w:szCs w:val="24"/>
          <w:u w:val="single"/>
        </w:rPr>
      </w:pPr>
    </w:p>
    <w:p w:rsidR="00601E85" w:rsidRDefault="00601E85" w:rsidP="003077FA">
      <w:pPr>
        <w:spacing w:line="360" w:lineRule="auto"/>
        <w:jc w:val="center"/>
        <w:rPr>
          <w:sz w:val="24"/>
          <w:szCs w:val="24"/>
          <w:u w:val="single"/>
        </w:rPr>
      </w:pPr>
    </w:p>
    <w:p w:rsidR="00601E85" w:rsidRDefault="00601E85" w:rsidP="003077FA">
      <w:pPr>
        <w:spacing w:line="360" w:lineRule="auto"/>
        <w:jc w:val="center"/>
        <w:rPr>
          <w:sz w:val="24"/>
          <w:szCs w:val="24"/>
          <w:u w:val="single"/>
        </w:rPr>
      </w:pPr>
    </w:p>
    <w:p w:rsidR="00601E85" w:rsidRDefault="00601E85" w:rsidP="003077FA">
      <w:pPr>
        <w:spacing w:line="360" w:lineRule="auto"/>
        <w:jc w:val="center"/>
        <w:rPr>
          <w:sz w:val="24"/>
          <w:szCs w:val="24"/>
          <w:u w:val="single"/>
        </w:rPr>
      </w:pPr>
    </w:p>
    <w:p w:rsidR="005E22D4" w:rsidRPr="00C42A59" w:rsidRDefault="005E22D4" w:rsidP="003077FA">
      <w:pPr>
        <w:spacing w:line="360" w:lineRule="auto"/>
        <w:jc w:val="center"/>
        <w:rPr>
          <w:sz w:val="24"/>
          <w:szCs w:val="24"/>
        </w:rPr>
      </w:pPr>
      <w:r w:rsidRPr="00C42A59">
        <w:rPr>
          <w:sz w:val="24"/>
          <w:szCs w:val="24"/>
          <w:u w:val="single"/>
        </w:rPr>
        <w:lastRenderedPageBreak/>
        <w:t>ORDER</w:t>
      </w:r>
    </w:p>
    <w:p w:rsidR="005E22D4" w:rsidRDefault="005E22D4" w:rsidP="005E22D4">
      <w:pPr>
        <w:spacing w:line="360" w:lineRule="auto"/>
        <w:rPr>
          <w:sz w:val="24"/>
          <w:szCs w:val="24"/>
        </w:rPr>
      </w:pPr>
    </w:p>
    <w:p w:rsidR="00A50B73" w:rsidRPr="00624C51" w:rsidRDefault="00A50B73" w:rsidP="003077FA">
      <w:pPr>
        <w:spacing w:line="360" w:lineRule="auto"/>
        <w:rPr>
          <w:sz w:val="24"/>
          <w:szCs w:val="24"/>
        </w:rPr>
      </w:pPr>
    </w:p>
    <w:p w:rsidR="005E22D4" w:rsidRPr="00624C51" w:rsidRDefault="005E22D4" w:rsidP="003077FA">
      <w:pPr>
        <w:spacing w:line="360" w:lineRule="auto"/>
        <w:rPr>
          <w:sz w:val="24"/>
          <w:szCs w:val="24"/>
        </w:rPr>
      </w:pPr>
      <w:r w:rsidRPr="00624C51">
        <w:rPr>
          <w:sz w:val="24"/>
          <w:szCs w:val="24"/>
        </w:rPr>
        <w:tab/>
      </w:r>
      <w:r w:rsidRPr="00624C51">
        <w:rPr>
          <w:sz w:val="24"/>
          <w:szCs w:val="24"/>
        </w:rPr>
        <w:tab/>
        <w:t>THEREFORE,</w:t>
      </w:r>
    </w:p>
    <w:p w:rsidR="005E22D4" w:rsidRPr="00624C51" w:rsidRDefault="005E22D4" w:rsidP="005E22D4">
      <w:pPr>
        <w:spacing w:line="360" w:lineRule="auto"/>
        <w:rPr>
          <w:sz w:val="24"/>
          <w:szCs w:val="24"/>
        </w:rPr>
      </w:pPr>
    </w:p>
    <w:p w:rsidR="005E22D4" w:rsidRPr="00624C51" w:rsidRDefault="005E22D4" w:rsidP="005E22D4">
      <w:pPr>
        <w:spacing w:line="360" w:lineRule="auto"/>
        <w:rPr>
          <w:sz w:val="24"/>
          <w:szCs w:val="24"/>
        </w:rPr>
      </w:pPr>
      <w:r w:rsidRPr="00624C51">
        <w:rPr>
          <w:sz w:val="24"/>
          <w:szCs w:val="24"/>
        </w:rPr>
        <w:tab/>
      </w:r>
      <w:r w:rsidRPr="00624C51">
        <w:rPr>
          <w:sz w:val="24"/>
          <w:szCs w:val="24"/>
        </w:rPr>
        <w:tab/>
        <w:t>IT IS ORDERED:</w:t>
      </w:r>
    </w:p>
    <w:p w:rsidR="005E22D4" w:rsidRPr="00624C51" w:rsidRDefault="005E22D4" w:rsidP="005E22D4">
      <w:pPr>
        <w:spacing w:line="360" w:lineRule="auto"/>
        <w:rPr>
          <w:sz w:val="24"/>
          <w:szCs w:val="24"/>
        </w:rPr>
      </w:pPr>
    </w:p>
    <w:p w:rsidR="00563363" w:rsidRPr="00563363" w:rsidRDefault="00EC0C6A" w:rsidP="00563363">
      <w:pPr>
        <w:numPr>
          <w:ilvl w:val="0"/>
          <w:numId w:val="5"/>
        </w:numPr>
        <w:tabs>
          <w:tab w:val="clear" w:pos="720"/>
          <w:tab w:val="num" w:pos="0"/>
        </w:tabs>
        <w:spacing w:line="360" w:lineRule="auto"/>
        <w:ind w:left="0" w:firstLine="1440"/>
        <w:rPr>
          <w:sz w:val="24"/>
          <w:szCs w:val="24"/>
        </w:rPr>
      </w:pPr>
      <w:r w:rsidRPr="00EC7FFC">
        <w:rPr>
          <w:sz w:val="24"/>
          <w:szCs w:val="24"/>
        </w:rPr>
        <w:t>That the application of</w:t>
      </w:r>
      <w:r w:rsidR="00000D90" w:rsidRPr="00EC7FFC">
        <w:rPr>
          <w:sz w:val="24"/>
          <w:szCs w:val="24"/>
        </w:rPr>
        <w:t xml:space="preserve"> </w:t>
      </w:r>
      <w:r w:rsidR="00EA3826" w:rsidRPr="00EC7FFC">
        <w:rPr>
          <w:sz w:val="24"/>
          <w:szCs w:val="24"/>
        </w:rPr>
        <w:t>Columbia Gas of Pennsylvania, Inc.</w:t>
      </w:r>
      <w:r w:rsidRPr="00EC7FFC">
        <w:rPr>
          <w:sz w:val="24"/>
          <w:szCs w:val="24"/>
        </w:rPr>
        <w:t>,</w:t>
      </w:r>
      <w:r w:rsidR="00000D90" w:rsidRPr="00EC7FFC">
        <w:rPr>
          <w:sz w:val="24"/>
          <w:szCs w:val="24"/>
        </w:rPr>
        <w:t xml:space="preserve"> a Division of </w:t>
      </w:r>
      <w:r w:rsidR="00EA3826" w:rsidRPr="00EC7FFC">
        <w:rPr>
          <w:sz w:val="24"/>
          <w:szCs w:val="24"/>
        </w:rPr>
        <w:t>NiSource</w:t>
      </w:r>
      <w:r w:rsidR="00000D90" w:rsidRPr="00EC7FFC">
        <w:rPr>
          <w:sz w:val="24"/>
          <w:szCs w:val="24"/>
        </w:rPr>
        <w:t xml:space="preserve">, Inc., </w:t>
      </w:r>
      <w:r w:rsidRPr="00EC7FFC">
        <w:rPr>
          <w:sz w:val="24"/>
          <w:szCs w:val="24"/>
        </w:rPr>
        <w:t xml:space="preserve">docketed with the Pennsylvania Public Utility Commission at No. </w:t>
      </w:r>
      <w:r w:rsidR="00000D90" w:rsidRPr="00EC7FFC">
        <w:rPr>
          <w:sz w:val="24"/>
          <w:szCs w:val="24"/>
        </w:rPr>
        <w:t>A</w:t>
      </w:r>
      <w:r w:rsidR="00000D90" w:rsidRPr="00EC7FFC">
        <w:rPr>
          <w:sz w:val="24"/>
          <w:szCs w:val="24"/>
        </w:rPr>
        <w:noBreakHyphen/>
      </w:r>
      <w:r w:rsidR="00EA3826" w:rsidRPr="00EC7FFC">
        <w:rPr>
          <w:sz w:val="24"/>
          <w:szCs w:val="24"/>
        </w:rPr>
        <w:t>2011-2276780</w:t>
      </w:r>
      <w:r w:rsidRPr="00EC7FFC">
        <w:rPr>
          <w:sz w:val="24"/>
          <w:szCs w:val="24"/>
        </w:rPr>
        <w:t>, for approval of abandonment of service</w:t>
      </w:r>
      <w:r w:rsidR="00D46382" w:rsidRPr="00EC7FFC">
        <w:rPr>
          <w:sz w:val="24"/>
          <w:szCs w:val="24"/>
        </w:rPr>
        <w:t xml:space="preserve"> to </w:t>
      </w:r>
      <w:r w:rsidR="00EA3826" w:rsidRPr="00EC7FFC">
        <w:rPr>
          <w:sz w:val="24"/>
          <w:szCs w:val="24"/>
        </w:rPr>
        <w:t>one (1</w:t>
      </w:r>
      <w:r w:rsidR="00D46382" w:rsidRPr="00EC7FFC">
        <w:rPr>
          <w:sz w:val="24"/>
          <w:szCs w:val="24"/>
        </w:rPr>
        <w:t xml:space="preserve">) </w:t>
      </w:r>
      <w:r w:rsidR="00EA3826" w:rsidRPr="00EC7FFC">
        <w:rPr>
          <w:sz w:val="24"/>
          <w:szCs w:val="24"/>
        </w:rPr>
        <w:t>transmission line</w:t>
      </w:r>
      <w:r w:rsidR="00D46382" w:rsidRPr="00EC7FFC">
        <w:rPr>
          <w:sz w:val="24"/>
          <w:szCs w:val="24"/>
        </w:rPr>
        <w:t xml:space="preserve"> customer</w:t>
      </w:r>
      <w:r w:rsidR="00EA3826" w:rsidRPr="00EC7FFC">
        <w:rPr>
          <w:sz w:val="24"/>
          <w:szCs w:val="24"/>
        </w:rPr>
        <w:t xml:space="preserve"> </w:t>
      </w:r>
      <w:r w:rsidR="00D46382" w:rsidRPr="00EC7FFC">
        <w:rPr>
          <w:sz w:val="24"/>
          <w:szCs w:val="24"/>
        </w:rPr>
        <w:t xml:space="preserve">in </w:t>
      </w:r>
      <w:proofErr w:type="spellStart"/>
      <w:r w:rsidR="00D46382" w:rsidRPr="00EC7FFC">
        <w:rPr>
          <w:sz w:val="24"/>
          <w:szCs w:val="24"/>
        </w:rPr>
        <w:t>Whiteley</w:t>
      </w:r>
      <w:proofErr w:type="spellEnd"/>
      <w:r w:rsidR="00D46382" w:rsidRPr="00EC7FFC">
        <w:rPr>
          <w:sz w:val="24"/>
          <w:szCs w:val="24"/>
        </w:rPr>
        <w:t xml:space="preserve"> Township, Greene County, Pennsylvania</w:t>
      </w:r>
      <w:r w:rsidRPr="00EC7FFC">
        <w:rPr>
          <w:sz w:val="24"/>
          <w:szCs w:val="24"/>
        </w:rPr>
        <w:t xml:space="preserve">, is </w:t>
      </w:r>
      <w:r w:rsidR="00563363">
        <w:rPr>
          <w:sz w:val="24"/>
          <w:szCs w:val="24"/>
        </w:rPr>
        <w:t xml:space="preserve">hereby </w:t>
      </w:r>
      <w:r w:rsidR="00EC7FFC" w:rsidRPr="00EC7FFC">
        <w:rPr>
          <w:sz w:val="24"/>
          <w:szCs w:val="24"/>
        </w:rPr>
        <w:t xml:space="preserve">approved, subject to the following conditions:  </w:t>
      </w:r>
    </w:p>
    <w:p w:rsidR="00C83F97" w:rsidRPr="00B002E4" w:rsidRDefault="00C83F97" w:rsidP="00C83F97">
      <w:pPr>
        <w:numPr>
          <w:ilvl w:val="1"/>
          <w:numId w:val="5"/>
        </w:numPr>
        <w:tabs>
          <w:tab w:val="clear" w:pos="1440"/>
          <w:tab w:val="num" w:pos="0"/>
        </w:tabs>
        <w:spacing w:line="360" w:lineRule="auto"/>
        <w:ind w:left="0" w:firstLine="2160"/>
        <w:rPr>
          <w:sz w:val="24"/>
          <w:szCs w:val="24"/>
        </w:rPr>
      </w:pPr>
      <w:r w:rsidRPr="00B002E4">
        <w:rPr>
          <w:sz w:val="24"/>
          <w:szCs w:val="24"/>
        </w:rPr>
        <w:t xml:space="preserve">That Columbia Gas of Pennsylvania, Inc., pay Joseph </w:t>
      </w:r>
      <w:proofErr w:type="spellStart"/>
      <w:r w:rsidRPr="00B002E4">
        <w:rPr>
          <w:sz w:val="24"/>
          <w:szCs w:val="24"/>
        </w:rPr>
        <w:t>Lucey</w:t>
      </w:r>
      <w:proofErr w:type="spellEnd"/>
      <w:r w:rsidRPr="00B002E4">
        <w:rPr>
          <w:sz w:val="24"/>
          <w:szCs w:val="24"/>
        </w:rPr>
        <w:t xml:space="preserve"> the sum of $3,437.10 to help defray the cost of converting to an alternate fuel source within 30 days of entry of the Commission’s Order in this proceeding; and,</w:t>
      </w:r>
    </w:p>
    <w:p w:rsidR="00C83F97" w:rsidRPr="00B002E4" w:rsidRDefault="00C83F97" w:rsidP="00C83F97">
      <w:pPr>
        <w:spacing w:line="360" w:lineRule="auto"/>
        <w:rPr>
          <w:sz w:val="24"/>
          <w:szCs w:val="24"/>
        </w:rPr>
      </w:pPr>
    </w:p>
    <w:p w:rsidR="00C83F97" w:rsidRPr="00B002E4" w:rsidRDefault="00C83F97" w:rsidP="00C83F97">
      <w:pPr>
        <w:numPr>
          <w:ilvl w:val="1"/>
          <w:numId w:val="5"/>
        </w:numPr>
        <w:tabs>
          <w:tab w:val="clear" w:pos="1440"/>
          <w:tab w:val="num" w:pos="0"/>
        </w:tabs>
        <w:spacing w:line="360" w:lineRule="auto"/>
        <w:ind w:left="0" w:firstLine="2160"/>
        <w:rPr>
          <w:sz w:val="24"/>
          <w:szCs w:val="24"/>
        </w:rPr>
      </w:pPr>
      <w:r w:rsidRPr="00B002E4">
        <w:rPr>
          <w:sz w:val="24"/>
          <w:szCs w:val="24"/>
        </w:rPr>
        <w:t>That Columbia Gas of Pennsylvania, Inc., purge and cap all service lines, which had been used to deliver gas to the affected customer, at its sole cost and expense in compliance with the directives of the Gas Safety Division of the Commission’s Bureau of Transportation and Safety; and,</w:t>
      </w:r>
    </w:p>
    <w:p w:rsidR="00C83F97" w:rsidRPr="00B002E4" w:rsidRDefault="00C83F97" w:rsidP="00C83F97">
      <w:pPr>
        <w:spacing w:line="360" w:lineRule="auto"/>
        <w:rPr>
          <w:sz w:val="24"/>
          <w:szCs w:val="24"/>
        </w:rPr>
      </w:pPr>
    </w:p>
    <w:p w:rsidR="00C83F97" w:rsidRDefault="00C83F97" w:rsidP="00C83F97">
      <w:pPr>
        <w:numPr>
          <w:ilvl w:val="1"/>
          <w:numId w:val="5"/>
        </w:numPr>
        <w:tabs>
          <w:tab w:val="clear" w:pos="1440"/>
          <w:tab w:val="num" w:pos="0"/>
        </w:tabs>
        <w:spacing w:line="360" w:lineRule="auto"/>
        <w:ind w:left="0" w:firstLine="2160"/>
        <w:rPr>
          <w:sz w:val="24"/>
          <w:szCs w:val="24"/>
        </w:rPr>
      </w:pPr>
      <w:r w:rsidRPr="00B002E4">
        <w:rPr>
          <w:sz w:val="24"/>
          <w:szCs w:val="24"/>
        </w:rPr>
        <w:t>That Columbia Gas of Pennsylvania, Inc., file a sworn certification with this Commission of its compliance with these terms and conditions within 90 days of entry of the Commission’s Order in this application proceeding.</w:t>
      </w:r>
    </w:p>
    <w:p w:rsidR="00636FE1" w:rsidRPr="00B002E4" w:rsidRDefault="00636FE1" w:rsidP="00636FE1">
      <w:pPr>
        <w:spacing w:line="360" w:lineRule="auto"/>
        <w:ind w:left="2160"/>
        <w:rPr>
          <w:sz w:val="24"/>
          <w:szCs w:val="24"/>
        </w:rPr>
      </w:pPr>
    </w:p>
    <w:p w:rsidR="00C83F97" w:rsidRPr="00B002E4" w:rsidRDefault="00C83F97" w:rsidP="00C83F97">
      <w:pPr>
        <w:numPr>
          <w:ilvl w:val="0"/>
          <w:numId w:val="5"/>
        </w:numPr>
        <w:tabs>
          <w:tab w:val="clear" w:pos="720"/>
          <w:tab w:val="num" w:pos="0"/>
        </w:tabs>
        <w:spacing w:line="360" w:lineRule="auto"/>
        <w:ind w:left="0" w:firstLine="1440"/>
        <w:rPr>
          <w:sz w:val="24"/>
          <w:szCs w:val="24"/>
        </w:rPr>
      </w:pPr>
      <w:r w:rsidRPr="00B002E4">
        <w:rPr>
          <w:sz w:val="24"/>
          <w:szCs w:val="24"/>
        </w:rPr>
        <w:t>That Docket No. A</w:t>
      </w:r>
      <w:r w:rsidRPr="00B002E4">
        <w:rPr>
          <w:sz w:val="24"/>
          <w:szCs w:val="24"/>
        </w:rPr>
        <w:noBreakHyphen/>
        <w:t>2011-2276780 shall remain open until the subject facilities of Columbia Gas of Pennsylvania, Inc., meets the approval of the Gas Safety Division of the Bureau of Transportation and Safety, as evidenced by its letter to that effect, which letter shall be served upon Applicant as well as the affected customer, and inserted into the documents folder for this application proceeding.</w:t>
      </w:r>
    </w:p>
    <w:p w:rsidR="00C83F97" w:rsidRPr="00B002E4" w:rsidRDefault="00C83F97" w:rsidP="00C83F97">
      <w:pPr>
        <w:spacing w:line="360" w:lineRule="auto"/>
        <w:rPr>
          <w:sz w:val="24"/>
          <w:szCs w:val="24"/>
        </w:rPr>
      </w:pPr>
    </w:p>
    <w:p w:rsidR="00C83F97" w:rsidRPr="00B002E4" w:rsidRDefault="00C83F97" w:rsidP="00C83F97">
      <w:pPr>
        <w:numPr>
          <w:ilvl w:val="0"/>
          <w:numId w:val="5"/>
        </w:numPr>
        <w:tabs>
          <w:tab w:val="clear" w:pos="720"/>
          <w:tab w:val="num" w:pos="0"/>
        </w:tabs>
        <w:spacing w:line="360" w:lineRule="auto"/>
        <w:ind w:left="0" w:firstLine="1440"/>
        <w:rPr>
          <w:sz w:val="24"/>
          <w:szCs w:val="24"/>
        </w:rPr>
      </w:pPr>
      <w:r w:rsidRPr="00B002E4">
        <w:rPr>
          <w:sz w:val="24"/>
          <w:szCs w:val="24"/>
        </w:rPr>
        <w:lastRenderedPageBreak/>
        <w:t>That upon Columbia Gas of Pennsylvania, Inc., filing the certificate of compliance and the Gas Safety Division of the Bureau of Transportation and Safety inserting its letter in accordance with the foregoing ordering paragraphs, this docket shall be marked closed.</w:t>
      </w:r>
    </w:p>
    <w:p w:rsidR="00C83F97" w:rsidRPr="00B002E4" w:rsidRDefault="00C83F97" w:rsidP="00C83F97">
      <w:pPr>
        <w:spacing w:line="360" w:lineRule="auto"/>
        <w:rPr>
          <w:sz w:val="24"/>
          <w:szCs w:val="24"/>
        </w:rPr>
      </w:pPr>
    </w:p>
    <w:p w:rsidR="00C83F97" w:rsidRPr="00B002E4" w:rsidRDefault="00C83F97" w:rsidP="00C83F97">
      <w:pPr>
        <w:numPr>
          <w:ilvl w:val="0"/>
          <w:numId w:val="5"/>
        </w:numPr>
        <w:tabs>
          <w:tab w:val="clear" w:pos="720"/>
          <w:tab w:val="num" w:pos="0"/>
        </w:tabs>
        <w:spacing w:line="360" w:lineRule="auto"/>
        <w:ind w:left="0" w:firstLine="1440"/>
        <w:rPr>
          <w:sz w:val="24"/>
          <w:szCs w:val="24"/>
        </w:rPr>
      </w:pPr>
      <w:r w:rsidRPr="00B002E4">
        <w:rPr>
          <w:sz w:val="24"/>
          <w:szCs w:val="24"/>
        </w:rPr>
        <w:t>That if Columbia Gas of Pennsylvania, Inc., does not comply with the foregoing terms and conditions for abandoning service or fails to file and serve the required certificate of compliance as set forth in the foregoing ordering paragraphs, its application for abandonment of gas service at Docket No. A</w:t>
      </w:r>
      <w:r w:rsidRPr="00B002E4">
        <w:rPr>
          <w:sz w:val="24"/>
          <w:szCs w:val="24"/>
        </w:rPr>
        <w:noBreakHyphen/>
        <w:t>2011-2276780 shall be dismissed without further action.</w:t>
      </w:r>
    </w:p>
    <w:p w:rsidR="00C83F97" w:rsidRPr="00B002E4" w:rsidRDefault="00C83F97" w:rsidP="00C83F97">
      <w:pPr>
        <w:spacing w:line="360" w:lineRule="auto"/>
        <w:ind w:left="1440"/>
        <w:rPr>
          <w:sz w:val="24"/>
          <w:szCs w:val="24"/>
        </w:rPr>
      </w:pPr>
    </w:p>
    <w:p w:rsidR="00C83F97" w:rsidRPr="00B002E4" w:rsidRDefault="00C83F97" w:rsidP="00C83F97">
      <w:pPr>
        <w:numPr>
          <w:ilvl w:val="0"/>
          <w:numId w:val="5"/>
        </w:numPr>
        <w:tabs>
          <w:tab w:val="clear" w:pos="720"/>
          <w:tab w:val="num" w:pos="0"/>
        </w:tabs>
        <w:spacing w:line="360" w:lineRule="auto"/>
        <w:ind w:left="0" w:firstLine="1440"/>
        <w:rPr>
          <w:sz w:val="24"/>
          <w:szCs w:val="24"/>
        </w:rPr>
      </w:pPr>
      <w:r w:rsidRPr="00B002E4">
        <w:rPr>
          <w:sz w:val="24"/>
          <w:szCs w:val="24"/>
        </w:rPr>
        <w:t xml:space="preserve">That the formal complaint filed in Joseph </w:t>
      </w:r>
      <w:proofErr w:type="spellStart"/>
      <w:r w:rsidRPr="00B002E4">
        <w:rPr>
          <w:sz w:val="24"/>
          <w:szCs w:val="24"/>
        </w:rPr>
        <w:t>Lucey</w:t>
      </w:r>
      <w:proofErr w:type="spellEnd"/>
      <w:r w:rsidRPr="00B002E4">
        <w:rPr>
          <w:sz w:val="24"/>
          <w:szCs w:val="24"/>
        </w:rPr>
        <w:t xml:space="preserve"> v. Columbia Gas of Pennsylvania, Inc. at Docket No. C-2011-2248370 is denied, and Docket No. C-2011-2248370 is marked closed.</w:t>
      </w:r>
    </w:p>
    <w:p w:rsidR="00C83F97" w:rsidRPr="00B002E4" w:rsidRDefault="00C83F97" w:rsidP="00C83F97">
      <w:pPr>
        <w:spacing w:line="360" w:lineRule="auto"/>
        <w:rPr>
          <w:sz w:val="24"/>
          <w:szCs w:val="24"/>
        </w:rPr>
      </w:pPr>
    </w:p>
    <w:p w:rsidR="00996966" w:rsidRPr="00624C51" w:rsidRDefault="00996966" w:rsidP="00996966">
      <w:pPr>
        <w:spacing w:line="360" w:lineRule="auto"/>
        <w:rPr>
          <w:sz w:val="24"/>
          <w:szCs w:val="24"/>
        </w:rPr>
      </w:pPr>
    </w:p>
    <w:p w:rsidR="00996966" w:rsidRPr="00624C51" w:rsidRDefault="00996966" w:rsidP="00996966">
      <w:pPr>
        <w:spacing w:line="360" w:lineRule="auto"/>
        <w:rPr>
          <w:sz w:val="24"/>
          <w:szCs w:val="24"/>
        </w:rPr>
      </w:pPr>
    </w:p>
    <w:p w:rsidR="0000074B" w:rsidRPr="009C6D70" w:rsidRDefault="00996966" w:rsidP="0000074B">
      <w:r w:rsidRPr="00624C51">
        <w:rPr>
          <w:sz w:val="24"/>
          <w:szCs w:val="24"/>
        </w:rPr>
        <w:t xml:space="preserve">Date:  </w:t>
      </w:r>
      <w:r w:rsidR="00E87322">
        <w:rPr>
          <w:sz w:val="24"/>
          <w:szCs w:val="24"/>
          <w:u w:val="single"/>
        </w:rPr>
        <w:t>July 18</w:t>
      </w:r>
      <w:r w:rsidR="00EA3826">
        <w:rPr>
          <w:sz w:val="24"/>
          <w:szCs w:val="24"/>
          <w:u w:val="single"/>
        </w:rPr>
        <w:t>, 2013</w:t>
      </w:r>
      <w:r w:rsidR="008910EE">
        <w:rPr>
          <w:sz w:val="24"/>
          <w:szCs w:val="24"/>
        </w:rPr>
        <w:tab/>
      </w:r>
      <w:r w:rsidR="008910EE">
        <w:rPr>
          <w:sz w:val="24"/>
          <w:szCs w:val="24"/>
        </w:rPr>
        <w:tab/>
      </w:r>
      <w:r w:rsidR="008910EE">
        <w:rPr>
          <w:sz w:val="24"/>
          <w:szCs w:val="24"/>
        </w:rPr>
        <w:tab/>
      </w:r>
      <w:r w:rsidR="00FC4DEF">
        <w:rPr>
          <w:sz w:val="24"/>
          <w:szCs w:val="24"/>
        </w:rPr>
        <w:tab/>
      </w:r>
      <w:r w:rsidR="008910EE">
        <w:rPr>
          <w:sz w:val="24"/>
          <w:szCs w:val="24"/>
        </w:rPr>
        <w:tab/>
      </w:r>
      <w:r w:rsidR="009C178A">
        <w:rPr>
          <w:sz w:val="24"/>
          <w:szCs w:val="24"/>
        </w:rPr>
        <w:tab/>
      </w:r>
      <w:r w:rsidR="0000074B" w:rsidRPr="009C6D70">
        <w:rPr>
          <w:u w:val="single"/>
        </w:rPr>
        <w:tab/>
      </w:r>
      <w:r w:rsidR="0000074B" w:rsidRPr="009C6D70">
        <w:rPr>
          <w:u w:val="single"/>
        </w:rPr>
        <w:tab/>
      </w:r>
      <w:r w:rsidR="0000074B" w:rsidRPr="00BA1E44">
        <w:rPr>
          <w:sz w:val="24"/>
          <w:szCs w:val="24"/>
          <w:u w:val="single"/>
        </w:rPr>
        <w:t>/s/</w:t>
      </w:r>
      <w:r w:rsidR="0000074B" w:rsidRPr="009C6D70">
        <w:rPr>
          <w:u w:val="single"/>
        </w:rPr>
        <w:tab/>
      </w:r>
      <w:r w:rsidR="0000074B" w:rsidRPr="009C6D70">
        <w:rPr>
          <w:u w:val="single"/>
        </w:rPr>
        <w:tab/>
      </w:r>
      <w:r w:rsidR="0000074B" w:rsidRPr="009C6D70">
        <w:rPr>
          <w:u w:val="single"/>
        </w:rPr>
        <w:tab/>
      </w:r>
    </w:p>
    <w:p w:rsidR="00996966" w:rsidRPr="00624C51" w:rsidRDefault="00996966" w:rsidP="00996966">
      <w:pPr>
        <w:rPr>
          <w:sz w:val="24"/>
          <w:szCs w:val="24"/>
        </w:rPr>
      </w:pP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009C178A">
        <w:rPr>
          <w:sz w:val="24"/>
          <w:szCs w:val="24"/>
        </w:rPr>
        <w:tab/>
      </w:r>
      <w:r w:rsidR="00EA3826">
        <w:rPr>
          <w:sz w:val="24"/>
          <w:szCs w:val="24"/>
        </w:rPr>
        <w:t>Katrina L. Dunderdale</w:t>
      </w:r>
    </w:p>
    <w:p w:rsidR="00996966" w:rsidRPr="00624C51" w:rsidRDefault="00996966" w:rsidP="00996966">
      <w:pPr>
        <w:rPr>
          <w:sz w:val="24"/>
          <w:szCs w:val="24"/>
        </w:rPr>
      </w:pP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Pr="00624C51">
        <w:rPr>
          <w:sz w:val="24"/>
          <w:szCs w:val="24"/>
        </w:rPr>
        <w:tab/>
      </w:r>
      <w:r w:rsidR="008910EE">
        <w:rPr>
          <w:sz w:val="24"/>
          <w:szCs w:val="24"/>
        </w:rPr>
        <w:tab/>
      </w:r>
      <w:r w:rsidR="009C178A">
        <w:rPr>
          <w:sz w:val="24"/>
          <w:szCs w:val="24"/>
        </w:rPr>
        <w:tab/>
      </w:r>
      <w:r w:rsidRPr="00624C51">
        <w:rPr>
          <w:sz w:val="24"/>
          <w:szCs w:val="24"/>
        </w:rPr>
        <w:t>Administrative Law Judge</w:t>
      </w:r>
    </w:p>
    <w:p w:rsidR="00996966" w:rsidRPr="00624C51" w:rsidRDefault="00996966" w:rsidP="00996966">
      <w:pPr>
        <w:rPr>
          <w:sz w:val="24"/>
          <w:szCs w:val="24"/>
        </w:rPr>
      </w:pPr>
    </w:p>
    <w:sectPr w:rsidR="00996966" w:rsidRPr="00624C51" w:rsidSect="00554852">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44" w:rsidRDefault="00FB2444">
      <w:r>
        <w:separator/>
      </w:r>
    </w:p>
  </w:endnote>
  <w:endnote w:type="continuationSeparator" w:id="0">
    <w:p w:rsidR="00FB2444" w:rsidRDefault="00FB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BD2" w:rsidRDefault="00572BD2" w:rsidP="00E84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2BD2" w:rsidRDefault="00572B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BD2" w:rsidRDefault="00572BD2" w:rsidP="00E841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275F">
      <w:rPr>
        <w:rStyle w:val="PageNumber"/>
        <w:noProof/>
      </w:rPr>
      <w:t>27</w:t>
    </w:r>
    <w:r>
      <w:rPr>
        <w:rStyle w:val="PageNumber"/>
      </w:rPr>
      <w:fldChar w:fldCharType="end"/>
    </w:r>
  </w:p>
  <w:p w:rsidR="00572BD2" w:rsidRDefault="00572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44" w:rsidRDefault="00FB2444">
      <w:r>
        <w:separator/>
      </w:r>
    </w:p>
  </w:footnote>
  <w:footnote w:type="continuationSeparator" w:id="0">
    <w:p w:rsidR="00FB2444" w:rsidRDefault="00FB2444">
      <w:r>
        <w:continuationSeparator/>
      </w:r>
    </w:p>
  </w:footnote>
  <w:footnote w:id="1">
    <w:p w:rsidR="00EA4FEA" w:rsidRDefault="00EA4FEA" w:rsidP="00EA4FEA">
      <w:pPr>
        <w:pStyle w:val="FootnoteText"/>
        <w:ind w:firstLine="720"/>
      </w:pPr>
      <w:r>
        <w:rPr>
          <w:rStyle w:val="FootnoteReference"/>
        </w:rPr>
        <w:footnoteRef/>
      </w:r>
      <w:r>
        <w:t xml:space="preserve"> </w:t>
      </w:r>
      <w:r>
        <w:tab/>
      </w:r>
      <w:proofErr w:type="gramStart"/>
      <w:r w:rsidRPr="00EC0D25">
        <w:t>Section 332(a) of the Public Utility Code, 66 Pa. C.S.</w:t>
      </w:r>
      <w:r w:rsidR="003A792A">
        <w:t>A.</w:t>
      </w:r>
      <w:r w:rsidRPr="00EC0D25">
        <w:t xml:space="preserve"> §332(a).</w:t>
      </w:r>
      <w:proofErr w:type="gramEnd"/>
    </w:p>
    <w:p w:rsidR="00EA4FEA" w:rsidRPr="00EC0D25" w:rsidRDefault="00EA4FEA" w:rsidP="00EA4FEA">
      <w:pPr>
        <w:pStyle w:val="FootnoteText"/>
        <w:ind w:firstLine="720"/>
      </w:pPr>
    </w:p>
  </w:footnote>
  <w:footnote w:id="2">
    <w:p w:rsidR="00EA4FEA" w:rsidRDefault="00EA4FEA" w:rsidP="00EA4FEA">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3">
    <w:p w:rsidR="00EA4FEA" w:rsidRDefault="00EA4FEA" w:rsidP="00EA4FEA">
      <w:pPr>
        <w:pStyle w:val="FootnoteText"/>
        <w:ind w:firstLine="720"/>
      </w:pPr>
    </w:p>
    <w:p w:rsidR="00EA4FEA" w:rsidRDefault="00EA4FEA" w:rsidP="00EA4FEA">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EA4FEA" w:rsidRPr="00EC0D25" w:rsidRDefault="00EA4FEA" w:rsidP="00EA4FEA">
      <w:pPr>
        <w:pStyle w:val="FootnoteText"/>
        <w:ind w:firstLine="720"/>
      </w:pPr>
    </w:p>
  </w:footnote>
  <w:footnote w:id="4">
    <w:p w:rsidR="00EA4FEA" w:rsidRDefault="00EA4FEA" w:rsidP="00EA4FEA">
      <w:pPr>
        <w:tabs>
          <w:tab w:val="left" w:pos="-1440"/>
          <w:tab w:val="left" w:pos="-720"/>
        </w:tabs>
        <w:suppressAutoHyphens/>
        <w:rPr>
          <w:spacing w:val="-3"/>
        </w:rPr>
      </w:pPr>
      <w:r>
        <w:tab/>
      </w:r>
      <w:r w:rsidRPr="000120B2">
        <w:rPr>
          <w:rStyle w:val="FootnoteReference"/>
        </w:rPr>
        <w:footnoteRef/>
      </w:r>
      <w:r w:rsidRPr="000120B2">
        <w:t xml:space="preserve"> </w:t>
      </w:r>
      <w:r>
        <w:tab/>
      </w:r>
      <w:proofErr w:type="gramStart"/>
      <w:r w:rsidRPr="009828D3">
        <w:rPr>
          <w:spacing w:val="-3"/>
          <w:u w:val="single"/>
        </w:rPr>
        <w:t>Se-Ling Hosiery v. Margulies</w:t>
      </w:r>
      <w:r w:rsidRPr="009828D3">
        <w:rPr>
          <w:spacing w:val="-3"/>
        </w:rPr>
        <w:t>, 364 Pa. 45, 70 A.2d 854 (1950).</w:t>
      </w:r>
      <w:proofErr w:type="gramEnd"/>
      <w:r w:rsidRPr="009828D3">
        <w:rPr>
          <w:spacing w:val="-3"/>
        </w:rPr>
        <w:t xml:space="preserve"> </w:t>
      </w:r>
    </w:p>
    <w:p w:rsidR="00606ABE" w:rsidRPr="00A964A8" w:rsidRDefault="00606ABE" w:rsidP="00EA4FEA">
      <w:pPr>
        <w:tabs>
          <w:tab w:val="left" w:pos="-1440"/>
          <w:tab w:val="left" w:pos="-720"/>
        </w:tabs>
        <w:suppressAutoHyphens/>
      </w:pPr>
    </w:p>
  </w:footnote>
  <w:footnote w:id="5">
    <w:p w:rsidR="000B4BA5" w:rsidRDefault="000B4BA5" w:rsidP="000B4BA5">
      <w:pPr>
        <w:pStyle w:val="FootnoteText"/>
        <w:ind w:firstLine="720"/>
      </w:pPr>
      <w:r>
        <w:rPr>
          <w:rStyle w:val="FootnoteReference"/>
        </w:rPr>
        <w:footnoteRef/>
      </w:r>
      <w:r>
        <w:t xml:space="preserve"> </w:t>
      </w:r>
      <w:r>
        <w:tab/>
        <w:t>See 66 Pa. C.S.A. §1406(a</w:t>
      </w:r>
      <w:proofErr w:type="gramStart"/>
      <w:r>
        <w:t>)(</w:t>
      </w:r>
      <w:proofErr w:type="gramEnd"/>
      <w:r>
        <w:t>1).</w:t>
      </w:r>
    </w:p>
    <w:p w:rsidR="009C1C11" w:rsidRDefault="009C1C11" w:rsidP="000B4BA5">
      <w:pPr>
        <w:pStyle w:val="FootnoteText"/>
        <w:ind w:firstLine="720"/>
      </w:pPr>
    </w:p>
  </w:footnote>
  <w:footnote w:id="6">
    <w:p w:rsidR="000B4BA5" w:rsidRDefault="000B4BA5" w:rsidP="000B4BA5">
      <w:pPr>
        <w:pStyle w:val="FootnoteText"/>
        <w:ind w:firstLine="720"/>
      </w:pPr>
      <w:r>
        <w:rPr>
          <w:rStyle w:val="FootnoteReference"/>
        </w:rPr>
        <w:footnoteRef/>
      </w:r>
      <w:r>
        <w:t xml:space="preserve"> </w:t>
      </w:r>
      <w:r>
        <w:tab/>
        <w:t>See 66 Pa. C.S.A. §1406(c).</w:t>
      </w:r>
    </w:p>
  </w:footnote>
  <w:footnote w:id="7">
    <w:p w:rsidR="000B4BA5" w:rsidRDefault="000B4BA5" w:rsidP="000B4BA5">
      <w:pPr>
        <w:pStyle w:val="FootnoteText"/>
      </w:pPr>
    </w:p>
    <w:p w:rsidR="000B4BA5" w:rsidRDefault="000B4BA5" w:rsidP="000B4BA5">
      <w:pPr>
        <w:pStyle w:val="FootnoteText"/>
        <w:ind w:firstLine="720"/>
      </w:pPr>
      <w:r>
        <w:rPr>
          <w:rStyle w:val="FootnoteReference"/>
        </w:rPr>
        <w:footnoteRef/>
      </w:r>
      <w:r>
        <w:t xml:space="preserve"> </w:t>
      </w:r>
      <w:r>
        <w:tab/>
        <w:t>See 66 Pa. C.S.A. §1406(b).</w:t>
      </w:r>
    </w:p>
    <w:p w:rsidR="00BA6A41" w:rsidRDefault="00BA6A41" w:rsidP="000B4BA5">
      <w:pPr>
        <w:pStyle w:val="FootnoteText"/>
        <w:ind w:firstLine="720"/>
      </w:pPr>
    </w:p>
  </w:footnote>
  <w:footnote w:id="8">
    <w:p w:rsidR="000B4BA5" w:rsidRDefault="000B4BA5" w:rsidP="000B4BA5">
      <w:pPr>
        <w:pStyle w:val="FootnoteText"/>
        <w:ind w:firstLine="720"/>
      </w:pPr>
      <w:r>
        <w:rPr>
          <w:rStyle w:val="FootnoteReference"/>
        </w:rPr>
        <w:footnoteRef/>
      </w:r>
      <w:r>
        <w:t xml:space="preserve"> </w:t>
      </w:r>
      <w:r>
        <w:tab/>
        <w:t>See 66 Pa. C.S.A. §1406(b</w:t>
      </w:r>
      <w:proofErr w:type="gramStart"/>
      <w:r>
        <w:t>)(</w:t>
      </w:r>
      <w:proofErr w:type="spellStart"/>
      <w:proofErr w:type="gramEnd"/>
      <w:r>
        <w:t>i</w:t>
      </w:r>
      <w:proofErr w:type="spellEnd"/>
      <w:r>
        <w:t>)(ii).</w:t>
      </w:r>
    </w:p>
    <w:p w:rsidR="00917B41" w:rsidRDefault="00917B41" w:rsidP="000B4BA5">
      <w:pPr>
        <w:pStyle w:val="FootnoteText"/>
        <w:ind w:firstLine="720"/>
      </w:pPr>
    </w:p>
  </w:footnote>
  <w:footnote w:id="9">
    <w:p w:rsidR="00855292" w:rsidRDefault="00051FA2">
      <w:pPr>
        <w:pStyle w:val="FootnoteText"/>
      </w:pPr>
      <w:r w:rsidRPr="00855292">
        <w:tab/>
      </w:r>
      <w:r w:rsidRPr="00855292">
        <w:rPr>
          <w:rStyle w:val="FootnoteReference"/>
        </w:rPr>
        <w:footnoteRef/>
      </w:r>
      <w:r w:rsidRPr="00855292">
        <w:t xml:space="preserve"> </w:t>
      </w:r>
      <w:r w:rsidRPr="00855292">
        <w:tab/>
      </w:r>
      <w:proofErr w:type="gramStart"/>
      <w:r w:rsidRPr="00855292">
        <w:t>Columbia Exhibit NJDK-2</w:t>
      </w:r>
      <w:r w:rsidR="00855292">
        <w:t>.</w:t>
      </w:r>
      <w:proofErr w:type="gramEnd"/>
    </w:p>
    <w:p w:rsidR="00755336" w:rsidRPr="00855292" w:rsidRDefault="00755336">
      <w:pPr>
        <w:pStyle w:val="FootnoteText"/>
      </w:pPr>
    </w:p>
  </w:footnote>
  <w:footnote w:id="10">
    <w:p w:rsidR="00051FA2" w:rsidRPr="00855292" w:rsidRDefault="00051FA2" w:rsidP="00051FA2">
      <w:pPr>
        <w:pStyle w:val="FootnoteText"/>
      </w:pPr>
      <w:r w:rsidRPr="00855292">
        <w:tab/>
      </w:r>
      <w:r w:rsidRPr="00855292">
        <w:rPr>
          <w:rStyle w:val="FootnoteReference"/>
        </w:rPr>
        <w:footnoteRef/>
      </w:r>
      <w:r w:rsidRPr="00855292">
        <w:t xml:space="preserve"> </w:t>
      </w:r>
      <w:r w:rsidRPr="00855292">
        <w:tab/>
      </w:r>
      <w:proofErr w:type="gramStart"/>
      <w:r w:rsidRPr="00855292">
        <w:rPr>
          <w:u w:val="single"/>
        </w:rPr>
        <w:t>PPL Electric Utility Corp. v. Pa. P.U.C.</w:t>
      </w:r>
      <w:r w:rsidRPr="00855292">
        <w:t xml:space="preserve">, 912 A.2d 386, 402 (Pa. </w:t>
      </w:r>
      <w:proofErr w:type="spellStart"/>
      <w:r w:rsidRPr="00855292">
        <w:t>Cmwlth</w:t>
      </w:r>
      <w:proofErr w:type="spellEnd"/>
      <w:r w:rsidRPr="00855292">
        <w:t xml:space="preserve">. 2006); </w:t>
      </w:r>
      <w:r w:rsidRPr="00855292">
        <w:rPr>
          <w:u w:val="single"/>
        </w:rPr>
        <w:t>Pennsylvania Electric Co. v. Pa. P.U.C.</w:t>
      </w:r>
      <w:r w:rsidRPr="00855292">
        <w:t xml:space="preserve">, 663 A.2d 281, 284 (Pa. </w:t>
      </w:r>
      <w:proofErr w:type="spellStart"/>
      <w:r w:rsidRPr="00855292">
        <w:t>Cmwlth</w:t>
      </w:r>
      <w:proofErr w:type="spellEnd"/>
      <w:r w:rsidRPr="00855292">
        <w:t xml:space="preserve">. 1995); </w:t>
      </w:r>
      <w:r w:rsidRPr="00855292">
        <w:rPr>
          <w:u w:val="single"/>
        </w:rPr>
        <w:t>Brockway Glass Co. v. Pa. P.U.C.</w:t>
      </w:r>
      <w:r w:rsidRPr="00855292">
        <w:t xml:space="preserve">, 437 A.2d 1067, 1070 (Pa. </w:t>
      </w:r>
      <w:proofErr w:type="spellStart"/>
      <w:r w:rsidRPr="00855292">
        <w:t>Cmwlth</w:t>
      </w:r>
      <w:proofErr w:type="spellEnd"/>
      <w:r w:rsidRPr="00855292">
        <w:t>. 1981).</w:t>
      </w:r>
      <w:proofErr w:type="gramEnd"/>
      <w:r w:rsidRPr="00855292">
        <w:t xml:space="preserve">  </w:t>
      </w:r>
    </w:p>
    <w:p w:rsidR="00051FA2" w:rsidRPr="004979B9" w:rsidRDefault="00051FA2" w:rsidP="00051FA2">
      <w:pPr>
        <w:pStyle w:val="FootnoteText"/>
      </w:pPr>
    </w:p>
  </w:footnote>
  <w:footnote w:id="11">
    <w:p w:rsidR="00330770" w:rsidRDefault="00330770">
      <w:pPr>
        <w:pStyle w:val="FootnoteText"/>
      </w:pPr>
      <w:r>
        <w:tab/>
      </w:r>
      <w:r>
        <w:rPr>
          <w:rStyle w:val="FootnoteReference"/>
        </w:rPr>
        <w:footnoteRef/>
      </w:r>
      <w:r>
        <w:t xml:space="preserve"> </w:t>
      </w:r>
      <w:r>
        <w:tab/>
        <w:t xml:space="preserve">Columbia Gas </w:t>
      </w:r>
      <w:r w:rsidR="009224B0">
        <w:t>calculated</w:t>
      </w:r>
      <w:r>
        <w:t xml:space="preserve"> $3,437.1</w:t>
      </w:r>
      <w:r w:rsidR="009224B0">
        <w:t xml:space="preserve">0 was an appropriate amount because that amount is the greater of “(a) three times the total of the customer’s last 12 months of actual bills or (b) 1.5 times an average of the last two 12-month periods.”  </w:t>
      </w:r>
      <w:proofErr w:type="gramStart"/>
      <w:r w:rsidR="009224B0">
        <w:t>(See Columbia Statement No. 1 at 9).</w:t>
      </w:r>
      <w:proofErr w:type="gramEnd"/>
    </w:p>
    <w:p w:rsidR="00554852" w:rsidRDefault="00554852">
      <w:pPr>
        <w:pStyle w:val="FootnoteText"/>
      </w:pPr>
    </w:p>
  </w:footnote>
  <w:footnote w:id="12">
    <w:p w:rsidR="000A145A" w:rsidRDefault="000A145A" w:rsidP="000A145A">
      <w:pPr>
        <w:pStyle w:val="FootnoteText"/>
      </w:pPr>
      <w:r w:rsidRPr="00FF2473">
        <w:tab/>
      </w:r>
      <w:r w:rsidRPr="00FF2473">
        <w:rPr>
          <w:rStyle w:val="FootnoteReference"/>
        </w:rPr>
        <w:footnoteRef/>
      </w:r>
      <w:r w:rsidRPr="00FF2473">
        <w:t xml:space="preserve"> </w:t>
      </w:r>
      <w:r w:rsidRPr="00FF2473">
        <w:tab/>
      </w:r>
      <w:proofErr w:type="gramStart"/>
      <w:r w:rsidRPr="00FF2473">
        <w:rPr>
          <w:u w:val="single"/>
        </w:rPr>
        <w:t>Se-Ling Hosiery v. Margulies</w:t>
      </w:r>
      <w:r w:rsidRPr="00FF2473">
        <w:t xml:space="preserve">, 364 Pa. 45, 70 A.2d 854 (1954); and </w:t>
      </w:r>
      <w:r w:rsidRPr="00FF2473">
        <w:rPr>
          <w:u w:val="single"/>
        </w:rPr>
        <w:t>Feinstein v. Philadelphia Suburban Water Company</w:t>
      </w:r>
      <w:r w:rsidRPr="00FF2473">
        <w:t>, 50 Pa. P.U.C. 300 (1976).</w:t>
      </w:r>
      <w:proofErr w:type="gramEnd"/>
      <w:r w:rsidRPr="00FF2473">
        <w:t xml:space="preserve">  </w:t>
      </w:r>
    </w:p>
    <w:p w:rsidR="00585E11" w:rsidRPr="00FF2473" w:rsidRDefault="00585E11" w:rsidP="000A145A">
      <w:pPr>
        <w:pStyle w:val="FootnoteText"/>
      </w:pPr>
    </w:p>
  </w:footnote>
  <w:footnote w:id="13">
    <w:p w:rsidR="000A145A" w:rsidRDefault="000A145A" w:rsidP="000A145A">
      <w:pPr>
        <w:pStyle w:val="FootnoteText"/>
      </w:pPr>
      <w:r>
        <w:tab/>
      </w:r>
      <w:r w:rsidRPr="00FF2473">
        <w:rPr>
          <w:rStyle w:val="FootnoteReference"/>
        </w:rPr>
        <w:footnoteRef/>
      </w:r>
      <w:r w:rsidRPr="00FF2473">
        <w:t xml:space="preserve"> </w:t>
      </w:r>
      <w:r w:rsidRPr="00FF2473">
        <w:tab/>
      </w:r>
      <w:proofErr w:type="gramStart"/>
      <w:r w:rsidRPr="00FF2473">
        <w:rPr>
          <w:i/>
        </w:rPr>
        <w:t>See, e.g.</w:t>
      </w:r>
      <w:r w:rsidRPr="00FF2473">
        <w:t xml:space="preserve">, Section 704 of the Administrative Agency Law, 2 Pa. C.S.A. §704; and </w:t>
      </w:r>
      <w:r w:rsidRPr="00FF2473">
        <w:rPr>
          <w:u w:val="single"/>
        </w:rPr>
        <w:t>Yellow Cab Company v. Pa., Public Utility Comm.</w:t>
      </w:r>
      <w:r w:rsidRPr="00FF2473">
        <w:t xml:space="preserve">, 524 A.2d 1069 (Pa. </w:t>
      </w:r>
      <w:proofErr w:type="spellStart"/>
      <w:r w:rsidRPr="00FF2473">
        <w:t>Commw</w:t>
      </w:r>
      <w:proofErr w:type="spellEnd"/>
      <w:r w:rsidRPr="00FF2473">
        <w:t>. 1987).</w:t>
      </w:r>
      <w:proofErr w:type="gramEnd"/>
      <w:r w:rsidRPr="00FF2473">
        <w:t xml:space="preserve">  </w:t>
      </w:r>
    </w:p>
    <w:p w:rsidR="00585E11" w:rsidRPr="00FF2473" w:rsidRDefault="00585E11" w:rsidP="000A145A">
      <w:pPr>
        <w:pStyle w:val="FootnoteText"/>
      </w:pPr>
    </w:p>
  </w:footnote>
  <w:footnote w:id="14">
    <w:p w:rsidR="000A145A" w:rsidRPr="00FF2473" w:rsidRDefault="000A145A" w:rsidP="000A145A">
      <w:r w:rsidRPr="00FF2473">
        <w:tab/>
      </w:r>
      <w:r w:rsidRPr="00FF2473">
        <w:rPr>
          <w:rStyle w:val="FootnoteReference"/>
        </w:rPr>
        <w:footnoteRef/>
      </w:r>
      <w:r w:rsidRPr="00FF2473">
        <w:t xml:space="preserve"> </w:t>
      </w:r>
      <w:r w:rsidRPr="00FF2473">
        <w:tab/>
      </w:r>
      <w:r w:rsidRPr="00FF2473">
        <w:rPr>
          <w:u w:val="single"/>
        </w:rPr>
        <w:t>Norfolk &amp; Western Ry. Co. v. Pa.</w:t>
      </w:r>
      <w:r>
        <w:rPr>
          <w:u w:val="single"/>
        </w:rPr>
        <w:t>, Public Utility Comm</w:t>
      </w:r>
      <w:r w:rsidRPr="00FF2473">
        <w:rPr>
          <w:u w:val="single"/>
        </w:rPr>
        <w:t>.</w:t>
      </w:r>
      <w:r w:rsidRPr="00FF2473">
        <w:t xml:space="preserve">, 489 Pa. 109, 413 A.2d 1037 (1980); </w:t>
      </w:r>
      <w:r w:rsidRPr="00FF2473">
        <w:rPr>
          <w:u w:val="single"/>
        </w:rPr>
        <w:t>Erie Resistor Corp. v. Unemployment Comp. Bd. of Review</w:t>
      </w:r>
      <w:r>
        <w:t>, 166 A.2d 96 (Pa. Super</w:t>
      </w:r>
      <w:r w:rsidRPr="00FF2473">
        <w:t xml:space="preserve">. 1961); and </w:t>
      </w:r>
      <w:r w:rsidRPr="00FF2473">
        <w:rPr>
          <w:u w:val="single"/>
        </w:rPr>
        <w:t>Murphy v. Pa.</w:t>
      </w:r>
      <w:r>
        <w:rPr>
          <w:u w:val="single"/>
        </w:rPr>
        <w:t>,</w:t>
      </w:r>
      <w:r w:rsidRPr="00FF2473">
        <w:rPr>
          <w:u w:val="single"/>
        </w:rPr>
        <w:t xml:space="preserve"> Dept. of Public Welfare, White Haven Center</w:t>
      </w:r>
      <w:r w:rsidRPr="00FF2473">
        <w:t xml:space="preserve">, 480 A.2d 382 (Pa. </w:t>
      </w:r>
      <w:proofErr w:type="spellStart"/>
      <w:r w:rsidRPr="00FF2473">
        <w:t>Commw</w:t>
      </w:r>
      <w:proofErr w:type="spellEnd"/>
      <w:r w:rsidRPr="00FF2473">
        <w:t>. 1984).</w:t>
      </w:r>
    </w:p>
    <w:p w:rsidR="000A145A" w:rsidRPr="00FF2473" w:rsidRDefault="000A145A" w:rsidP="000A145A">
      <w:pPr>
        <w:pStyle w:val="FootnoteText"/>
      </w:pPr>
    </w:p>
  </w:footnote>
  <w:footnote w:id="15">
    <w:p w:rsidR="00585E11" w:rsidRDefault="00585E11" w:rsidP="00585E11">
      <w:pPr>
        <w:pStyle w:val="FootnoteText"/>
      </w:pPr>
      <w:r>
        <w:tab/>
      </w:r>
      <w:r w:rsidRPr="00FF2473">
        <w:rPr>
          <w:rStyle w:val="FootnoteReference"/>
        </w:rPr>
        <w:footnoteRef/>
      </w:r>
      <w:r w:rsidRPr="00FF2473">
        <w:t xml:space="preserve"> </w:t>
      </w:r>
      <w:r w:rsidRPr="00FF2473">
        <w:tab/>
      </w:r>
      <w:proofErr w:type="gramStart"/>
      <w:r w:rsidRPr="00FF2473">
        <w:rPr>
          <w:u w:val="single"/>
        </w:rPr>
        <w:t>Pennsylvania Railroad Company v. Pa.</w:t>
      </w:r>
      <w:r>
        <w:rPr>
          <w:u w:val="single"/>
        </w:rPr>
        <w:t>, Public Utility Comm</w:t>
      </w:r>
      <w:r w:rsidRPr="00FF2473">
        <w:rPr>
          <w:u w:val="single"/>
        </w:rPr>
        <w:t>.</w:t>
      </w:r>
      <w:r w:rsidRPr="00FF2473">
        <w:t>,</w:t>
      </w:r>
      <w:r>
        <w:t xml:space="preserve"> 146 A.2d 352, 356 (Pa. Super. </w:t>
      </w:r>
      <w:r w:rsidRPr="00FF2473">
        <w:t xml:space="preserve">1959), </w:t>
      </w:r>
      <w:r w:rsidRPr="00FF2473">
        <w:rPr>
          <w:i/>
        </w:rPr>
        <w:t>vacated on other grounds</w:t>
      </w:r>
      <w:r w:rsidRPr="00FF2473">
        <w:t>, 396 Pa. 34, 152 A.2d 422 (1959).</w:t>
      </w:r>
      <w:proofErr w:type="gramEnd"/>
      <w:r w:rsidRPr="00FF2473">
        <w:t xml:space="preserve">  </w:t>
      </w:r>
    </w:p>
    <w:p w:rsidR="00A96AB1" w:rsidRPr="00FF2473" w:rsidRDefault="00A96AB1" w:rsidP="00585E11">
      <w:pPr>
        <w:pStyle w:val="FootnoteText"/>
      </w:pPr>
    </w:p>
  </w:footnote>
  <w:footnote w:id="16">
    <w:p w:rsidR="00585E11" w:rsidRPr="00FF2473" w:rsidRDefault="00585E11" w:rsidP="00585E11">
      <w:r w:rsidRPr="00FF2473">
        <w:tab/>
      </w:r>
      <w:r w:rsidRPr="00FF2473">
        <w:rPr>
          <w:rStyle w:val="FootnoteReference"/>
        </w:rPr>
        <w:footnoteRef/>
      </w:r>
      <w:r w:rsidRPr="00FF2473">
        <w:t xml:space="preserve"> </w:t>
      </w:r>
      <w:r w:rsidRPr="00FF2473">
        <w:tab/>
      </w:r>
      <w:r w:rsidR="00554852" w:rsidRPr="00FF2473">
        <w:rPr>
          <w:u w:val="single"/>
        </w:rPr>
        <w:t>Morrissey</w:t>
      </w:r>
      <w:r w:rsidRPr="00FF2473">
        <w:rPr>
          <w:u w:val="single"/>
        </w:rPr>
        <w:t xml:space="preserve"> v. Pa. Dept. of Highways</w:t>
      </w:r>
      <w:r w:rsidRPr="00FF2473">
        <w:t xml:space="preserve">, 424 Pa. 87, 225 A.2d 895 (1967); and </w:t>
      </w:r>
      <w:r>
        <w:rPr>
          <w:u w:val="single"/>
        </w:rPr>
        <w:t>Burleson v. Pa., Public Utility Comm</w:t>
      </w:r>
      <w:r w:rsidRPr="00FF2473">
        <w:rPr>
          <w:u w:val="single"/>
        </w:rPr>
        <w:t>.</w:t>
      </w:r>
      <w:r w:rsidRPr="00FF2473">
        <w:t>, 443 A.2d 137</w:t>
      </w:r>
      <w:r>
        <w:t xml:space="preserve">3 (Pa. </w:t>
      </w:r>
      <w:proofErr w:type="spellStart"/>
      <w:r>
        <w:t>Commw</w:t>
      </w:r>
      <w:proofErr w:type="spellEnd"/>
      <w:r>
        <w:t>.</w:t>
      </w:r>
      <w:r w:rsidRPr="00FF2473">
        <w:t xml:space="preserve"> 1982), </w:t>
      </w:r>
      <w:r w:rsidRPr="00FF2473">
        <w:rPr>
          <w:i/>
        </w:rPr>
        <w:t>affirmed</w:t>
      </w:r>
      <w:r w:rsidRPr="00FF2473">
        <w:t>, 501 Pa. 443, 461 A.2d 1234 (1983).</w:t>
      </w:r>
    </w:p>
    <w:p w:rsidR="00585E11" w:rsidRPr="00FF2473" w:rsidRDefault="00585E11" w:rsidP="00585E11">
      <w:pPr>
        <w:pStyle w:val="FootnoteText"/>
      </w:pPr>
    </w:p>
  </w:footnote>
  <w:footnote w:id="17">
    <w:p w:rsidR="00E17E5E" w:rsidRPr="00FF2473" w:rsidRDefault="00585E11" w:rsidP="00585E11">
      <w:pPr>
        <w:pStyle w:val="FootnoteText"/>
      </w:pPr>
      <w:r w:rsidRPr="00FF2473">
        <w:tab/>
      </w:r>
      <w:r w:rsidRPr="00FF2473">
        <w:rPr>
          <w:rStyle w:val="FootnoteReference"/>
        </w:rPr>
        <w:footnoteRef/>
      </w:r>
      <w:r w:rsidRPr="00FF2473">
        <w:t xml:space="preserve"> </w:t>
      </w:r>
      <w:r w:rsidRPr="00FF2473">
        <w:tab/>
      </w:r>
      <w:r w:rsidRPr="00FF2473">
        <w:rPr>
          <w:u w:val="single"/>
        </w:rPr>
        <w:t>Able Company, Ltd.</w:t>
      </w:r>
      <w:r w:rsidRPr="00FF2473">
        <w:t xml:space="preserve">, 1996 Pa. PUC LEXIS 108, 23 (1996); </w:t>
      </w:r>
      <w:r w:rsidRPr="00FF2473">
        <w:rPr>
          <w:u w:val="single"/>
        </w:rPr>
        <w:t>Re Leechburg Gas Company</w:t>
      </w:r>
      <w:r w:rsidRPr="00FF2473">
        <w:t xml:space="preserve">, 66 Pa. P.U.C. 29 (1988); and </w:t>
      </w:r>
      <w:r w:rsidRPr="00FF2473">
        <w:rPr>
          <w:u w:val="single"/>
        </w:rPr>
        <w:t>Re Victor Gas Company</w:t>
      </w:r>
      <w:r w:rsidRPr="00FF2473">
        <w:t xml:space="preserve">, 49 Pa. P.U.C. 649 (1976); </w:t>
      </w:r>
      <w:r w:rsidRPr="00FF2473">
        <w:rPr>
          <w:u w:val="single"/>
        </w:rPr>
        <w:t>Application of National Fuel Gas Distribution Corporation for Approval of Abandonment of Service</w:t>
      </w:r>
      <w:r w:rsidRPr="00FF2473">
        <w:t>, Docket No. A-121850F2023 (Order entered March 26, 2003) (“</w:t>
      </w:r>
      <w:r w:rsidRPr="00FF2473">
        <w:rPr>
          <w:u w:val="single"/>
        </w:rPr>
        <w:t>Application of NFG</w:t>
      </w:r>
      <w:r w:rsidRPr="00FF2473">
        <w:t>”).</w:t>
      </w:r>
    </w:p>
  </w:footnote>
  <w:footnote w:id="18">
    <w:p w:rsidR="00051FA2" w:rsidRPr="0037716B" w:rsidRDefault="00051FA2" w:rsidP="00051FA2">
      <w:pPr>
        <w:pStyle w:val="FootnoteText"/>
      </w:pPr>
      <w:r w:rsidRPr="0037716B">
        <w:tab/>
      </w:r>
      <w:r w:rsidRPr="0037716B">
        <w:rPr>
          <w:rStyle w:val="FootnoteReference"/>
        </w:rPr>
        <w:footnoteRef/>
      </w:r>
      <w:r w:rsidRPr="0037716B">
        <w:t xml:space="preserve"> </w:t>
      </w:r>
      <w:r w:rsidRPr="0037716B">
        <w:tab/>
      </w:r>
      <w:r w:rsidRPr="0037716B">
        <w:rPr>
          <w:i/>
        </w:rPr>
        <w:t>See also</w:t>
      </w:r>
      <w:r w:rsidRPr="0037716B">
        <w:t xml:space="preserve">, </w:t>
      </w:r>
      <w:r w:rsidRPr="0037716B">
        <w:rPr>
          <w:u w:val="single"/>
        </w:rPr>
        <w:t>Application of National Fuel Gas Distribution Corporation</w:t>
      </w:r>
      <w:r w:rsidRPr="0037716B">
        <w:t>, Docket Nos. A</w:t>
      </w:r>
      <w:r w:rsidRPr="0037716B">
        <w:noBreakHyphen/>
        <w:t>121850F2023 and C</w:t>
      </w:r>
      <w:r w:rsidRPr="0037716B">
        <w:noBreakHyphen/>
        <w:t xml:space="preserve">00003500 (Initial Decision issued </w:t>
      </w:r>
      <w:smartTag w:uri="urn:schemas-microsoft-com:office:smarttags" w:element="date">
        <w:smartTagPr>
          <w:attr w:name="Year" w:val="2002"/>
          <w:attr w:name="Day" w:val="8"/>
          <w:attr w:name="Month" w:val="4"/>
        </w:smartTagPr>
        <w:r w:rsidRPr="0037716B">
          <w:t>April 8, 2002</w:t>
        </w:r>
      </w:smartTag>
      <w:r w:rsidRPr="0037716B">
        <w:t xml:space="preserve">); </w:t>
      </w:r>
      <w:r w:rsidRPr="0037716B">
        <w:rPr>
          <w:u w:val="single"/>
        </w:rPr>
        <w:t>Application of National Fuel Gas Distribution Corporation</w:t>
      </w:r>
      <w:r w:rsidRPr="0037716B">
        <w:t xml:space="preserve">, Docket No. </w:t>
      </w:r>
      <w:proofErr w:type="gramStart"/>
      <w:r w:rsidRPr="0037716B">
        <w:t>A</w:t>
      </w:r>
      <w:r w:rsidRPr="0037716B">
        <w:noBreakHyphen/>
        <w:t xml:space="preserve">121850F2014 (Initial Decision issued </w:t>
      </w:r>
      <w:smartTag w:uri="urn:schemas-microsoft-com:office:smarttags" w:element="date">
        <w:smartTagPr>
          <w:attr w:name="ls" w:val="trans"/>
          <w:attr w:name="Month" w:val="11"/>
          <w:attr w:name="Day" w:val="17"/>
          <w:attr w:name="Year" w:val="1997"/>
        </w:smartTagPr>
        <w:r w:rsidRPr="0037716B">
          <w:t>November 17, 1997</w:t>
        </w:r>
      </w:smartTag>
      <w:r w:rsidRPr="0037716B">
        <w:t xml:space="preserve">); and </w:t>
      </w:r>
      <w:r w:rsidRPr="0037716B">
        <w:rPr>
          <w:u w:val="single"/>
        </w:rPr>
        <w:t>Application of National Fuel Gas Distribution Corporation</w:t>
      </w:r>
      <w:r w:rsidRPr="0037716B">
        <w:t>, Docket Nos.</w:t>
      </w:r>
      <w:proofErr w:type="gramEnd"/>
      <w:r w:rsidRPr="0037716B">
        <w:t xml:space="preserve"> A</w:t>
      </w:r>
      <w:r w:rsidRPr="0037716B">
        <w:noBreakHyphen/>
        <w:t>121850F2011 and C</w:t>
      </w:r>
      <w:r w:rsidRPr="0037716B">
        <w:noBreakHyphen/>
        <w:t xml:space="preserve">00968108 (Initial Decision issued </w:t>
      </w:r>
      <w:smartTag w:uri="urn:schemas-microsoft-com:office:smarttags" w:element="date">
        <w:smartTagPr>
          <w:attr w:name="ls" w:val="trans"/>
          <w:attr w:name="Month" w:val="1"/>
          <w:attr w:name="Day" w:val="3"/>
          <w:attr w:name="Year" w:val="1997"/>
        </w:smartTagPr>
        <w:r w:rsidRPr="0037716B">
          <w:t>January 3, 1997</w:t>
        </w:r>
      </w:smartTag>
      <w:r w:rsidRPr="0037716B">
        <w:t>).</w:t>
      </w:r>
    </w:p>
  </w:footnote>
  <w:footnote w:id="19">
    <w:p w:rsidR="00051FA2" w:rsidRPr="0037716B" w:rsidRDefault="00051FA2" w:rsidP="00051FA2">
      <w:pPr>
        <w:pStyle w:val="FootnoteText"/>
      </w:pPr>
      <w:r w:rsidRPr="0037716B">
        <w:tab/>
      </w:r>
      <w:r w:rsidRPr="0037716B">
        <w:rPr>
          <w:rStyle w:val="FootnoteReference"/>
        </w:rPr>
        <w:footnoteRef/>
      </w:r>
      <w:r w:rsidRPr="0037716B">
        <w:t xml:space="preserve"> </w:t>
      </w:r>
      <w:r w:rsidRPr="0037716B">
        <w:tab/>
      </w:r>
      <w:proofErr w:type="gramStart"/>
      <w:r w:rsidRPr="0037716B">
        <w:rPr>
          <w:i/>
        </w:rPr>
        <w:t>See, e.g.</w:t>
      </w:r>
      <w:r w:rsidRPr="0037716B">
        <w:t xml:space="preserve">, </w:t>
      </w:r>
      <w:r w:rsidRPr="0037716B">
        <w:rPr>
          <w:u w:val="single"/>
        </w:rPr>
        <w:t>Re Leechburg Gas Company</w:t>
      </w:r>
      <w:r w:rsidRPr="0037716B">
        <w:t xml:space="preserve">, </w:t>
      </w:r>
      <w:r w:rsidRPr="0037716B">
        <w:rPr>
          <w:i/>
        </w:rPr>
        <w:t>supra</w:t>
      </w:r>
      <w:r w:rsidRPr="0037716B">
        <w:t>.</w:t>
      </w:r>
      <w:proofErr w:type="gramEnd"/>
    </w:p>
  </w:footnote>
  <w:footnote w:id="20">
    <w:p w:rsidR="00051FA2" w:rsidRPr="008030F5" w:rsidRDefault="00051FA2" w:rsidP="00051FA2">
      <w:pPr>
        <w:pStyle w:val="FootnoteText"/>
      </w:pPr>
      <w:r w:rsidRPr="008030F5">
        <w:tab/>
      </w:r>
      <w:r w:rsidRPr="008030F5">
        <w:rPr>
          <w:rStyle w:val="FootnoteReference"/>
        </w:rPr>
        <w:footnoteRef/>
      </w:r>
      <w:r w:rsidRPr="008030F5">
        <w:t xml:space="preserve"> </w:t>
      </w:r>
      <w:r w:rsidRPr="008030F5">
        <w:tab/>
      </w:r>
      <w:r w:rsidRPr="008030F5">
        <w:rPr>
          <w:u w:val="single"/>
        </w:rPr>
        <w:t>Able Company</w:t>
      </w:r>
      <w:r w:rsidRPr="008030F5">
        <w:t xml:space="preserve">, </w:t>
      </w:r>
      <w:r w:rsidRPr="008030F5">
        <w:rPr>
          <w:i/>
        </w:rPr>
        <w:t>supra</w:t>
      </w:r>
      <w:r w:rsidRPr="008030F5">
        <w:t xml:space="preserve"> at 37-38; </w:t>
      </w:r>
      <w:r w:rsidRPr="008030F5">
        <w:rPr>
          <w:u w:val="single"/>
        </w:rPr>
        <w:t>Application of NFG</w:t>
      </w:r>
      <w:r w:rsidRPr="008030F5">
        <w:t xml:space="preserve">, </w:t>
      </w:r>
      <w:r w:rsidRPr="008030F5">
        <w:rPr>
          <w:i/>
        </w:rPr>
        <w:t>supra</w:t>
      </w:r>
      <w:r w:rsidRPr="008030F5">
        <w:t xml:space="preserve"> at 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1">
    <w:nsid w:val="FFFFFF88"/>
    <w:multiLevelType w:val="singleLevel"/>
    <w:tmpl w:val="DC567C2A"/>
    <w:lvl w:ilvl="0">
      <w:start w:val="1"/>
      <w:numFmt w:val="decimal"/>
      <w:pStyle w:val="ListNumber"/>
      <w:lvlText w:val="%1."/>
      <w:lvlJc w:val="left"/>
      <w:pPr>
        <w:tabs>
          <w:tab w:val="num" w:pos="720"/>
        </w:tabs>
        <w:ind w:left="0" w:firstLine="720"/>
      </w:pPr>
      <w:rPr>
        <w:rFonts w:hint="default"/>
      </w:rPr>
    </w:lvl>
  </w:abstractNum>
  <w:abstractNum w:abstractNumId="2">
    <w:nsid w:val="2B5D38D6"/>
    <w:multiLevelType w:val="hybridMultilevel"/>
    <w:tmpl w:val="03FC5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3347D5"/>
    <w:multiLevelType w:val="hybridMultilevel"/>
    <w:tmpl w:val="124EA1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CC1D55"/>
    <w:multiLevelType w:val="hybridMultilevel"/>
    <w:tmpl w:val="C1AC99CA"/>
    <w:lvl w:ilvl="0" w:tplc="A77A7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E660A"/>
    <w:multiLevelType w:val="hybridMultilevel"/>
    <w:tmpl w:val="2D149F3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07496"/>
    <w:multiLevelType w:val="multilevel"/>
    <w:tmpl w:val="085E4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47A1F66"/>
    <w:multiLevelType w:val="hybridMultilevel"/>
    <w:tmpl w:val="71762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044D6"/>
    <w:multiLevelType w:val="hybridMultilevel"/>
    <w:tmpl w:val="085E4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6"/>
  </w:num>
  <w:num w:numId="4">
    <w:abstractNumId w:val="7"/>
  </w:num>
  <w:num w:numId="5">
    <w:abstractNumId w:val="3"/>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2A"/>
    <w:rsid w:val="0000074B"/>
    <w:rsid w:val="00000D90"/>
    <w:rsid w:val="00002E71"/>
    <w:rsid w:val="0000610B"/>
    <w:rsid w:val="00010154"/>
    <w:rsid w:val="00013A83"/>
    <w:rsid w:val="0001444C"/>
    <w:rsid w:val="000158F5"/>
    <w:rsid w:val="00015C87"/>
    <w:rsid w:val="000200B5"/>
    <w:rsid w:val="00022031"/>
    <w:rsid w:val="00022664"/>
    <w:rsid w:val="00024447"/>
    <w:rsid w:val="00024AA5"/>
    <w:rsid w:val="00026BDC"/>
    <w:rsid w:val="00027171"/>
    <w:rsid w:val="00027959"/>
    <w:rsid w:val="00027E4C"/>
    <w:rsid w:val="000312CA"/>
    <w:rsid w:val="0003505B"/>
    <w:rsid w:val="00035D88"/>
    <w:rsid w:val="000404B5"/>
    <w:rsid w:val="00041450"/>
    <w:rsid w:val="00041943"/>
    <w:rsid w:val="00042860"/>
    <w:rsid w:val="00042C2C"/>
    <w:rsid w:val="00044944"/>
    <w:rsid w:val="0004591A"/>
    <w:rsid w:val="00046519"/>
    <w:rsid w:val="00047F6E"/>
    <w:rsid w:val="00051FA2"/>
    <w:rsid w:val="0005471E"/>
    <w:rsid w:val="00056339"/>
    <w:rsid w:val="00056D60"/>
    <w:rsid w:val="0006069A"/>
    <w:rsid w:val="00063896"/>
    <w:rsid w:val="00063976"/>
    <w:rsid w:val="0006554F"/>
    <w:rsid w:val="00067994"/>
    <w:rsid w:val="00067C8F"/>
    <w:rsid w:val="00070D98"/>
    <w:rsid w:val="000716B7"/>
    <w:rsid w:val="0007190F"/>
    <w:rsid w:val="00075B6B"/>
    <w:rsid w:val="000767FF"/>
    <w:rsid w:val="0007739B"/>
    <w:rsid w:val="0008135A"/>
    <w:rsid w:val="00081487"/>
    <w:rsid w:val="0008257A"/>
    <w:rsid w:val="00082C98"/>
    <w:rsid w:val="00085610"/>
    <w:rsid w:val="00087CC5"/>
    <w:rsid w:val="0009005C"/>
    <w:rsid w:val="00090EC5"/>
    <w:rsid w:val="000921BC"/>
    <w:rsid w:val="0009560D"/>
    <w:rsid w:val="00095B50"/>
    <w:rsid w:val="00095F1C"/>
    <w:rsid w:val="00096E08"/>
    <w:rsid w:val="00096F74"/>
    <w:rsid w:val="000A0A7F"/>
    <w:rsid w:val="000A0D84"/>
    <w:rsid w:val="000A145A"/>
    <w:rsid w:val="000A167C"/>
    <w:rsid w:val="000A510C"/>
    <w:rsid w:val="000A7EFE"/>
    <w:rsid w:val="000B3598"/>
    <w:rsid w:val="000B4BA5"/>
    <w:rsid w:val="000B4E59"/>
    <w:rsid w:val="000B53F0"/>
    <w:rsid w:val="000B629F"/>
    <w:rsid w:val="000B6D95"/>
    <w:rsid w:val="000C1A6B"/>
    <w:rsid w:val="000C269C"/>
    <w:rsid w:val="000C5510"/>
    <w:rsid w:val="000C71B2"/>
    <w:rsid w:val="000C76C7"/>
    <w:rsid w:val="000C7F4C"/>
    <w:rsid w:val="000D0375"/>
    <w:rsid w:val="000D0A51"/>
    <w:rsid w:val="000D1336"/>
    <w:rsid w:val="000D6229"/>
    <w:rsid w:val="000D715A"/>
    <w:rsid w:val="000D71FE"/>
    <w:rsid w:val="000D7906"/>
    <w:rsid w:val="000E03F5"/>
    <w:rsid w:val="000E0B48"/>
    <w:rsid w:val="000E0C64"/>
    <w:rsid w:val="000E1700"/>
    <w:rsid w:val="000E2BBE"/>
    <w:rsid w:val="000E4E82"/>
    <w:rsid w:val="000E59A6"/>
    <w:rsid w:val="000E6C36"/>
    <w:rsid w:val="000F04E1"/>
    <w:rsid w:val="000F0CB0"/>
    <w:rsid w:val="000F1E2C"/>
    <w:rsid w:val="000F22AD"/>
    <w:rsid w:val="000F331D"/>
    <w:rsid w:val="000F6BCB"/>
    <w:rsid w:val="001013E4"/>
    <w:rsid w:val="0010180F"/>
    <w:rsid w:val="001042F0"/>
    <w:rsid w:val="00105690"/>
    <w:rsid w:val="001059C3"/>
    <w:rsid w:val="001079C3"/>
    <w:rsid w:val="0011082D"/>
    <w:rsid w:val="00114A5C"/>
    <w:rsid w:val="00114D69"/>
    <w:rsid w:val="0011511A"/>
    <w:rsid w:val="001163B8"/>
    <w:rsid w:val="00117158"/>
    <w:rsid w:val="0012337D"/>
    <w:rsid w:val="001264C5"/>
    <w:rsid w:val="00126555"/>
    <w:rsid w:val="00127DFF"/>
    <w:rsid w:val="0013358A"/>
    <w:rsid w:val="001336B2"/>
    <w:rsid w:val="00134EFE"/>
    <w:rsid w:val="0013746C"/>
    <w:rsid w:val="00137962"/>
    <w:rsid w:val="00140ED5"/>
    <w:rsid w:val="001422C9"/>
    <w:rsid w:val="00142A35"/>
    <w:rsid w:val="0014695E"/>
    <w:rsid w:val="001474A4"/>
    <w:rsid w:val="00147A1C"/>
    <w:rsid w:val="00150F38"/>
    <w:rsid w:val="00151828"/>
    <w:rsid w:val="00152DD8"/>
    <w:rsid w:val="00152EDD"/>
    <w:rsid w:val="001534FA"/>
    <w:rsid w:val="00153BB2"/>
    <w:rsid w:val="001551FE"/>
    <w:rsid w:val="00157F7C"/>
    <w:rsid w:val="00160D69"/>
    <w:rsid w:val="00162194"/>
    <w:rsid w:val="001626EE"/>
    <w:rsid w:val="00162FE8"/>
    <w:rsid w:val="00163667"/>
    <w:rsid w:val="00166BE0"/>
    <w:rsid w:val="00171BA7"/>
    <w:rsid w:val="001721D7"/>
    <w:rsid w:val="00172C39"/>
    <w:rsid w:val="00175F2D"/>
    <w:rsid w:val="00177B41"/>
    <w:rsid w:val="00177C22"/>
    <w:rsid w:val="0018502A"/>
    <w:rsid w:val="00185D29"/>
    <w:rsid w:val="00186713"/>
    <w:rsid w:val="00190B52"/>
    <w:rsid w:val="00191670"/>
    <w:rsid w:val="00192F81"/>
    <w:rsid w:val="00194EDA"/>
    <w:rsid w:val="00197214"/>
    <w:rsid w:val="00197D94"/>
    <w:rsid w:val="00197FE7"/>
    <w:rsid w:val="001A517C"/>
    <w:rsid w:val="001A6616"/>
    <w:rsid w:val="001B1283"/>
    <w:rsid w:val="001B37F9"/>
    <w:rsid w:val="001B389A"/>
    <w:rsid w:val="001B6147"/>
    <w:rsid w:val="001B669F"/>
    <w:rsid w:val="001B6767"/>
    <w:rsid w:val="001B7B44"/>
    <w:rsid w:val="001C0A33"/>
    <w:rsid w:val="001C16F1"/>
    <w:rsid w:val="001C1DA4"/>
    <w:rsid w:val="001C5E86"/>
    <w:rsid w:val="001D0B3C"/>
    <w:rsid w:val="001D0BCF"/>
    <w:rsid w:val="001D2C8A"/>
    <w:rsid w:val="001D383E"/>
    <w:rsid w:val="001D4EAA"/>
    <w:rsid w:val="001E13F6"/>
    <w:rsid w:val="001E15A5"/>
    <w:rsid w:val="001E1B0E"/>
    <w:rsid w:val="001E4606"/>
    <w:rsid w:val="001E480F"/>
    <w:rsid w:val="001E49BB"/>
    <w:rsid w:val="001E6948"/>
    <w:rsid w:val="001E6AC2"/>
    <w:rsid w:val="001E7061"/>
    <w:rsid w:val="001E7A10"/>
    <w:rsid w:val="001F1F9D"/>
    <w:rsid w:val="001F1FC5"/>
    <w:rsid w:val="001F5E84"/>
    <w:rsid w:val="001F73E8"/>
    <w:rsid w:val="001F7D24"/>
    <w:rsid w:val="002002ED"/>
    <w:rsid w:val="00202271"/>
    <w:rsid w:val="00205676"/>
    <w:rsid w:val="0020746B"/>
    <w:rsid w:val="002107F3"/>
    <w:rsid w:val="00212F85"/>
    <w:rsid w:val="00213B19"/>
    <w:rsid w:val="0021472B"/>
    <w:rsid w:val="00215865"/>
    <w:rsid w:val="00215CE0"/>
    <w:rsid w:val="00216054"/>
    <w:rsid w:val="00221630"/>
    <w:rsid w:val="00222675"/>
    <w:rsid w:val="00222A1D"/>
    <w:rsid w:val="002231E7"/>
    <w:rsid w:val="00224D1A"/>
    <w:rsid w:val="00225F5E"/>
    <w:rsid w:val="0022623F"/>
    <w:rsid w:val="002270C7"/>
    <w:rsid w:val="00230BE7"/>
    <w:rsid w:val="00234986"/>
    <w:rsid w:val="0023594C"/>
    <w:rsid w:val="00236711"/>
    <w:rsid w:val="002371F9"/>
    <w:rsid w:val="00237F95"/>
    <w:rsid w:val="002432B5"/>
    <w:rsid w:val="00244DC3"/>
    <w:rsid w:val="00245739"/>
    <w:rsid w:val="0024724B"/>
    <w:rsid w:val="002522A8"/>
    <w:rsid w:val="00254AC4"/>
    <w:rsid w:val="0025505D"/>
    <w:rsid w:val="0025568C"/>
    <w:rsid w:val="0025624A"/>
    <w:rsid w:val="00256602"/>
    <w:rsid w:val="002569D2"/>
    <w:rsid w:val="00256F15"/>
    <w:rsid w:val="002579AC"/>
    <w:rsid w:val="00262C04"/>
    <w:rsid w:val="00264827"/>
    <w:rsid w:val="002659C1"/>
    <w:rsid w:val="00265F08"/>
    <w:rsid w:val="00266EEA"/>
    <w:rsid w:val="002705F3"/>
    <w:rsid w:val="002715D6"/>
    <w:rsid w:val="00272A49"/>
    <w:rsid w:val="00273113"/>
    <w:rsid w:val="00273CD5"/>
    <w:rsid w:val="00274AEB"/>
    <w:rsid w:val="00275E3E"/>
    <w:rsid w:val="0028196A"/>
    <w:rsid w:val="00282E72"/>
    <w:rsid w:val="00284B76"/>
    <w:rsid w:val="00286013"/>
    <w:rsid w:val="002865E4"/>
    <w:rsid w:val="00286A46"/>
    <w:rsid w:val="00286E18"/>
    <w:rsid w:val="002877EC"/>
    <w:rsid w:val="00292413"/>
    <w:rsid w:val="00292C52"/>
    <w:rsid w:val="0029312D"/>
    <w:rsid w:val="00294120"/>
    <w:rsid w:val="00294C60"/>
    <w:rsid w:val="002965CA"/>
    <w:rsid w:val="00297007"/>
    <w:rsid w:val="002A08AE"/>
    <w:rsid w:val="002A0C6D"/>
    <w:rsid w:val="002A3E77"/>
    <w:rsid w:val="002A5105"/>
    <w:rsid w:val="002A5634"/>
    <w:rsid w:val="002A721B"/>
    <w:rsid w:val="002B080D"/>
    <w:rsid w:val="002B17AD"/>
    <w:rsid w:val="002B376A"/>
    <w:rsid w:val="002B43C8"/>
    <w:rsid w:val="002B5013"/>
    <w:rsid w:val="002B51AD"/>
    <w:rsid w:val="002B5704"/>
    <w:rsid w:val="002B693E"/>
    <w:rsid w:val="002C0A83"/>
    <w:rsid w:val="002C0E19"/>
    <w:rsid w:val="002C117D"/>
    <w:rsid w:val="002C1227"/>
    <w:rsid w:val="002C5195"/>
    <w:rsid w:val="002C5BF1"/>
    <w:rsid w:val="002C6736"/>
    <w:rsid w:val="002D02FF"/>
    <w:rsid w:val="002D15FF"/>
    <w:rsid w:val="002D1AB7"/>
    <w:rsid w:val="002D3212"/>
    <w:rsid w:val="002D46AD"/>
    <w:rsid w:val="002D50E8"/>
    <w:rsid w:val="002E3137"/>
    <w:rsid w:val="002E3CE6"/>
    <w:rsid w:val="002E414F"/>
    <w:rsid w:val="002E5FBF"/>
    <w:rsid w:val="002E62AE"/>
    <w:rsid w:val="002E7B4F"/>
    <w:rsid w:val="002E7CBD"/>
    <w:rsid w:val="002F0988"/>
    <w:rsid w:val="002F0CDC"/>
    <w:rsid w:val="002F58C1"/>
    <w:rsid w:val="002F7306"/>
    <w:rsid w:val="002F7804"/>
    <w:rsid w:val="002F7F68"/>
    <w:rsid w:val="00300649"/>
    <w:rsid w:val="003009B5"/>
    <w:rsid w:val="0030187E"/>
    <w:rsid w:val="00303582"/>
    <w:rsid w:val="0030381C"/>
    <w:rsid w:val="00303C1E"/>
    <w:rsid w:val="003065A6"/>
    <w:rsid w:val="003077FA"/>
    <w:rsid w:val="003101A2"/>
    <w:rsid w:val="003105EB"/>
    <w:rsid w:val="00313224"/>
    <w:rsid w:val="00314634"/>
    <w:rsid w:val="0031504C"/>
    <w:rsid w:val="00315A95"/>
    <w:rsid w:val="00316B33"/>
    <w:rsid w:val="00320C3C"/>
    <w:rsid w:val="0032184B"/>
    <w:rsid w:val="00321B80"/>
    <w:rsid w:val="00322AAB"/>
    <w:rsid w:val="00323CE9"/>
    <w:rsid w:val="0032536B"/>
    <w:rsid w:val="0032582D"/>
    <w:rsid w:val="00330770"/>
    <w:rsid w:val="00331782"/>
    <w:rsid w:val="0033305A"/>
    <w:rsid w:val="00333E04"/>
    <w:rsid w:val="0033426C"/>
    <w:rsid w:val="003367D1"/>
    <w:rsid w:val="003413E4"/>
    <w:rsid w:val="00343DF7"/>
    <w:rsid w:val="00344BBD"/>
    <w:rsid w:val="00347D4D"/>
    <w:rsid w:val="00352E71"/>
    <w:rsid w:val="00353137"/>
    <w:rsid w:val="00354367"/>
    <w:rsid w:val="003560A1"/>
    <w:rsid w:val="003567DC"/>
    <w:rsid w:val="00356D7F"/>
    <w:rsid w:val="0036055F"/>
    <w:rsid w:val="00363408"/>
    <w:rsid w:val="00363FC4"/>
    <w:rsid w:val="00364892"/>
    <w:rsid w:val="00366FC8"/>
    <w:rsid w:val="00372BCE"/>
    <w:rsid w:val="00372DAB"/>
    <w:rsid w:val="003738D1"/>
    <w:rsid w:val="00375FC7"/>
    <w:rsid w:val="00376FD2"/>
    <w:rsid w:val="0037716B"/>
    <w:rsid w:val="00377219"/>
    <w:rsid w:val="00383337"/>
    <w:rsid w:val="00383E9E"/>
    <w:rsid w:val="00386EC2"/>
    <w:rsid w:val="003914A1"/>
    <w:rsid w:val="003915CD"/>
    <w:rsid w:val="003928FD"/>
    <w:rsid w:val="00393A51"/>
    <w:rsid w:val="00396D80"/>
    <w:rsid w:val="003A05E2"/>
    <w:rsid w:val="003A244A"/>
    <w:rsid w:val="003A33F5"/>
    <w:rsid w:val="003A51FD"/>
    <w:rsid w:val="003A5775"/>
    <w:rsid w:val="003A645A"/>
    <w:rsid w:val="003A7731"/>
    <w:rsid w:val="003A792A"/>
    <w:rsid w:val="003B0F7E"/>
    <w:rsid w:val="003B5554"/>
    <w:rsid w:val="003B57EC"/>
    <w:rsid w:val="003B5D94"/>
    <w:rsid w:val="003C063F"/>
    <w:rsid w:val="003C0F08"/>
    <w:rsid w:val="003C49C9"/>
    <w:rsid w:val="003C4F2C"/>
    <w:rsid w:val="003C4FBC"/>
    <w:rsid w:val="003C734E"/>
    <w:rsid w:val="003C7D36"/>
    <w:rsid w:val="003D00C1"/>
    <w:rsid w:val="003D024B"/>
    <w:rsid w:val="003D15D0"/>
    <w:rsid w:val="003D38F7"/>
    <w:rsid w:val="003D42D0"/>
    <w:rsid w:val="003D4366"/>
    <w:rsid w:val="003D4424"/>
    <w:rsid w:val="003D5AB0"/>
    <w:rsid w:val="003D6669"/>
    <w:rsid w:val="003D6830"/>
    <w:rsid w:val="003D695B"/>
    <w:rsid w:val="003E020D"/>
    <w:rsid w:val="003E31E3"/>
    <w:rsid w:val="003E5628"/>
    <w:rsid w:val="003E5D1E"/>
    <w:rsid w:val="003F100E"/>
    <w:rsid w:val="003F1129"/>
    <w:rsid w:val="003F347A"/>
    <w:rsid w:val="003F459F"/>
    <w:rsid w:val="003F69AF"/>
    <w:rsid w:val="003F69C5"/>
    <w:rsid w:val="003F72B8"/>
    <w:rsid w:val="004012DF"/>
    <w:rsid w:val="0040464B"/>
    <w:rsid w:val="00405757"/>
    <w:rsid w:val="00407E2D"/>
    <w:rsid w:val="004127BD"/>
    <w:rsid w:val="00414E4F"/>
    <w:rsid w:val="00415484"/>
    <w:rsid w:val="0041758B"/>
    <w:rsid w:val="00417A48"/>
    <w:rsid w:val="00417FB9"/>
    <w:rsid w:val="004255AD"/>
    <w:rsid w:val="00425F5E"/>
    <w:rsid w:val="00427446"/>
    <w:rsid w:val="00427731"/>
    <w:rsid w:val="00430B2A"/>
    <w:rsid w:val="00430E9C"/>
    <w:rsid w:val="00431ED9"/>
    <w:rsid w:val="0043213F"/>
    <w:rsid w:val="00433D03"/>
    <w:rsid w:val="004345F2"/>
    <w:rsid w:val="00434B12"/>
    <w:rsid w:val="0043668B"/>
    <w:rsid w:val="00436782"/>
    <w:rsid w:val="00441E8C"/>
    <w:rsid w:val="0044273C"/>
    <w:rsid w:val="0044332E"/>
    <w:rsid w:val="00443FC3"/>
    <w:rsid w:val="00444544"/>
    <w:rsid w:val="00444818"/>
    <w:rsid w:val="00444F84"/>
    <w:rsid w:val="004473E7"/>
    <w:rsid w:val="00447594"/>
    <w:rsid w:val="00447DAD"/>
    <w:rsid w:val="004509AB"/>
    <w:rsid w:val="00451BB3"/>
    <w:rsid w:val="00456B68"/>
    <w:rsid w:val="004606A6"/>
    <w:rsid w:val="004606F8"/>
    <w:rsid w:val="0046089A"/>
    <w:rsid w:val="004610DD"/>
    <w:rsid w:val="00465CA9"/>
    <w:rsid w:val="00466EEB"/>
    <w:rsid w:val="00471BC4"/>
    <w:rsid w:val="0047575D"/>
    <w:rsid w:val="004763CF"/>
    <w:rsid w:val="00476406"/>
    <w:rsid w:val="004801CF"/>
    <w:rsid w:val="00482642"/>
    <w:rsid w:val="004871A0"/>
    <w:rsid w:val="00487CAA"/>
    <w:rsid w:val="00492206"/>
    <w:rsid w:val="00492902"/>
    <w:rsid w:val="00493B06"/>
    <w:rsid w:val="004979B9"/>
    <w:rsid w:val="004A0D2F"/>
    <w:rsid w:val="004A16C9"/>
    <w:rsid w:val="004A3A17"/>
    <w:rsid w:val="004A3FA7"/>
    <w:rsid w:val="004A4379"/>
    <w:rsid w:val="004A4472"/>
    <w:rsid w:val="004A5F2D"/>
    <w:rsid w:val="004A5F6F"/>
    <w:rsid w:val="004B0542"/>
    <w:rsid w:val="004B07B7"/>
    <w:rsid w:val="004B1125"/>
    <w:rsid w:val="004B1E4E"/>
    <w:rsid w:val="004B2897"/>
    <w:rsid w:val="004B31F8"/>
    <w:rsid w:val="004B35C3"/>
    <w:rsid w:val="004B4793"/>
    <w:rsid w:val="004B4FBB"/>
    <w:rsid w:val="004B58A0"/>
    <w:rsid w:val="004B7E7C"/>
    <w:rsid w:val="004C0428"/>
    <w:rsid w:val="004C0903"/>
    <w:rsid w:val="004C123F"/>
    <w:rsid w:val="004C1ADF"/>
    <w:rsid w:val="004C231D"/>
    <w:rsid w:val="004C2EB7"/>
    <w:rsid w:val="004C3351"/>
    <w:rsid w:val="004C6421"/>
    <w:rsid w:val="004C6ACC"/>
    <w:rsid w:val="004D02BC"/>
    <w:rsid w:val="004D0F86"/>
    <w:rsid w:val="004D17EE"/>
    <w:rsid w:val="004D1AF6"/>
    <w:rsid w:val="004D26B3"/>
    <w:rsid w:val="004D3CF4"/>
    <w:rsid w:val="004D5571"/>
    <w:rsid w:val="004D6A84"/>
    <w:rsid w:val="004E1384"/>
    <w:rsid w:val="004E1A29"/>
    <w:rsid w:val="004E1A31"/>
    <w:rsid w:val="004E1AA7"/>
    <w:rsid w:val="004E2DEE"/>
    <w:rsid w:val="004E3130"/>
    <w:rsid w:val="004E3916"/>
    <w:rsid w:val="004E48B8"/>
    <w:rsid w:val="004E56E5"/>
    <w:rsid w:val="004E76D6"/>
    <w:rsid w:val="004F3674"/>
    <w:rsid w:val="004F52CA"/>
    <w:rsid w:val="004F6C98"/>
    <w:rsid w:val="00500E04"/>
    <w:rsid w:val="00501290"/>
    <w:rsid w:val="005013AB"/>
    <w:rsid w:val="0050316F"/>
    <w:rsid w:val="00503B65"/>
    <w:rsid w:val="005054FB"/>
    <w:rsid w:val="005055FD"/>
    <w:rsid w:val="005071E6"/>
    <w:rsid w:val="005076E3"/>
    <w:rsid w:val="00510BCD"/>
    <w:rsid w:val="00511059"/>
    <w:rsid w:val="00513A0D"/>
    <w:rsid w:val="00513E78"/>
    <w:rsid w:val="00520B4D"/>
    <w:rsid w:val="00522F41"/>
    <w:rsid w:val="005235D3"/>
    <w:rsid w:val="005245B1"/>
    <w:rsid w:val="00526125"/>
    <w:rsid w:val="0052693F"/>
    <w:rsid w:val="005269DE"/>
    <w:rsid w:val="005319D7"/>
    <w:rsid w:val="00534E98"/>
    <w:rsid w:val="00541B55"/>
    <w:rsid w:val="00544B49"/>
    <w:rsid w:val="00545D93"/>
    <w:rsid w:val="005463A9"/>
    <w:rsid w:val="00546F57"/>
    <w:rsid w:val="005474D6"/>
    <w:rsid w:val="0055045D"/>
    <w:rsid w:val="0055234E"/>
    <w:rsid w:val="00553A47"/>
    <w:rsid w:val="00554852"/>
    <w:rsid w:val="00556BE2"/>
    <w:rsid w:val="00560372"/>
    <w:rsid w:val="00561FB4"/>
    <w:rsid w:val="00562BF1"/>
    <w:rsid w:val="0056301D"/>
    <w:rsid w:val="00563363"/>
    <w:rsid w:val="00563415"/>
    <w:rsid w:val="00565F53"/>
    <w:rsid w:val="005673DF"/>
    <w:rsid w:val="0057174D"/>
    <w:rsid w:val="00572BD2"/>
    <w:rsid w:val="005756A2"/>
    <w:rsid w:val="005756F9"/>
    <w:rsid w:val="00575B38"/>
    <w:rsid w:val="0057660A"/>
    <w:rsid w:val="00576844"/>
    <w:rsid w:val="005773BD"/>
    <w:rsid w:val="0057775A"/>
    <w:rsid w:val="00580C5C"/>
    <w:rsid w:val="00581E78"/>
    <w:rsid w:val="0058571C"/>
    <w:rsid w:val="0058593F"/>
    <w:rsid w:val="00585E11"/>
    <w:rsid w:val="005901C5"/>
    <w:rsid w:val="00590615"/>
    <w:rsid w:val="005945F6"/>
    <w:rsid w:val="00594702"/>
    <w:rsid w:val="00594BC2"/>
    <w:rsid w:val="00595C07"/>
    <w:rsid w:val="005963C4"/>
    <w:rsid w:val="005A127F"/>
    <w:rsid w:val="005A151C"/>
    <w:rsid w:val="005A560D"/>
    <w:rsid w:val="005B0099"/>
    <w:rsid w:val="005B04D0"/>
    <w:rsid w:val="005B243B"/>
    <w:rsid w:val="005B4EAA"/>
    <w:rsid w:val="005B7AAB"/>
    <w:rsid w:val="005C0BEA"/>
    <w:rsid w:val="005C3248"/>
    <w:rsid w:val="005C5138"/>
    <w:rsid w:val="005C5ED9"/>
    <w:rsid w:val="005C6FAE"/>
    <w:rsid w:val="005D141F"/>
    <w:rsid w:val="005D3441"/>
    <w:rsid w:val="005D3C08"/>
    <w:rsid w:val="005D45C9"/>
    <w:rsid w:val="005D5EE7"/>
    <w:rsid w:val="005E189E"/>
    <w:rsid w:val="005E22D4"/>
    <w:rsid w:val="005E3C0F"/>
    <w:rsid w:val="005E45BD"/>
    <w:rsid w:val="005E5F3A"/>
    <w:rsid w:val="005E6C7E"/>
    <w:rsid w:val="005E7360"/>
    <w:rsid w:val="005F4331"/>
    <w:rsid w:val="005F4AA1"/>
    <w:rsid w:val="005F7E3E"/>
    <w:rsid w:val="006004AE"/>
    <w:rsid w:val="00601E85"/>
    <w:rsid w:val="006024BB"/>
    <w:rsid w:val="0060255E"/>
    <w:rsid w:val="00602F3A"/>
    <w:rsid w:val="00603FCF"/>
    <w:rsid w:val="00604697"/>
    <w:rsid w:val="00605A5C"/>
    <w:rsid w:val="0060641E"/>
    <w:rsid w:val="00606ABE"/>
    <w:rsid w:val="00607B29"/>
    <w:rsid w:val="0061125C"/>
    <w:rsid w:val="00611B45"/>
    <w:rsid w:val="00612530"/>
    <w:rsid w:val="006126A5"/>
    <w:rsid w:val="00613DA8"/>
    <w:rsid w:val="00614058"/>
    <w:rsid w:val="00614B07"/>
    <w:rsid w:val="006168E8"/>
    <w:rsid w:val="00616EF1"/>
    <w:rsid w:val="0062040F"/>
    <w:rsid w:val="00622936"/>
    <w:rsid w:val="0062391C"/>
    <w:rsid w:val="00623D44"/>
    <w:rsid w:val="0062406F"/>
    <w:rsid w:val="00624C51"/>
    <w:rsid w:val="0062528F"/>
    <w:rsid w:val="00625767"/>
    <w:rsid w:val="00631809"/>
    <w:rsid w:val="00631CED"/>
    <w:rsid w:val="00634EE4"/>
    <w:rsid w:val="006352C1"/>
    <w:rsid w:val="00635E6D"/>
    <w:rsid w:val="00636172"/>
    <w:rsid w:val="00636316"/>
    <w:rsid w:val="00636FE1"/>
    <w:rsid w:val="0064016B"/>
    <w:rsid w:val="0064609F"/>
    <w:rsid w:val="00646AF0"/>
    <w:rsid w:val="006503D8"/>
    <w:rsid w:val="00651BF9"/>
    <w:rsid w:val="00653C6B"/>
    <w:rsid w:val="0065509C"/>
    <w:rsid w:val="00655A67"/>
    <w:rsid w:val="0065674E"/>
    <w:rsid w:val="00657F07"/>
    <w:rsid w:val="00661B4E"/>
    <w:rsid w:val="00662C19"/>
    <w:rsid w:val="006646A6"/>
    <w:rsid w:val="00666CD8"/>
    <w:rsid w:val="0067080A"/>
    <w:rsid w:val="00670B1B"/>
    <w:rsid w:val="006729FF"/>
    <w:rsid w:val="006734EC"/>
    <w:rsid w:val="0067509C"/>
    <w:rsid w:val="00675F41"/>
    <w:rsid w:val="00676400"/>
    <w:rsid w:val="0067646C"/>
    <w:rsid w:val="0068098C"/>
    <w:rsid w:val="00680CEE"/>
    <w:rsid w:val="006860E0"/>
    <w:rsid w:val="00686666"/>
    <w:rsid w:val="00692D9A"/>
    <w:rsid w:val="00694B4C"/>
    <w:rsid w:val="006972AB"/>
    <w:rsid w:val="006A1BB3"/>
    <w:rsid w:val="006A28F5"/>
    <w:rsid w:val="006A3C03"/>
    <w:rsid w:val="006A4740"/>
    <w:rsid w:val="006A559C"/>
    <w:rsid w:val="006A6097"/>
    <w:rsid w:val="006A64F2"/>
    <w:rsid w:val="006B3B5C"/>
    <w:rsid w:val="006B3C1B"/>
    <w:rsid w:val="006B3EFB"/>
    <w:rsid w:val="006B690F"/>
    <w:rsid w:val="006C245B"/>
    <w:rsid w:val="006C3402"/>
    <w:rsid w:val="006C3AD5"/>
    <w:rsid w:val="006C5DA4"/>
    <w:rsid w:val="006C6F08"/>
    <w:rsid w:val="006C7836"/>
    <w:rsid w:val="006D0965"/>
    <w:rsid w:val="006D370E"/>
    <w:rsid w:val="006D3B1F"/>
    <w:rsid w:val="006D491B"/>
    <w:rsid w:val="006D4B7E"/>
    <w:rsid w:val="006D4E8D"/>
    <w:rsid w:val="006D51A2"/>
    <w:rsid w:val="006D7FDF"/>
    <w:rsid w:val="006E1A8B"/>
    <w:rsid w:val="006E1DF2"/>
    <w:rsid w:val="006E57E8"/>
    <w:rsid w:val="006F08AE"/>
    <w:rsid w:val="006F135B"/>
    <w:rsid w:val="006F2ACE"/>
    <w:rsid w:val="006F7DDC"/>
    <w:rsid w:val="006F7E25"/>
    <w:rsid w:val="007000FB"/>
    <w:rsid w:val="007008E0"/>
    <w:rsid w:val="00705235"/>
    <w:rsid w:val="007107AD"/>
    <w:rsid w:val="00711C70"/>
    <w:rsid w:val="007144AC"/>
    <w:rsid w:val="007168E1"/>
    <w:rsid w:val="00723F0C"/>
    <w:rsid w:val="00724A27"/>
    <w:rsid w:val="00724B15"/>
    <w:rsid w:val="00730EAD"/>
    <w:rsid w:val="00732376"/>
    <w:rsid w:val="007342EA"/>
    <w:rsid w:val="00735001"/>
    <w:rsid w:val="007354F0"/>
    <w:rsid w:val="00736792"/>
    <w:rsid w:val="00742C25"/>
    <w:rsid w:val="00743300"/>
    <w:rsid w:val="007445FE"/>
    <w:rsid w:val="00745364"/>
    <w:rsid w:val="00747A6F"/>
    <w:rsid w:val="007520AB"/>
    <w:rsid w:val="00752308"/>
    <w:rsid w:val="00752B0E"/>
    <w:rsid w:val="007543EA"/>
    <w:rsid w:val="00755336"/>
    <w:rsid w:val="00756B4F"/>
    <w:rsid w:val="00756D49"/>
    <w:rsid w:val="007575D6"/>
    <w:rsid w:val="00763043"/>
    <w:rsid w:val="00763539"/>
    <w:rsid w:val="00763EA2"/>
    <w:rsid w:val="007646A6"/>
    <w:rsid w:val="00766921"/>
    <w:rsid w:val="00766C21"/>
    <w:rsid w:val="0077010C"/>
    <w:rsid w:val="00770245"/>
    <w:rsid w:val="00770452"/>
    <w:rsid w:val="00781BAD"/>
    <w:rsid w:val="0078205E"/>
    <w:rsid w:val="007854CF"/>
    <w:rsid w:val="00787B82"/>
    <w:rsid w:val="007900D4"/>
    <w:rsid w:val="00791367"/>
    <w:rsid w:val="007950A3"/>
    <w:rsid w:val="00796F08"/>
    <w:rsid w:val="007A0120"/>
    <w:rsid w:val="007A0FA3"/>
    <w:rsid w:val="007A1A4C"/>
    <w:rsid w:val="007A1C23"/>
    <w:rsid w:val="007A36D7"/>
    <w:rsid w:val="007A3A11"/>
    <w:rsid w:val="007A4181"/>
    <w:rsid w:val="007A46A0"/>
    <w:rsid w:val="007A7CF3"/>
    <w:rsid w:val="007A7EA7"/>
    <w:rsid w:val="007B098A"/>
    <w:rsid w:val="007B1D83"/>
    <w:rsid w:val="007B21DD"/>
    <w:rsid w:val="007B3680"/>
    <w:rsid w:val="007B430A"/>
    <w:rsid w:val="007B5630"/>
    <w:rsid w:val="007B72EB"/>
    <w:rsid w:val="007C0BAC"/>
    <w:rsid w:val="007C0E7E"/>
    <w:rsid w:val="007C1235"/>
    <w:rsid w:val="007C3CF3"/>
    <w:rsid w:val="007C679F"/>
    <w:rsid w:val="007D00B5"/>
    <w:rsid w:val="007D0F3D"/>
    <w:rsid w:val="007D2137"/>
    <w:rsid w:val="007D4668"/>
    <w:rsid w:val="007D4728"/>
    <w:rsid w:val="007D48E5"/>
    <w:rsid w:val="007D6606"/>
    <w:rsid w:val="007D67D1"/>
    <w:rsid w:val="007D682B"/>
    <w:rsid w:val="007E18C3"/>
    <w:rsid w:val="007E2A88"/>
    <w:rsid w:val="007E32C0"/>
    <w:rsid w:val="007E5C59"/>
    <w:rsid w:val="007E6CAF"/>
    <w:rsid w:val="007E73C3"/>
    <w:rsid w:val="007F09D3"/>
    <w:rsid w:val="007F1568"/>
    <w:rsid w:val="007F3715"/>
    <w:rsid w:val="007F378A"/>
    <w:rsid w:val="007F46DC"/>
    <w:rsid w:val="007F62E2"/>
    <w:rsid w:val="007F7441"/>
    <w:rsid w:val="007F7601"/>
    <w:rsid w:val="008030F5"/>
    <w:rsid w:val="008046A7"/>
    <w:rsid w:val="00805E1E"/>
    <w:rsid w:val="0080763A"/>
    <w:rsid w:val="008101A5"/>
    <w:rsid w:val="00814DC6"/>
    <w:rsid w:val="0082072C"/>
    <w:rsid w:val="008211B6"/>
    <w:rsid w:val="008215F2"/>
    <w:rsid w:val="0082561C"/>
    <w:rsid w:val="00831A19"/>
    <w:rsid w:val="00831EDA"/>
    <w:rsid w:val="0083560A"/>
    <w:rsid w:val="008363BD"/>
    <w:rsid w:val="00836A1D"/>
    <w:rsid w:val="00836D8B"/>
    <w:rsid w:val="00837349"/>
    <w:rsid w:val="008433EA"/>
    <w:rsid w:val="00844572"/>
    <w:rsid w:val="008461EA"/>
    <w:rsid w:val="00847619"/>
    <w:rsid w:val="00847CFA"/>
    <w:rsid w:val="00850DC0"/>
    <w:rsid w:val="0085148D"/>
    <w:rsid w:val="008527AF"/>
    <w:rsid w:val="00853982"/>
    <w:rsid w:val="00854310"/>
    <w:rsid w:val="008545D1"/>
    <w:rsid w:val="00855292"/>
    <w:rsid w:val="0085762A"/>
    <w:rsid w:val="0085796E"/>
    <w:rsid w:val="00857D29"/>
    <w:rsid w:val="00860CE9"/>
    <w:rsid w:val="00861FDF"/>
    <w:rsid w:val="00864532"/>
    <w:rsid w:val="00870493"/>
    <w:rsid w:val="008733F2"/>
    <w:rsid w:val="008739F3"/>
    <w:rsid w:val="00873F64"/>
    <w:rsid w:val="00875888"/>
    <w:rsid w:val="00877335"/>
    <w:rsid w:val="00881A7C"/>
    <w:rsid w:val="00883B81"/>
    <w:rsid w:val="00884320"/>
    <w:rsid w:val="00885412"/>
    <w:rsid w:val="0088770F"/>
    <w:rsid w:val="0089092B"/>
    <w:rsid w:val="00890FD6"/>
    <w:rsid w:val="0089104A"/>
    <w:rsid w:val="008910EE"/>
    <w:rsid w:val="00891D27"/>
    <w:rsid w:val="00892E95"/>
    <w:rsid w:val="00893AE2"/>
    <w:rsid w:val="0089542D"/>
    <w:rsid w:val="00895AA9"/>
    <w:rsid w:val="00895B38"/>
    <w:rsid w:val="008979D0"/>
    <w:rsid w:val="008A3128"/>
    <w:rsid w:val="008A53DF"/>
    <w:rsid w:val="008A53F1"/>
    <w:rsid w:val="008A56DF"/>
    <w:rsid w:val="008A5C40"/>
    <w:rsid w:val="008B1A19"/>
    <w:rsid w:val="008B1A37"/>
    <w:rsid w:val="008B5623"/>
    <w:rsid w:val="008B629C"/>
    <w:rsid w:val="008B64C6"/>
    <w:rsid w:val="008B6C4F"/>
    <w:rsid w:val="008C0A8C"/>
    <w:rsid w:val="008C1CCC"/>
    <w:rsid w:val="008C4B08"/>
    <w:rsid w:val="008C4DAE"/>
    <w:rsid w:val="008C6C90"/>
    <w:rsid w:val="008C6CD3"/>
    <w:rsid w:val="008C7C36"/>
    <w:rsid w:val="008D1E15"/>
    <w:rsid w:val="008D25CC"/>
    <w:rsid w:val="008D3E8B"/>
    <w:rsid w:val="008D409A"/>
    <w:rsid w:val="008D4FAB"/>
    <w:rsid w:val="008D70A6"/>
    <w:rsid w:val="008E0EC8"/>
    <w:rsid w:val="008E121E"/>
    <w:rsid w:val="008E29F2"/>
    <w:rsid w:val="008E31F7"/>
    <w:rsid w:val="008E5C0A"/>
    <w:rsid w:val="008F0AB6"/>
    <w:rsid w:val="008F2A98"/>
    <w:rsid w:val="008F482B"/>
    <w:rsid w:val="008F64BA"/>
    <w:rsid w:val="008F6929"/>
    <w:rsid w:val="00900AFE"/>
    <w:rsid w:val="00904091"/>
    <w:rsid w:val="009044B7"/>
    <w:rsid w:val="00906273"/>
    <w:rsid w:val="00906E26"/>
    <w:rsid w:val="00907DAC"/>
    <w:rsid w:val="00912360"/>
    <w:rsid w:val="009138C7"/>
    <w:rsid w:val="009142B1"/>
    <w:rsid w:val="00914472"/>
    <w:rsid w:val="009177E3"/>
    <w:rsid w:val="00917AE9"/>
    <w:rsid w:val="00917B41"/>
    <w:rsid w:val="00917F26"/>
    <w:rsid w:val="0092041D"/>
    <w:rsid w:val="00921DA9"/>
    <w:rsid w:val="009224B0"/>
    <w:rsid w:val="00922734"/>
    <w:rsid w:val="00923457"/>
    <w:rsid w:val="009262AC"/>
    <w:rsid w:val="00927B07"/>
    <w:rsid w:val="009354B0"/>
    <w:rsid w:val="0093663B"/>
    <w:rsid w:val="0094137F"/>
    <w:rsid w:val="00941BFF"/>
    <w:rsid w:val="00941E0A"/>
    <w:rsid w:val="00942B3C"/>
    <w:rsid w:val="00945A38"/>
    <w:rsid w:val="00947CD4"/>
    <w:rsid w:val="00950A70"/>
    <w:rsid w:val="00951681"/>
    <w:rsid w:val="00951BC4"/>
    <w:rsid w:val="009603C9"/>
    <w:rsid w:val="00960B87"/>
    <w:rsid w:val="00962AAD"/>
    <w:rsid w:val="009635AB"/>
    <w:rsid w:val="00964ECF"/>
    <w:rsid w:val="0096568D"/>
    <w:rsid w:val="00965FCB"/>
    <w:rsid w:val="0097179A"/>
    <w:rsid w:val="00971A09"/>
    <w:rsid w:val="0097213D"/>
    <w:rsid w:val="00972352"/>
    <w:rsid w:val="00972AEC"/>
    <w:rsid w:val="009758CE"/>
    <w:rsid w:val="00975E03"/>
    <w:rsid w:val="009803DF"/>
    <w:rsid w:val="00980566"/>
    <w:rsid w:val="0098113E"/>
    <w:rsid w:val="00982ED8"/>
    <w:rsid w:val="00984138"/>
    <w:rsid w:val="00984A9D"/>
    <w:rsid w:val="00986732"/>
    <w:rsid w:val="00986ECD"/>
    <w:rsid w:val="009903E3"/>
    <w:rsid w:val="009905B9"/>
    <w:rsid w:val="00990CF4"/>
    <w:rsid w:val="0099176B"/>
    <w:rsid w:val="0099459B"/>
    <w:rsid w:val="009966EF"/>
    <w:rsid w:val="00996966"/>
    <w:rsid w:val="009972E5"/>
    <w:rsid w:val="009A1875"/>
    <w:rsid w:val="009A1BB8"/>
    <w:rsid w:val="009A2737"/>
    <w:rsid w:val="009A2A70"/>
    <w:rsid w:val="009A3BBF"/>
    <w:rsid w:val="009A3D45"/>
    <w:rsid w:val="009A3EE6"/>
    <w:rsid w:val="009A478D"/>
    <w:rsid w:val="009A68DE"/>
    <w:rsid w:val="009A7B77"/>
    <w:rsid w:val="009A7D1A"/>
    <w:rsid w:val="009B27F7"/>
    <w:rsid w:val="009B3268"/>
    <w:rsid w:val="009B335D"/>
    <w:rsid w:val="009B5FBB"/>
    <w:rsid w:val="009B64C4"/>
    <w:rsid w:val="009B6ACC"/>
    <w:rsid w:val="009B7369"/>
    <w:rsid w:val="009B7BC6"/>
    <w:rsid w:val="009C0476"/>
    <w:rsid w:val="009C178A"/>
    <w:rsid w:val="009C1A34"/>
    <w:rsid w:val="009C1C11"/>
    <w:rsid w:val="009D0659"/>
    <w:rsid w:val="009D0CD3"/>
    <w:rsid w:val="009D119A"/>
    <w:rsid w:val="009D23B3"/>
    <w:rsid w:val="009D2482"/>
    <w:rsid w:val="009D31EA"/>
    <w:rsid w:val="009E047A"/>
    <w:rsid w:val="009E0743"/>
    <w:rsid w:val="009E0762"/>
    <w:rsid w:val="009E0D5F"/>
    <w:rsid w:val="009E16BB"/>
    <w:rsid w:val="009E3575"/>
    <w:rsid w:val="009E3DB9"/>
    <w:rsid w:val="009E558C"/>
    <w:rsid w:val="009E5BC2"/>
    <w:rsid w:val="009E5EA3"/>
    <w:rsid w:val="009E6878"/>
    <w:rsid w:val="009F07ED"/>
    <w:rsid w:val="009F17FE"/>
    <w:rsid w:val="009F2B53"/>
    <w:rsid w:val="009F34A1"/>
    <w:rsid w:val="009F3B9B"/>
    <w:rsid w:val="009F4221"/>
    <w:rsid w:val="009F4617"/>
    <w:rsid w:val="009F47A7"/>
    <w:rsid w:val="009F5718"/>
    <w:rsid w:val="009F61DA"/>
    <w:rsid w:val="009F707B"/>
    <w:rsid w:val="009F7990"/>
    <w:rsid w:val="009F7A6D"/>
    <w:rsid w:val="00A000E0"/>
    <w:rsid w:val="00A009D4"/>
    <w:rsid w:val="00A0320E"/>
    <w:rsid w:val="00A050C6"/>
    <w:rsid w:val="00A12944"/>
    <w:rsid w:val="00A14EFC"/>
    <w:rsid w:val="00A14F22"/>
    <w:rsid w:val="00A1691E"/>
    <w:rsid w:val="00A22BE0"/>
    <w:rsid w:val="00A22FF3"/>
    <w:rsid w:val="00A2365D"/>
    <w:rsid w:val="00A24980"/>
    <w:rsid w:val="00A24C4F"/>
    <w:rsid w:val="00A26592"/>
    <w:rsid w:val="00A2719F"/>
    <w:rsid w:val="00A312B8"/>
    <w:rsid w:val="00A32C82"/>
    <w:rsid w:val="00A32DCB"/>
    <w:rsid w:val="00A33215"/>
    <w:rsid w:val="00A33A9C"/>
    <w:rsid w:val="00A3408C"/>
    <w:rsid w:val="00A35315"/>
    <w:rsid w:val="00A35B61"/>
    <w:rsid w:val="00A442C3"/>
    <w:rsid w:val="00A446BB"/>
    <w:rsid w:val="00A4684B"/>
    <w:rsid w:val="00A47281"/>
    <w:rsid w:val="00A474D4"/>
    <w:rsid w:val="00A50B73"/>
    <w:rsid w:val="00A50F6C"/>
    <w:rsid w:val="00A51AC5"/>
    <w:rsid w:val="00A52018"/>
    <w:rsid w:val="00A5372D"/>
    <w:rsid w:val="00A550DF"/>
    <w:rsid w:val="00A60611"/>
    <w:rsid w:val="00A60C76"/>
    <w:rsid w:val="00A65269"/>
    <w:rsid w:val="00A6600B"/>
    <w:rsid w:val="00A66018"/>
    <w:rsid w:val="00A660AF"/>
    <w:rsid w:val="00A66558"/>
    <w:rsid w:val="00A7014D"/>
    <w:rsid w:val="00A71047"/>
    <w:rsid w:val="00A71D68"/>
    <w:rsid w:val="00A72D1A"/>
    <w:rsid w:val="00A736E5"/>
    <w:rsid w:val="00A73ACC"/>
    <w:rsid w:val="00A751B8"/>
    <w:rsid w:val="00A83073"/>
    <w:rsid w:val="00A835FF"/>
    <w:rsid w:val="00A83846"/>
    <w:rsid w:val="00A83E30"/>
    <w:rsid w:val="00A85EA9"/>
    <w:rsid w:val="00A916E8"/>
    <w:rsid w:val="00A92349"/>
    <w:rsid w:val="00A93943"/>
    <w:rsid w:val="00A944BC"/>
    <w:rsid w:val="00A96AB1"/>
    <w:rsid w:val="00AA1CCA"/>
    <w:rsid w:val="00AA67D0"/>
    <w:rsid w:val="00AB0007"/>
    <w:rsid w:val="00AB07B5"/>
    <w:rsid w:val="00AB0B25"/>
    <w:rsid w:val="00AB54FD"/>
    <w:rsid w:val="00AB6557"/>
    <w:rsid w:val="00AC0550"/>
    <w:rsid w:val="00AC14D3"/>
    <w:rsid w:val="00AC275F"/>
    <w:rsid w:val="00AC3607"/>
    <w:rsid w:val="00AC54FF"/>
    <w:rsid w:val="00AC7B96"/>
    <w:rsid w:val="00AD066A"/>
    <w:rsid w:val="00AD068C"/>
    <w:rsid w:val="00AD069F"/>
    <w:rsid w:val="00AD3148"/>
    <w:rsid w:val="00AD5140"/>
    <w:rsid w:val="00AD6C0F"/>
    <w:rsid w:val="00AE3450"/>
    <w:rsid w:val="00AE5055"/>
    <w:rsid w:val="00AE699D"/>
    <w:rsid w:val="00AE7321"/>
    <w:rsid w:val="00AF05E2"/>
    <w:rsid w:val="00AF0886"/>
    <w:rsid w:val="00AF1477"/>
    <w:rsid w:val="00AF33FC"/>
    <w:rsid w:val="00AF4C7A"/>
    <w:rsid w:val="00AF5D5B"/>
    <w:rsid w:val="00AF6B9A"/>
    <w:rsid w:val="00B00AA3"/>
    <w:rsid w:val="00B00B57"/>
    <w:rsid w:val="00B0173A"/>
    <w:rsid w:val="00B026D9"/>
    <w:rsid w:val="00B02FB4"/>
    <w:rsid w:val="00B03837"/>
    <w:rsid w:val="00B05442"/>
    <w:rsid w:val="00B069DE"/>
    <w:rsid w:val="00B06D8F"/>
    <w:rsid w:val="00B072ED"/>
    <w:rsid w:val="00B074ED"/>
    <w:rsid w:val="00B10BF4"/>
    <w:rsid w:val="00B1170E"/>
    <w:rsid w:val="00B11A62"/>
    <w:rsid w:val="00B12D2A"/>
    <w:rsid w:val="00B14A97"/>
    <w:rsid w:val="00B15030"/>
    <w:rsid w:val="00B150FA"/>
    <w:rsid w:val="00B20D8C"/>
    <w:rsid w:val="00B20EE3"/>
    <w:rsid w:val="00B21195"/>
    <w:rsid w:val="00B21B7C"/>
    <w:rsid w:val="00B22AC5"/>
    <w:rsid w:val="00B2452A"/>
    <w:rsid w:val="00B24C6D"/>
    <w:rsid w:val="00B25AA0"/>
    <w:rsid w:val="00B273CB"/>
    <w:rsid w:val="00B323F0"/>
    <w:rsid w:val="00B34146"/>
    <w:rsid w:val="00B3465A"/>
    <w:rsid w:val="00B34E17"/>
    <w:rsid w:val="00B35603"/>
    <w:rsid w:val="00B37E41"/>
    <w:rsid w:val="00B432B0"/>
    <w:rsid w:val="00B435DB"/>
    <w:rsid w:val="00B438D7"/>
    <w:rsid w:val="00B43E1A"/>
    <w:rsid w:val="00B45744"/>
    <w:rsid w:val="00B4754D"/>
    <w:rsid w:val="00B47709"/>
    <w:rsid w:val="00B50794"/>
    <w:rsid w:val="00B51738"/>
    <w:rsid w:val="00B51E90"/>
    <w:rsid w:val="00B52CD4"/>
    <w:rsid w:val="00B53EEE"/>
    <w:rsid w:val="00B57380"/>
    <w:rsid w:val="00B62674"/>
    <w:rsid w:val="00B67C1A"/>
    <w:rsid w:val="00B7271C"/>
    <w:rsid w:val="00B72FFD"/>
    <w:rsid w:val="00B736B3"/>
    <w:rsid w:val="00B763C7"/>
    <w:rsid w:val="00B763FA"/>
    <w:rsid w:val="00B774A8"/>
    <w:rsid w:val="00B77718"/>
    <w:rsid w:val="00B77EB6"/>
    <w:rsid w:val="00B810C5"/>
    <w:rsid w:val="00B816DD"/>
    <w:rsid w:val="00B81A18"/>
    <w:rsid w:val="00B81D8F"/>
    <w:rsid w:val="00B82AC2"/>
    <w:rsid w:val="00B83C4A"/>
    <w:rsid w:val="00B8567A"/>
    <w:rsid w:val="00B8709A"/>
    <w:rsid w:val="00B91986"/>
    <w:rsid w:val="00B91A4A"/>
    <w:rsid w:val="00B92760"/>
    <w:rsid w:val="00B93102"/>
    <w:rsid w:val="00B9445F"/>
    <w:rsid w:val="00B97AE0"/>
    <w:rsid w:val="00B97B9F"/>
    <w:rsid w:val="00B97F0A"/>
    <w:rsid w:val="00BA1E44"/>
    <w:rsid w:val="00BA3333"/>
    <w:rsid w:val="00BA36B3"/>
    <w:rsid w:val="00BA5643"/>
    <w:rsid w:val="00BA5B1F"/>
    <w:rsid w:val="00BA5C87"/>
    <w:rsid w:val="00BA66B1"/>
    <w:rsid w:val="00BA6A41"/>
    <w:rsid w:val="00BA6EBC"/>
    <w:rsid w:val="00BB142A"/>
    <w:rsid w:val="00BB1638"/>
    <w:rsid w:val="00BB34F9"/>
    <w:rsid w:val="00BB45D5"/>
    <w:rsid w:val="00BB4BAF"/>
    <w:rsid w:val="00BB7E8B"/>
    <w:rsid w:val="00BC0B12"/>
    <w:rsid w:val="00BC0E96"/>
    <w:rsid w:val="00BC12E2"/>
    <w:rsid w:val="00BC19B8"/>
    <w:rsid w:val="00BC1DCF"/>
    <w:rsid w:val="00BC2391"/>
    <w:rsid w:val="00BC346D"/>
    <w:rsid w:val="00BC35D4"/>
    <w:rsid w:val="00BC3D16"/>
    <w:rsid w:val="00BC7E9F"/>
    <w:rsid w:val="00BD09B9"/>
    <w:rsid w:val="00BD29FF"/>
    <w:rsid w:val="00BD2E16"/>
    <w:rsid w:val="00BD304A"/>
    <w:rsid w:val="00BD4345"/>
    <w:rsid w:val="00BD4DFB"/>
    <w:rsid w:val="00BE119B"/>
    <w:rsid w:val="00BE2361"/>
    <w:rsid w:val="00BE23CE"/>
    <w:rsid w:val="00BE29C4"/>
    <w:rsid w:val="00BE3510"/>
    <w:rsid w:val="00BE3DEF"/>
    <w:rsid w:val="00BE4CCA"/>
    <w:rsid w:val="00BE5874"/>
    <w:rsid w:val="00BE74C8"/>
    <w:rsid w:val="00BE761E"/>
    <w:rsid w:val="00BF0214"/>
    <w:rsid w:val="00BF0827"/>
    <w:rsid w:val="00BF0A35"/>
    <w:rsid w:val="00BF0F6A"/>
    <w:rsid w:val="00BF2F4A"/>
    <w:rsid w:val="00BF3093"/>
    <w:rsid w:val="00BF3C89"/>
    <w:rsid w:val="00C0056F"/>
    <w:rsid w:val="00C0270F"/>
    <w:rsid w:val="00C0274D"/>
    <w:rsid w:val="00C03DF7"/>
    <w:rsid w:val="00C04531"/>
    <w:rsid w:val="00C04558"/>
    <w:rsid w:val="00C04EA1"/>
    <w:rsid w:val="00C061CD"/>
    <w:rsid w:val="00C06D56"/>
    <w:rsid w:val="00C07357"/>
    <w:rsid w:val="00C07C80"/>
    <w:rsid w:val="00C1160D"/>
    <w:rsid w:val="00C11AAF"/>
    <w:rsid w:val="00C11EFF"/>
    <w:rsid w:val="00C124E6"/>
    <w:rsid w:val="00C1271E"/>
    <w:rsid w:val="00C13F83"/>
    <w:rsid w:val="00C14682"/>
    <w:rsid w:val="00C15382"/>
    <w:rsid w:val="00C15ECA"/>
    <w:rsid w:val="00C1633C"/>
    <w:rsid w:val="00C17E8D"/>
    <w:rsid w:val="00C20D15"/>
    <w:rsid w:val="00C20E93"/>
    <w:rsid w:val="00C21DF1"/>
    <w:rsid w:val="00C222F3"/>
    <w:rsid w:val="00C22EBF"/>
    <w:rsid w:val="00C22FE1"/>
    <w:rsid w:val="00C23BF2"/>
    <w:rsid w:val="00C24004"/>
    <w:rsid w:val="00C24455"/>
    <w:rsid w:val="00C25115"/>
    <w:rsid w:val="00C254F0"/>
    <w:rsid w:val="00C26BBC"/>
    <w:rsid w:val="00C27855"/>
    <w:rsid w:val="00C3014A"/>
    <w:rsid w:val="00C36F8E"/>
    <w:rsid w:val="00C374CC"/>
    <w:rsid w:val="00C379FE"/>
    <w:rsid w:val="00C37CD0"/>
    <w:rsid w:val="00C42A59"/>
    <w:rsid w:val="00C43CFE"/>
    <w:rsid w:val="00C44AD5"/>
    <w:rsid w:val="00C46557"/>
    <w:rsid w:val="00C46DC6"/>
    <w:rsid w:val="00C4789A"/>
    <w:rsid w:val="00C5077F"/>
    <w:rsid w:val="00C5093C"/>
    <w:rsid w:val="00C52731"/>
    <w:rsid w:val="00C53863"/>
    <w:rsid w:val="00C55401"/>
    <w:rsid w:val="00C60CCE"/>
    <w:rsid w:val="00C647F0"/>
    <w:rsid w:val="00C651D9"/>
    <w:rsid w:val="00C669E5"/>
    <w:rsid w:val="00C673AD"/>
    <w:rsid w:val="00C679CE"/>
    <w:rsid w:val="00C704C9"/>
    <w:rsid w:val="00C71914"/>
    <w:rsid w:val="00C7784C"/>
    <w:rsid w:val="00C80F04"/>
    <w:rsid w:val="00C81090"/>
    <w:rsid w:val="00C81C16"/>
    <w:rsid w:val="00C83934"/>
    <w:rsid w:val="00C83F97"/>
    <w:rsid w:val="00C86564"/>
    <w:rsid w:val="00C90531"/>
    <w:rsid w:val="00C90B94"/>
    <w:rsid w:val="00C9250D"/>
    <w:rsid w:val="00C93740"/>
    <w:rsid w:val="00C94F00"/>
    <w:rsid w:val="00C96118"/>
    <w:rsid w:val="00CA0340"/>
    <w:rsid w:val="00CA06B1"/>
    <w:rsid w:val="00CA1C04"/>
    <w:rsid w:val="00CA2539"/>
    <w:rsid w:val="00CA6B55"/>
    <w:rsid w:val="00CA7848"/>
    <w:rsid w:val="00CB017F"/>
    <w:rsid w:val="00CB54BD"/>
    <w:rsid w:val="00CB75FF"/>
    <w:rsid w:val="00CB7B6B"/>
    <w:rsid w:val="00CC0060"/>
    <w:rsid w:val="00CC0570"/>
    <w:rsid w:val="00CC0BE8"/>
    <w:rsid w:val="00CC0E2E"/>
    <w:rsid w:val="00CC147D"/>
    <w:rsid w:val="00CC3E11"/>
    <w:rsid w:val="00CC6237"/>
    <w:rsid w:val="00CC6700"/>
    <w:rsid w:val="00CC6D89"/>
    <w:rsid w:val="00CC6F63"/>
    <w:rsid w:val="00CD0B78"/>
    <w:rsid w:val="00CD20F8"/>
    <w:rsid w:val="00CD3316"/>
    <w:rsid w:val="00CD34E9"/>
    <w:rsid w:val="00CD3706"/>
    <w:rsid w:val="00CE116F"/>
    <w:rsid w:val="00CE1403"/>
    <w:rsid w:val="00CE2FD5"/>
    <w:rsid w:val="00CF1A8C"/>
    <w:rsid w:val="00CF35E9"/>
    <w:rsid w:val="00CF43F2"/>
    <w:rsid w:val="00CF4B8D"/>
    <w:rsid w:val="00CF4FA5"/>
    <w:rsid w:val="00CF543F"/>
    <w:rsid w:val="00D02225"/>
    <w:rsid w:val="00D02312"/>
    <w:rsid w:val="00D03564"/>
    <w:rsid w:val="00D0622E"/>
    <w:rsid w:val="00D06CF4"/>
    <w:rsid w:val="00D1088E"/>
    <w:rsid w:val="00D12BD9"/>
    <w:rsid w:val="00D134A1"/>
    <w:rsid w:val="00D162BC"/>
    <w:rsid w:val="00D167BB"/>
    <w:rsid w:val="00D16D6E"/>
    <w:rsid w:val="00D205BA"/>
    <w:rsid w:val="00D212AE"/>
    <w:rsid w:val="00D22216"/>
    <w:rsid w:val="00D235F4"/>
    <w:rsid w:val="00D24043"/>
    <w:rsid w:val="00D25D67"/>
    <w:rsid w:val="00D25F59"/>
    <w:rsid w:val="00D266C2"/>
    <w:rsid w:val="00D27622"/>
    <w:rsid w:val="00D3255C"/>
    <w:rsid w:val="00D33298"/>
    <w:rsid w:val="00D3420E"/>
    <w:rsid w:val="00D344AB"/>
    <w:rsid w:val="00D3478E"/>
    <w:rsid w:val="00D35348"/>
    <w:rsid w:val="00D35415"/>
    <w:rsid w:val="00D356CF"/>
    <w:rsid w:val="00D37784"/>
    <w:rsid w:val="00D4206A"/>
    <w:rsid w:val="00D454F8"/>
    <w:rsid w:val="00D45EF9"/>
    <w:rsid w:val="00D4620B"/>
    <w:rsid w:val="00D46382"/>
    <w:rsid w:val="00D47BD6"/>
    <w:rsid w:val="00D50B3C"/>
    <w:rsid w:val="00D50C61"/>
    <w:rsid w:val="00D5467C"/>
    <w:rsid w:val="00D54D0D"/>
    <w:rsid w:val="00D60785"/>
    <w:rsid w:val="00D621DA"/>
    <w:rsid w:val="00D648E0"/>
    <w:rsid w:val="00D65AC8"/>
    <w:rsid w:val="00D7008E"/>
    <w:rsid w:val="00D722CD"/>
    <w:rsid w:val="00D72ECE"/>
    <w:rsid w:val="00D72F00"/>
    <w:rsid w:val="00D753D9"/>
    <w:rsid w:val="00D75535"/>
    <w:rsid w:val="00D7641A"/>
    <w:rsid w:val="00D807D1"/>
    <w:rsid w:val="00D8224F"/>
    <w:rsid w:val="00D857FB"/>
    <w:rsid w:val="00D85BF7"/>
    <w:rsid w:val="00D86802"/>
    <w:rsid w:val="00D90A8A"/>
    <w:rsid w:val="00D90DCC"/>
    <w:rsid w:val="00D91676"/>
    <w:rsid w:val="00D9281D"/>
    <w:rsid w:val="00D92AA6"/>
    <w:rsid w:val="00D969EB"/>
    <w:rsid w:val="00D974FF"/>
    <w:rsid w:val="00D9776B"/>
    <w:rsid w:val="00DA0270"/>
    <w:rsid w:val="00DA04D6"/>
    <w:rsid w:val="00DA06FC"/>
    <w:rsid w:val="00DA5341"/>
    <w:rsid w:val="00DA56F0"/>
    <w:rsid w:val="00DA5F0B"/>
    <w:rsid w:val="00DA6251"/>
    <w:rsid w:val="00DA7A60"/>
    <w:rsid w:val="00DB04E3"/>
    <w:rsid w:val="00DB4818"/>
    <w:rsid w:val="00DB5F13"/>
    <w:rsid w:val="00DC21D1"/>
    <w:rsid w:val="00DC3490"/>
    <w:rsid w:val="00DC5B32"/>
    <w:rsid w:val="00DC66DA"/>
    <w:rsid w:val="00DD173D"/>
    <w:rsid w:val="00DD39F0"/>
    <w:rsid w:val="00DD40C0"/>
    <w:rsid w:val="00DD56D2"/>
    <w:rsid w:val="00DD71EB"/>
    <w:rsid w:val="00DE2FEA"/>
    <w:rsid w:val="00DE4AC1"/>
    <w:rsid w:val="00DE5630"/>
    <w:rsid w:val="00DE5FF0"/>
    <w:rsid w:val="00DE77EB"/>
    <w:rsid w:val="00DF0115"/>
    <w:rsid w:val="00DF0EC6"/>
    <w:rsid w:val="00DF2377"/>
    <w:rsid w:val="00DF26E7"/>
    <w:rsid w:val="00DF4B57"/>
    <w:rsid w:val="00DF54D3"/>
    <w:rsid w:val="00DF6DBF"/>
    <w:rsid w:val="00E02E3B"/>
    <w:rsid w:val="00E03FCE"/>
    <w:rsid w:val="00E049A4"/>
    <w:rsid w:val="00E04D8F"/>
    <w:rsid w:val="00E072AC"/>
    <w:rsid w:val="00E078FD"/>
    <w:rsid w:val="00E11477"/>
    <w:rsid w:val="00E11B0F"/>
    <w:rsid w:val="00E125AF"/>
    <w:rsid w:val="00E13082"/>
    <w:rsid w:val="00E1342A"/>
    <w:rsid w:val="00E14388"/>
    <w:rsid w:val="00E14574"/>
    <w:rsid w:val="00E15EF1"/>
    <w:rsid w:val="00E15FFE"/>
    <w:rsid w:val="00E1687C"/>
    <w:rsid w:val="00E172E4"/>
    <w:rsid w:val="00E17E5E"/>
    <w:rsid w:val="00E2017C"/>
    <w:rsid w:val="00E2076C"/>
    <w:rsid w:val="00E20EC0"/>
    <w:rsid w:val="00E21788"/>
    <w:rsid w:val="00E242D3"/>
    <w:rsid w:val="00E24CA4"/>
    <w:rsid w:val="00E27A3B"/>
    <w:rsid w:val="00E322FF"/>
    <w:rsid w:val="00E32889"/>
    <w:rsid w:val="00E33AFF"/>
    <w:rsid w:val="00E36C6E"/>
    <w:rsid w:val="00E37FA1"/>
    <w:rsid w:val="00E414F8"/>
    <w:rsid w:val="00E42D33"/>
    <w:rsid w:val="00E43A15"/>
    <w:rsid w:val="00E43DE7"/>
    <w:rsid w:val="00E4472A"/>
    <w:rsid w:val="00E47077"/>
    <w:rsid w:val="00E476D8"/>
    <w:rsid w:val="00E51C4C"/>
    <w:rsid w:val="00E52101"/>
    <w:rsid w:val="00E521F7"/>
    <w:rsid w:val="00E52779"/>
    <w:rsid w:val="00E53C53"/>
    <w:rsid w:val="00E54E8B"/>
    <w:rsid w:val="00E553D5"/>
    <w:rsid w:val="00E56ADF"/>
    <w:rsid w:val="00E626F1"/>
    <w:rsid w:val="00E62708"/>
    <w:rsid w:val="00E641A6"/>
    <w:rsid w:val="00E65624"/>
    <w:rsid w:val="00E6714F"/>
    <w:rsid w:val="00E705D3"/>
    <w:rsid w:val="00E70F73"/>
    <w:rsid w:val="00E7166D"/>
    <w:rsid w:val="00E7317F"/>
    <w:rsid w:val="00E73276"/>
    <w:rsid w:val="00E73541"/>
    <w:rsid w:val="00E737FA"/>
    <w:rsid w:val="00E75FEC"/>
    <w:rsid w:val="00E76ACE"/>
    <w:rsid w:val="00E8141E"/>
    <w:rsid w:val="00E82686"/>
    <w:rsid w:val="00E84012"/>
    <w:rsid w:val="00E84142"/>
    <w:rsid w:val="00E861DA"/>
    <w:rsid w:val="00E86364"/>
    <w:rsid w:val="00E87322"/>
    <w:rsid w:val="00E904E5"/>
    <w:rsid w:val="00E90857"/>
    <w:rsid w:val="00E93101"/>
    <w:rsid w:val="00E94163"/>
    <w:rsid w:val="00E959E8"/>
    <w:rsid w:val="00E96A0E"/>
    <w:rsid w:val="00E97442"/>
    <w:rsid w:val="00EA174A"/>
    <w:rsid w:val="00EA3157"/>
    <w:rsid w:val="00EA3826"/>
    <w:rsid w:val="00EA4441"/>
    <w:rsid w:val="00EA448E"/>
    <w:rsid w:val="00EA460D"/>
    <w:rsid w:val="00EA4CED"/>
    <w:rsid w:val="00EA4FEA"/>
    <w:rsid w:val="00EA66BC"/>
    <w:rsid w:val="00EA7897"/>
    <w:rsid w:val="00EB0E47"/>
    <w:rsid w:val="00EB154E"/>
    <w:rsid w:val="00EB1B66"/>
    <w:rsid w:val="00EB1C8C"/>
    <w:rsid w:val="00EB208A"/>
    <w:rsid w:val="00EB2FB3"/>
    <w:rsid w:val="00EB39AE"/>
    <w:rsid w:val="00EB4B99"/>
    <w:rsid w:val="00EB7E3D"/>
    <w:rsid w:val="00EC0144"/>
    <w:rsid w:val="00EC0C6A"/>
    <w:rsid w:val="00EC11E4"/>
    <w:rsid w:val="00EC1AE7"/>
    <w:rsid w:val="00EC36B5"/>
    <w:rsid w:val="00EC439F"/>
    <w:rsid w:val="00EC6C72"/>
    <w:rsid w:val="00EC7FD4"/>
    <w:rsid w:val="00EC7FFC"/>
    <w:rsid w:val="00ED1EC3"/>
    <w:rsid w:val="00ED2F45"/>
    <w:rsid w:val="00ED3F48"/>
    <w:rsid w:val="00ED4012"/>
    <w:rsid w:val="00ED55A2"/>
    <w:rsid w:val="00ED771B"/>
    <w:rsid w:val="00EE010A"/>
    <w:rsid w:val="00EE056C"/>
    <w:rsid w:val="00EE5D9D"/>
    <w:rsid w:val="00EF0A65"/>
    <w:rsid w:val="00EF0EC4"/>
    <w:rsid w:val="00EF12CB"/>
    <w:rsid w:val="00EF2798"/>
    <w:rsid w:val="00EF331C"/>
    <w:rsid w:val="00EF3332"/>
    <w:rsid w:val="00EF41AC"/>
    <w:rsid w:val="00EF4F0C"/>
    <w:rsid w:val="00F0033E"/>
    <w:rsid w:val="00F02A7A"/>
    <w:rsid w:val="00F03624"/>
    <w:rsid w:val="00F06057"/>
    <w:rsid w:val="00F114FF"/>
    <w:rsid w:val="00F12DDB"/>
    <w:rsid w:val="00F17B41"/>
    <w:rsid w:val="00F23E39"/>
    <w:rsid w:val="00F26B72"/>
    <w:rsid w:val="00F2722E"/>
    <w:rsid w:val="00F3014C"/>
    <w:rsid w:val="00F314EA"/>
    <w:rsid w:val="00F32DAF"/>
    <w:rsid w:val="00F353CE"/>
    <w:rsid w:val="00F3651B"/>
    <w:rsid w:val="00F37163"/>
    <w:rsid w:val="00F40EBA"/>
    <w:rsid w:val="00F41536"/>
    <w:rsid w:val="00F4249E"/>
    <w:rsid w:val="00F435F1"/>
    <w:rsid w:val="00F45DFF"/>
    <w:rsid w:val="00F45F9D"/>
    <w:rsid w:val="00F46DB5"/>
    <w:rsid w:val="00F47958"/>
    <w:rsid w:val="00F50DB8"/>
    <w:rsid w:val="00F50E9E"/>
    <w:rsid w:val="00F51224"/>
    <w:rsid w:val="00F51FE2"/>
    <w:rsid w:val="00F56248"/>
    <w:rsid w:val="00F570E7"/>
    <w:rsid w:val="00F61397"/>
    <w:rsid w:val="00F619AF"/>
    <w:rsid w:val="00F61F43"/>
    <w:rsid w:val="00F65411"/>
    <w:rsid w:val="00F65970"/>
    <w:rsid w:val="00F66425"/>
    <w:rsid w:val="00F66C87"/>
    <w:rsid w:val="00F710FC"/>
    <w:rsid w:val="00F7161F"/>
    <w:rsid w:val="00F73E58"/>
    <w:rsid w:val="00F73F6D"/>
    <w:rsid w:val="00F7406E"/>
    <w:rsid w:val="00F74249"/>
    <w:rsid w:val="00F75473"/>
    <w:rsid w:val="00F80ECA"/>
    <w:rsid w:val="00F838BA"/>
    <w:rsid w:val="00F839BB"/>
    <w:rsid w:val="00F8426E"/>
    <w:rsid w:val="00F84751"/>
    <w:rsid w:val="00F85075"/>
    <w:rsid w:val="00F85AD4"/>
    <w:rsid w:val="00F9042E"/>
    <w:rsid w:val="00F93E48"/>
    <w:rsid w:val="00F95D50"/>
    <w:rsid w:val="00F96AA9"/>
    <w:rsid w:val="00FA1C60"/>
    <w:rsid w:val="00FA2073"/>
    <w:rsid w:val="00FA2A0D"/>
    <w:rsid w:val="00FA32FD"/>
    <w:rsid w:val="00FA521B"/>
    <w:rsid w:val="00FA66E0"/>
    <w:rsid w:val="00FA7E0A"/>
    <w:rsid w:val="00FB0231"/>
    <w:rsid w:val="00FB0B72"/>
    <w:rsid w:val="00FB0CB0"/>
    <w:rsid w:val="00FB1797"/>
    <w:rsid w:val="00FB2444"/>
    <w:rsid w:val="00FB2E7F"/>
    <w:rsid w:val="00FB6A18"/>
    <w:rsid w:val="00FC4DEF"/>
    <w:rsid w:val="00FC789F"/>
    <w:rsid w:val="00FD241B"/>
    <w:rsid w:val="00FD3AAB"/>
    <w:rsid w:val="00FD4B19"/>
    <w:rsid w:val="00FD6573"/>
    <w:rsid w:val="00FD6D4E"/>
    <w:rsid w:val="00FE0A6D"/>
    <w:rsid w:val="00FE2301"/>
    <w:rsid w:val="00FE251E"/>
    <w:rsid w:val="00FE2D9A"/>
    <w:rsid w:val="00FE3202"/>
    <w:rsid w:val="00FE33A9"/>
    <w:rsid w:val="00FE3976"/>
    <w:rsid w:val="00FE3C14"/>
    <w:rsid w:val="00FE4274"/>
    <w:rsid w:val="00FE5327"/>
    <w:rsid w:val="00FE6A03"/>
    <w:rsid w:val="00FE6FF7"/>
    <w:rsid w:val="00FF1957"/>
    <w:rsid w:val="00FF2473"/>
    <w:rsid w:val="00FF5789"/>
    <w:rsid w:val="00FF6210"/>
    <w:rsid w:val="00FF73EC"/>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2"/>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62A"/>
  </w:style>
  <w:style w:type="paragraph" w:styleId="Heading1">
    <w:name w:val="heading 1"/>
    <w:basedOn w:val="Normal"/>
    <w:next w:val="Normal"/>
    <w:qFormat/>
    <w:rsid w:val="0085762A"/>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762A"/>
    <w:pPr>
      <w:jc w:val="center"/>
    </w:pPr>
    <w:rPr>
      <w:b/>
      <w:sz w:val="26"/>
    </w:rPr>
  </w:style>
  <w:style w:type="paragraph" w:styleId="Subtitle">
    <w:name w:val="Subtitle"/>
    <w:basedOn w:val="Normal"/>
    <w:qFormat/>
    <w:rsid w:val="0085762A"/>
    <w:pPr>
      <w:jc w:val="center"/>
    </w:pPr>
    <w:rPr>
      <w:b/>
      <w:sz w:val="26"/>
    </w:rPr>
  </w:style>
  <w:style w:type="paragraph" w:styleId="Footer">
    <w:name w:val="footer"/>
    <w:basedOn w:val="Normal"/>
    <w:rsid w:val="008E0EC8"/>
    <w:pPr>
      <w:tabs>
        <w:tab w:val="center" w:pos="4320"/>
        <w:tab w:val="right" w:pos="8640"/>
      </w:tabs>
    </w:pPr>
  </w:style>
  <w:style w:type="character" w:styleId="PageNumber">
    <w:name w:val="page number"/>
    <w:basedOn w:val="DefaultParagraphFont"/>
    <w:rsid w:val="008E0EC8"/>
  </w:style>
  <w:style w:type="paragraph" w:styleId="FootnoteText">
    <w:name w:val="footnote text"/>
    <w:basedOn w:val="Normal"/>
    <w:link w:val="FootnoteTextChar"/>
    <w:semiHidden/>
    <w:rsid w:val="004A16C9"/>
  </w:style>
  <w:style w:type="character" w:styleId="FootnoteReference">
    <w:name w:val="footnote reference"/>
    <w:basedOn w:val="DefaultParagraphFont"/>
    <w:semiHidden/>
    <w:rsid w:val="004A16C9"/>
    <w:rPr>
      <w:vertAlign w:val="superscript"/>
    </w:rPr>
  </w:style>
  <w:style w:type="paragraph" w:styleId="BodyText">
    <w:name w:val="Body Text"/>
    <w:basedOn w:val="Normal"/>
    <w:rsid w:val="00082C98"/>
    <w:pPr>
      <w:spacing w:line="360" w:lineRule="auto"/>
      <w:jc w:val="both"/>
    </w:pPr>
    <w:rPr>
      <w:sz w:val="26"/>
    </w:rPr>
  </w:style>
  <w:style w:type="paragraph" w:styleId="ListNumber">
    <w:name w:val="List Number"/>
    <w:basedOn w:val="Normal"/>
    <w:rsid w:val="00081487"/>
    <w:pPr>
      <w:numPr>
        <w:numId w:val="6"/>
      </w:numPr>
      <w:spacing w:line="480" w:lineRule="auto"/>
    </w:pPr>
    <w:rPr>
      <w:sz w:val="24"/>
      <w:szCs w:val="24"/>
    </w:rPr>
  </w:style>
  <w:style w:type="paragraph" w:styleId="ListParagraph">
    <w:name w:val="List Paragraph"/>
    <w:basedOn w:val="Normal"/>
    <w:uiPriority w:val="34"/>
    <w:qFormat/>
    <w:rsid w:val="00594702"/>
    <w:pPr>
      <w:ind w:left="720"/>
      <w:contextualSpacing/>
    </w:pPr>
  </w:style>
  <w:style w:type="paragraph" w:customStyle="1" w:styleId="IndentSingle">
    <w:name w:val="Indent Single"/>
    <w:basedOn w:val="Normal"/>
    <w:next w:val="BodyText"/>
    <w:rsid w:val="0033305A"/>
    <w:pPr>
      <w:spacing w:after="240"/>
      <w:ind w:left="1440" w:right="1440"/>
      <w:jc w:val="both"/>
    </w:pPr>
    <w:rPr>
      <w:sz w:val="24"/>
      <w:szCs w:val="24"/>
    </w:rPr>
  </w:style>
  <w:style w:type="paragraph" w:styleId="ListBullet2">
    <w:name w:val="List Bullet 2"/>
    <w:aliases w:val="b2"/>
    <w:basedOn w:val="Normal"/>
    <w:uiPriority w:val="2"/>
    <w:rsid w:val="0006069A"/>
    <w:pPr>
      <w:numPr>
        <w:numId w:val="7"/>
      </w:numPr>
      <w:spacing w:after="240"/>
      <w:jc w:val="both"/>
    </w:pPr>
    <w:rPr>
      <w:sz w:val="24"/>
    </w:rPr>
  </w:style>
  <w:style w:type="character" w:customStyle="1" w:styleId="FootnoteTextChar">
    <w:name w:val="Footnote Text Char"/>
    <w:basedOn w:val="DefaultParagraphFont"/>
    <w:link w:val="FootnoteText"/>
    <w:semiHidden/>
    <w:rsid w:val="00EA4FEA"/>
  </w:style>
  <w:style w:type="paragraph" w:styleId="PlainText">
    <w:name w:val="Plain Text"/>
    <w:basedOn w:val="Normal"/>
    <w:link w:val="PlainTextChar"/>
    <w:uiPriority w:val="99"/>
    <w:unhideWhenUsed/>
    <w:rsid w:val="00E941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94163"/>
    <w:rPr>
      <w:rFonts w:ascii="Calibri" w:eastAsiaTheme="minorHAnsi" w:hAnsi="Calibri" w:cstheme="minorBidi"/>
      <w:sz w:val="22"/>
      <w:szCs w:val="21"/>
    </w:rPr>
  </w:style>
  <w:style w:type="paragraph" w:styleId="BalloonText">
    <w:name w:val="Balloon Text"/>
    <w:basedOn w:val="Normal"/>
    <w:link w:val="BalloonTextChar"/>
    <w:rsid w:val="00B53EEE"/>
    <w:rPr>
      <w:rFonts w:ascii="Tahoma" w:hAnsi="Tahoma" w:cs="Tahoma"/>
      <w:sz w:val="16"/>
      <w:szCs w:val="16"/>
    </w:rPr>
  </w:style>
  <w:style w:type="character" w:customStyle="1" w:styleId="BalloonTextChar">
    <w:name w:val="Balloon Text Char"/>
    <w:basedOn w:val="DefaultParagraphFont"/>
    <w:link w:val="BalloonText"/>
    <w:rsid w:val="00B53EEE"/>
    <w:rPr>
      <w:rFonts w:ascii="Tahoma" w:hAnsi="Tahoma" w:cs="Tahoma"/>
      <w:sz w:val="16"/>
      <w:szCs w:val="16"/>
    </w:rPr>
  </w:style>
  <w:style w:type="paragraph" w:styleId="Header">
    <w:name w:val="header"/>
    <w:basedOn w:val="Normal"/>
    <w:link w:val="HeaderChar"/>
    <w:rsid w:val="000F04E1"/>
    <w:pPr>
      <w:tabs>
        <w:tab w:val="center" w:pos="4680"/>
        <w:tab w:val="right" w:pos="9360"/>
      </w:tabs>
    </w:pPr>
  </w:style>
  <w:style w:type="character" w:customStyle="1" w:styleId="HeaderChar">
    <w:name w:val="Header Char"/>
    <w:basedOn w:val="DefaultParagraphFont"/>
    <w:link w:val="Header"/>
    <w:rsid w:val="000F0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2" w:uiPriority="2"/>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62A"/>
  </w:style>
  <w:style w:type="paragraph" w:styleId="Heading1">
    <w:name w:val="heading 1"/>
    <w:basedOn w:val="Normal"/>
    <w:next w:val="Normal"/>
    <w:qFormat/>
    <w:rsid w:val="0085762A"/>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762A"/>
    <w:pPr>
      <w:jc w:val="center"/>
    </w:pPr>
    <w:rPr>
      <w:b/>
      <w:sz w:val="26"/>
    </w:rPr>
  </w:style>
  <w:style w:type="paragraph" w:styleId="Subtitle">
    <w:name w:val="Subtitle"/>
    <w:basedOn w:val="Normal"/>
    <w:qFormat/>
    <w:rsid w:val="0085762A"/>
    <w:pPr>
      <w:jc w:val="center"/>
    </w:pPr>
    <w:rPr>
      <w:b/>
      <w:sz w:val="26"/>
    </w:rPr>
  </w:style>
  <w:style w:type="paragraph" w:styleId="Footer">
    <w:name w:val="footer"/>
    <w:basedOn w:val="Normal"/>
    <w:rsid w:val="008E0EC8"/>
    <w:pPr>
      <w:tabs>
        <w:tab w:val="center" w:pos="4320"/>
        <w:tab w:val="right" w:pos="8640"/>
      </w:tabs>
    </w:pPr>
  </w:style>
  <w:style w:type="character" w:styleId="PageNumber">
    <w:name w:val="page number"/>
    <w:basedOn w:val="DefaultParagraphFont"/>
    <w:rsid w:val="008E0EC8"/>
  </w:style>
  <w:style w:type="paragraph" w:styleId="FootnoteText">
    <w:name w:val="footnote text"/>
    <w:basedOn w:val="Normal"/>
    <w:link w:val="FootnoteTextChar"/>
    <w:semiHidden/>
    <w:rsid w:val="004A16C9"/>
  </w:style>
  <w:style w:type="character" w:styleId="FootnoteReference">
    <w:name w:val="footnote reference"/>
    <w:basedOn w:val="DefaultParagraphFont"/>
    <w:semiHidden/>
    <w:rsid w:val="004A16C9"/>
    <w:rPr>
      <w:vertAlign w:val="superscript"/>
    </w:rPr>
  </w:style>
  <w:style w:type="paragraph" w:styleId="BodyText">
    <w:name w:val="Body Text"/>
    <w:basedOn w:val="Normal"/>
    <w:rsid w:val="00082C98"/>
    <w:pPr>
      <w:spacing w:line="360" w:lineRule="auto"/>
      <w:jc w:val="both"/>
    </w:pPr>
    <w:rPr>
      <w:sz w:val="26"/>
    </w:rPr>
  </w:style>
  <w:style w:type="paragraph" w:styleId="ListNumber">
    <w:name w:val="List Number"/>
    <w:basedOn w:val="Normal"/>
    <w:rsid w:val="00081487"/>
    <w:pPr>
      <w:numPr>
        <w:numId w:val="6"/>
      </w:numPr>
      <w:spacing w:line="480" w:lineRule="auto"/>
    </w:pPr>
    <w:rPr>
      <w:sz w:val="24"/>
      <w:szCs w:val="24"/>
    </w:rPr>
  </w:style>
  <w:style w:type="paragraph" w:styleId="ListParagraph">
    <w:name w:val="List Paragraph"/>
    <w:basedOn w:val="Normal"/>
    <w:uiPriority w:val="34"/>
    <w:qFormat/>
    <w:rsid w:val="00594702"/>
    <w:pPr>
      <w:ind w:left="720"/>
      <w:contextualSpacing/>
    </w:pPr>
  </w:style>
  <w:style w:type="paragraph" w:customStyle="1" w:styleId="IndentSingle">
    <w:name w:val="Indent Single"/>
    <w:basedOn w:val="Normal"/>
    <w:next w:val="BodyText"/>
    <w:rsid w:val="0033305A"/>
    <w:pPr>
      <w:spacing w:after="240"/>
      <w:ind w:left="1440" w:right="1440"/>
      <w:jc w:val="both"/>
    </w:pPr>
    <w:rPr>
      <w:sz w:val="24"/>
      <w:szCs w:val="24"/>
    </w:rPr>
  </w:style>
  <w:style w:type="paragraph" w:styleId="ListBullet2">
    <w:name w:val="List Bullet 2"/>
    <w:aliases w:val="b2"/>
    <w:basedOn w:val="Normal"/>
    <w:uiPriority w:val="2"/>
    <w:rsid w:val="0006069A"/>
    <w:pPr>
      <w:numPr>
        <w:numId w:val="7"/>
      </w:numPr>
      <w:spacing w:after="240"/>
      <w:jc w:val="both"/>
    </w:pPr>
    <w:rPr>
      <w:sz w:val="24"/>
    </w:rPr>
  </w:style>
  <w:style w:type="character" w:customStyle="1" w:styleId="FootnoteTextChar">
    <w:name w:val="Footnote Text Char"/>
    <w:basedOn w:val="DefaultParagraphFont"/>
    <w:link w:val="FootnoteText"/>
    <w:semiHidden/>
    <w:rsid w:val="00EA4FEA"/>
  </w:style>
  <w:style w:type="paragraph" w:styleId="PlainText">
    <w:name w:val="Plain Text"/>
    <w:basedOn w:val="Normal"/>
    <w:link w:val="PlainTextChar"/>
    <w:uiPriority w:val="99"/>
    <w:unhideWhenUsed/>
    <w:rsid w:val="00E941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94163"/>
    <w:rPr>
      <w:rFonts w:ascii="Calibri" w:eastAsiaTheme="minorHAnsi" w:hAnsi="Calibri" w:cstheme="minorBidi"/>
      <w:sz w:val="22"/>
      <w:szCs w:val="21"/>
    </w:rPr>
  </w:style>
  <w:style w:type="paragraph" w:styleId="BalloonText">
    <w:name w:val="Balloon Text"/>
    <w:basedOn w:val="Normal"/>
    <w:link w:val="BalloonTextChar"/>
    <w:rsid w:val="00B53EEE"/>
    <w:rPr>
      <w:rFonts w:ascii="Tahoma" w:hAnsi="Tahoma" w:cs="Tahoma"/>
      <w:sz w:val="16"/>
      <w:szCs w:val="16"/>
    </w:rPr>
  </w:style>
  <w:style w:type="character" w:customStyle="1" w:styleId="BalloonTextChar">
    <w:name w:val="Balloon Text Char"/>
    <w:basedOn w:val="DefaultParagraphFont"/>
    <w:link w:val="BalloonText"/>
    <w:rsid w:val="00B53EEE"/>
    <w:rPr>
      <w:rFonts w:ascii="Tahoma" w:hAnsi="Tahoma" w:cs="Tahoma"/>
      <w:sz w:val="16"/>
      <w:szCs w:val="16"/>
    </w:rPr>
  </w:style>
  <w:style w:type="paragraph" w:styleId="Header">
    <w:name w:val="header"/>
    <w:basedOn w:val="Normal"/>
    <w:link w:val="HeaderChar"/>
    <w:rsid w:val="000F04E1"/>
    <w:pPr>
      <w:tabs>
        <w:tab w:val="center" w:pos="4680"/>
        <w:tab w:val="right" w:pos="9360"/>
      </w:tabs>
    </w:pPr>
  </w:style>
  <w:style w:type="character" w:customStyle="1" w:styleId="HeaderChar">
    <w:name w:val="Header Char"/>
    <w:basedOn w:val="DefaultParagraphFont"/>
    <w:link w:val="Header"/>
    <w:rsid w:val="000F0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1649">
      <w:bodyDiv w:val="1"/>
      <w:marLeft w:val="0"/>
      <w:marRight w:val="0"/>
      <w:marTop w:val="0"/>
      <w:marBottom w:val="0"/>
      <w:divBdr>
        <w:top w:val="none" w:sz="0" w:space="0" w:color="auto"/>
        <w:left w:val="none" w:sz="0" w:space="0" w:color="auto"/>
        <w:bottom w:val="none" w:sz="0" w:space="0" w:color="auto"/>
        <w:right w:val="none" w:sz="0" w:space="0" w:color="auto"/>
      </w:divBdr>
    </w:div>
    <w:div w:id="251084046">
      <w:bodyDiv w:val="1"/>
      <w:marLeft w:val="0"/>
      <w:marRight w:val="0"/>
      <w:marTop w:val="0"/>
      <w:marBottom w:val="0"/>
      <w:divBdr>
        <w:top w:val="none" w:sz="0" w:space="0" w:color="auto"/>
        <w:left w:val="none" w:sz="0" w:space="0" w:color="auto"/>
        <w:bottom w:val="none" w:sz="0" w:space="0" w:color="auto"/>
        <w:right w:val="none" w:sz="0" w:space="0" w:color="auto"/>
      </w:divBdr>
    </w:div>
    <w:div w:id="19836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49BB-F4AB-409B-AA6B-189D9262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7569</Words>
  <Characters>43149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3</cp:revision>
  <cp:lastPrinted>2013-07-18T15:17:00Z</cp:lastPrinted>
  <dcterms:created xsi:type="dcterms:W3CDTF">2013-08-15T19:44:00Z</dcterms:created>
  <dcterms:modified xsi:type="dcterms:W3CDTF">2013-08-15T19:46:00Z</dcterms:modified>
</cp:coreProperties>
</file>