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0C0910" w:rsidP="000C0910">
      <w:pPr>
        <w:spacing w:line="240" w:lineRule="auto"/>
        <w:rPr>
          <w:b/>
        </w:rPr>
      </w:pPr>
      <w:bookmarkStart w:id="0" w:name="_GoBack"/>
      <w:bookmarkEnd w:id="0"/>
      <w:r>
        <w:rPr>
          <w:b/>
        </w:rPr>
        <w:t>BEFORE THE</w:t>
      </w:r>
    </w:p>
    <w:p w:rsidR="000C0910" w:rsidRDefault="000C0910" w:rsidP="000C0910">
      <w:pPr>
        <w:spacing w:line="240" w:lineRule="auto"/>
        <w:rPr>
          <w:b/>
        </w:rPr>
      </w:pPr>
      <w:r>
        <w:rPr>
          <w:b/>
        </w:rPr>
        <w:t>PENNSYLVANIA PUBLIC UTILITY COMMISSION</w:t>
      </w:r>
    </w:p>
    <w:p w:rsidR="000C0910" w:rsidRDefault="000C0910" w:rsidP="000C0910">
      <w:pPr>
        <w:spacing w:line="240" w:lineRule="auto"/>
        <w:rPr>
          <w:b/>
        </w:rPr>
      </w:pPr>
    </w:p>
    <w:p w:rsidR="005E6A07" w:rsidRDefault="005E6A07" w:rsidP="000C0910">
      <w:pPr>
        <w:spacing w:line="240" w:lineRule="auto"/>
        <w:rPr>
          <w:b/>
        </w:rPr>
      </w:pPr>
    </w:p>
    <w:p w:rsidR="000C0910" w:rsidRDefault="000C0910" w:rsidP="000C0910">
      <w:pPr>
        <w:spacing w:line="240" w:lineRule="auto"/>
        <w:rPr>
          <w:b/>
        </w:rPr>
      </w:pPr>
    </w:p>
    <w:p w:rsidR="000C0910" w:rsidRDefault="000C0910" w:rsidP="000C0910">
      <w:pPr>
        <w:spacing w:line="240" w:lineRule="auto"/>
        <w:jc w:val="left"/>
      </w:pPr>
      <w:r>
        <w:t>David Nippes</w:t>
      </w:r>
      <w:r>
        <w:tab/>
      </w:r>
      <w:r>
        <w:tab/>
      </w:r>
      <w:r>
        <w:tab/>
      </w:r>
      <w:r>
        <w:tab/>
      </w:r>
      <w:r>
        <w:tab/>
      </w:r>
      <w:r w:rsidR="005E6A07">
        <w:tab/>
      </w:r>
      <w:r>
        <w:t>:</w:t>
      </w:r>
    </w:p>
    <w:p w:rsidR="000C0910" w:rsidRDefault="000C0910" w:rsidP="000C0910">
      <w:pPr>
        <w:spacing w:line="240" w:lineRule="auto"/>
        <w:jc w:val="left"/>
      </w:pPr>
      <w:r>
        <w:tab/>
      </w:r>
      <w:r>
        <w:tab/>
      </w:r>
      <w:r>
        <w:tab/>
      </w:r>
      <w:r>
        <w:tab/>
      </w:r>
      <w:r>
        <w:tab/>
      </w:r>
      <w:r>
        <w:tab/>
      </w:r>
      <w:r w:rsidR="005E6A07">
        <w:tab/>
      </w:r>
      <w:r>
        <w:t>:</w:t>
      </w:r>
    </w:p>
    <w:p w:rsidR="000C0910" w:rsidRDefault="000C0910" w:rsidP="000C0910">
      <w:pPr>
        <w:spacing w:line="240" w:lineRule="auto"/>
        <w:jc w:val="left"/>
      </w:pPr>
      <w:r>
        <w:tab/>
        <w:t>v.</w:t>
      </w:r>
      <w:r>
        <w:tab/>
      </w:r>
      <w:r>
        <w:tab/>
      </w:r>
      <w:r>
        <w:tab/>
      </w:r>
      <w:r>
        <w:tab/>
      </w:r>
      <w:r>
        <w:tab/>
      </w:r>
      <w:r w:rsidR="005E6A07">
        <w:tab/>
      </w:r>
      <w:r>
        <w:t>:</w:t>
      </w:r>
      <w:r>
        <w:tab/>
      </w:r>
      <w:r>
        <w:tab/>
      </w:r>
      <w:r>
        <w:tab/>
        <w:t>C-2013-2363324</w:t>
      </w:r>
    </w:p>
    <w:p w:rsidR="000C0910" w:rsidRDefault="000C0910" w:rsidP="000C0910">
      <w:pPr>
        <w:spacing w:line="240" w:lineRule="auto"/>
        <w:jc w:val="left"/>
      </w:pPr>
      <w:r>
        <w:tab/>
      </w:r>
      <w:r>
        <w:tab/>
      </w:r>
      <w:r>
        <w:tab/>
      </w:r>
      <w:r>
        <w:tab/>
      </w:r>
      <w:r>
        <w:tab/>
      </w:r>
      <w:r>
        <w:tab/>
      </w:r>
      <w:r w:rsidR="005E6A07">
        <w:tab/>
      </w:r>
      <w:r>
        <w:t>:</w:t>
      </w:r>
    </w:p>
    <w:p w:rsidR="000C0910" w:rsidRDefault="000C0910" w:rsidP="000C0910">
      <w:pPr>
        <w:spacing w:line="240" w:lineRule="auto"/>
        <w:jc w:val="left"/>
      </w:pPr>
      <w:r>
        <w:t>PECO Energy Company</w:t>
      </w:r>
      <w:r>
        <w:tab/>
      </w:r>
      <w:r>
        <w:tab/>
      </w:r>
      <w:r>
        <w:tab/>
      </w:r>
      <w:r w:rsidR="005E6A07">
        <w:tab/>
      </w:r>
      <w:r>
        <w:t>:</w:t>
      </w:r>
    </w:p>
    <w:p w:rsidR="000C0910" w:rsidRDefault="000C0910" w:rsidP="000C0910">
      <w:pPr>
        <w:spacing w:line="240" w:lineRule="auto"/>
        <w:jc w:val="left"/>
      </w:pPr>
    </w:p>
    <w:p w:rsidR="005E6A07" w:rsidRDefault="005E6A07" w:rsidP="000C0910">
      <w:pPr>
        <w:spacing w:line="240" w:lineRule="auto"/>
        <w:jc w:val="left"/>
      </w:pPr>
    </w:p>
    <w:p w:rsidR="000C0910" w:rsidRDefault="000C0910" w:rsidP="000C0910">
      <w:pPr>
        <w:spacing w:line="240" w:lineRule="auto"/>
        <w:jc w:val="left"/>
      </w:pPr>
    </w:p>
    <w:p w:rsidR="000C0910" w:rsidRDefault="000C0910" w:rsidP="000C0910">
      <w:pPr>
        <w:spacing w:line="240" w:lineRule="auto"/>
        <w:rPr>
          <w:b/>
          <w:u w:val="single"/>
        </w:rPr>
      </w:pPr>
      <w:r>
        <w:rPr>
          <w:b/>
          <w:u w:val="single"/>
        </w:rPr>
        <w:t>INITIAL DECISION</w:t>
      </w:r>
    </w:p>
    <w:p w:rsidR="000C0910" w:rsidRDefault="000C0910" w:rsidP="000C0910">
      <w:pPr>
        <w:spacing w:line="240" w:lineRule="auto"/>
        <w:rPr>
          <w:b/>
          <w:u w:val="single"/>
        </w:rPr>
      </w:pPr>
    </w:p>
    <w:p w:rsidR="005E6A07" w:rsidRDefault="005E6A07" w:rsidP="000C0910">
      <w:pPr>
        <w:spacing w:line="240" w:lineRule="auto"/>
        <w:rPr>
          <w:b/>
          <w:u w:val="single"/>
        </w:rPr>
      </w:pPr>
    </w:p>
    <w:p w:rsidR="000C0910" w:rsidRDefault="000C0910" w:rsidP="000C0910">
      <w:pPr>
        <w:spacing w:line="240" w:lineRule="auto"/>
      </w:pPr>
      <w:r>
        <w:t>Before</w:t>
      </w:r>
    </w:p>
    <w:p w:rsidR="000C0910" w:rsidRDefault="000C0910" w:rsidP="000C0910">
      <w:pPr>
        <w:spacing w:line="240" w:lineRule="auto"/>
      </w:pPr>
      <w:r>
        <w:t>Susan D. Colwell</w:t>
      </w:r>
    </w:p>
    <w:p w:rsidR="000C0910" w:rsidRDefault="000C0910" w:rsidP="000C0910">
      <w:pPr>
        <w:spacing w:line="240" w:lineRule="auto"/>
      </w:pPr>
      <w:r>
        <w:t>Administrative Law Judge</w:t>
      </w:r>
    </w:p>
    <w:p w:rsidR="000C0910" w:rsidRDefault="000C0910" w:rsidP="000C0910">
      <w:pPr>
        <w:spacing w:line="240" w:lineRule="auto"/>
      </w:pPr>
    </w:p>
    <w:p w:rsidR="000C0910" w:rsidRDefault="000C0910" w:rsidP="000C0910">
      <w:pPr>
        <w:spacing w:line="240" w:lineRule="auto"/>
      </w:pPr>
    </w:p>
    <w:p w:rsidR="000C0910" w:rsidRDefault="000C0910" w:rsidP="000C0910">
      <w:pPr>
        <w:spacing w:line="240" w:lineRule="auto"/>
        <w:rPr>
          <w:u w:val="single"/>
        </w:rPr>
      </w:pPr>
      <w:r>
        <w:rPr>
          <w:u w:val="single"/>
        </w:rPr>
        <w:t>HISTORY OF THE PROCEEDING</w:t>
      </w:r>
    </w:p>
    <w:p w:rsidR="000C0910" w:rsidRDefault="000C0910" w:rsidP="000C0910">
      <w:pPr>
        <w:spacing w:line="240" w:lineRule="auto"/>
        <w:rPr>
          <w:u w:val="single"/>
        </w:rPr>
      </w:pPr>
    </w:p>
    <w:p w:rsidR="000C0910" w:rsidRDefault="000C0910" w:rsidP="000C0910">
      <w:pPr>
        <w:jc w:val="left"/>
      </w:pPr>
    </w:p>
    <w:p w:rsidR="000C0910" w:rsidRDefault="000C0910" w:rsidP="000C0910">
      <w:pPr>
        <w:jc w:val="left"/>
      </w:pPr>
      <w:r>
        <w:tab/>
      </w:r>
      <w:r>
        <w:tab/>
        <w:t>On April 26, 2013, David Nippes (Complainant) filed a formal Complaint against PECO Energy Company (PECO or Respondent) alleging that PECO had charged him the wrong rate for three days in December 2012.  PECO filed an Answer which acknowledged that the Complainant's account had been billed on a 35-day billing cycle, from October 31, 2012 through December 5, 2012, and that the gas rate billed during that time period had been approved by the Commission at $0.49381.  The Answer acknowledged that the default natural gas rate can be changed on March 1, June 1, September 1, and December 1.  PECO had opened a company inquiry and closed it by letter dated February 14, 2013, which indicated that</w:t>
      </w:r>
      <w:r w:rsidR="00A94D63">
        <w:t xml:space="preserve"> PECO believed that</w:t>
      </w:r>
      <w:r>
        <w:t xml:space="preserve"> there was no error on the Complainant's bill.</w:t>
      </w:r>
    </w:p>
    <w:p w:rsidR="002C20B3" w:rsidRDefault="002C20B3" w:rsidP="000C0910">
      <w:pPr>
        <w:jc w:val="left"/>
      </w:pPr>
    </w:p>
    <w:p w:rsidR="002C20B3" w:rsidRDefault="002C20B3" w:rsidP="000C0910">
      <w:pPr>
        <w:jc w:val="left"/>
      </w:pPr>
      <w:r>
        <w:tab/>
      </w:r>
      <w:r>
        <w:tab/>
        <w:t>On June 20, 2013, a Telephonic Hearing Notice was issued which set the evidentiary hearing for August 12, 2013, and assigned the matter to me.  I issued a prehearing order on June 24, 2013, which set forth some of the requirements for participating in a formal proceeding before the Commission.</w:t>
      </w:r>
    </w:p>
    <w:p w:rsidR="002C20B3" w:rsidRDefault="002C20B3" w:rsidP="000C0910">
      <w:pPr>
        <w:jc w:val="left"/>
      </w:pPr>
    </w:p>
    <w:p w:rsidR="002C20B3" w:rsidRDefault="002C20B3" w:rsidP="000C0910">
      <w:pPr>
        <w:jc w:val="left"/>
      </w:pPr>
      <w:r>
        <w:lastRenderedPageBreak/>
        <w:tab/>
      </w:r>
      <w:r>
        <w:tab/>
        <w:t xml:space="preserve">On August 12, 2013, the hearing commenced as scheduled.  Shawane Lee, Esq., appeared on behalf of PECO.  She had mailed proposed exhibits and was prepared to present two witnesses.  Complainant appeared on his own behalf.  </w:t>
      </w:r>
    </w:p>
    <w:p w:rsidR="002C20B3" w:rsidRDefault="002C20B3" w:rsidP="000C0910">
      <w:pPr>
        <w:jc w:val="left"/>
      </w:pPr>
    </w:p>
    <w:p w:rsidR="002C20B3" w:rsidRDefault="002C20B3" w:rsidP="000C0910">
      <w:pPr>
        <w:jc w:val="left"/>
      </w:pPr>
      <w:r>
        <w:tab/>
      </w:r>
      <w:r>
        <w:tab/>
        <w:t>After exhibiting inappropriate behavior, Complainant was warned that an additional outburst would result in the termination of the hearing.  He quick</w:t>
      </w:r>
      <w:r w:rsidR="006368A9">
        <w:t>ly engaged in that behavior,</w:t>
      </w:r>
      <w:r>
        <w:t xml:space="preserve"> the hearing was terminated, and the record closed.</w:t>
      </w:r>
    </w:p>
    <w:p w:rsidR="002C20B3" w:rsidRDefault="002C20B3" w:rsidP="000C0910">
      <w:pPr>
        <w:jc w:val="left"/>
      </w:pPr>
    </w:p>
    <w:p w:rsidR="002C20B3" w:rsidRDefault="002C20B3" w:rsidP="000C0910">
      <w:pPr>
        <w:jc w:val="left"/>
      </w:pPr>
      <w:r>
        <w:tab/>
      </w:r>
      <w:r>
        <w:tab/>
        <w:t>A transcript was prepared.  This matter is ripe for disposition.</w:t>
      </w:r>
    </w:p>
    <w:p w:rsidR="002C20B3" w:rsidRDefault="002C20B3" w:rsidP="000C0910">
      <w:pPr>
        <w:jc w:val="left"/>
      </w:pPr>
    </w:p>
    <w:p w:rsidR="002C20B3" w:rsidRDefault="002C20B3" w:rsidP="002C20B3">
      <w:pPr>
        <w:rPr>
          <w:u w:val="single"/>
        </w:rPr>
      </w:pPr>
      <w:r>
        <w:rPr>
          <w:u w:val="single"/>
        </w:rPr>
        <w:t>FINDINGS OF FACT</w:t>
      </w:r>
    </w:p>
    <w:p w:rsidR="002C20B3" w:rsidRDefault="002C20B3" w:rsidP="002C20B3">
      <w:pPr>
        <w:rPr>
          <w:u w:val="single"/>
        </w:rPr>
      </w:pPr>
    </w:p>
    <w:p w:rsidR="002C20B3" w:rsidRDefault="002C20B3" w:rsidP="002C20B3">
      <w:pPr>
        <w:jc w:val="left"/>
      </w:pPr>
      <w:r>
        <w:tab/>
      </w:r>
      <w:r>
        <w:tab/>
        <w:t>1.</w:t>
      </w:r>
      <w:r>
        <w:tab/>
        <w:t>Complainant is David Nippes, 137 W. Lancaster Avenue, Downingtown PA 19335.</w:t>
      </w:r>
    </w:p>
    <w:p w:rsidR="002C20B3" w:rsidRDefault="002C20B3" w:rsidP="002C20B3">
      <w:pPr>
        <w:jc w:val="left"/>
      </w:pPr>
    </w:p>
    <w:p w:rsidR="002C20B3" w:rsidRDefault="002C20B3" w:rsidP="002C20B3">
      <w:pPr>
        <w:jc w:val="left"/>
      </w:pPr>
      <w:r>
        <w:tab/>
      </w:r>
      <w:r>
        <w:tab/>
        <w:t>2.</w:t>
      </w:r>
      <w:r>
        <w:tab/>
        <w:t xml:space="preserve">Respondent is PECO Energy Company, a jurisdictional public utility providing residential and commercial gas and electric distribution service in the Commonwealth of Pennsylvania.  </w:t>
      </w:r>
    </w:p>
    <w:p w:rsidR="002C20B3" w:rsidRDefault="002C20B3" w:rsidP="002C20B3">
      <w:pPr>
        <w:jc w:val="left"/>
      </w:pPr>
    </w:p>
    <w:p w:rsidR="002C20B3" w:rsidRDefault="002C20B3" w:rsidP="002C20B3">
      <w:pPr>
        <w:jc w:val="left"/>
      </w:pPr>
      <w:r>
        <w:tab/>
      </w:r>
      <w:r>
        <w:tab/>
        <w:t>3.</w:t>
      </w:r>
      <w:r>
        <w:tab/>
        <w:t xml:space="preserve">On April 26, 2013, Complainant filed a formal Complaint alleging that PECO had placed incorrect charges on his bill.  </w:t>
      </w:r>
    </w:p>
    <w:p w:rsidR="002C20B3" w:rsidRDefault="002C20B3" w:rsidP="002C20B3">
      <w:pPr>
        <w:jc w:val="left"/>
      </w:pPr>
    </w:p>
    <w:p w:rsidR="002C20B3" w:rsidRDefault="002C20B3" w:rsidP="002C20B3">
      <w:pPr>
        <w:jc w:val="left"/>
      </w:pPr>
      <w:r>
        <w:tab/>
      </w:r>
      <w:r>
        <w:tab/>
        <w:t>4.</w:t>
      </w:r>
      <w:r>
        <w:tab/>
        <w:t>On June 3, 2013, PECO filed its Answer denying the material allegations of the Complaint and outlining the steps it had taken in response to Complainant's inquiries.</w:t>
      </w:r>
    </w:p>
    <w:p w:rsidR="002C20B3" w:rsidRDefault="002C20B3" w:rsidP="002C20B3">
      <w:pPr>
        <w:jc w:val="left"/>
      </w:pPr>
    </w:p>
    <w:p w:rsidR="002C20B3" w:rsidRDefault="002C20B3" w:rsidP="002C20B3">
      <w:pPr>
        <w:jc w:val="left"/>
      </w:pPr>
      <w:r>
        <w:tab/>
      </w:r>
      <w:r>
        <w:tab/>
        <w:t>5.</w:t>
      </w:r>
      <w:r>
        <w:tab/>
      </w:r>
      <w:r w:rsidR="00E963CD">
        <w:t>On August 12, 2013, the evidentiary hearing was convened by telephone as scheduled.</w:t>
      </w:r>
    </w:p>
    <w:p w:rsidR="00E963CD" w:rsidRDefault="00E963CD" w:rsidP="002C20B3">
      <w:pPr>
        <w:jc w:val="left"/>
      </w:pPr>
    </w:p>
    <w:p w:rsidR="00E963CD" w:rsidRDefault="00E963CD" w:rsidP="002C20B3">
      <w:pPr>
        <w:jc w:val="left"/>
      </w:pPr>
      <w:r>
        <w:tab/>
      </w:r>
      <w:r>
        <w:tab/>
        <w:t>6.</w:t>
      </w:r>
      <w:r>
        <w:tab/>
        <w:t>Complainant engaged in inappropriate and hostile behavior.</w:t>
      </w:r>
    </w:p>
    <w:p w:rsidR="00E963CD" w:rsidRDefault="00E963CD" w:rsidP="002C20B3">
      <w:pPr>
        <w:jc w:val="left"/>
      </w:pPr>
    </w:p>
    <w:p w:rsidR="00E963CD" w:rsidRDefault="00E963CD" w:rsidP="002C20B3">
      <w:pPr>
        <w:jc w:val="left"/>
      </w:pPr>
      <w:r>
        <w:tab/>
      </w:r>
      <w:r>
        <w:tab/>
        <w:t>7.</w:t>
      </w:r>
      <w:r>
        <w:tab/>
        <w:t>Complainant was warned that another outburst would result in termination of the hearing.</w:t>
      </w:r>
    </w:p>
    <w:p w:rsidR="00E963CD" w:rsidRDefault="00E963CD" w:rsidP="002C20B3">
      <w:pPr>
        <w:jc w:val="left"/>
      </w:pPr>
    </w:p>
    <w:p w:rsidR="00E963CD" w:rsidRDefault="00E963CD" w:rsidP="002C20B3">
      <w:pPr>
        <w:jc w:val="left"/>
      </w:pPr>
      <w:r>
        <w:tab/>
      </w:r>
      <w:r>
        <w:tab/>
        <w:t>8.</w:t>
      </w:r>
      <w:r>
        <w:tab/>
        <w:t>Complainant responded, "Guess what, b</w:t>
      </w:r>
      <w:r w:rsidR="006368A9">
        <w:t>#*$@</w:t>
      </w:r>
      <w:r>
        <w:t>, it's over."</w:t>
      </w:r>
    </w:p>
    <w:p w:rsidR="00E963CD" w:rsidRDefault="00E963CD" w:rsidP="002C20B3">
      <w:pPr>
        <w:jc w:val="left"/>
      </w:pPr>
    </w:p>
    <w:p w:rsidR="00E963CD" w:rsidRDefault="00E963CD" w:rsidP="002C20B3">
      <w:pPr>
        <w:jc w:val="left"/>
      </w:pPr>
      <w:r>
        <w:tab/>
      </w:r>
      <w:r>
        <w:tab/>
        <w:t>9.</w:t>
      </w:r>
      <w:r>
        <w:tab/>
        <w:t>Complainant's response was sufficient reason to end the hearing.</w:t>
      </w:r>
    </w:p>
    <w:p w:rsidR="00E963CD" w:rsidRDefault="00E963CD" w:rsidP="002C20B3">
      <w:pPr>
        <w:jc w:val="left"/>
      </w:pPr>
    </w:p>
    <w:p w:rsidR="00E963CD" w:rsidRDefault="00E963CD" w:rsidP="00E963CD">
      <w:pPr>
        <w:rPr>
          <w:u w:val="single"/>
        </w:rPr>
      </w:pPr>
      <w:r>
        <w:rPr>
          <w:u w:val="single"/>
        </w:rPr>
        <w:t>DISCUSSION</w:t>
      </w:r>
    </w:p>
    <w:p w:rsidR="00E963CD" w:rsidRDefault="00E963CD" w:rsidP="00E963CD">
      <w:pPr>
        <w:rPr>
          <w:u w:val="single"/>
        </w:rPr>
      </w:pPr>
    </w:p>
    <w:p w:rsidR="00E963CD" w:rsidRPr="00E963CD" w:rsidRDefault="00E963CD" w:rsidP="00E963CD">
      <w:pPr>
        <w:jc w:val="left"/>
      </w:pPr>
      <w:r>
        <w:tab/>
      </w:r>
      <w:r>
        <w:tab/>
        <w:t>Complainant indicated that he believed that PECO had charged him the wrong rate for service provided during the billing cycle that included December 1, 201</w:t>
      </w:r>
      <w:r w:rsidR="00CD643B">
        <w:t>2</w:t>
      </w:r>
      <w:r>
        <w:t>.  He stated that the rate changed on December 1, 201</w:t>
      </w:r>
      <w:r w:rsidR="00CD643B">
        <w:t>2</w:t>
      </w:r>
      <w:r>
        <w:t xml:space="preserve">, and that PECO did not change the rate for the affected days in the billing cycle, which he identified as three days.  </w:t>
      </w:r>
    </w:p>
    <w:p w:rsidR="00E963CD" w:rsidRDefault="00E963CD" w:rsidP="00E963CD">
      <w:pPr>
        <w:rPr>
          <w:u w:val="single"/>
        </w:rPr>
      </w:pPr>
    </w:p>
    <w:p w:rsidR="00E963CD" w:rsidRDefault="00E963CD" w:rsidP="00E963CD">
      <w:pPr>
        <w:jc w:val="left"/>
      </w:pPr>
      <w:r>
        <w:tab/>
      </w:r>
      <w:r>
        <w:tab/>
      </w:r>
      <w:r w:rsidRPr="00F33332">
        <w:t xml:space="preserve">The party seeking affirmative relief from the Commission bears the burden of proof.  66 Pa. C.S. § 332(a).  As a matter of law, a complainant must show that the named utility is responsible or accountable for the problem described in the Complaint in order to prevail.  </w:t>
      </w:r>
      <w:r w:rsidRPr="00F33332">
        <w:rPr>
          <w:i/>
        </w:rPr>
        <w:t>Patterson v. Bell Tel. Co. of PA</w:t>
      </w:r>
      <w:r w:rsidRPr="00F33332">
        <w:t xml:space="preserve">, 72 Pa PUC 196 (1990); </w:t>
      </w:r>
      <w:r w:rsidRPr="00F33332">
        <w:rPr>
          <w:i/>
        </w:rPr>
        <w:t>Feinstein v. Phila. Suburban Water Co.</w:t>
      </w:r>
      <w:r w:rsidRPr="00F33332">
        <w:t xml:space="preserve">, 50 Pa. PUC 300 (1976).  This must be shown by a preponderance of the evidence.  </w:t>
      </w:r>
      <w:r w:rsidRPr="00F33332">
        <w:rPr>
          <w:i/>
        </w:rPr>
        <w:t>Samuel J. Lansberry, Inc. v. Pa. Publ. Util. Comm’n,</w:t>
      </w:r>
      <w:r w:rsidRPr="00F33332">
        <w:t xml:space="preserve"> 578 A.2d 600 (1990), </w:t>
      </w:r>
      <w:r w:rsidRPr="00F33332">
        <w:rPr>
          <w:i/>
        </w:rPr>
        <w:t>alloc. denied</w:t>
      </w:r>
      <w:r w:rsidRPr="00F33332">
        <w:t xml:space="preserve">, 602 A.2d 863 (1992).  A preponderance of evidence is that which is more convincing, by even the smallest amount, than that presented by the other party.  </w:t>
      </w:r>
      <w:r w:rsidRPr="00F33332">
        <w:rPr>
          <w:i/>
        </w:rPr>
        <w:t>Se-Ling Hosiery v. Mar</w:t>
      </w:r>
      <w:r w:rsidR="00CD643B">
        <w:rPr>
          <w:i/>
        </w:rPr>
        <w:t>g</w:t>
      </w:r>
      <w:r w:rsidRPr="00F33332">
        <w:rPr>
          <w:i/>
        </w:rPr>
        <w:t>ulies</w:t>
      </w:r>
      <w:r w:rsidRPr="00F33332">
        <w:t xml:space="preserve">, 70 A.2d 854 (1950).  </w:t>
      </w:r>
    </w:p>
    <w:p w:rsidR="00E963CD" w:rsidRDefault="00E963CD" w:rsidP="00E963CD">
      <w:pPr>
        <w:jc w:val="left"/>
      </w:pPr>
    </w:p>
    <w:p w:rsidR="00E963CD" w:rsidRPr="00AA6D65" w:rsidRDefault="00591E01" w:rsidP="00E963CD">
      <w:pPr>
        <w:contextualSpacing/>
        <w:jc w:val="left"/>
      </w:pPr>
      <w:r>
        <w:tab/>
      </w:r>
      <w:r>
        <w:tab/>
      </w:r>
      <w:r w:rsidR="00E963CD" w:rsidRPr="00AA6D65">
        <w:t xml:space="preserve">Additionally, any finding of fact necessary to support an adjudication of the Commission must be based upon substantial evidence, which is such relevant evidence as a reasonable mind might accept as adequate to support a conclusion.  </w:t>
      </w:r>
      <w:r w:rsidR="00E963CD" w:rsidRPr="00AA6D65">
        <w:rPr>
          <w:i/>
        </w:rPr>
        <w:t>Mill v. Comm., Pa. Publ. Util. Comm’n</w:t>
      </w:r>
      <w:r w:rsidR="00E963CD" w:rsidRPr="00AA6D65">
        <w:t xml:space="preserve">, 447 A.2d 1100 (Pa. Cmwlth. Ct.1982); </w:t>
      </w:r>
      <w:r w:rsidR="00E963CD" w:rsidRPr="00AA6D65">
        <w:rPr>
          <w:i/>
        </w:rPr>
        <w:t>Edan Transportation Corp. v. Pa. Publ. Util. Comm’n,</w:t>
      </w:r>
      <w:r w:rsidR="00E963CD" w:rsidRPr="00AA6D65">
        <w:t xml:space="preserve"> 623 A.2d 6 (Pa. Cmwlth. Ct.1993), 2 Pa. C.S. § 704.  More is required than a mere trace of evidence or a suspicion of the existence of a fact sought to be established.  </w:t>
      </w:r>
      <w:r w:rsidR="00E963CD" w:rsidRPr="00AA6D65">
        <w:rPr>
          <w:i/>
        </w:rPr>
        <w:t xml:space="preserve">Norfolk &amp; Western Ry. V. Pa. Publ. Util. Comm’n, </w:t>
      </w:r>
      <w:r w:rsidR="00E963CD" w:rsidRPr="00AA6D65">
        <w:t xml:space="preserve">489 Pa. 109, 413 A.2d 1037 (1980); </w:t>
      </w:r>
      <w:r w:rsidR="00E963CD" w:rsidRPr="00AA6D65">
        <w:rPr>
          <w:i/>
        </w:rPr>
        <w:t>Erie Resistor Corp. v. Unemployment Com. Bd. Of Review</w:t>
      </w:r>
      <w:r w:rsidR="00E963CD" w:rsidRPr="00AA6D65">
        <w:t xml:space="preserve">, 166 A.2d 96 (Pa. Super. Ct.1960); </w:t>
      </w:r>
      <w:r w:rsidR="00E963CD" w:rsidRPr="00AA6D65">
        <w:rPr>
          <w:i/>
        </w:rPr>
        <w:t xml:space="preserve">Murphy v. Comm., Dept. of Public Welfare, White Haven Center, </w:t>
      </w:r>
      <w:r w:rsidR="00E963CD" w:rsidRPr="00AA6D65">
        <w:t>480 A.2d 382 (Pa. Cmwlth. Ct.1984).</w:t>
      </w:r>
    </w:p>
    <w:p w:rsidR="00591E01" w:rsidRDefault="00591E01" w:rsidP="00E963CD">
      <w:pPr>
        <w:contextualSpacing/>
        <w:jc w:val="left"/>
      </w:pPr>
    </w:p>
    <w:p w:rsidR="00591E01" w:rsidRDefault="00591E01" w:rsidP="00E963CD">
      <w:pPr>
        <w:contextualSpacing/>
        <w:jc w:val="left"/>
      </w:pPr>
      <w:r>
        <w:tab/>
      </w:r>
      <w:r>
        <w:tab/>
        <w:t xml:space="preserve">Complainant did not provide any details to support his claim and instead began to question the ability of the presiding officer to hear this case as I was not appointed by the Commonwealth Court of Pennsylvania.  When I indicated that he would need more information for his evidentiary record, he cut me off before I could ask questions to provide additional evidence.  Complainant would not listen, and he would not permit me to run the hearing in the orderly fashion required by due process and Pennsylvania law.  </w:t>
      </w:r>
    </w:p>
    <w:p w:rsidR="00E963CD" w:rsidRPr="00AA6D65" w:rsidRDefault="00E963CD" w:rsidP="00E963CD">
      <w:pPr>
        <w:contextualSpacing/>
        <w:jc w:val="left"/>
        <w:rPr>
          <w:spacing w:val="-3"/>
        </w:rPr>
      </w:pPr>
    </w:p>
    <w:p w:rsidR="009813CE" w:rsidRDefault="00E963CD" w:rsidP="00E963CD">
      <w:pPr>
        <w:jc w:val="left"/>
      </w:pPr>
      <w:r w:rsidRPr="00AA6D65">
        <w:tab/>
      </w:r>
      <w:r w:rsidRPr="00AA6D65">
        <w:tab/>
        <w:t xml:space="preserve">The Commission is required to provide due process to the parties appearing before them.  This requirement is satisfied when the parties are afforded notice and the opportunity to appear and be heard. </w:t>
      </w:r>
      <w:r>
        <w:t xml:space="preserve"> </w:t>
      </w:r>
      <w:r w:rsidRPr="00AA6D65">
        <w:rPr>
          <w:i/>
        </w:rPr>
        <w:t>Schneider v. Pa. Publ. Util. Comm’n</w:t>
      </w:r>
      <w:r w:rsidRPr="00AA6D65">
        <w:t>, 479 A.2d 10 (Pa. Cmwlth.1984).</w:t>
      </w:r>
      <w:r w:rsidR="00591E01">
        <w:t xml:space="preserve">  Onc</w:t>
      </w:r>
      <w:r w:rsidRPr="00AA6D65">
        <w:t xml:space="preserve">e notice of a hearing and the opportunity to be heard has been provided, it is the responsibility of the parties to appear and participate in the hearing.  </w:t>
      </w:r>
      <w:r w:rsidRPr="00AA6D65">
        <w:rPr>
          <w:i/>
        </w:rPr>
        <w:t>Sentner v. Bell Tel. Co. of PA</w:t>
      </w:r>
      <w:r w:rsidRPr="00AA6D65">
        <w:t xml:space="preserve">, </w:t>
      </w:r>
      <w:r w:rsidR="00CD643B" w:rsidRPr="00AA6D65">
        <w:t>PUC Docket No. F-00161106</w:t>
      </w:r>
      <w:r w:rsidR="00CD643B">
        <w:t xml:space="preserve"> (</w:t>
      </w:r>
      <w:r w:rsidRPr="00AA6D65">
        <w:t>Opinion and Order entered October 25, 2003</w:t>
      </w:r>
      <w:r w:rsidR="00CD643B">
        <w:t>)</w:t>
      </w:r>
      <w:r w:rsidRPr="00AA6D65">
        <w:t>.</w:t>
      </w:r>
      <w:r w:rsidR="00591E01">
        <w:t xml:space="preserve">  </w:t>
      </w:r>
    </w:p>
    <w:p w:rsidR="009813CE" w:rsidRDefault="009813CE" w:rsidP="00E963CD">
      <w:pPr>
        <w:jc w:val="left"/>
      </w:pPr>
    </w:p>
    <w:p w:rsidR="00C8306E" w:rsidRDefault="009813CE" w:rsidP="00C8306E">
      <w:pPr>
        <w:jc w:val="left"/>
      </w:pPr>
      <w:r>
        <w:tab/>
      </w:r>
      <w:r w:rsidR="00C8306E">
        <w:tab/>
      </w:r>
      <w:r>
        <w:t xml:space="preserve">It is axiomatic that parties appearing before the Commission must at least make a good faith effort to comply with its procedures.  </w:t>
      </w:r>
      <w:r w:rsidRPr="005B7269">
        <w:rPr>
          <w:rFonts w:eastAsia="Times New Roman"/>
          <w:i/>
          <w:color w:val="333333"/>
        </w:rPr>
        <w:t>Dushawn King</w:t>
      </w:r>
      <w:r w:rsidRPr="009813CE">
        <w:rPr>
          <w:rFonts w:eastAsia="Times New Roman"/>
          <w:i/>
          <w:color w:val="333333"/>
        </w:rPr>
        <w:t xml:space="preserve"> </w:t>
      </w:r>
      <w:r w:rsidRPr="005B7269">
        <w:rPr>
          <w:rFonts w:eastAsia="Times New Roman"/>
          <w:i/>
          <w:color w:val="333333"/>
        </w:rPr>
        <w:t>v.</w:t>
      </w:r>
      <w:r w:rsidRPr="009813CE">
        <w:rPr>
          <w:rFonts w:eastAsia="Times New Roman"/>
          <w:i/>
          <w:color w:val="333333"/>
        </w:rPr>
        <w:t xml:space="preserve"> </w:t>
      </w:r>
      <w:r w:rsidRPr="005B7269">
        <w:rPr>
          <w:rFonts w:eastAsia="Times New Roman"/>
          <w:i/>
          <w:color w:val="333333"/>
        </w:rPr>
        <w:t>Verizon Pennsylvania Inc.</w:t>
      </w:r>
      <w:r>
        <w:rPr>
          <w:rFonts w:eastAsia="Times New Roman"/>
          <w:i/>
          <w:color w:val="333333"/>
        </w:rPr>
        <w:t xml:space="preserve">, </w:t>
      </w:r>
      <w:r>
        <w:rPr>
          <w:rFonts w:eastAsia="Times New Roman"/>
          <w:color w:val="333333"/>
        </w:rPr>
        <w:t xml:space="preserve">Docket No. </w:t>
      </w:r>
      <w:r w:rsidRPr="005B7269">
        <w:rPr>
          <w:rFonts w:eastAsia="Times New Roman"/>
          <w:color w:val="333333"/>
        </w:rPr>
        <w:t>C-20054799</w:t>
      </w:r>
      <w:r>
        <w:rPr>
          <w:rFonts w:eastAsia="Times New Roman"/>
          <w:color w:val="333333"/>
        </w:rPr>
        <w:t xml:space="preserve"> (Order entered March 21, 2006), </w:t>
      </w:r>
      <w:r w:rsidRPr="005B7269">
        <w:rPr>
          <w:rFonts w:eastAsia="Times New Roman"/>
          <w:color w:val="333333"/>
        </w:rPr>
        <w:t>2006 Pa. PUC LEXIS 26</w:t>
      </w:r>
      <w:r>
        <w:rPr>
          <w:rFonts w:eastAsia="Times New Roman"/>
          <w:color w:val="333333"/>
        </w:rPr>
        <w:t xml:space="preserve">.  </w:t>
      </w:r>
      <w:r w:rsidR="00C8306E">
        <w:t xml:space="preserve">This participation must be in a respectful and orderly fashion, and this Complainant's behavior fell far short of this standard.  </w:t>
      </w:r>
    </w:p>
    <w:p w:rsidR="009813CE" w:rsidRDefault="009813CE" w:rsidP="00E963CD">
      <w:pPr>
        <w:contextualSpacing/>
        <w:jc w:val="left"/>
      </w:pPr>
      <w:r w:rsidRPr="005B7269">
        <w:rPr>
          <w:rFonts w:eastAsia="Times New Roman"/>
          <w:color w:val="333333"/>
        </w:rPr>
        <w:br/>
      </w:r>
      <w:r>
        <w:tab/>
      </w:r>
      <w:r>
        <w:tab/>
        <w:t xml:space="preserve">Complainant </w:t>
      </w:r>
      <w:r w:rsidR="00C8306E">
        <w:t xml:space="preserve">was afforded an opportunity for a fair hearing and he </w:t>
      </w:r>
      <w:r>
        <w:t xml:space="preserve">failed to take advantage of </w:t>
      </w:r>
      <w:r w:rsidR="00C8306E">
        <w:t>it.  In addition, he</w:t>
      </w:r>
      <w:r>
        <w:t xml:space="preserve"> prevented the Respondent from participating in the hearing</w:t>
      </w:r>
      <w:r w:rsidR="00C8306E">
        <w:t xml:space="preserve"> by causing its premature termination.</w:t>
      </w:r>
    </w:p>
    <w:p w:rsidR="009813CE" w:rsidRDefault="009813CE" w:rsidP="00E963CD">
      <w:pPr>
        <w:jc w:val="left"/>
      </w:pPr>
    </w:p>
    <w:p w:rsidR="009813CE" w:rsidRDefault="009813CE" w:rsidP="00E963CD">
      <w:pPr>
        <w:jc w:val="left"/>
      </w:pPr>
      <w:r>
        <w:tab/>
      </w:r>
      <w:r>
        <w:tab/>
        <w:t>Commission regulations require that the presentation of evidence follow convention, with each having the right to present evidence, cross-examination, etc.  See 52 Pa. Code §§ 5.242, 5.243.  In addition:</w:t>
      </w:r>
    </w:p>
    <w:p w:rsidR="009813CE" w:rsidRDefault="009813CE" w:rsidP="009813CE">
      <w:pPr>
        <w:spacing w:line="240" w:lineRule="auto"/>
        <w:ind w:left="1440" w:right="1440"/>
        <w:jc w:val="left"/>
      </w:pPr>
      <w:r>
        <w:tab/>
        <w:t>If the Commission or the presiding officer finds, after notice and opportunity for hearing, that the actions of a party, including an intervenor, in a proceeding obstruct the orderly conduct of the proceeding and are inimical to the public interest, the Commission or the presiding officer may take appropriate action, including dismissal of the complaint, application, or petition, if the action is that of the complainant, applicant, or petitioner.</w:t>
      </w:r>
    </w:p>
    <w:p w:rsidR="005E6A07" w:rsidRDefault="005E6A07" w:rsidP="005E6A07">
      <w:pPr>
        <w:spacing w:line="240" w:lineRule="auto"/>
        <w:jc w:val="left"/>
      </w:pPr>
    </w:p>
    <w:p w:rsidR="009813CE" w:rsidRDefault="009813CE" w:rsidP="00E963CD">
      <w:pPr>
        <w:jc w:val="left"/>
      </w:pPr>
      <w:r>
        <w:t>52 Pa. Code § 5.245(c).</w:t>
      </w:r>
    </w:p>
    <w:p w:rsidR="009813CE" w:rsidRDefault="009813CE" w:rsidP="00E963CD">
      <w:pPr>
        <w:jc w:val="left"/>
      </w:pPr>
    </w:p>
    <w:p w:rsidR="00591E01" w:rsidRPr="00AA6D65" w:rsidRDefault="009813CE" w:rsidP="00E963CD">
      <w:pPr>
        <w:jc w:val="left"/>
      </w:pPr>
      <w:r>
        <w:tab/>
      </w:r>
      <w:r>
        <w:tab/>
        <w:t>The Commission has repeatedly and consistently found that s</w:t>
      </w:r>
      <w:r w:rsidRPr="009813CE">
        <w:rPr>
          <w:rFonts w:eastAsia="Times New Roman"/>
          <w:color w:val="333333"/>
        </w:rPr>
        <w:t xml:space="preserve">triking complaints for the contemptuous failure to respond to discovery, rather than prohibiting the introduction of evidence at a hearing, is the appropriate </w:t>
      </w:r>
      <w:r w:rsidRPr="00C8306E">
        <w:rPr>
          <w:rFonts w:eastAsia="Times New Roman"/>
          <w:bCs/>
          <w:color w:val="333333"/>
        </w:rPr>
        <w:t>sanction</w:t>
      </w:r>
      <w:r w:rsidRPr="009813CE">
        <w:rPr>
          <w:rFonts w:eastAsia="Times New Roman"/>
          <w:color w:val="333333"/>
        </w:rPr>
        <w:t xml:space="preserve"> to be imposed. </w:t>
      </w:r>
      <w:r w:rsidRPr="00C8306E">
        <w:rPr>
          <w:rFonts w:eastAsia="Times New Roman"/>
          <w:i/>
          <w:color w:val="333333"/>
        </w:rPr>
        <w:t>Merchant v. The Bell Telephone Company of Pennsylvania,</w:t>
      </w:r>
      <w:r w:rsidRPr="009813CE">
        <w:rPr>
          <w:rFonts w:eastAsia="Times New Roman"/>
          <w:color w:val="333333"/>
        </w:rPr>
        <w:t xml:space="preserve"> Docket No. C-00935253, Commission Order entered June 20, 1994; </w:t>
      </w:r>
      <w:r w:rsidRPr="00C8306E">
        <w:rPr>
          <w:rFonts w:eastAsia="Times New Roman"/>
          <w:i/>
          <w:color w:val="333333"/>
        </w:rPr>
        <w:t>Application of Tyrone E. Hartley, t/d/b/a T's Automotive Service,</w:t>
      </w:r>
      <w:r w:rsidRPr="009813CE">
        <w:rPr>
          <w:rFonts w:eastAsia="Times New Roman"/>
          <w:color w:val="333333"/>
        </w:rPr>
        <w:t xml:space="preserve"> Docket No. A-00112575, </w:t>
      </w:r>
      <w:r w:rsidR="002F4B36">
        <w:rPr>
          <w:rFonts w:eastAsia="Times New Roman"/>
          <w:color w:val="333333"/>
        </w:rPr>
        <w:t>(</w:t>
      </w:r>
      <w:r w:rsidRPr="009813CE">
        <w:rPr>
          <w:rFonts w:eastAsia="Times New Roman"/>
          <w:color w:val="333333"/>
        </w:rPr>
        <w:t>Commission Final Order entered August 6, 1996</w:t>
      </w:r>
      <w:r w:rsidR="002F4B36">
        <w:rPr>
          <w:rFonts w:eastAsia="Times New Roman"/>
          <w:color w:val="333333"/>
        </w:rPr>
        <w:t>)</w:t>
      </w:r>
      <w:r w:rsidRPr="009813CE">
        <w:rPr>
          <w:rFonts w:eastAsia="Times New Roman"/>
          <w:color w:val="333333"/>
        </w:rPr>
        <w:t xml:space="preserve">; </w:t>
      </w:r>
      <w:r w:rsidRPr="00C8306E">
        <w:rPr>
          <w:rFonts w:eastAsia="Times New Roman"/>
          <w:i/>
          <w:color w:val="333333"/>
        </w:rPr>
        <w:t>Application of Karen Lee Miller</w:t>
      </w:r>
      <w:r w:rsidRPr="009813CE">
        <w:rPr>
          <w:rFonts w:eastAsia="Times New Roman"/>
          <w:color w:val="333333"/>
        </w:rPr>
        <w:t>, Docket No. A-00116067</w:t>
      </w:r>
      <w:r w:rsidR="002F4B36">
        <w:rPr>
          <w:rFonts w:eastAsia="Times New Roman"/>
          <w:color w:val="333333"/>
        </w:rPr>
        <w:t xml:space="preserve"> (</w:t>
      </w:r>
      <w:r w:rsidRPr="009813CE">
        <w:rPr>
          <w:rFonts w:eastAsia="Times New Roman"/>
          <w:color w:val="333333"/>
        </w:rPr>
        <w:t>Commission Final Order entered March 27, 2000</w:t>
      </w:r>
      <w:r w:rsidR="002F4B36">
        <w:rPr>
          <w:rFonts w:eastAsia="Times New Roman"/>
          <w:color w:val="333333"/>
        </w:rPr>
        <w:t>)</w:t>
      </w:r>
      <w:r w:rsidRPr="009813CE">
        <w:rPr>
          <w:rFonts w:eastAsia="Times New Roman"/>
          <w:color w:val="333333"/>
        </w:rPr>
        <w:t xml:space="preserve">; </w:t>
      </w:r>
      <w:r w:rsidRPr="00C8306E">
        <w:rPr>
          <w:rFonts w:eastAsia="Times New Roman"/>
          <w:i/>
          <w:color w:val="333333"/>
        </w:rPr>
        <w:t>Application of Patrick M. Kelsey</w:t>
      </w:r>
      <w:r w:rsidRPr="009813CE">
        <w:rPr>
          <w:rFonts w:eastAsia="Times New Roman"/>
          <w:color w:val="333333"/>
        </w:rPr>
        <w:t xml:space="preserve">, Docket No. A-00116366 </w:t>
      </w:r>
      <w:r w:rsidR="002F4B36">
        <w:rPr>
          <w:rFonts w:eastAsia="Times New Roman"/>
          <w:color w:val="333333"/>
        </w:rPr>
        <w:t>(</w:t>
      </w:r>
      <w:r w:rsidRPr="009813CE">
        <w:rPr>
          <w:rFonts w:eastAsia="Times New Roman"/>
          <w:color w:val="333333"/>
        </w:rPr>
        <w:t>Commission Final Order entered May 18, 2000</w:t>
      </w:r>
      <w:r w:rsidR="002F4B36">
        <w:rPr>
          <w:rFonts w:eastAsia="Times New Roman"/>
          <w:color w:val="333333"/>
        </w:rPr>
        <w:t>)</w:t>
      </w:r>
      <w:r w:rsidRPr="009813CE">
        <w:rPr>
          <w:rFonts w:eastAsia="Times New Roman"/>
          <w:color w:val="333333"/>
        </w:rPr>
        <w:t xml:space="preserve">; </w:t>
      </w:r>
      <w:r w:rsidRPr="00C8306E">
        <w:rPr>
          <w:rFonts w:eastAsia="Times New Roman"/>
          <w:i/>
          <w:color w:val="333333"/>
        </w:rPr>
        <w:t>Application of Besteastern Limousine, Inc.,</w:t>
      </w:r>
      <w:r w:rsidRPr="009813CE">
        <w:rPr>
          <w:rFonts w:eastAsia="Times New Roman"/>
          <w:color w:val="333333"/>
        </w:rPr>
        <w:t xml:space="preserve"> Docket No. A-00118593 </w:t>
      </w:r>
      <w:r w:rsidR="002F4B36">
        <w:rPr>
          <w:rFonts w:eastAsia="Times New Roman"/>
          <w:color w:val="333333"/>
        </w:rPr>
        <w:t>(</w:t>
      </w:r>
      <w:r w:rsidRPr="009813CE">
        <w:rPr>
          <w:rFonts w:eastAsia="Times New Roman"/>
          <w:color w:val="333333"/>
        </w:rPr>
        <w:t>Commission Final Order entered November 14, 2002</w:t>
      </w:r>
      <w:r w:rsidR="002F4B36">
        <w:rPr>
          <w:rFonts w:eastAsia="Times New Roman"/>
          <w:color w:val="333333"/>
        </w:rPr>
        <w:t>)</w:t>
      </w:r>
      <w:r w:rsidRPr="009813CE">
        <w:rPr>
          <w:rFonts w:eastAsia="Times New Roman"/>
          <w:color w:val="333333"/>
        </w:rPr>
        <w:t xml:space="preserve">. </w:t>
      </w:r>
      <w:r w:rsidRPr="00945238">
        <w:rPr>
          <w:rFonts w:eastAsia="Times New Roman"/>
          <w:i/>
          <w:color w:val="333333"/>
        </w:rPr>
        <w:t>See also</w:t>
      </w:r>
      <w:r w:rsidRPr="009813CE">
        <w:rPr>
          <w:rFonts w:eastAsia="Times New Roman"/>
          <w:color w:val="333333"/>
        </w:rPr>
        <w:t xml:space="preserve">, </w:t>
      </w:r>
      <w:r w:rsidRPr="00C8306E">
        <w:rPr>
          <w:rFonts w:eastAsia="Times New Roman"/>
          <w:i/>
          <w:color w:val="333333"/>
        </w:rPr>
        <w:t>Samick et al. v. Pennsylvania Electric Company</w:t>
      </w:r>
      <w:r w:rsidR="005E6A07">
        <w:rPr>
          <w:rFonts w:eastAsia="Times New Roman"/>
          <w:color w:val="333333"/>
        </w:rPr>
        <w:t>, Docket Nos. C</w:t>
      </w:r>
      <w:r w:rsidR="005E6A07">
        <w:rPr>
          <w:rFonts w:eastAsia="Times New Roman"/>
          <w:color w:val="333333"/>
        </w:rPr>
        <w:noBreakHyphen/>
      </w:r>
      <w:r w:rsidRPr="009813CE">
        <w:rPr>
          <w:rFonts w:eastAsia="Times New Roman"/>
          <w:color w:val="333333"/>
        </w:rPr>
        <w:t xml:space="preserve">20043921, C-20043923 and C-20043925 </w:t>
      </w:r>
      <w:r w:rsidR="002F4B36">
        <w:rPr>
          <w:rFonts w:eastAsia="Times New Roman"/>
          <w:color w:val="333333"/>
        </w:rPr>
        <w:t>(</w:t>
      </w:r>
      <w:r w:rsidRPr="009813CE">
        <w:rPr>
          <w:rFonts w:eastAsia="Times New Roman"/>
          <w:color w:val="333333"/>
        </w:rPr>
        <w:t>Commission Final Order entered October 25, 2005</w:t>
      </w:r>
      <w:r w:rsidR="002F4B36">
        <w:rPr>
          <w:rFonts w:eastAsia="Times New Roman"/>
          <w:color w:val="333333"/>
        </w:rPr>
        <w:t>)</w:t>
      </w:r>
      <w:r w:rsidRPr="005B7269">
        <w:rPr>
          <w:rFonts w:ascii="Verdana" w:eastAsia="Times New Roman" w:hAnsi="Verdana"/>
          <w:color w:val="333333"/>
          <w:sz w:val="20"/>
          <w:szCs w:val="20"/>
        </w:rPr>
        <w:t>.</w:t>
      </w:r>
      <w:r w:rsidR="00C8306E">
        <w:rPr>
          <w:rFonts w:ascii="Verdana" w:eastAsia="Times New Roman" w:hAnsi="Verdana"/>
          <w:color w:val="333333"/>
          <w:sz w:val="20"/>
          <w:szCs w:val="20"/>
        </w:rPr>
        <w:t xml:space="preserve">  </w:t>
      </w:r>
      <w:r w:rsidR="00C8306E">
        <w:rPr>
          <w:rFonts w:eastAsia="Times New Roman"/>
          <w:color w:val="333333"/>
        </w:rPr>
        <w:t xml:space="preserve">The reason is that failure to comply with the rules of discovery directly affects the due process rights of the promulgating party, thus preventing orderly and fair litigation.  It is no less appropriate here, for the same reason.  Complainant's inappropriate behavior prevents fair and orderly litigation, and prevents Respondent from receiving due process.  </w:t>
      </w:r>
      <w:r w:rsidRPr="005B7269">
        <w:rPr>
          <w:rFonts w:ascii="Verdana" w:eastAsia="Times New Roman" w:hAnsi="Verdana"/>
          <w:color w:val="333333"/>
          <w:sz w:val="20"/>
          <w:szCs w:val="20"/>
        </w:rPr>
        <w:br/>
      </w:r>
      <w:r w:rsidRPr="005B7269">
        <w:rPr>
          <w:rFonts w:ascii="Verdana" w:eastAsia="Times New Roman" w:hAnsi="Verdana"/>
          <w:color w:val="333333"/>
          <w:sz w:val="20"/>
          <w:szCs w:val="20"/>
        </w:rPr>
        <w:br/>
      </w:r>
      <w:r w:rsidR="00C8306E">
        <w:tab/>
      </w:r>
      <w:r w:rsidR="00C8306E">
        <w:tab/>
        <w:t xml:space="preserve">In conclusion, </w:t>
      </w:r>
      <w:r w:rsidR="00591E01">
        <w:tab/>
        <w:t>Complainant was warned that failure to abide by the rules in a hearing would result in the termination of his hearing.  He chose to end the hearing by responding, "Guess what, b</w:t>
      </w:r>
      <w:r w:rsidR="006368A9">
        <w:t>#$%*</w:t>
      </w:r>
      <w:r w:rsidR="00591E01">
        <w:t>, it's over</w:t>
      </w:r>
      <w:r w:rsidR="006368A9">
        <w:t>.</w:t>
      </w:r>
      <w:r w:rsidR="00591E01">
        <w:t>"</w:t>
      </w:r>
      <w:r w:rsidR="006368A9">
        <w:t xml:space="preserve"> </w:t>
      </w:r>
      <w:r w:rsidR="00591E01">
        <w:t xml:space="preserve">At that time, the hearing was terminated.  </w:t>
      </w:r>
      <w:r w:rsidR="006368A9">
        <w:t xml:space="preserve">His actions were sufficient to justify dismissal of the Complaint under 52 Pa. Code § 5.245(c), and in addition, </w:t>
      </w:r>
      <w:r w:rsidR="00591E01">
        <w:t>Complainant failed to provide sufficient evidence to support his claims, and his Complaint is dismissed.</w:t>
      </w:r>
      <w:r w:rsidR="00591E01">
        <w:rPr>
          <w:rStyle w:val="FootnoteReference"/>
        </w:rPr>
        <w:footnoteReference w:id="1"/>
      </w:r>
      <w:r w:rsidR="00591E01">
        <w:t xml:space="preserve">  </w:t>
      </w:r>
    </w:p>
    <w:p w:rsidR="00E963CD" w:rsidRDefault="00E963CD" w:rsidP="00E963CD">
      <w:pPr>
        <w:jc w:val="left"/>
      </w:pPr>
    </w:p>
    <w:p w:rsidR="00E963CD" w:rsidRPr="00AA6D65" w:rsidRDefault="00E963CD" w:rsidP="00E963CD">
      <w:pPr>
        <w:rPr>
          <w:u w:val="single"/>
        </w:rPr>
      </w:pPr>
      <w:r w:rsidRPr="00AA6D65">
        <w:rPr>
          <w:u w:val="single"/>
        </w:rPr>
        <w:t>CONCLUSIONS OF LAW</w:t>
      </w:r>
    </w:p>
    <w:p w:rsidR="00E963CD" w:rsidRPr="00AA6D65" w:rsidRDefault="00E963CD" w:rsidP="00E963CD">
      <w:pPr>
        <w:jc w:val="left"/>
        <w:rPr>
          <w:u w:val="single"/>
        </w:rPr>
      </w:pPr>
    </w:p>
    <w:p w:rsidR="00E963CD" w:rsidRPr="00AA6D65" w:rsidRDefault="00E963CD" w:rsidP="00E963CD">
      <w:pPr>
        <w:jc w:val="left"/>
      </w:pPr>
      <w:r w:rsidRPr="00AA6D65">
        <w:tab/>
      </w:r>
      <w:r w:rsidRPr="00AA6D65">
        <w:tab/>
        <w:t>1.</w:t>
      </w:r>
      <w:r w:rsidRPr="00AA6D65">
        <w:tab/>
        <w:t>The Commission has jurisdiction over the parties and the subject matter of this proceeding.  66 Pa. C.S. § 701.</w:t>
      </w:r>
    </w:p>
    <w:p w:rsidR="00E963CD" w:rsidRPr="00AA6D65" w:rsidRDefault="00E963CD" w:rsidP="00E963CD">
      <w:pPr>
        <w:jc w:val="left"/>
      </w:pPr>
    </w:p>
    <w:p w:rsidR="00E963CD" w:rsidRPr="00AA6D65" w:rsidRDefault="00E963CD" w:rsidP="00E963CD">
      <w:pPr>
        <w:jc w:val="left"/>
      </w:pPr>
      <w:r w:rsidRPr="00AA6D65">
        <w:tab/>
      </w:r>
      <w:r w:rsidRPr="00AA6D65">
        <w:tab/>
        <w:t>2.</w:t>
      </w:r>
      <w:r w:rsidRPr="00AA6D65">
        <w:tab/>
        <w:t>As the party seeking affirmative relief from the Commission, Complainant bears the burden of proof.  66 Pa. C.S. § 332(a).</w:t>
      </w:r>
    </w:p>
    <w:p w:rsidR="00E963CD" w:rsidRPr="00AA6D65" w:rsidRDefault="00E963CD" w:rsidP="00E963CD">
      <w:pPr>
        <w:jc w:val="left"/>
      </w:pPr>
    </w:p>
    <w:p w:rsidR="00E963CD" w:rsidRDefault="00E963CD" w:rsidP="00E963CD">
      <w:pPr>
        <w:jc w:val="left"/>
      </w:pPr>
      <w:r w:rsidRPr="00AA6D65">
        <w:tab/>
      </w:r>
      <w:r w:rsidRPr="00AA6D65">
        <w:tab/>
      </w:r>
      <w:r w:rsidR="00A94D63">
        <w:t>3</w:t>
      </w:r>
      <w:r w:rsidRPr="00AA6D65">
        <w:t>.</w:t>
      </w:r>
      <w:r w:rsidRPr="00AA6D65">
        <w:tab/>
        <w:t xml:space="preserve">Due process is provided when the parties are afforded notice and the opportunity to appear and be heard.  </w:t>
      </w:r>
      <w:r w:rsidRPr="00AA6D65">
        <w:rPr>
          <w:i/>
        </w:rPr>
        <w:t>Schneider v. Pa. Publ. Util. Comm’n</w:t>
      </w:r>
      <w:r w:rsidRPr="00AA6D65">
        <w:t>, 479 A.2d 10 (Pa. Cmwlth. 1984).</w:t>
      </w:r>
    </w:p>
    <w:p w:rsidR="00A94D63" w:rsidRDefault="00A94D63" w:rsidP="00E963CD">
      <w:pPr>
        <w:jc w:val="left"/>
      </w:pPr>
    </w:p>
    <w:p w:rsidR="00A94D63" w:rsidRDefault="00A94D63" w:rsidP="00E963CD">
      <w:pPr>
        <w:jc w:val="left"/>
      </w:pPr>
      <w:r>
        <w:tab/>
      </w:r>
      <w:r>
        <w:tab/>
        <w:t>4.</w:t>
      </w:r>
      <w:r>
        <w:tab/>
        <w:t>Complainant was provided due process.</w:t>
      </w:r>
    </w:p>
    <w:p w:rsidR="00F95B6A" w:rsidRDefault="00F95B6A" w:rsidP="00E963CD">
      <w:pPr>
        <w:jc w:val="left"/>
      </w:pPr>
    </w:p>
    <w:p w:rsidR="00F95B6A" w:rsidRDefault="00F95B6A" w:rsidP="00E963CD">
      <w:pPr>
        <w:jc w:val="left"/>
        <w:rPr>
          <w:rFonts w:eastAsia="Times New Roman"/>
          <w:color w:val="333333"/>
        </w:rPr>
      </w:pPr>
      <w:r>
        <w:tab/>
      </w:r>
      <w:r>
        <w:tab/>
        <w:t>5.</w:t>
      </w:r>
      <w:r>
        <w:tab/>
        <w:t xml:space="preserve">It is axiomatic that parties appearing before the Commission must at least make a good faith effort to comply with its procedures.  </w:t>
      </w:r>
      <w:r w:rsidRPr="005B7269">
        <w:rPr>
          <w:rFonts w:eastAsia="Times New Roman"/>
          <w:i/>
          <w:color w:val="333333"/>
        </w:rPr>
        <w:t>Dushawn King</w:t>
      </w:r>
      <w:r w:rsidRPr="009813CE">
        <w:rPr>
          <w:rFonts w:eastAsia="Times New Roman"/>
          <w:i/>
          <w:color w:val="333333"/>
        </w:rPr>
        <w:t xml:space="preserve"> </w:t>
      </w:r>
      <w:r w:rsidRPr="005B7269">
        <w:rPr>
          <w:rFonts w:eastAsia="Times New Roman"/>
          <w:i/>
          <w:color w:val="333333"/>
        </w:rPr>
        <w:t>v.</w:t>
      </w:r>
      <w:r w:rsidRPr="009813CE">
        <w:rPr>
          <w:rFonts w:eastAsia="Times New Roman"/>
          <w:i/>
          <w:color w:val="333333"/>
        </w:rPr>
        <w:t xml:space="preserve"> </w:t>
      </w:r>
      <w:r w:rsidRPr="005B7269">
        <w:rPr>
          <w:rFonts w:eastAsia="Times New Roman"/>
          <w:i/>
          <w:color w:val="333333"/>
        </w:rPr>
        <w:t>Verizon Pennsylvania Inc.</w:t>
      </w:r>
      <w:r>
        <w:rPr>
          <w:rFonts w:eastAsia="Times New Roman"/>
          <w:i/>
          <w:color w:val="333333"/>
        </w:rPr>
        <w:t xml:space="preserve">, </w:t>
      </w:r>
      <w:r>
        <w:rPr>
          <w:rFonts w:eastAsia="Times New Roman"/>
          <w:color w:val="333333"/>
        </w:rPr>
        <w:t xml:space="preserve">Docket No. </w:t>
      </w:r>
      <w:r w:rsidRPr="005B7269">
        <w:rPr>
          <w:rFonts w:eastAsia="Times New Roman"/>
          <w:color w:val="333333"/>
        </w:rPr>
        <w:t>C-20054799</w:t>
      </w:r>
      <w:r>
        <w:rPr>
          <w:rFonts w:eastAsia="Times New Roman"/>
          <w:color w:val="333333"/>
        </w:rPr>
        <w:t xml:space="preserve"> (Order entered March 21, 2006), </w:t>
      </w:r>
      <w:r w:rsidRPr="005B7269">
        <w:rPr>
          <w:rFonts w:eastAsia="Times New Roman"/>
          <w:color w:val="333333"/>
        </w:rPr>
        <w:t>2006 Pa. PUC LEXIS 26</w:t>
      </w:r>
      <w:r>
        <w:rPr>
          <w:rFonts w:eastAsia="Times New Roman"/>
          <w:color w:val="333333"/>
        </w:rPr>
        <w:t>.</w:t>
      </w:r>
    </w:p>
    <w:p w:rsidR="00F95B6A" w:rsidRDefault="00F95B6A" w:rsidP="00E963CD">
      <w:pPr>
        <w:jc w:val="left"/>
        <w:rPr>
          <w:rFonts w:eastAsia="Times New Roman"/>
          <w:color w:val="333333"/>
        </w:rPr>
      </w:pPr>
    </w:p>
    <w:p w:rsidR="00F95B6A" w:rsidRDefault="00F95B6A" w:rsidP="00E963CD">
      <w:pPr>
        <w:jc w:val="left"/>
      </w:pPr>
      <w:r>
        <w:tab/>
      </w:r>
      <w:r>
        <w:tab/>
        <w:t>6.</w:t>
      </w:r>
      <w:r>
        <w:tab/>
        <w:t>Commission regulations require that the presentation of evidence follow convention, with each having the right to present evidence, cross-examination, etc.  See 52 Pa. Code §§ 5.242, 5.243.</w:t>
      </w:r>
    </w:p>
    <w:p w:rsidR="00F95B6A" w:rsidRDefault="00F95B6A" w:rsidP="00E963CD">
      <w:pPr>
        <w:jc w:val="left"/>
      </w:pPr>
    </w:p>
    <w:p w:rsidR="00F95B6A" w:rsidRDefault="00F95B6A" w:rsidP="00F95B6A">
      <w:pPr>
        <w:contextualSpacing/>
        <w:jc w:val="left"/>
      </w:pPr>
      <w:r>
        <w:tab/>
      </w:r>
      <w:r>
        <w:tab/>
        <w:t>7.</w:t>
      </w:r>
      <w:r>
        <w:tab/>
        <w:t>If the Commission or the presiding officer finds, after notice and opportunity for hearing, that the actions of a party, including an intervenor, in a proceeding obstruct the orderly conduct of the proceeding and are inimical to the public interest, the Commission or the presiding officer may take appropriate action, including dismissal of the complaint, application, or petition, if the action is that of the complainant, applicant, or petitioner.  52 Pa. Code § 5.245(c).</w:t>
      </w:r>
    </w:p>
    <w:p w:rsidR="00F95B6A" w:rsidRDefault="00F95B6A" w:rsidP="00F95B6A">
      <w:pPr>
        <w:contextualSpacing/>
        <w:jc w:val="left"/>
      </w:pPr>
    </w:p>
    <w:p w:rsidR="00F95B6A" w:rsidRDefault="00F95B6A" w:rsidP="00F95B6A">
      <w:pPr>
        <w:contextualSpacing/>
        <w:jc w:val="left"/>
      </w:pPr>
      <w:r>
        <w:tab/>
      </w:r>
      <w:r>
        <w:tab/>
        <w:t>8.</w:t>
      </w:r>
      <w:r>
        <w:tab/>
        <w:t>Complainant was afforded notice and an opportunity to be heard.</w:t>
      </w:r>
    </w:p>
    <w:p w:rsidR="00F95B6A" w:rsidRDefault="00F95B6A" w:rsidP="00F95B6A">
      <w:pPr>
        <w:contextualSpacing/>
        <w:jc w:val="left"/>
      </w:pPr>
    </w:p>
    <w:p w:rsidR="00F95B6A" w:rsidRDefault="00F95B6A" w:rsidP="00F95B6A">
      <w:pPr>
        <w:contextualSpacing/>
        <w:jc w:val="left"/>
      </w:pPr>
      <w:r>
        <w:tab/>
      </w:r>
      <w:r>
        <w:tab/>
        <w:t>9.</w:t>
      </w:r>
      <w:r>
        <w:tab/>
        <w:t>Complainant's actions obstructed the orderly conduct of the proceeding are were inimical to the public interest</w:t>
      </w:r>
      <w:r w:rsidR="006368A9">
        <w:t xml:space="preserve"> and therefore, they justify the dismissal of the Complaint under 52 Pa. Code § 5.245</w:t>
      </w:r>
      <w:r>
        <w:t>.</w:t>
      </w:r>
    </w:p>
    <w:p w:rsidR="00F95B6A" w:rsidRDefault="00F95B6A" w:rsidP="00F95B6A">
      <w:pPr>
        <w:contextualSpacing/>
        <w:jc w:val="left"/>
      </w:pPr>
    </w:p>
    <w:p w:rsidR="00F95B6A" w:rsidRDefault="00F95B6A" w:rsidP="00F95B6A">
      <w:pPr>
        <w:contextualSpacing/>
        <w:jc w:val="left"/>
        <w:rPr>
          <w:rFonts w:ascii="Verdana" w:eastAsia="Times New Roman" w:hAnsi="Verdana"/>
          <w:color w:val="333333"/>
          <w:sz w:val="20"/>
          <w:szCs w:val="20"/>
        </w:rPr>
      </w:pPr>
      <w:r>
        <w:tab/>
      </w:r>
      <w:r>
        <w:tab/>
        <w:t>10.</w:t>
      </w:r>
      <w:r>
        <w:tab/>
        <w:t>The Commission has repeatedly and consistently found that s</w:t>
      </w:r>
      <w:r w:rsidRPr="009813CE">
        <w:rPr>
          <w:rFonts w:eastAsia="Times New Roman"/>
          <w:color w:val="333333"/>
        </w:rPr>
        <w:t xml:space="preserve">triking complaints for the contemptuous failure to respond to discovery, rather than prohibiting the introduction of evidence at a hearing, is the appropriate </w:t>
      </w:r>
      <w:r w:rsidRPr="00C8306E">
        <w:rPr>
          <w:rFonts w:eastAsia="Times New Roman"/>
          <w:bCs/>
          <w:color w:val="333333"/>
        </w:rPr>
        <w:t>sanction</w:t>
      </w:r>
      <w:r w:rsidRPr="009813CE">
        <w:rPr>
          <w:rFonts w:eastAsia="Times New Roman"/>
          <w:color w:val="333333"/>
        </w:rPr>
        <w:t xml:space="preserve"> to be imposed. </w:t>
      </w:r>
      <w:r w:rsidRPr="00C8306E">
        <w:rPr>
          <w:rFonts w:eastAsia="Times New Roman"/>
          <w:i/>
          <w:color w:val="333333"/>
        </w:rPr>
        <w:t>Merchant v. The Bell Telephone Company of Pennsylvania,</w:t>
      </w:r>
      <w:r w:rsidR="00945238">
        <w:rPr>
          <w:rFonts w:eastAsia="Times New Roman"/>
          <w:color w:val="333333"/>
        </w:rPr>
        <w:t xml:space="preserve"> Docket No. C-00935253</w:t>
      </w:r>
      <w:r w:rsidRPr="009813CE">
        <w:rPr>
          <w:rFonts w:eastAsia="Times New Roman"/>
          <w:color w:val="333333"/>
        </w:rPr>
        <w:t xml:space="preserve"> </w:t>
      </w:r>
      <w:r w:rsidR="00945238">
        <w:rPr>
          <w:rFonts w:eastAsia="Times New Roman"/>
          <w:color w:val="333333"/>
        </w:rPr>
        <w:t>(</w:t>
      </w:r>
      <w:r w:rsidRPr="009813CE">
        <w:rPr>
          <w:rFonts w:eastAsia="Times New Roman"/>
          <w:color w:val="333333"/>
        </w:rPr>
        <w:t>Commission Order entered June 20, 1994</w:t>
      </w:r>
      <w:r w:rsidR="00945238">
        <w:rPr>
          <w:rFonts w:eastAsia="Times New Roman"/>
          <w:color w:val="333333"/>
        </w:rPr>
        <w:t>)</w:t>
      </w:r>
      <w:r w:rsidRPr="009813CE">
        <w:rPr>
          <w:rFonts w:eastAsia="Times New Roman"/>
          <w:color w:val="333333"/>
        </w:rPr>
        <w:t xml:space="preserve">; </w:t>
      </w:r>
      <w:r w:rsidRPr="00C8306E">
        <w:rPr>
          <w:rFonts w:eastAsia="Times New Roman"/>
          <w:i/>
          <w:color w:val="333333"/>
        </w:rPr>
        <w:t>Application of Tyrone E. Hartley, t/d/b/a T's Automotive Service,</w:t>
      </w:r>
      <w:r w:rsidR="005E6A07">
        <w:rPr>
          <w:rFonts w:eastAsia="Times New Roman"/>
          <w:color w:val="333333"/>
        </w:rPr>
        <w:t xml:space="preserve"> Docket No. A</w:t>
      </w:r>
      <w:r w:rsidR="005E6A07">
        <w:rPr>
          <w:rFonts w:eastAsia="Times New Roman"/>
          <w:color w:val="333333"/>
        </w:rPr>
        <w:noBreakHyphen/>
      </w:r>
      <w:r w:rsidR="00945238">
        <w:rPr>
          <w:rFonts w:eastAsia="Times New Roman"/>
          <w:color w:val="333333"/>
        </w:rPr>
        <w:t>00112575 (C</w:t>
      </w:r>
      <w:r w:rsidRPr="009813CE">
        <w:rPr>
          <w:rFonts w:eastAsia="Times New Roman"/>
          <w:color w:val="333333"/>
        </w:rPr>
        <w:t>ommission Final Order entered August 6, 1996</w:t>
      </w:r>
      <w:r w:rsidR="00945238">
        <w:rPr>
          <w:rFonts w:eastAsia="Times New Roman"/>
          <w:color w:val="333333"/>
        </w:rPr>
        <w:t>)</w:t>
      </w:r>
      <w:r w:rsidRPr="009813CE">
        <w:rPr>
          <w:rFonts w:eastAsia="Times New Roman"/>
          <w:color w:val="333333"/>
        </w:rPr>
        <w:t xml:space="preserve">; </w:t>
      </w:r>
      <w:r w:rsidRPr="00C8306E">
        <w:rPr>
          <w:rFonts w:eastAsia="Times New Roman"/>
          <w:i/>
          <w:color w:val="333333"/>
        </w:rPr>
        <w:t>Application of Karen Lee Miller</w:t>
      </w:r>
      <w:r w:rsidRPr="009813CE">
        <w:rPr>
          <w:rFonts w:eastAsia="Times New Roman"/>
          <w:color w:val="333333"/>
        </w:rPr>
        <w:t xml:space="preserve">, </w:t>
      </w:r>
      <w:r w:rsidR="00945238">
        <w:rPr>
          <w:rFonts w:eastAsia="Times New Roman"/>
          <w:color w:val="333333"/>
        </w:rPr>
        <w:t xml:space="preserve"> Docket No. A-00116067</w:t>
      </w:r>
      <w:r w:rsidRPr="009813CE">
        <w:rPr>
          <w:rFonts w:eastAsia="Times New Roman"/>
          <w:color w:val="333333"/>
        </w:rPr>
        <w:t xml:space="preserve"> </w:t>
      </w:r>
      <w:r w:rsidR="00945238">
        <w:rPr>
          <w:rFonts w:eastAsia="Times New Roman"/>
          <w:color w:val="333333"/>
        </w:rPr>
        <w:t>(</w:t>
      </w:r>
      <w:r w:rsidRPr="009813CE">
        <w:rPr>
          <w:rFonts w:eastAsia="Times New Roman"/>
          <w:color w:val="333333"/>
        </w:rPr>
        <w:t>Commission Final Order entered March 27, 2000</w:t>
      </w:r>
      <w:r w:rsidR="00945238">
        <w:rPr>
          <w:rFonts w:eastAsia="Times New Roman"/>
          <w:color w:val="333333"/>
        </w:rPr>
        <w:t>)</w:t>
      </w:r>
      <w:r w:rsidRPr="009813CE">
        <w:rPr>
          <w:rFonts w:eastAsia="Times New Roman"/>
          <w:color w:val="333333"/>
        </w:rPr>
        <w:t xml:space="preserve">; </w:t>
      </w:r>
      <w:r w:rsidRPr="00C8306E">
        <w:rPr>
          <w:rFonts w:eastAsia="Times New Roman"/>
          <w:i/>
          <w:color w:val="333333"/>
        </w:rPr>
        <w:t>Application of Patrick M. Kelsey</w:t>
      </w:r>
      <w:r w:rsidRPr="009813CE">
        <w:rPr>
          <w:rFonts w:eastAsia="Times New Roman"/>
          <w:color w:val="333333"/>
        </w:rPr>
        <w:t xml:space="preserve">, Docket No. A-00116366 </w:t>
      </w:r>
      <w:r w:rsidR="00945238">
        <w:rPr>
          <w:rFonts w:eastAsia="Times New Roman"/>
          <w:color w:val="333333"/>
        </w:rPr>
        <w:t>(</w:t>
      </w:r>
      <w:r w:rsidRPr="009813CE">
        <w:rPr>
          <w:rFonts w:eastAsia="Times New Roman"/>
          <w:color w:val="333333"/>
        </w:rPr>
        <w:t>Commission Final Order entered May 18, 2000</w:t>
      </w:r>
      <w:r w:rsidR="00945238">
        <w:rPr>
          <w:rFonts w:eastAsia="Times New Roman"/>
          <w:color w:val="333333"/>
        </w:rPr>
        <w:t>)</w:t>
      </w:r>
      <w:r w:rsidRPr="009813CE">
        <w:rPr>
          <w:rFonts w:eastAsia="Times New Roman"/>
          <w:color w:val="333333"/>
        </w:rPr>
        <w:t xml:space="preserve">; </w:t>
      </w:r>
      <w:r w:rsidRPr="00C8306E">
        <w:rPr>
          <w:rFonts w:eastAsia="Times New Roman"/>
          <w:i/>
          <w:color w:val="333333"/>
        </w:rPr>
        <w:t>Application of Besteastern Limousine, Inc.,</w:t>
      </w:r>
      <w:r w:rsidRPr="009813CE">
        <w:rPr>
          <w:rFonts w:eastAsia="Times New Roman"/>
          <w:color w:val="333333"/>
        </w:rPr>
        <w:t xml:space="preserve"> Docket No. A-00118593 </w:t>
      </w:r>
      <w:r w:rsidR="00945238">
        <w:rPr>
          <w:rFonts w:eastAsia="Times New Roman"/>
          <w:color w:val="333333"/>
        </w:rPr>
        <w:t>(</w:t>
      </w:r>
      <w:r w:rsidRPr="009813CE">
        <w:rPr>
          <w:rFonts w:eastAsia="Times New Roman"/>
          <w:color w:val="333333"/>
        </w:rPr>
        <w:t>Commission Final Order entered November 14, 2002</w:t>
      </w:r>
      <w:r w:rsidR="00945238">
        <w:rPr>
          <w:rFonts w:eastAsia="Times New Roman"/>
          <w:color w:val="333333"/>
        </w:rPr>
        <w:t>)</w:t>
      </w:r>
      <w:r w:rsidRPr="009813CE">
        <w:rPr>
          <w:rFonts w:eastAsia="Times New Roman"/>
          <w:color w:val="333333"/>
        </w:rPr>
        <w:t xml:space="preserve">. </w:t>
      </w:r>
      <w:r w:rsidRPr="00945238">
        <w:rPr>
          <w:rFonts w:eastAsia="Times New Roman"/>
          <w:i/>
          <w:color w:val="333333"/>
        </w:rPr>
        <w:t>See also</w:t>
      </w:r>
      <w:r w:rsidRPr="009813CE">
        <w:rPr>
          <w:rFonts w:eastAsia="Times New Roman"/>
          <w:color w:val="333333"/>
        </w:rPr>
        <w:t xml:space="preserve">, </w:t>
      </w:r>
      <w:r w:rsidRPr="00C8306E">
        <w:rPr>
          <w:rFonts w:eastAsia="Times New Roman"/>
          <w:i/>
          <w:color w:val="333333"/>
        </w:rPr>
        <w:t>Samick et al. v. Pennsylvania Electric Company</w:t>
      </w:r>
      <w:r w:rsidRPr="009813CE">
        <w:rPr>
          <w:rFonts w:eastAsia="Times New Roman"/>
          <w:color w:val="333333"/>
        </w:rPr>
        <w:t>, Docket Nos. C-20043921, C-20043923 and C-20043925, Commission Final Order entered October 25, 2005</w:t>
      </w:r>
      <w:r w:rsidRPr="005B7269">
        <w:rPr>
          <w:rFonts w:ascii="Verdana" w:eastAsia="Times New Roman" w:hAnsi="Verdana"/>
          <w:color w:val="333333"/>
          <w:sz w:val="20"/>
          <w:szCs w:val="20"/>
        </w:rPr>
        <w:t>.</w:t>
      </w:r>
      <w:r>
        <w:rPr>
          <w:rFonts w:ascii="Verdana" w:eastAsia="Times New Roman" w:hAnsi="Verdana"/>
          <w:color w:val="333333"/>
          <w:sz w:val="20"/>
          <w:szCs w:val="20"/>
        </w:rPr>
        <w:t xml:space="preserve">  </w:t>
      </w:r>
    </w:p>
    <w:p w:rsidR="00F95B6A" w:rsidRDefault="00F95B6A" w:rsidP="00F95B6A">
      <w:pPr>
        <w:contextualSpacing/>
        <w:jc w:val="left"/>
        <w:rPr>
          <w:rFonts w:ascii="Verdana" w:eastAsia="Times New Roman" w:hAnsi="Verdana"/>
          <w:color w:val="333333"/>
          <w:sz w:val="20"/>
          <w:szCs w:val="20"/>
        </w:rPr>
      </w:pPr>
    </w:p>
    <w:p w:rsidR="00A94D63" w:rsidRPr="00AA6D65" w:rsidRDefault="00F95B6A" w:rsidP="00E963CD">
      <w:pPr>
        <w:contextualSpacing/>
        <w:jc w:val="left"/>
      </w:pPr>
      <w:r>
        <w:rPr>
          <w:rFonts w:ascii="Verdana" w:eastAsia="Times New Roman" w:hAnsi="Verdana"/>
          <w:color w:val="333333"/>
          <w:sz w:val="20"/>
          <w:szCs w:val="20"/>
        </w:rPr>
        <w:tab/>
      </w:r>
      <w:r>
        <w:rPr>
          <w:rFonts w:ascii="Verdana" w:eastAsia="Times New Roman" w:hAnsi="Verdana"/>
          <w:color w:val="333333"/>
          <w:sz w:val="20"/>
          <w:szCs w:val="20"/>
        </w:rPr>
        <w:tab/>
      </w:r>
      <w:r>
        <w:rPr>
          <w:rFonts w:eastAsia="Times New Roman"/>
          <w:color w:val="333333"/>
        </w:rPr>
        <w:t>11.</w:t>
      </w:r>
      <w:r>
        <w:rPr>
          <w:rFonts w:eastAsia="Times New Roman"/>
          <w:color w:val="333333"/>
        </w:rPr>
        <w:tab/>
      </w:r>
      <w:r w:rsidR="00A94D63">
        <w:t xml:space="preserve">Complainant failed to provide sufficient evidence to support his Complaint.  </w:t>
      </w:r>
    </w:p>
    <w:p w:rsidR="00E963CD" w:rsidRPr="00AA6D65" w:rsidRDefault="00E963CD" w:rsidP="00E963CD">
      <w:pPr>
        <w:jc w:val="left"/>
      </w:pPr>
    </w:p>
    <w:p w:rsidR="005E6A07" w:rsidRDefault="005E6A07">
      <w:pPr>
        <w:rPr>
          <w:b/>
          <w:u w:val="single"/>
        </w:rPr>
      </w:pPr>
      <w:r>
        <w:rPr>
          <w:b/>
          <w:u w:val="single"/>
        </w:rPr>
        <w:br w:type="page"/>
      </w:r>
    </w:p>
    <w:p w:rsidR="00E963CD" w:rsidRDefault="00A94D63" w:rsidP="00A94D63">
      <w:pPr>
        <w:rPr>
          <w:b/>
          <w:u w:val="single"/>
        </w:rPr>
      </w:pPr>
      <w:r>
        <w:rPr>
          <w:b/>
          <w:u w:val="single"/>
        </w:rPr>
        <w:t>ORDER</w:t>
      </w:r>
    </w:p>
    <w:p w:rsidR="00A94D63" w:rsidRDefault="00A94D63" w:rsidP="00A94D63">
      <w:pPr>
        <w:rPr>
          <w:b/>
          <w:u w:val="single"/>
        </w:rPr>
      </w:pPr>
    </w:p>
    <w:p w:rsidR="005E6A07" w:rsidRDefault="005E6A07" w:rsidP="00A94D63">
      <w:pPr>
        <w:rPr>
          <w:b/>
          <w:u w:val="single"/>
        </w:rPr>
      </w:pPr>
    </w:p>
    <w:p w:rsidR="00A94D63" w:rsidRDefault="00A94D63" w:rsidP="00A94D63">
      <w:pPr>
        <w:jc w:val="left"/>
      </w:pPr>
      <w:r>
        <w:tab/>
      </w:r>
      <w:r>
        <w:tab/>
        <w:t>THEREFORE,</w:t>
      </w:r>
    </w:p>
    <w:p w:rsidR="00A94D63" w:rsidRDefault="00A94D63" w:rsidP="00A94D63">
      <w:pPr>
        <w:jc w:val="left"/>
      </w:pPr>
    </w:p>
    <w:p w:rsidR="00A94D63" w:rsidRDefault="00A94D63" w:rsidP="00A94D63">
      <w:pPr>
        <w:jc w:val="left"/>
      </w:pPr>
      <w:r>
        <w:tab/>
      </w:r>
      <w:r>
        <w:tab/>
        <w:t>IT IS ORDERED:</w:t>
      </w:r>
    </w:p>
    <w:p w:rsidR="00A94D63" w:rsidRDefault="00A94D63" w:rsidP="00A94D63">
      <w:pPr>
        <w:jc w:val="left"/>
      </w:pPr>
    </w:p>
    <w:p w:rsidR="00A94D63" w:rsidRDefault="00A94D63" w:rsidP="00A94D63">
      <w:pPr>
        <w:jc w:val="left"/>
      </w:pPr>
      <w:r>
        <w:tab/>
      </w:r>
      <w:r>
        <w:tab/>
        <w:t>1.</w:t>
      </w:r>
      <w:r>
        <w:tab/>
        <w:t>That the Complaint filed by David Nippes against PECO Energy Company at Docket No. C-2013-2363324, is dismissed.</w:t>
      </w:r>
    </w:p>
    <w:p w:rsidR="00A94D63" w:rsidRDefault="00A94D63" w:rsidP="00A94D63">
      <w:pPr>
        <w:jc w:val="left"/>
      </w:pPr>
    </w:p>
    <w:p w:rsidR="00A94D63" w:rsidRDefault="00A94D63" w:rsidP="00A94D63">
      <w:pPr>
        <w:jc w:val="left"/>
      </w:pPr>
      <w:r>
        <w:tab/>
      </w:r>
      <w:r>
        <w:tab/>
        <w:t>2.</w:t>
      </w:r>
      <w:r>
        <w:tab/>
        <w:t>That the Secretary mark this docket closed.</w:t>
      </w:r>
    </w:p>
    <w:p w:rsidR="00A94D63" w:rsidRDefault="00A94D63" w:rsidP="00A94D63">
      <w:pPr>
        <w:jc w:val="left"/>
      </w:pPr>
    </w:p>
    <w:p w:rsidR="005E6A07" w:rsidRDefault="005E6A07" w:rsidP="00A94D63">
      <w:pPr>
        <w:jc w:val="left"/>
      </w:pPr>
    </w:p>
    <w:p w:rsidR="00A94D63" w:rsidRPr="005E6A07" w:rsidRDefault="00A94D63" w:rsidP="00A94D63">
      <w:pPr>
        <w:spacing w:line="240" w:lineRule="auto"/>
        <w:jc w:val="left"/>
        <w:rPr>
          <w:u w:val="single"/>
        </w:rPr>
      </w:pPr>
      <w:r>
        <w:t>Dated:</w:t>
      </w:r>
      <w:r>
        <w:tab/>
      </w:r>
      <w:r>
        <w:rPr>
          <w:u w:val="single"/>
        </w:rPr>
        <w:t>August 1</w:t>
      </w:r>
      <w:r w:rsidR="006368A9">
        <w:rPr>
          <w:u w:val="single"/>
        </w:rPr>
        <w:t>5</w:t>
      </w:r>
      <w:r>
        <w:rPr>
          <w:u w:val="single"/>
        </w:rPr>
        <w:t>, 2013</w:t>
      </w:r>
      <w:r>
        <w:tab/>
      </w:r>
      <w:r>
        <w:tab/>
      </w:r>
      <w:r>
        <w:tab/>
      </w:r>
      <w:r>
        <w:tab/>
      </w:r>
      <w:r w:rsidR="005E6A07">
        <w:rPr>
          <w:u w:val="single"/>
        </w:rPr>
        <w:tab/>
      </w:r>
      <w:r w:rsidR="005E6A07" w:rsidRPr="001F75C3">
        <w:rPr>
          <w:u w:val="single"/>
        </w:rPr>
        <w:t>/</w:t>
      </w:r>
      <w:r w:rsidR="001F75C3" w:rsidRPr="001F75C3">
        <w:rPr>
          <w:u w:val="single"/>
        </w:rPr>
        <w:t>s</w:t>
      </w:r>
      <w:r w:rsidR="005E6A07" w:rsidRPr="001F75C3">
        <w:rPr>
          <w:u w:val="single"/>
        </w:rPr>
        <w:t>/</w:t>
      </w:r>
      <w:r w:rsidR="005E6A07">
        <w:rPr>
          <w:u w:val="single"/>
        </w:rPr>
        <w:tab/>
      </w:r>
      <w:r w:rsidR="005E6A07">
        <w:rPr>
          <w:u w:val="single"/>
        </w:rPr>
        <w:tab/>
      </w:r>
      <w:r w:rsidR="005E6A07">
        <w:rPr>
          <w:u w:val="single"/>
        </w:rPr>
        <w:tab/>
      </w:r>
      <w:r w:rsidR="005E6A07">
        <w:rPr>
          <w:u w:val="single"/>
        </w:rPr>
        <w:tab/>
      </w:r>
      <w:r w:rsidR="005E6A07">
        <w:rPr>
          <w:u w:val="single"/>
        </w:rPr>
        <w:tab/>
      </w:r>
    </w:p>
    <w:p w:rsidR="00A94D63" w:rsidRDefault="00A94D63" w:rsidP="00A94D63">
      <w:pPr>
        <w:spacing w:line="240" w:lineRule="auto"/>
        <w:jc w:val="left"/>
      </w:pPr>
      <w:r>
        <w:tab/>
      </w:r>
      <w:r>
        <w:tab/>
      </w:r>
      <w:r>
        <w:tab/>
      </w:r>
      <w:r>
        <w:tab/>
      </w:r>
      <w:r>
        <w:tab/>
      </w:r>
      <w:r>
        <w:tab/>
      </w:r>
      <w:r>
        <w:tab/>
        <w:t>Susan D. Colwell</w:t>
      </w:r>
    </w:p>
    <w:p w:rsidR="00A94D63" w:rsidRDefault="00A94D63" w:rsidP="00A94D63">
      <w:pPr>
        <w:spacing w:line="240" w:lineRule="auto"/>
        <w:jc w:val="left"/>
      </w:pPr>
      <w:r>
        <w:tab/>
      </w:r>
      <w:r>
        <w:tab/>
      </w:r>
      <w:r>
        <w:tab/>
      </w:r>
      <w:r>
        <w:tab/>
      </w:r>
      <w:r>
        <w:tab/>
      </w:r>
      <w:r>
        <w:tab/>
      </w:r>
      <w:r>
        <w:tab/>
        <w:t>Administrative Law Judge</w:t>
      </w:r>
    </w:p>
    <w:sectPr w:rsidR="00A94D63" w:rsidSect="00A94D6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AE6" w:rsidRDefault="00A01AE6" w:rsidP="00591E01">
      <w:pPr>
        <w:spacing w:line="240" w:lineRule="auto"/>
      </w:pPr>
      <w:r>
        <w:separator/>
      </w:r>
    </w:p>
  </w:endnote>
  <w:endnote w:type="continuationSeparator" w:id="0">
    <w:p w:rsidR="00A01AE6" w:rsidRDefault="00A01AE6" w:rsidP="00591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358346"/>
      <w:docPartObj>
        <w:docPartGallery w:val="Page Numbers (Bottom of Page)"/>
        <w:docPartUnique/>
      </w:docPartObj>
    </w:sdtPr>
    <w:sdtEndPr>
      <w:rPr>
        <w:noProof/>
        <w:sz w:val="20"/>
        <w:szCs w:val="20"/>
      </w:rPr>
    </w:sdtEndPr>
    <w:sdtContent>
      <w:p w:rsidR="00A94D63" w:rsidRPr="005E6A07" w:rsidRDefault="00A94D63">
        <w:pPr>
          <w:pStyle w:val="Footer"/>
          <w:rPr>
            <w:sz w:val="20"/>
            <w:szCs w:val="20"/>
          </w:rPr>
        </w:pPr>
        <w:r w:rsidRPr="005E6A07">
          <w:rPr>
            <w:sz w:val="20"/>
            <w:szCs w:val="20"/>
          </w:rPr>
          <w:fldChar w:fldCharType="begin"/>
        </w:r>
        <w:r w:rsidRPr="005E6A07">
          <w:rPr>
            <w:sz w:val="20"/>
            <w:szCs w:val="20"/>
          </w:rPr>
          <w:instrText xml:space="preserve"> PAGE   \* MERGEFORMAT </w:instrText>
        </w:r>
        <w:r w:rsidRPr="005E6A07">
          <w:rPr>
            <w:sz w:val="20"/>
            <w:szCs w:val="20"/>
          </w:rPr>
          <w:fldChar w:fldCharType="separate"/>
        </w:r>
        <w:r w:rsidR="001F75C3">
          <w:rPr>
            <w:noProof/>
            <w:sz w:val="20"/>
            <w:szCs w:val="20"/>
          </w:rPr>
          <w:t>7</w:t>
        </w:r>
        <w:r w:rsidRPr="005E6A0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AE6" w:rsidRDefault="00A01AE6" w:rsidP="00591E01">
      <w:pPr>
        <w:spacing w:line="240" w:lineRule="auto"/>
      </w:pPr>
      <w:r>
        <w:separator/>
      </w:r>
    </w:p>
  </w:footnote>
  <w:footnote w:type="continuationSeparator" w:id="0">
    <w:p w:rsidR="00A01AE6" w:rsidRDefault="00A01AE6" w:rsidP="00591E01">
      <w:pPr>
        <w:spacing w:line="240" w:lineRule="auto"/>
      </w:pPr>
      <w:r>
        <w:continuationSeparator/>
      </w:r>
    </w:p>
  </w:footnote>
  <w:footnote w:id="1">
    <w:p w:rsidR="00591E01" w:rsidRDefault="00591E01" w:rsidP="00591E01">
      <w:pPr>
        <w:pStyle w:val="FootnoteText"/>
        <w:jc w:val="left"/>
      </w:pPr>
      <w:r>
        <w:rPr>
          <w:rStyle w:val="FootnoteReference"/>
        </w:rPr>
        <w:footnoteRef/>
      </w:r>
      <w:r w:rsidR="005E6A07">
        <w:tab/>
      </w:r>
      <w:r>
        <w:t xml:space="preserve">I note that Complainant </w:t>
      </w:r>
      <w:r w:rsidR="00A94D63">
        <w:t xml:space="preserve">had two prior cases:  he </w:t>
      </w:r>
      <w:r>
        <w:t xml:space="preserve">failed to prosecute his prior complaint against PECO at </w:t>
      </w:r>
      <w:r w:rsidR="00A94D63">
        <w:t xml:space="preserve">Docket No. </w:t>
      </w:r>
      <w:r>
        <w:t>C-20077811</w:t>
      </w:r>
      <w:r w:rsidR="00A94D63">
        <w:t>(</w:t>
      </w:r>
      <w:r>
        <w:t xml:space="preserve">dismissed </w:t>
      </w:r>
      <w:r w:rsidR="00A94D63">
        <w:t>by Initial Decision of ALJ Jones on September 11, 2007, final without further action November 1, 2007); Complainant's case against Verizon Pennsylvania, Inc., was dismissed for failure to prosecute by ALJ Buckley when Complainant hung up during the evidentiary hearing, Docket No. F-2011-2230933 (Initial Decision dated October 14, 2011, final without further Commission action  December 9, 2011).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1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0910"/>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5C3"/>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20B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4B36"/>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1409"/>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5E0A"/>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644"/>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1E01"/>
    <w:rsid w:val="00593FF1"/>
    <w:rsid w:val="00594648"/>
    <w:rsid w:val="00594E77"/>
    <w:rsid w:val="0059623B"/>
    <w:rsid w:val="00596D1D"/>
    <w:rsid w:val="005A1839"/>
    <w:rsid w:val="005A2923"/>
    <w:rsid w:val="005A3759"/>
    <w:rsid w:val="005A44D9"/>
    <w:rsid w:val="005A5826"/>
    <w:rsid w:val="005A6ADE"/>
    <w:rsid w:val="005B3D45"/>
    <w:rsid w:val="005B78C4"/>
    <w:rsid w:val="005C09F7"/>
    <w:rsid w:val="005C373B"/>
    <w:rsid w:val="005C3DD2"/>
    <w:rsid w:val="005C4AAA"/>
    <w:rsid w:val="005C610A"/>
    <w:rsid w:val="005D1442"/>
    <w:rsid w:val="005D1922"/>
    <w:rsid w:val="005D2788"/>
    <w:rsid w:val="005D4281"/>
    <w:rsid w:val="005D6E32"/>
    <w:rsid w:val="005E06D4"/>
    <w:rsid w:val="005E1521"/>
    <w:rsid w:val="005E3768"/>
    <w:rsid w:val="005E448D"/>
    <w:rsid w:val="005E6A07"/>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68A9"/>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AB4"/>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5238"/>
    <w:rsid w:val="009471B5"/>
    <w:rsid w:val="009502D3"/>
    <w:rsid w:val="009506F2"/>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13CE"/>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1AE6"/>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4D63"/>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D0"/>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06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643B"/>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206C"/>
    <w:rsid w:val="00E73F29"/>
    <w:rsid w:val="00E74899"/>
    <w:rsid w:val="00E759B1"/>
    <w:rsid w:val="00E779AA"/>
    <w:rsid w:val="00E80333"/>
    <w:rsid w:val="00E8107B"/>
    <w:rsid w:val="00E83629"/>
    <w:rsid w:val="00E838DB"/>
    <w:rsid w:val="00E83F7E"/>
    <w:rsid w:val="00E85BF2"/>
    <w:rsid w:val="00E865F0"/>
    <w:rsid w:val="00E868E7"/>
    <w:rsid w:val="00E9310C"/>
    <w:rsid w:val="00E93979"/>
    <w:rsid w:val="00E93CD3"/>
    <w:rsid w:val="00E93F61"/>
    <w:rsid w:val="00E9501F"/>
    <w:rsid w:val="00E962BC"/>
    <w:rsid w:val="00E963CD"/>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33E"/>
    <w:rsid w:val="00F9058E"/>
    <w:rsid w:val="00F908E0"/>
    <w:rsid w:val="00F90B86"/>
    <w:rsid w:val="00F9335A"/>
    <w:rsid w:val="00F93755"/>
    <w:rsid w:val="00F93A32"/>
    <w:rsid w:val="00F94769"/>
    <w:rsid w:val="00F95B6A"/>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1E01"/>
    <w:pPr>
      <w:spacing w:line="240" w:lineRule="auto"/>
    </w:pPr>
    <w:rPr>
      <w:sz w:val="20"/>
      <w:szCs w:val="20"/>
    </w:rPr>
  </w:style>
  <w:style w:type="character" w:customStyle="1" w:styleId="FootnoteTextChar">
    <w:name w:val="Footnote Text Char"/>
    <w:basedOn w:val="DefaultParagraphFont"/>
    <w:link w:val="FootnoteText"/>
    <w:uiPriority w:val="99"/>
    <w:semiHidden/>
    <w:rsid w:val="00591E01"/>
    <w:rPr>
      <w:sz w:val="20"/>
      <w:szCs w:val="20"/>
    </w:rPr>
  </w:style>
  <w:style w:type="character" w:styleId="FootnoteReference">
    <w:name w:val="footnote reference"/>
    <w:basedOn w:val="DefaultParagraphFont"/>
    <w:uiPriority w:val="99"/>
    <w:semiHidden/>
    <w:unhideWhenUsed/>
    <w:rsid w:val="00591E01"/>
    <w:rPr>
      <w:vertAlign w:val="superscript"/>
    </w:rPr>
  </w:style>
  <w:style w:type="paragraph" w:styleId="Header">
    <w:name w:val="header"/>
    <w:basedOn w:val="Normal"/>
    <w:link w:val="HeaderChar"/>
    <w:uiPriority w:val="99"/>
    <w:unhideWhenUsed/>
    <w:rsid w:val="00A94D63"/>
    <w:pPr>
      <w:tabs>
        <w:tab w:val="center" w:pos="4680"/>
        <w:tab w:val="right" w:pos="9360"/>
      </w:tabs>
      <w:spacing w:line="240" w:lineRule="auto"/>
    </w:pPr>
  </w:style>
  <w:style w:type="character" w:customStyle="1" w:styleId="HeaderChar">
    <w:name w:val="Header Char"/>
    <w:basedOn w:val="DefaultParagraphFont"/>
    <w:link w:val="Header"/>
    <w:uiPriority w:val="99"/>
    <w:rsid w:val="00A94D63"/>
  </w:style>
  <w:style w:type="paragraph" w:styleId="Footer">
    <w:name w:val="footer"/>
    <w:basedOn w:val="Normal"/>
    <w:link w:val="FooterChar"/>
    <w:uiPriority w:val="99"/>
    <w:unhideWhenUsed/>
    <w:rsid w:val="00A94D63"/>
    <w:pPr>
      <w:tabs>
        <w:tab w:val="center" w:pos="4680"/>
        <w:tab w:val="right" w:pos="9360"/>
      </w:tabs>
      <w:spacing w:line="240" w:lineRule="auto"/>
    </w:pPr>
  </w:style>
  <w:style w:type="character" w:customStyle="1" w:styleId="FooterChar">
    <w:name w:val="Footer Char"/>
    <w:basedOn w:val="DefaultParagraphFont"/>
    <w:link w:val="Footer"/>
    <w:uiPriority w:val="99"/>
    <w:rsid w:val="00A94D63"/>
  </w:style>
  <w:style w:type="paragraph" w:styleId="BalloonText">
    <w:name w:val="Balloon Text"/>
    <w:basedOn w:val="Normal"/>
    <w:link w:val="BalloonTextChar"/>
    <w:uiPriority w:val="99"/>
    <w:semiHidden/>
    <w:unhideWhenUsed/>
    <w:rsid w:val="005E6A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1E01"/>
    <w:pPr>
      <w:spacing w:line="240" w:lineRule="auto"/>
    </w:pPr>
    <w:rPr>
      <w:sz w:val="20"/>
      <w:szCs w:val="20"/>
    </w:rPr>
  </w:style>
  <w:style w:type="character" w:customStyle="1" w:styleId="FootnoteTextChar">
    <w:name w:val="Footnote Text Char"/>
    <w:basedOn w:val="DefaultParagraphFont"/>
    <w:link w:val="FootnoteText"/>
    <w:uiPriority w:val="99"/>
    <w:semiHidden/>
    <w:rsid w:val="00591E01"/>
    <w:rPr>
      <w:sz w:val="20"/>
      <w:szCs w:val="20"/>
    </w:rPr>
  </w:style>
  <w:style w:type="character" w:styleId="FootnoteReference">
    <w:name w:val="footnote reference"/>
    <w:basedOn w:val="DefaultParagraphFont"/>
    <w:uiPriority w:val="99"/>
    <w:semiHidden/>
    <w:unhideWhenUsed/>
    <w:rsid w:val="00591E01"/>
    <w:rPr>
      <w:vertAlign w:val="superscript"/>
    </w:rPr>
  </w:style>
  <w:style w:type="paragraph" w:styleId="Header">
    <w:name w:val="header"/>
    <w:basedOn w:val="Normal"/>
    <w:link w:val="HeaderChar"/>
    <w:uiPriority w:val="99"/>
    <w:unhideWhenUsed/>
    <w:rsid w:val="00A94D63"/>
    <w:pPr>
      <w:tabs>
        <w:tab w:val="center" w:pos="4680"/>
        <w:tab w:val="right" w:pos="9360"/>
      </w:tabs>
      <w:spacing w:line="240" w:lineRule="auto"/>
    </w:pPr>
  </w:style>
  <w:style w:type="character" w:customStyle="1" w:styleId="HeaderChar">
    <w:name w:val="Header Char"/>
    <w:basedOn w:val="DefaultParagraphFont"/>
    <w:link w:val="Header"/>
    <w:uiPriority w:val="99"/>
    <w:rsid w:val="00A94D63"/>
  </w:style>
  <w:style w:type="paragraph" w:styleId="Footer">
    <w:name w:val="footer"/>
    <w:basedOn w:val="Normal"/>
    <w:link w:val="FooterChar"/>
    <w:uiPriority w:val="99"/>
    <w:unhideWhenUsed/>
    <w:rsid w:val="00A94D63"/>
    <w:pPr>
      <w:tabs>
        <w:tab w:val="center" w:pos="4680"/>
        <w:tab w:val="right" w:pos="9360"/>
      </w:tabs>
      <w:spacing w:line="240" w:lineRule="auto"/>
    </w:pPr>
  </w:style>
  <w:style w:type="character" w:customStyle="1" w:styleId="FooterChar">
    <w:name w:val="Footer Char"/>
    <w:basedOn w:val="DefaultParagraphFont"/>
    <w:link w:val="Footer"/>
    <w:uiPriority w:val="99"/>
    <w:rsid w:val="00A94D63"/>
  </w:style>
  <w:style w:type="paragraph" w:styleId="BalloonText">
    <w:name w:val="Balloon Text"/>
    <w:basedOn w:val="Normal"/>
    <w:link w:val="BalloonTextChar"/>
    <w:uiPriority w:val="99"/>
    <w:semiHidden/>
    <w:unhideWhenUsed/>
    <w:rsid w:val="005E6A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37065-E53B-405A-9538-26EFA9EE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2013-08-16T12:29:00Z</cp:lastPrinted>
  <dcterms:created xsi:type="dcterms:W3CDTF">2013-08-20T13:23:00Z</dcterms:created>
  <dcterms:modified xsi:type="dcterms:W3CDTF">2013-08-20T13:23:00Z</dcterms:modified>
</cp:coreProperties>
</file>