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A71" w:rsidRDefault="00035A71" w:rsidP="00035A71">
      <w:pPr>
        <w:jc w:val="center"/>
        <w:rPr>
          <w:b/>
        </w:rPr>
      </w:pPr>
      <w:r>
        <w:rPr>
          <w:b/>
        </w:rPr>
        <w:t>BEFORE THE</w:t>
      </w:r>
    </w:p>
    <w:p w:rsidR="00035A71" w:rsidRDefault="00035A71" w:rsidP="00035A71">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035A71" w:rsidRDefault="00035A71" w:rsidP="00035A71"/>
    <w:p w:rsidR="00035A71" w:rsidRDefault="00035A71" w:rsidP="00035A71"/>
    <w:p w:rsidR="00035A71" w:rsidRDefault="00035A71" w:rsidP="00035A71"/>
    <w:p w:rsidR="00035A71" w:rsidRDefault="00035A71" w:rsidP="00035A71">
      <w:r>
        <w:t xml:space="preserve">Pennsylvania Public Utility </w:t>
      </w:r>
      <w:proofErr w:type="gramStart"/>
      <w:r>
        <w:t>Commission,</w:t>
      </w:r>
      <w:r>
        <w:tab/>
      </w:r>
      <w:r>
        <w:tab/>
        <w:t>:</w:t>
      </w:r>
      <w:proofErr w:type="gramEnd"/>
    </w:p>
    <w:p w:rsidR="00035A71" w:rsidRDefault="00035A71" w:rsidP="00035A71">
      <w:r>
        <w:t>Bureau of Investigation &amp; Enforcement</w:t>
      </w:r>
      <w:r>
        <w:tab/>
      </w:r>
      <w:r>
        <w:tab/>
        <w:t>:</w:t>
      </w:r>
      <w:r>
        <w:tab/>
      </w:r>
    </w:p>
    <w:p w:rsidR="00035A71" w:rsidRDefault="00035A71" w:rsidP="00035A71">
      <w:r>
        <w:tab/>
      </w:r>
      <w:r>
        <w:tab/>
      </w:r>
      <w:r>
        <w:tab/>
      </w:r>
      <w:r>
        <w:tab/>
      </w:r>
      <w:r>
        <w:tab/>
      </w:r>
      <w:r>
        <w:tab/>
      </w:r>
      <w:r>
        <w:tab/>
        <w:t>:</w:t>
      </w:r>
    </w:p>
    <w:p w:rsidR="00035A71" w:rsidRDefault="00035A71" w:rsidP="00035A71">
      <w:pPr>
        <w:numPr>
          <w:ilvl w:val="0"/>
          <w:numId w:val="9"/>
        </w:numPr>
        <w:ind w:left="5040" w:hanging="4320"/>
      </w:pPr>
      <w:r>
        <w:t>:</w:t>
      </w:r>
      <w:r>
        <w:tab/>
      </w:r>
      <w:r>
        <w:tab/>
        <w:t>C-2012-2333793</w:t>
      </w:r>
    </w:p>
    <w:p w:rsidR="00035A71" w:rsidRDefault="00035A71" w:rsidP="00035A71">
      <w:pPr>
        <w:ind w:left="5040"/>
      </w:pPr>
      <w:r>
        <w:t>:</w:t>
      </w:r>
    </w:p>
    <w:p w:rsidR="00035A71" w:rsidRDefault="00035A71" w:rsidP="00035A71">
      <w:r>
        <w:t xml:space="preserve">Gene </w:t>
      </w:r>
      <w:proofErr w:type="spellStart"/>
      <w:r>
        <w:t>Polsinelli</w:t>
      </w:r>
      <w:proofErr w:type="spellEnd"/>
      <w:r>
        <w:t xml:space="preserve">, Inc., t/a </w:t>
      </w:r>
      <w:r>
        <w:tab/>
      </w:r>
      <w:r>
        <w:tab/>
        <w:t xml:space="preserve"> </w:t>
      </w:r>
      <w:r>
        <w:tab/>
      </w:r>
      <w:r>
        <w:tab/>
        <w:t>:</w:t>
      </w:r>
    </w:p>
    <w:p w:rsidR="00035A71" w:rsidRDefault="00035A71" w:rsidP="00035A71">
      <w:r>
        <w:t xml:space="preserve">American Lenders Service Company of </w:t>
      </w:r>
      <w:r>
        <w:tab/>
      </w:r>
      <w:r>
        <w:tab/>
        <w:t>:</w:t>
      </w:r>
    </w:p>
    <w:p w:rsidR="00D97263" w:rsidRPr="004F20ED" w:rsidRDefault="00035A71" w:rsidP="00D97263">
      <w:r>
        <w:t>Pittsburgh, PA</w:t>
      </w:r>
      <w:r>
        <w:tab/>
      </w:r>
      <w:r>
        <w:tab/>
      </w:r>
      <w:r>
        <w:tab/>
      </w:r>
      <w:r>
        <w:tab/>
      </w:r>
      <w:r>
        <w:tab/>
      </w:r>
      <w:r>
        <w:tab/>
        <w:t>:</w:t>
      </w:r>
    </w:p>
    <w:p w:rsidR="00D97263" w:rsidRPr="004F20ED" w:rsidRDefault="00D97263" w:rsidP="00D97263"/>
    <w:p w:rsidR="00D97263" w:rsidRPr="004F20ED" w:rsidRDefault="00D97263" w:rsidP="00D97263"/>
    <w:p w:rsidR="00D97263" w:rsidRDefault="00D97263" w:rsidP="00D97263">
      <w:pPr>
        <w:jc w:val="center"/>
        <w:rPr>
          <w:b/>
          <w:u w:val="single"/>
        </w:rPr>
      </w:pPr>
    </w:p>
    <w:p w:rsidR="00D97263" w:rsidRPr="004F20ED" w:rsidRDefault="00D97263" w:rsidP="00D97263">
      <w:pPr>
        <w:jc w:val="center"/>
        <w:rPr>
          <w:b/>
          <w:u w:val="single"/>
        </w:rPr>
      </w:pPr>
      <w:r w:rsidRPr="004F20ED">
        <w:rPr>
          <w:b/>
          <w:u w:val="single"/>
        </w:rPr>
        <w:t>INITIAL DECISION</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pPr>
      <w:r w:rsidRPr="004F20ED">
        <w:t>Before</w:t>
      </w:r>
    </w:p>
    <w:p w:rsidR="00D97263" w:rsidRPr="004F20ED" w:rsidRDefault="0014423A" w:rsidP="00D97263">
      <w:pPr>
        <w:jc w:val="center"/>
      </w:pPr>
      <w:r>
        <w:t>Mark A. Hoyer</w:t>
      </w:r>
    </w:p>
    <w:p w:rsidR="00D97263" w:rsidRPr="004F20ED" w:rsidRDefault="00D97263" w:rsidP="00D97263">
      <w:pPr>
        <w:jc w:val="center"/>
      </w:pPr>
      <w:r w:rsidRPr="004F20ED">
        <w:t>Administrative Law Judge</w:t>
      </w:r>
    </w:p>
    <w:p w:rsidR="00D97263" w:rsidRPr="004F20ED" w:rsidRDefault="00D97263" w:rsidP="00D97263">
      <w:pPr>
        <w:jc w:val="center"/>
      </w:pPr>
    </w:p>
    <w:p w:rsidR="00D97263" w:rsidRPr="004F20ED" w:rsidRDefault="00D97263" w:rsidP="00D97263">
      <w:pPr>
        <w:jc w:val="center"/>
      </w:pPr>
    </w:p>
    <w:p w:rsidR="00D97263" w:rsidRPr="004F20ED" w:rsidRDefault="00D97263" w:rsidP="00D97263">
      <w:pPr>
        <w:jc w:val="center"/>
        <w:rPr>
          <w:u w:val="single"/>
        </w:rPr>
      </w:pPr>
      <w:r w:rsidRPr="004F20ED">
        <w:rPr>
          <w:u w:val="single"/>
        </w:rPr>
        <w:t>HISTORY OF THE PROCEEDING</w:t>
      </w:r>
    </w:p>
    <w:p w:rsidR="00D97263" w:rsidRPr="004F20ED" w:rsidRDefault="00D97263" w:rsidP="00D97263"/>
    <w:p w:rsidR="00D97263" w:rsidRPr="004F20ED" w:rsidRDefault="00D97263" w:rsidP="00D97263"/>
    <w:p w:rsidR="00570686" w:rsidRDefault="00D97263" w:rsidP="00D97263">
      <w:pPr>
        <w:spacing w:line="360" w:lineRule="auto"/>
      </w:pPr>
      <w:r>
        <w:tab/>
      </w:r>
      <w:r>
        <w:tab/>
        <w:t xml:space="preserve">On </w:t>
      </w:r>
      <w:r w:rsidR="008869D5">
        <w:t xml:space="preserve">or about November 27, 2012, </w:t>
      </w:r>
      <w:r w:rsidR="00D27E98">
        <w:t xml:space="preserve">Complainant, </w:t>
      </w:r>
      <w:r w:rsidR="00035A71">
        <w:t xml:space="preserve">the Pennsylvania Public Utility Commission, Bureau of Investigation and Enforcement (BI&amp;E) </w:t>
      </w:r>
      <w:r w:rsidR="00D27E98">
        <w:t xml:space="preserve">filed a complaint </w:t>
      </w:r>
      <w:r w:rsidRPr="007C2B21">
        <w:t>against Respondent,</w:t>
      </w:r>
      <w:r>
        <w:t xml:space="preserve"> </w:t>
      </w:r>
      <w:r w:rsidR="00035A71">
        <w:t xml:space="preserve">Gene </w:t>
      </w:r>
      <w:proofErr w:type="spellStart"/>
      <w:r w:rsidR="00035A71">
        <w:t>Polsinelli</w:t>
      </w:r>
      <w:proofErr w:type="spellEnd"/>
      <w:r w:rsidR="00035A71">
        <w:t>, Inc., t/a American Lenders Service Company of Pittsburgh, PA</w:t>
      </w:r>
      <w:r w:rsidR="00B10D5A">
        <w:t xml:space="preserve"> (Respondent)</w:t>
      </w:r>
      <w:r w:rsidR="00035A71">
        <w:t xml:space="preserve"> </w:t>
      </w:r>
      <w:r>
        <w:t>alleging</w:t>
      </w:r>
      <w:r w:rsidR="00023CEE">
        <w:t xml:space="preserve"> </w:t>
      </w:r>
      <w:r w:rsidR="006D5286">
        <w:t xml:space="preserve">that </w:t>
      </w:r>
      <w:r w:rsidR="00035A71">
        <w:t>Respondent failed to maintain evidence of cargo insurance on file with the Commission and requesting that a civil penalty in the amount of $500</w:t>
      </w:r>
      <w:r w:rsidR="00B10D5A">
        <w:t>.00</w:t>
      </w:r>
      <w:r w:rsidR="00035A71">
        <w:t xml:space="preserve"> be assessed for this violation.  BI&amp;E alleges Respondent violated 66 Pa. C.S. §512, 52 Pa. Code §32.2(c), 52 Pa. Code §32.11(a), 52 Pa. Code §32.12(a)</w:t>
      </w:r>
      <w:r w:rsidR="00B10D5A">
        <w:t xml:space="preserve"> or 52 Pa. Code §32.13(a).</w:t>
      </w:r>
      <w:r w:rsidR="002E1FDF">
        <w:t xml:space="preserve">  </w:t>
      </w:r>
      <w:r w:rsidR="00570686">
        <w:t xml:space="preserve">Respondent </w:t>
      </w:r>
      <w:r w:rsidR="00FE6EC0">
        <w:t xml:space="preserve">filed an </w:t>
      </w:r>
      <w:r w:rsidR="00570686">
        <w:t>answer</w:t>
      </w:r>
      <w:r w:rsidR="00FE6EC0">
        <w:t xml:space="preserve"> </w:t>
      </w:r>
      <w:r w:rsidR="008869D5">
        <w:t>on December 12, 2012.</w:t>
      </w:r>
      <w:r w:rsidR="008869D5">
        <w:rPr>
          <w:rStyle w:val="FootnoteReference"/>
        </w:rPr>
        <w:footnoteReference w:id="1"/>
      </w:r>
      <w:r w:rsidR="004E12D1">
        <w:t xml:space="preserve">  </w:t>
      </w:r>
    </w:p>
    <w:p w:rsidR="005C3F43" w:rsidRDefault="005C3F43" w:rsidP="00D97263">
      <w:pPr>
        <w:spacing w:line="360" w:lineRule="auto"/>
      </w:pPr>
    </w:p>
    <w:p w:rsidR="005C3F43" w:rsidRDefault="005C3F43" w:rsidP="00D97263">
      <w:pPr>
        <w:spacing w:line="360" w:lineRule="auto"/>
        <w:rPr>
          <w:bCs/>
          <w:spacing w:val="-3"/>
        </w:rPr>
      </w:pPr>
      <w:r>
        <w:lastRenderedPageBreak/>
        <w:tab/>
      </w:r>
      <w:r>
        <w:tab/>
        <w:t xml:space="preserve">A Hearing Notice scheduling an initial hearing for Monday, May 20, 2013 at 10:00 a.m. in Pittsburgh was mailed to the parties on April 10, 2013.  </w:t>
      </w:r>
      <w:r>
        <w:rPr>
          <w:bCs/>
          <w:spacing w:val="-3"/>
        </w:rPr>
        <w:t>On April 11, 2013, I issued a Prehearing Order which provided applicable procedures regarding submission of exhibits, attorney representation, continuances, subpoenas, and the burden of proof.</w:t>
      </w:r>
    </w:p>
    <w:p w:rsidR="00430695" w:rsidRDefault="00430695" w:rsidP="00D97263">
      <w:pPr>
        <w:spacing w:line="360" w:lineRule="auto"/>
        <w:rPr>
          <w:bCs/>
          <w:spacing w:val="-3"/>
        </w:rPr>
      </w:pPr>
    </w:p>
    <w:p w:rsidR="007E2B59" w:rsidRDefault="00430695" w:rsidP="00D97263">
      <w:pPr>
        <w:spacing w:line="360" w:lineRule="auto"/>
      </w:pPr>
      <w:r>
        <w:rPr>
          <w:bCs/>
          <w:spacing w:val="-3"/>
        </w:rPr>
        <w:tab/>
      </w:r>
      <w:r>
        <w:rPr>
          <w:bCs/>
          <w:spacing w:val="-3"/>
        </w:rPr>
        <w:tab/>
      </w:r>
      <w:r w:rsidR="002420E4">
        <w:t>The hearing convened as scheduled on May 20, 2013.  BI&amp;E was represented by Stephanie M. Wimer, Esquire.  BI&amp;E presented one witness, Motor Carrier Compliance Manager Robert Bingaman.  BI&amp;E offered four exhibits that were marked and admitted as I&amp;E 1</w:t>
      </w:r>
      <w:r w:rsidR="00047D45">
        <w:t> </w:t>
      </w:r>
      <w:r w:rsidR="002420E4">
        <w:t xml:space="preserve">through and including I&amp;E 4.  Craig H. Alexander, Esquire, represented the Respondent.  Respondent presented one witness, Gene </w:t>
      </w:r>
      <w:proofErr w:type="spellStart"/>
      <w:r w:rsidR="002420E4">
        <w:t>Polsinelli</w:t>
      </w:r>
      <w:proofErr w:type="spellEnd"/>
      <w:r w:rsidR="002420E4">
        <w:t>.  In addition, Respondent offered one exhibit that was marked and admitted as Respondent’s Exhibit 1.</w:t>
      </w:r>
      <w:r w:rsidR="005A032B">
        <w:t xml:space="preserve"> </w:t>
      </w:r>
      <w:r>
        <w:t xml:space="preserve"> During the hearing, the parties stipulated to certain facts.  </w:t>
      </w:r>
      <w:r>
        <w:rPr>
          <w:i/>
        </w:rPr>
        <w:t xml:space="preserve">See </w:t>
      </w:r>
      <w:r>
        <w:t xml:space="preserve">Tr. 6-7.  </w:t>
      </w:r>
      <w:r w:rsidR="002420E4">
        <w:t xml:space="preserve">No briefs were filed.  </w:t>
      </w:r>
      <w:r>
        <w:t xml:space="preserve">The record closed on </w:t>
      </w:r>
      <w:r w:rsidR="002420E4">
        <w:t xml:space="preserve">June 6, 2013.  </w:t>
      </w:r>
      <w:r>
        <w:t xml:space="preserve">  </w:t>
      </w:r>
    </w:p>
    <w:p w:rsidR="0059466F" w:rsidRDefault="007E2B59" w:rsidP="00D97263">
      <w:pPr>
        <w:spacing w:line="360" w:lineRule="auto"/>
      </w:pPr>
      <w:r>
        <w:tab/>
      </w:r>
      <w:r>
        <w:tab/>
      </w:r>
    </w:p>
    <w:p w:rsidR="0059466F" w:rsidRDefault="0059466F" w:rsidP="0059466F">
      <w:pPr>
        <w:spacing w:line="360" w:lineRule="auto"/>
        <w:jc w:val="center"/>
      </w:pPr>
      <w:r>
        <w:rPr>
          <w:u w:val="single"/>
        </w:rPr>
        <w:t>FINDINGS OF FACT</w:t>
      </w:r>
    </w:p>
    <w:p w:rsidR="0059466F" w:rsidRDefault="0059466F" w:rsidP="0059466F">
      <w:pPr>
        <w:spacing w:line="360" w:lineRule="auto"/>
      </w:pPr>
    </w:p>
    <w:p w:rsidR="0059466F" w:rsidRDefault="00090F7A" w:rsidP="0059466F">
      <w:pPr>
        <w:pStyle w:val="ListParagraph"/>
        <w:numPr>
          <w:ilvl w:val="0"/>
          <w:numId w:val="1"/>
        </w:numPr>
        <w:spacing w:line="360" w:lineRule="auto"/>
        <w:ind w:left="0" w:firstLine="1440"/>
      </w:pPr>
      <w:r>
        <w:t>On October 28, 2012, the Commission’s Secretary sent a let</w:t>
      </w:r>
      <w:r w:rsidR="0094092B">
        <w:t xml:space="preserve">ter to </w:t>
      </w:r>
      <w:proofErr w:type="gramStart"/>
      <w:r w:rsidR="0094092B">
        <w:t>Respondent  entitled</w:t>
      </w:r>
      <w:proofErr w:type="gramEnd"/>
      <w:r>
        <w:t xml:space="preserve"> “Notice of Suspension of PUC Truck Operating Authority effective 10/31/12 </w:t>
      </w:r>
      <w:r w:rsidR="0094092B">
        <w:t>f</w:t>
      </w:r>
      <w:r>
        <w:t>or expiration/cancellation of cargo.”  The letter advised that “as of 10/31/12, your PUC operating authority is SUSPENDED due to you</w:t>
      </w:r>
      <w:r w:rsidR="007B5878">
        <w:t>r</w:t>
      </w:r>
      <w:r>
        <w:t xml:space="preserve"> failure to maintain evidence of insurance on file with the Commission</w:t>
      </w:r>
      <w:proofErr w:type="gramStart"/>
      <w:r>
        <w:t xml:space="preserve">”  </w:t>
      </w:r>
      <w:r w:rsidR="00172E37">
        <w:t>(</w:t>
      </w:r>
      <w:proofErr w:type="gramEnd"/>
      <w:r>
        <w:t>I&amp;E 2</w:t>
      </w:r>
      <w:r w:rsidR="00172E37">
        <w:t>)</w:t>
      </w:r>
      <w:r>
        <w:t xml:space="preserve">.    </w:t>
      </w:r>
      <w:r w:rsidR="007E5284">
        <w:t xml:space="preserve">  </w:t>
      </w:r>
      <w:r w:rsidR="0059466F">
        <w:t xml:space="preserve"> </w:t>
      </w:r>
    </w:p>
    <w:p w:rsidR="0059466F" w:rsidRDefault="0059466F" w:rsidP="0059466F">
      <w:pPr>
        <w:pStyle w:val="ListParagraph"/>
        <w:spacing w:line="360" w:lineRule="auto"/>
        <w:ind w:left="1440"/>
      </w:pPr>
    </w:p>
    <w:p w:rsidR="00090F7A" w:rsidRDefault="00B07368" w:rsidP="0059466F">
      <w:pPr>
        <w:pStyle w:val="ListParagraph"/>
        <w:numPr>
          <w:ilvl w:val="0"/>
          <w:numId w:val="1"/>
        </w:numPr>
        <w:spacing w:line="360" w:lineRule="auto"/>
        <w:ind w:left="0" w:firstLine="1440"/>
      </w:pPr>
      <w:r>
        <w:t xml:space="preserve">On </w:t>
      </w:r>
      <w:r w:rsidR="00090F7A">
        <w:t>October 28, 2012, the Commission’s Secretary also sent a letter to Respondent entitled “NOTICE TO LIFT SUSPENSION OF PUC OPERATING AUTHORITY.”  The letter provided as follows:</w:t>
      </w:r>
    </w:p>
    <w:p w:rsidR="00622630" w:rsidRDefault="00622630" w:rsidP="00090F7A">
      <w:pPr>
        <w:pStyle w:val="ListParagraph"/>
        <w:ind w:left="1440"/>
      </w:pPr>
    </w:p>
    <w:p w:rsidR="0094092B" w:rsidRDefault="00090F7A" w:rsidP="00090F7A">
      <w:pPr>
        <w:pStyle w:val="ListParagraph"/>
        <w:ind w:left="1440"/>
      </w:pPr>
      <w:r>
        <w:t xml:space="preserve">This is to notify you that, as of the above date, the suspension of your operating authority is hereby </w:t>
      </w:r>
      <w:r w:rsidRPr="0094092B">
        <w:t>lifted</w:t>
      </w:r>
      <w:r>
        <w:t>.  We have received evidence of Liability insurance coverage</w:t>
      </w:r>
      <w:r w:rsidR="0094092B">
        <w:t xml:space="preserve">.  </w:t>
      </w:r>
      <w:r w:rsidR="0094092B" w:rsidRPr="0094092B">
        <w:t>You may immediately resume operations</w:t>
      </w:r>
      <w:r w:rsidR="0094092B">
        <w:t>.</w:t>
      </w:r>
    </w:p>
    <w:p w:rsidR="0094092B" w:rsidRDefault="0094092B" w:rsidP="00090F7A">
      <w:pPr>
        <w:pStyle w:val="ListParagraph"/>
        <w:ind w:left="1440"/>
      </w:pPr>
    </w:p>
    <w:p w:rsidR="0094092B" w:rsidRDefault="0094092B" w:rsidP="00090F7A">
      <w:pPr>
        <w:pStyle w:val="ListParagraph"/>
        <w:ind w:left="1440"/>
      </w:pPr>
      <w:r>
        <w:t xml:space="preserve">If you have any questions regarding this notice, please contact the Motor Carrier Services and Enforcement Division in the Bureau of Investigation and Enforcement... </w:t>
      </w:r>
      <w:proofErr w:type="gramStart"/>
      <w:r w:rsidR="00172E37">
        <w:t>(</w:t>
      </w:r>
      <w:r>
        <w:t>Respondents Exhibit 1</w:t>
      </w:r>
      <w:r w:rsidR="00172E37">
        <w:t>)</w:t>
      </w:r>
      <w:r>
        <w:t>.</w:t>
      </w:r>
      <w:proofErr w:type="gramEnd"/>
    </w:p>
    <w:p w:rsidR="00A24357" w:rsidRDefault="00A24357" w:rsidP="00FB5F3F">
      <w:pPr>
        <w:pStyle w:val="ListParagraph"/>
        <w:spacing w:line="360" w:lineRule="auto"/>
      </w:pPr>
    </w:p>
    <w:p w:rsidR="00A24357" w:rsidRDefault="0094092B" w:rsidP="0059466F">
      <w:pPr>
        <w:pStyle w:val="ListParagraph"/>
        <w:numPr>
          <w:ilvl w:val="0"/>
          <w:numId w:val="1"/>
        </w:numPr>
        <w:spacing w:line="360" w:lineRule="auto"/>
        <w:ind w:left="0" w:firstLine="1440"/>
      </w:pPr>
      <w:r>
        <w:lastRenderedPageBreak/>
        <w:t xml:space="preserve">Respondent’s President, Gene </w:t>
      </w:r>
      <w:proofErr w:type="spellStart"/>
      <w:r>
        <w:t>Polsinelli</w:t>
      </w:r>
      <w:proofErr w:type="spellEnd"/>
      <w:r>
        <w:t>, received both letters from the Commission’s Secretary the same day</w:t>
      </w:r>
      <w:r w:rsidR="005A3647">
        <w:t>.  He</w:t>
      </w:r>
      <w:r>
        <w:t xml:space="preserve"> believed, after reading both letters</w:t>
      </w:r>
      <w:r w:rsidR="005A3647">
        <w:t>,</w:t>
      </w:r>
      <w:r>
        <w:t xml:space="preserve"> that the suspension letter was a mistake, </w:t>
      </w:r>
      <w:r w:rsidR="00D32EFD">
        <w:t xml:space="preserve">and </w:t>
      </w:r>
      <w:r>
        <w:t xml:space="preserve">that the Commission rectified the mistake by sending him the letter lifting the suspension.  Mr. </w:t>
      </w:r>
      <w:proofErr w:type="spellStart"/>
      <w:r>
        <w:t>Pol</w:t>
      </w:r>
      <w:bookmarkStart w:id="0" w:name="_GoBack"/>
      <w:bookmarkEnd w:id="0"/>
      <w:r>
        <w:t>sinelli</w:t>
      </w:r>
      <w:proofErr w:type="spellEnd"/>
      <w:r>
        <w:t xml:space="preserve"> believed after reviewing both letters that </w:t>
      </w:r>
      <w:r w:rsidR="005A3647">
        <w:t xml:space="preserve">Respondent </w:t>
      </w:r>
      <w:r>
        <w:t>was in compliance with the Commission’s insurance requirement</w:t>
      </w:r>
      <w:r w:rsidR="00172E37">
        <w:t>s (</w:t>
      </w:r>
      <w:r w:rsidR="00D32EFD">
        <w:t>Tr. 27-32</w:t>
      </w:r>
      <w:r w:rsidR="00172E37">
        <w:t>)</w:t>
      </w:r>
      <w:r w:rsidR="009331A0">
        <w:t xml:space="preserve">.  </w:t>
      </w:r>
    </w:p>
    <w:p w:rsidR="00A24357" w:rsidRDefault="00A24357" w:rsidP="00FB5F3F">
      <w:pPr>
        <w:pStyle w:val="ListParagraph"/>
        <w:spacing w:line="360" w:lineRule="auto"/>
      </w:pPr>
    </w:p>
    <w:p w:rsidR="007A6F64" w:rsidRDefault="007A6F64" w:rsidP="0059466F">
      <w:pPr>
        <w:pStyle w:val="ListParagraph"/>
        <w:numPr>
          <w:ilvl w:val="0"/>
          <w:numId w:val="1"/>
        </w:numPr>
        <w:spacing w:line="360" w:lineRule="auto"/>
        <w:ind w:left="0" w:firstLine="1440"/>
      </w:pPr>
      <w:r>
        <w:t xml:space="preserve">On or about November 27, 2012, BI&amp;E filed the instant complaint and it was served on Respondent.  Mr. </w:t>
      </w:r>
      <w:proofErr w:type="spellStart"/>
      <w:r>
        <w:t>Polsinelli</w:t>
      </w:r>
      <w:proofErr w:type="spellEnd"/>
      <w:r>
        <w:t xml:space="preserve"> was not aware of any compliance issues prior to receiving the complaint.  After receiving the complaint, Mr. </w:t>
      </w:r>
      <w:proofErr w:type="spellStart"/>
      <w:r>
        <w:t>Polsinelli</w:t>
      </w:r>
      <w:proofErr w:type="spellEnd"/>
      <w:r>
        <w:t xml:space="preserve"> acted promptly and proactively.  He notified Respondent’s insurance carrier and proof of cargo liability insurance was provided on December 3, 2012 </w:t>
      </w:r>
      <w:r w:rsidR="00172E37">
        <w:t>(</w:t>
      </w:r>
      <w:r>
        <w:t>Tr.</w:t>
      </w:r>
      <w:r w:rsidR="00EA2F7B">
        <w:t xml:space="preserve"> </w:t>
      </w:r>
      <w:r>
        <w:t>16, 23, 27-32; I&amp;E 4</w:t>
      </w:r>
      <w:r w:rsidR="00172E37">
        <w:t>)</w:t>
      </w:r>
      <w:r>
        <w:t xml:space="preserve">.   </w:t>
      </w:r>
    </w:p>
    <w:p w:rsidR="00A24357" w:rsidRDefault="00AE206E" w:rsidP="007A6F64">
      <w:pPr>
        <w:pStyle w:val="ListParagraph"/>
        <w:spacing w:line="360" w:lineRule="auto"/>
        <w:ind w:left="1440"/>
      </w:pPr>
      <w:r>
        <w:t xml:space="preserve">  </w:t>
      </w:r>
    </w:p>
    <w:p w:rsidR="007234F3" w:rsidRDefault="00172E37" w:rsidP="0059466F">
      <w:pPr>
        <w:pStyle w:val="ListParagraph"/>
        <w:numPr>
          <w:ilvl w:val="0"/>
          <w:numId w:val="1"/>
        </w:numPr>
        <w:spacing w:line="360" w:lineRule="auto"/>
        <w:ind w:left="0" w:firstLine="1440"/>
      </w:pPr>
      <w:r>
        <w:t xml:space="preserve">Respondent had cargo </w:t>
      </w:r>
      <w:r w:rsidR="00361F47">
        <w:t xml:space="preserve">liability </w:t>
      </w:r>
      <w:r>
        <w:t>insurance even though the Commission did not</w:t>
      </w:r>
      <w:r w:rsidR="00124C5D">
        <w:t xml:space="preserve"> have </w:t>
      </w:r>
      <w:r>
        <w:t xml:space="preserve">proof of coverage until December 3, 2012.  There was no lapse in Respondent’s cargo insurance coverage (Tr. 6-7, 24).  </w:t>
      </w:r>
      <w:r w:rsidR="005C3AEA">
        <w:t xml:space="preserve">   </w:t>
      </w:r>
    </w:p>
    <w:p w:rsidR="00AF2AAB" w:rsidRDefault="00AF2AAB" w:rsidP="00FB5F3F">
      <w:pPr>
        <w:pStyle w:val="ListParagraph"/>
        <w:spacing w:line="360" w:lineRule="auto"/>
      </w:pPr>
    </w:p>
    <w:p w:rsidR="00AF2AAB" w:rsidRDefault="00172E37" w:rsidP="0059466F">
      <w:pPr>
        <w:pStyle w:val="ListParagraph"/>
        <w:numPr>
          <w:ilvl w:val="0"/>
          <w:numId w:val="1"/>
        </w:numPr>
        <w:spacing w:line="360" w:lineRule="auto"/>
        <w:ind w:left="0" w:firstLine="1440"/>
      </w:pPr>
      <w:r>
        <w:t xml:space="preserve">Respondent never received Notice of Suspension of operating privileges for expiration/cancellation of liability insurance (Tr. 7).  </w:t>
      </w:r>
      <w:r w:rsidR="008172FE">
        <w:t xml:space="preserve">  </w:t>
      </w:r>
    </w:p>
    <w:p w:rsidR="001D341C" w:rsidRDefault="001D341C" w:rsidP="001D341C">
      <w:pPr>
        <w:pStyle w:val="ListParagraph"/>
        <w:spacing w:line="360" w:lineRule="auto"/>
        <w:ind w:left="1440"/>
      </w:pPr>
    </w:p>
    <w:p w:rsidR="001D341C" w:rsidRDefault="00172E37" w:rsidP="0059466F">
      <w:pPr>
        <w:pStyle w:val="ListParagraph"/>
        <w:numPr>
          <w:ilvl w:val="0"/>
          <w:numId w:val="1"/>
        </w:numPr>
        <w:spacing w:line="360" w:lineRule="auto"/>
        <w:ind w:left="0" w:firstLine="1440"/>
      </w:pPr>
      <w:r>
        <w:t xml:space="preserve">As of May 20, 2013, Respondent did not have any other violations or alleged violations of Commission regulations (Tr. 20).  </w:t>
      </w:r>
    </w:p>
    <w:p w:rsidR="00B21021" w:rsidRDefault="00766870" w:rsidP="008302A9">
      <w:pPr>
        <w:spacing w:line="360" w:lineRule="auto"/>
      </w:pPr>
      <w:r>
        <w:t xml:space="preserve">   </w:t>
      </w:r>
    </w:p>
    <w:p w:rsidR="00B21021" w:rsidRDefault="00B21021" w:rsidP="003415C3">
      <w:pPr>
        <w:spacing w:line="360" w:lineRule="auto"/>
        <w:jc w:val="center"/>
      </w:pPr>
      <w:r>
        <w:rPr>
          <w:u w:val="single"/>
        </w:rPr>
        <w:t>DISCUSSION</w:t>
      </w:r>
    </w:p>
    <w:p w:rsidR="003C4D08" w:rsidRDefault="003C4D08" w:rsidP="00B21021">
      <w:pPr>
        <w:spacing w:line="360" w:lineRule="auto"/>
      </w:pPr>
    </w:p>
    <w:p w:rsidR="00361F47" w:rsidRDefault="00361F47" w:rsidP="00361F47">
      <w:pPr>
        <w:tabs>
          <w:tab w:val="left" w:pos="-720"/>
        </w:tabs>
        <w:suppressAutoHyphens/>
        <w:spacing w:line="360" w:lineRule="auto"/>
        <w:ind w:firstLine="1440"/>
      </w:pPr>
      <w:r>
        <w:t xml:space="preserve">BI&amp;E bears </w:t>
      </w:r>
      <w:r w:rsidRPr="00960D05">
        <w:t>the burden of proof</w:t>
      </w:r>
      <w:r>
        <w:t xml:space="preserve"> in this complaint proceeding.</w:t>
      </w:r>
      <w:r w:rsidRPr="00960D05">
        <w:t xml:space="preserve">  </w:t>
      </w:r>
      <w:proofErr w:type="gramStart"/>
      <w:r w:rsidRPr="00960D05">
        <w:t>66 Pa. C.S. §332(a).</w:t>
      </w:r>
      <w:proofErr w:type="gramEnd"/>
      <w:r w:rsidRPr="00960D05">
        <w:t xml:space="preserve"> </w:t>
      </w:r>
      <w:r>
        <w:t xml:space="preserve"> </w:t>
      </w:r>
      <w:r w:rsidRPr="00960D05">
        <w:t xml:space="preserve">To satisfy </w:t>
      </w:r>
      <w:r>
        <w:t>this burden,</w:t>
      </w:r>
      <w:r w:rsidRPr="00960D05">
        <w:t xml:space="preserve"> </w:t>
      </w:r>
      <w:r>
        <w:t>BI&amp;E</w:t>
      </w:r>
      <w:r w:rsidRPr="00960D05">
        <w:t xml:space="preserve"> must demonstrate that </w:t>
      </w:r>
      <w:r>
        <w:t>Respondent</w:t>
      </w:r>
      <w:r w:rsidRPr="00960D05">
        <w:t xml:space="preserve"> violated the Public Utility Code</w:t>
      </w:r>
      <w:r>
        <w:t xml:space="preserve"> (the Code), </w:t>
      </w:r>
      <w:r>
        <w:rPr>
          <w:bCs/>
          <w:spacing w:val="-3"/>
        </w:rPr>
        <w:t xml:space="preserve">66 Pa. C.S. §101 </w:t>
      </w:r>
      <w:proofErr w:type="gramStart"/>
      <w:r>
        <w:rPr>
          <w:bCs/>
          <w:i/>
          <w:spacing w:val="-3"/>
        </w:rPr>
        <w:t>et</w:t>
      </w:r>
      <w:proofErr w:type="gramEnd"/>
      <w:r>
        <w:rPr>
          <w:bCs/>
          <w:i/>
          <w:spacing w:val="-3"/>
        </w:rPr>
        <w:t xml:space="preserve"> </w:t>
      </w:r>
      <w:proofErr w:type="spellStart"/>
      <w:r>
        <w:rPr>
          <w:bCs/>
          <w:i/>
          <w:spacing w:val="-3"/>
        </w:rPr>
        <w:t>seq</w:t>
      </w:r>
      <w:proofErr w:type="spellEnd"/>
      <w:r>
        <w:rPr>
          <w:bCs/>
          <w:spacing w:val="-3"/>
        </w:rPr>
        <w:t xml:space="preserve">, </w:t>
      </w:r>
      <w:r w:rsidRPr="00960D05">
        <w:t xml:space="preserve">a </w:t>
      </w:r>
      <w:r>
        <w:t xml:space="preserve">Commission </w:t>
      </w:r>
      <w:r w:rsidRPr="00960D05">
        <w:t xml:space="preserve">regulation or </w:t>
      </w:r>
      <w:r>
        <w:t xml:space="preserve">a Commission </w:t>
      </w:r>
      <w:r w:rsidRPr="00960D05">
        <w:t>Order</w:t>
      </w:r>
      <w:r>
        <w:t xml:space="preserve">.  </w:t>
      </w:r>
      <w:r w:rsidRPr="00960D05">
        <w:t xml:space="preserve">This must be shown by a preponderance of the evidence.  </w:t>
      </w:r>
      <w:proofErr w:type="gramStart"/>
      <w:r w:rsidRPr="00960D05">
        <w:t>66</w:t>
      </w:r>
      <w:r>
        <w:t> </w:t>
      </w:r>
      <w:r w:rsidRPr="00960D05">
        <w:t xml:space="preserve">Pa. C.S. §701; </w:t>
      </w:r>
      <w:r w:rsidRPr="00960D05">
        <w:rPr>
          <w:u w:val="single"/>
        </w:rPr>
        <w:t>Patterson v. Bell Telephone Company of Pennsylvania</w:t>
      </w:r>
      <w:r w:rsidRPr="00960D05">
        <w:t>, 72 PA PUC 196 (1990).</w:t>
      </w:r>
      <w:proofErr w:type="gramEnd"/>
      <w:r w:rsidRPr="00960D05">
        <w:t xml:space="preserve">  Preponderance of the evidence means that the party with the burden of proof has presented evidence that is more </w:t>
      </w:r>
      <w:r w:rsidRPr="00960D05">
        <w:lastRenderedPageBreak/>
        <w:t xml:space="preserve">convincing, by even the smallest amount, than that presented by the other party.  </w:t>
      </w:r>
      <w:proofErr w:type="gramStart"/>
      <w:r w:rsidRPr="00960D05">
        <w:rPr>
          <w:u w:val="single"/>
        </w:rPr>
        <w:t xml:space="preserve">Samuel J. </w:t>
      </w:r>
      <w:proofErr w:type="spellStart"/>
      <w:r w:rsidRPr="00960D05">
        <w:rPr>
          <w:u w:val="single"/>
        </w:rPr>
        <w:t>Lansberry</w:t>
      </w:r>
      <w:proofErr w:type="spellEnd"/>
      <w:r w:rsidRPr="00960D05">
        <w:rPr>
          <w:u w:val="single"/>
        </w:rPr>
        <w:t>, Inc. v. Pa. P.U.C.</w:t>
      </w:r>
      <w:r w:rsidRPr="00960D05">
        <w:t xml:space="preserve">, 578 A.2d 600, 602, </w:t>
      </w:r>
      <w:proofErr w:type="spellStart"/>
      <w:r w:rsidRPr="00960D05">
        <w:rPr>
          <w:u w:val="single"/>
        </w:rPr>
        <w:t>alloc</w:t>
      </w:r>
      <w:proofErr w:type="spellEnd"/>
      <w:r w:rsidRPr="00960D05">
        <w:rPr>
          <w:u w:val="single"/>
        </w:rPr>
        <w:t>.</w:t>
      </w:r>
      <w:proofErr w:type="gramEnd"/>
      <w:r w:rsidRPr="00960D05">
        <w:rPr>
          <w:u w:val="single"/>
        </w:rPr>
        <w:t xml:space="preserve"> </w:t>
      </w:r>
      <w:proofErr w:type="gramStart"/>
      <w:r w:rsidRPr="00960D05">
        <w:rPr>
          <w:u w:val="single"/>
        </w:rPr>
        <w:t>den.</w:t>
      </w:r>
      <w:r>
        <w:t>, 602 A.2d 863 (1992).</w:t>
      </w:r>
      <w:proofErr w:type="gramEnd"/>
    </w:p>
    <w:p w:rsidR="00361F47" w:rsidRDefault="00361F47" w:rsidP="00361F47">
      <w:pPr>
        <w:tabs>
          <w:tab w:val="left" w:pos="-720"/>
        </w:tabs>
        <w:suppressAutoHyphens/>
        <w:spacing w:line="360" w:lineRule="auto"/>
      </w:pPr>
    </w:p>
    <w:p w:rsidR="00361F47" w:rsidRDefault="00361F47" w:rsidP="00361F47">
      <w:pPr>
        <w:tabs>
          <w:tab w:val="left" w:pos="-720"/>
        </w:tabs>
        <w:suppressAutoHyphens/>
        <w:spacing w:line="360" w:lineRule="auto"/>
      </w:pPr>
      <w:r>
        <w:tab/>
      </w:r>
      <w:r>
        <w:tab/>
      </w:r>
      <w:r w:rsidRPr="00960D05">
        <w:t xml:space="preserve">In addition, the Commission’s findings of fact must be supported by “substantial evidence,” which consists of evidence that a reasonable mind might accept as adequate to support a conclusion.  A mere “trace of evidence or a suspicion of the existence of a fact” is insufficient.  </w:t>
      </w:r>
      <w:proofErr w:type="gramStart"/>
      <w:r w:rsidRPr="00960D05">
        <w:rPr>
          <w:u w:val="single"/>
        </w:rPr>
        <w:t>Norfolk and Western Railway v. Pa. P.U.C.</w:t>
      </w:r>
      <w:r w:rsidRPr="00960D05">
        <w:t>, 489 Pa. 109, 413 A.2d 1037 (1980).</w:t>
      </w:r>
      <w:proofErr w:type="gramEnd"/>
      <w:r>
        <w:tab/>
      </w:r>
    </w:p>
    <w:p w:rsidR="00361F47" w:rsidRDefault="00361F47" w:rsidP="00361F47">
      <w:pPr>
        <w:tabs>
          <w:tab w:val="left" w:pos="-720"/>
        </w:tabs>
        <w:suppressAutoHyphens/>
        <w:spacing w:line="360" w:lineRule="auto"/>
      </w:pPr>
    </w:p>
    <w:p w:rsidR="0096131A" w:rsidRDefault="00361F47" w:rsidP="00361F47">
      <w:pPr>
        <w:tabs>
          <w:tab w:val="left" w:pos="-720"/>
        </w:tabs>
        <w:suppressAutoHyphens/>
        <w:spacing w:line="360" w:lineRule="auto"/>
      </w:pPr>
      <w:r>
        <w:tab/>
      </w:r>
      <w:r>
        <w:tab/>
        <w:t xml:space="preserve">BI&amp;E argues that Respondent failed to provide the Commission proof of cargo liability insurance in a timely manner.  </w:t>
      </w:r>
      <w:r>
        <w:rPr>
          <w:i/>
        </w:rPr>
        <w:t>See</w:t>
      </w:r>
      <w:r>
        <w:t xml:space="preserve"> </w:t>
      </w:r>
      <w:proofErr w:type="gramStart"/>
      <w:r>
        <w:t>I&amp;E</w:t>
      </w:r>
      <w:proofErr w:type="gramEnd"/>
      <w:r>
        <w:t xml:space="preserve"> 2.  </w:t>
      </w:r>
      <w:r w:rsidR="0096131A">
        <w:t xml:space="preserve">There is no doubt that the Commission’s records did not contain evidence of cargo liability insurance on October 31, 2012 or any time prior to the filing of this complaint against Respondent.  Also, proof of cargo liability insurance was not contained in the National Online Registry (NOR) prior to the filing of the complaint.  </w:t>
      </w:r>
      <w:r w:rsidR="0096131A">
        <w:rPr>
          <w:i/>
        </w:rPr>
        <w:t xml:space="preserve">See </w:t>
      </w:r>
      <w:r w:rsidR="0096131A" w:rsidRPr="0096131A">
        <w:t>Tr</w:t>
      </w:r>
      <w:r w:rsidR="0096131A">
        <w:t xml:space="preserve">. 10, 16; I&amp;E 4.     </w:t>
      </w:r>
    </w:p>
    <w:p w:rsidR="0096131A" w:rsidRDefault="0096131A" w:rsidP="00361F47">
      <w:pPr>
        <w:tabs>
          <w:tab w:val="left" w:pos="-720"/>
        </w:tabs>
        <w:suppressAutoHyphens/>
        <w:spacing w:line="360" w:lineRule="auto"/>
      </w:pPr>
    </w:p>
    <w:p w:rsidR="00F35C47" w:rsidRDefault="0096131A" w:rsidP="00361F47">
      <w:pPr>
        <w:tabs>
          <w:tab w:val="left" w:pos="-720"/>
        </w:tabs>
        <w:suppressAutoHyphens/>
        <w:spacing w:line="360" w:lineRule="auto"/>
      </w:pPr>
      <w:r>
        <w:tab/>
      </w:r>
      <w:r>
        <w:tab/>
        <w:t xml:space="preserve">Respondent’s cargo liability coverage never lapsed.  The critical undisputed fact in this case is that Respondent’s insurance carrier provided proof of Respondent’s cargo liability coverage on December 3, 2012.  The issue here is whether Respondent violated </w:t>
      </w:r>
      <w:r w:rsidR="00F35C47">
        <w:t xml:space="preserve">the Public Utility Code (the Code), 66 Pa. C.S. §101 </w:t>
      </w:r>
      <w:r w:rsidR="00F35C47">
        <w:rPr>
          <w:i/>
        </w:rPr>
        <w:t>et seq.</w:t>
      </w:r>
      <w:r w:rsidR="00F35C47">
        <w:t>,</w:t>
      </w:r>
      <w:r w:rsidR="00F35C47">
        <w:rPr>
          <w:i/>
        </w:rPr>
        <w:t xml:space="preserve"> </w:t>
      </w:r>
      <w:r w:rsidR="00F35C47">
        <w:t>or a Commission regulation, because the Commission’s records and the NOR did not contain proof of cargo liability insurance on October</w:t>
      </w:r>
      <w:r w:rsidR="008C1F08">
        <w:t> </w:t>
      </w:r>
      <w:r w:rsidR="00F35C47">
        <w:t xml:space="preserve">31, 2012 or prior to December 3, 2012.  </w:t>
      </w:r>
    </w:p>
    <w:p w:rsidR="006B55D0" w:rsidRDefault="006B55D0" w:rsidP="00361F47">
      <w:pPr>
        <w:tabs>
          <w:tab w:val="left" w:pos="-720"/>
        </w:tabs>
        <w:suppressAutoHyphens/>
        <w:spacing w:line="360" w:lineRule="auto"/>
      </w:pPr>
    </w:p>
    <w:p w:rsidR="00523617" w:rsidRDefault="006B55D0" w:rsidP="00361F47">
      <w:pPr>
        <w:tabs>
          <w:tab w:val="left" w:pos="-720"/>
        </w:tabs>
        <w:suppressAutoHyphens/>
        <w:spacing w:line="360" w:lineRule="auto"/>
      </w:pPr>
      <w:r>
        <w:tab/>
      </w:r>
      <w:r>
        <w:tab/>
      </w:r>
      <w:r w:rsidR="00523617">
        <w:t>“</w:t>
      </w:r>
      <w:r>
        <w:t>The Commission may, as to motor carriers, prescribe, by regulation or order, such requirements as it may deem necessary for the protection of persons or property of their patrons and the public, including the filing of surety bonds, the carrying of insurance…</w:t>
      </w:r>
      <w:r w:rsidR="00523617">
        <w:t>”</w:t>
      </w:r>
      <w:r>
        <w:t xml:space="preserve"> 66 Pa. C.S. §512.</w:t>
      </w:r>
      <w:r w:rsidR="00523617">
        <w:t xml:space="preserve">  Section 32.2(h) of the Commission’s regulations provides that</w:t>
      </w:r>
      <w:r w:rsidR="00F71165">
        <w:t>:</w:t>
      </w:r>
    </w:p>
    <w:p w:rsidR="002700BB" w:rsidRDefault="002700BB" w:rsidP="00523617">
      <w:pPr>
        <w:tabs>
          <w:tab w:val="left" w:pos="-720"/>
        </w:tabs>
        <w:suppressAutoHyphens/>
        <w:ind w:left="1440" w:right="1440"/>
      </w:pPr>
    </w:p>
    <w:p w:rsidR="006B55D0" w:rsidRDefault="00523617" w:rsidP="00523617">
      <w:pPr>
        <w:tabs>
          <w:tab w:val="left" w:pos="-720"/>
        </w:tabs>
        <w:suppressAutoHyphens/>
        <w:ind w:left="1440" w:right="1440"/>
      </w:pPr>
      <w:r>
        <w:t xml:space="preserve">Failure to maintain evidence of insurance on file with the Commission in accordance with this chapter shall cause the immediate suspension of the rights and privileges conferred by a certificate of public convenience or permit held by the motor carrier. The Commission may establish rules under which </w:t>
      </w:r>
      <w:r>
        <w:lastRenderedPageBreak/>
        <w:t xml:space="preserve">suspended rights and privileges may be temporarily reinstated pending compliance with this chapter.  </w:t>
      </w:r>
    </w:p>
    <w:p w:rsidR="00A97BF1" w:rsidRDefault="00A97BF1" w:rsidP="00A97BF1">
      <w:pPr>
        <w:tabs>
          <w:tab w:val="left" w:pos="-720"/>
        </w:tabs>
        <w:suppressAutoHyphens/>
      </w:pPr>
    </w:p>
    <w:p w:rsidR="00523617" w:rsidRDefault="00523617" w:rsidP="00523617">
      <w:pPr>
        <w:tabs>
          <w:tab w:val="left" w:pos="-720"/>
        </w:tabs>
        <w:suppressAutoHyphens/>
        <w:spacing w:line="360" w:lineRule="auto"/>
      </w:pPr>
      <w:proofErr w:type="gramStart"/>
      <w:r>
        <w:t>52 Pa. Code §32.2(h).</w:t>
      </w:r>
      <w:proofErr w:type="gramEnd"/>
      <w:r>
        <w:t xml:space="preserve"> </w:t>
      </w:r>
    </w:p>
    <w:p w:rsidR="00523617" w:rsidRDefault="00523617" w:rsidP="00523617">
      <w:pPr>
        <w:tabs>
          <w:tab w:val="left" w:pos="-720"/>
        </w:tabs>
        <w:suppressAutoHyphens/>
        <w:spacing w:line="360" w:lineRule="auto"/>
      </w:pPr>
    </w:p>
    <w:p w:rsidR="00523617" w:rsidRDefault="00523617" w:rsidP="00523617">
      <w:pPr>
        <w:tabs>
          <w:tab w:val="left" w:pos="-720"/>
        </w:tabs>
        <w:suppressAutoHyphens/>
        <w:spacing w:line="360" w:lineRule="auto"/>
      </w:pPr>
      <w:r>
        <w:tab/>
      </w:r>
      <w:r>
        <w:tab/>
        <w:t xml:space="preserve">Cargo liability insurance is required by Section 32.13 of the Commission’s regulations.  </w:t>
      </w:r>
      <w:proofErr w:type="gramStart"/>
      <w:r>
        <w:t>52 Pa. Code §32.13.</w:t>
      </w:r>
      <w:proofErr w:type="gramEnd"/>
      <w:r>
        <w:t xml:space="preserve">  Section 32.13(a) provides as follows:</w:t>
      </w:r>
    </w:p>
    <w:p w:rsidR="00323A64" w:rsidRDefault="00323A64" w:rsidP="00523617">
      <w:pPr>
        <w:tabs>
          <w:tab w:val="left" w:pos="-720"/>
        </w:tabs>
        <w:suppressAutoHyphens/>
        <w:ind w:left="1440" w:right="1440"/>
      </w:pPr>
    </w:p>
    <w:p w:rsidR="00523617" w:rsidRDefault="00523617" w:rsidP="00523617">
      <w:pPr>
        <w:tabs>
          <w:tab w:val="left" w:pos="-720"/>
        </w:tabs>
        <w:suppressAutoHyphens/>
        <w:ind w:left="1440" w:right="1440"/>
      </w:pPr>
      <w:r>
        <w:t xml:space="preserve">(a)  A common carrier of property by motor vehicle shall file with the Commission, in addition to the public liability and property damage certificate of insurance required by § 32.12 (relating to property carrier insurance), certificates of insurance in an amount satisfactory to the Commission, but not less than $5,000 to provide payment for loss or damage to cargo carried on a motor vehicle. No motor vehicle may be operated unless the insurance policy or other approved method of protection is in effect at the time of operation. This section may not be modified or abrogated by tariff filings. The Commission may approve another method of cargo protection in specific cases.   </w:t>
      </w:r>
    </w:p>
    <w:p w:rsidR="00523617" w:rsidRDefault="00523617" w:rsidP="00523617">
      <w:pPr>
        <w:tabs>
          <w:tab w:val="left" w:pos="-720"/>
        </w:tabs>
        <w:suppressAutoHyphens/>
        <w:spacing w:line="360" w:lineRule="auto"/>
      </w:pPr>
    </w:p>
    <w:p w:rsidR="00F35C47" w:rsidRDefault="00523617" w:rsidP="00523617">
      <w:pPr>
        <w:tabs>
          <w:tab w:val="left" w:pos="-720"/>
        </w:tabs>
        <w:suppressAutoHyphens/>
        <w:spacing w:line="360" w:lineRule="auto"/>
      </w:pPr>
      <w:proofErr w:type="gramStart"/>
      <w:r>
        <w:t>52 Pa. Code §32.13(a).</w:t>
      </w:r>
      <w:proofErr w:type="gramEnd"/>
    </w:p>
    <w:p w:rsidR="00523617" w:rsidRDefault="00523617" w:rsidP="00523617">
      <w:pPr>
        <w:tabs>
          <w:tab w:val="left" w:pos="-720"/>
        </w:tabs>
        <w:suppressAutoHyphens/>
        <w:spacing w:line="360" w:lineRule="auto"/>
      </w:pPr>
    </w:p>
    <w:p w:rsidR="00523617" w:rsidRDefault="00523617" w:rsidP="00523617">
      <w:pPr>
        <w:tabs>
          <w:tab w:val="left" w:pos="-720"/>
        </w:tabs>
        <w:suppressAutoHyphens/>
        <w:spacing w:line="360" w:lineRule="auto"/>
      </w:pPr>
      <w:r>
        <w:tab/>
      </w:r>
      <w:r>
        <w:tab/>
      </w:r>
      <w:r w:rsidR="00621DEC">
        <w:t xml:space="preserve">Respondent did not violate the Code, a Commission regulation or any Commission Order here.  The reason Respondent did not provide proof of cargo liability insurance prior to December 3, 2012, despite receiving the Notice of Suspension of PUC Truck Operating Authority, dated October 28, 2012, was that Respondent received a second letter from the Commission’s Secretary dated the same day captioned: </w:t>
      </w:r>
      <w:r w:rsidR="00AE029D">
        <w:t xml:space="preserve"> </w:t>
      </w:r>
      <w:r w:rsidR="00621DEC">
        <w:t>Notice to Lift Suspension of PUC Operating Authority.  This second letter led Respondent’s President to believe there was no regulatory compliance issue.  Based on a reading of the two letters, side-by side, his reliance was justified.</w:t>
      </w:r>
      <w:r w:rsidR="00677198">
        <w:t xml:space="preserve">  </w:t>
      </w:r>
      <w:r w:rsidR="00621DEC">
        <w:t xml:space="preserve">     </w:t>
      </w:r>
    </w:p>
    <w:p w:rsidR="00621DEC" w:rsidRDefault="00621DEC" w:rsidP="00523617">
      <w:pPr>
        <w:tabs>
          <w:tab w:val="left" w:pos="-720"/>
        </w:tabs>
        <w:suppressAutoHyphens/>
        <w:spacing w:line="360" w:lineRule="auto"/>
      </w:pPr>
    </w:p>
    <w:p w:rsidR="007D6BF3" w:rsidRDefault="00621DEC" w:rsidP="00B462C9">
      <w:pPr>
        <w:tabs>
          <w:tab w:val="left" w:pos="-720"/>
        </w:tabs>
        <w:suppressAutoHyphens/>
        <w:spacing w:line="360" w:lineRule="auto"/>
      </w:pPr>
      <w:r>
        <w:tab/>
      </w:r>
      <w:r>
        <w:tab/>
        <w:t xml:space="preserve">Mr. </w:t>
      </w:r>
      <w:proofErr w:type="spellStart"/>
      <w:r>
        <w:t>Polsinelli</w:t>
      </w:r>
      <w:proofErr w:type="spellEnd"/>
      <w:r>
        <w:t xml:space="preserve"> was a credible witness.  After reviewing the two </w:t>
      </w:r>
      <w:r w:rsidR="001238E7">
        <w:t xml:space="preserve">October 28, 2012 </w:t>
      </w:r>
      <w:r>
        <w:t xml:space="preserve">letters, had he known the Commission did not have evidence of cargo liability insurance </w:t>
      </w:r>
      <w:r w:rsidR="001238E7">
        <w:t xml:space="preserve">coverage </w:t>
      </w:r>
      <w:r>
        <w:t xml:space="preserve">in </w:t>
      </w:r>
      <w:r w:rsidR="001238E7">
        <w:t>its</w:t>
      </w:r>
      <w:r>
        <w:t xml:space="preserve"> records, he would have promptly insured that the proper evidence was filed.</w:t>
      </w:r>
      <w:r w:rsidR="001238E7">
        <w:t xml:space="preserve">  After Respondent was served with the complaint, which was filed by BI&amp;E on or about November 27, 2012, Mr. </w:t>
      </w:r>
      <w:proofErr w:type="spellStart"/>
      <w:r w:rsidR="001238E7">
        <w:t>Polsinelli</w:t>
      </w:r>
      <w:proofErr w:type="spellEnd"/>
      <w:r w:rsidR="001238E7">
        <w:t xml:space="preserve"> first became aware of the fact that the Commission did not </w:t>
      </w:r>
      <w:r w:rsidR="001238E7">
        <w:lastRenderedPageBreak/>
        <w:t xml:space="preserve">have evidence of Respondent’s cargo liability insurance coverage in its records.  He acted promptly and proactively.  </w:t>
      </w:r>
      <w:proofErr w:type="gramStart"/>
      <w:r w:rsidR="001238E7">
        <w:t>Tr. 23.</w:t>
      </w:r>
      <w:proofErr w:type="gramEnd"/>
      <w:r w:rsidR="001238E7">
        <w:t xml:space="preserve">  Respondent’s insurance carrier provided evidence of cargo liability insurance coverage on December 3, 2012.  There was no lapse in coverage.  Accordingly, the complaint is dismissed in the ordering paragraphs to follow for failure to meet the burden of proof.     </w:t>
      </w:r>
      <w:r>
        <w:t xml:space="preserve">  </w:t>
      </w:r>
      <w:r w:rsidR="00DA47AE">
        <w:tab/>
      </w:r>
      <w:r w:rsidR="002C71A9">
        <w:t xml:space="preserve"> </w:t>
      </w:r>
    </w:p>
    <w:p w:rsidR="00374A60" w:rsidRDefault="00374A60" w:rsidP="00E546FB">
      <w:pPr>
        <w:spacing w:line="360" w:lineRule="auto"/>
      </w:pPr>
    </w:p>
    <w:p w:rsidR="00C74F5A" w:rsidRDefault="00A403D4" w:rsidP="00A403D4">
      <w:pPr>
        <w:spacing w:line="360" w:lineRule="auto"/>
        <w:jc w:val="center"/>
      </w:pPr>
      <w:r>
        <w:rPr>
          <w:u w:val="single"/>
        </w:rPr>
        <w:t>CONCLUSIONS OF LAW</w:t>
      </w:r>
    </w:p>
    <w:p w:rsidR="00A403D4" w:rsidRDefault="00A403D4" w:rsidP="00A403D4">
      <w:pPr>
        <w:spacing w:line="360" w:lineRule="auto"/>
      </w:pPr>
    </w:p>
    <w:p w:rsidR="00A403D4" w:rsidRDefault="00A403D4" w:rsidP="00A403D4">
      <w:pPr>
        <w:pStyle w:val="ListParagraph"/>
        <w:numPr>
          <w:ilvl w:val="0"/>
          <w:numId w:val="2"/>
        </w:numPr>
        <w:spacing w:line="360" w:lineRule="auto"/>
        <w:ind w:left="0" w:firstLine="1440"/>
      </w:pPr>
      <w:r w:rsidRPr="004B5919">
        <w:t xml:space="preserve">The Commission has jurisdiction over the subject matter and the parties to this proceeding.  66 Pa. C.S. §§501, </w:t>
      </w:r>
      <w:r w:rsidRPr="001830D0">
        <w:rPr>
          <w:i/>
        </w:rPr>
        <w:t>et seq</w:t>
      </w:r>
      <w:r w:rsidRPr="004B5919">
        <w:t>.</w:t>
      </w:r>
    </w:p>
    <w:p w:rsidR="00EE451A" w:rsidRDefault="00EE451A" w:rsidP="00EE451A">
      <w:pPr>
        <w:pStyle w:val="ListParagraph"/>
        <w:spacing w:line="360" w:lineRule="auto"/>
        <w:ind w:left="1440"/>
      </w:pPr>
    </w:p>
    <w:p w:rsidR="00EE451A" w:rsidRDefault="00EE451A" w:rsidP="00EE451A">
      <w:pPr>
        <w:spacing w:line="360" w:lineRule="auto"/>
        <w:ind w:firstLine="1440"/>
      </w:pPr>
      <w:r>
        <w:t>2.</w:t>
      </w:r>
      <w:r>
        <w:tab/>
        <w:t xml:space="preserve">BI&amp;E </w:t>
      </w:r>
      <w:proofErr w:type="gramStart"/>
      <w:r>
        <w:t>bears</w:t>
      </w:r>
      <w:proofErr w:type="gramEnd"/>
      <w:r>
        <w:t xml:space="preserve"> the burden of proof in this proceeding.  </w:t>
      </w:r>
      <w:proofErr w:type="gramStart"/>
      <w:r>
        <w:t>66 Pa. C.S. §332(a).</w:t>
      </w:r>
      <w:proofErr w:type="gramEnd"/>
    </w:p>
    <w:p w:rsidR="00EE451A" w:rsidRDefault="00EE451A" w:rsidP="00EE451A">
      <w:pPr>
        <w:spacing w:line="360" w:lineRule="auto"/>
      </w:pPr>
    </w:p>
    <w:p w:rsidR="00EE451A" w:rsidRDefault="00EE451A" w:rsidP="00EE451A">
      <w:pPr>
        <w:suppressAutoHyphens/>
        <w:spacing w:line="360" w:lineRule="auto"/>
      </w:pPr>
      <w:r>
        <w:tab/>
      </w:r>
      <w:r>
        <w:tab/>
      </w:r>
      <w:r w:rsidRPr="00960D05">
        <w:t>3.</w:t>
      </w:r>
      <w:r w:rsidRPr="00960D05">
        <w:tab/>
        <w:t xml:space="preserve">“Burden of proof” means the duty to establish one’s case by a preponderance of the evidence, which requires that the evidence be more convincing by even the smallest amount, than the evidence presented by the other side.  </w:t>
      </w:r>
      <w:proofErr w:type="gramStart"/>
      <w:r w:rsidRPr="00960D05">
        <w:rPr>
          <w:u w:val="single"/>
        </w:rPr>
        <w:t xml:space="preserve">Samuel J. </w:t>
      </w:r>
      <w:proofErr w:type="spellStart"/>
      <w:r w:rsidRPr="00960D05">
        <w:rPr>
          <w:u w:val="single"/>
        </w:rPr>
        <w:t>Lansberry</w:t>
      </w:r>
      <w:proofErr w:type="spellEnd"/>
      <w:r w:rsidRPr="00960D05">
        <w:rPr>
          <w:u w:val="single"/>
        </w:rPr>
        <w:t>, Inc. v. Pa. P.U.C.</w:t>
      </w:r>
      <w:r w:rsidRPr="00960D05">
        <w:t xml:space="preserve">, 578 A.2d 600, 602 (1990), </w:t>
      </w:r>
      <w:proofErr w:type="spellStart"/>
      <w:r w:rsidRPr="00960D05">
        <w:rPr>
          <w:u w:val="single"/>
        </w:rPr>
        <w:t>alloc</w:t>
      </w:r>
      <w:proofErr w:type="spellEnd"/>
      <w:r w:rsidRPr="00960D05">
        <w:rPr>
          <w:u w:val="single"/>
        </w:rPr>
        <w:t>.</w:t>
      </w:r>
      <w:proofErr w:type="gramEnd"/>
      <w:r w:rsidRPr="00960D05">
        <w:rPr>
          <w:u w:val="single"/>
        </w:rPr>
        <w:t xml:space="preserve"> </w:t>
      </w:r>
      <w:proofErr w:type="gramStart"/>
      <w:r w:rsidRPr="00960D05">
        <w:rPr>
          <w:u w:val="single"/>
        </w:rPr>
        <w:t>den.</w:t>
      </w:r>
      <w:r w:rsidRPr="00960D05">
        <w:t>, 602 A.2d 863 (1992).</w:t>
      </w:r>
      <w:proofErr w:type="gramEnd"/>
    </w:p>
    <w:p w:rsidR="00EE451A" w:rsidRDefault="00EE451A" w:rsidP="00EE451A">
      <w:pPr>
        <w:suppressAutoHyphens/>
        <w:spacing w:line="360" w:lineRule="auto"/>
      </w:pPr>
    </w:p>
    <w:p w:rsidR="00EE451A" w:rsidRDefault="00EE451A" w:rsidP="00EE451A">
      <w:pPr>
        <w:suppressAutoHyphens/>
        <w:spacing w:line="360" w:lineRule="auto"/>
      </w:pPr>
      <w:r>
        <w:tab/>
      </w:r>
      <w:r>
        <w:tab/>
        <w:t>4.</w:t>
      </w:r>
      <w:r>
        <w:tab/>
        <w:t xml:space="preserve">BI&amp;E has failed to meet its burden of proof.  </w:t>
      </w:r>
      <w:proofErr w:type="gramStart"/>
      <w:r>
        <w:t>66 Pa. C.S. §332(a).</w:t>
      </w:r>
      <w:proofErr w:type="gramEnd"/>
    </w:p>
    <w:p w:rsidR="00EE451A" w:rsidRDefault="00EE451A" w:rsidP="00EE451A">
      <w:pPr>
        <w:suppressAutoHyphens/>
        <w:spacing w:line="360" w:lineRule="auto"/>
      </w:pPr>
    </w:p>
    <w:p w:rsidR="00EE451A" w:rsidRDefault="00EE451A" w:rsidP="00EE451A">
      <w:pPr>
        <w:tabs>
          <w:tab w:val="left" w:pos="-720"/>
        </w:tabs>
        <w:suppressAutoHyphens/>
        <w:spacing w:line="360" w:lineRule="auto"/>
      </w:pPr>
      <w:r>
        <w:tab/>
      </w:r>
      <w:r>
        <w:tab/>
        <w:t>5.</w:t>
      </w:r>
      <w:r>
        <w:tab/>
        <w:t xml:space="preserve">Failure to maintain evidence of insurance on file with the Commission shall cause the immediate suspension of the rights and privileges conferred by a certificate of public convenience or permit held by the motor carrier.  </w:t>
      </w:r>
      <w:proofErr w:type="gramStart"/>
      <w:r>
        <w:t>52 Pa. Code §32.2(h).</w:t>
      </w:r>
      <w:proofErr w:type="gramEnd"/>
      <w:r>
        <w:t xml:space="preserve"> </w:t>
      </w:r>
    </w:p>
    <w:p w:rsidR="00EE451A" w:rsidRDefault="00EE451A" w:rsidP="00EE451A">
      <w:pPr>
        <w:tabs>
          <w:tab w:val="left" w:pos="-720"/>
        </w:tabs>
        <w:suppressAutoHyphens/>
        <w:spacing w:line="360" w:lineRule="auto"/>
      </w:pPr>
    </w:p>
    <w:p w:rsidR="00EE451A" w:rsidRDefault="00EE451A" w:rsidP="00EE451A">
      <w:pPr>
        <w:tabs>
          <w:tab w:val="left" w:pos="-720"/>
        </w:tabs>
        <w:suppressAutoHyphens/>
        <w:spacing w:line="360" w:lineRule="auto"/>
      </w:pPr>
      <w:r>
        <w:tab/>
      </w:r>
      <w:r>
        <w:tab/>
        <w:t>6.</w:t>
      </w:r>
      <w:r>
        <w:tab/>
        <w:t xml:space="preserve">A common carrier of property by motor vehicle </w:t>
      </w:r>
      <w:r w:rsidR="003B5AD6">
        <w:t xml:space="preserve">shall file with the Commission </w:t>
      </w:r>
      <w:r>
        <w:t>certificates of insurance in an amount satisfactory to the Commission, but not less than $5,000 to provide payment for loss or damage to cargo carried on a motor vehicle.</w:t>
      </w:r>
      <w:r w:rsidR="0017486E">
        <w:t xml:space="preserve">  </w:t>
      </w:r>
      <w:proofErr w:type="gramStart"/>
      <w:r>
        <w:t>52 Pa. Code §32.13(a).</w:t>
      </w:r>
      <w:proofErr w:type="gramEnd"/>
    </w:p>
    <w:p w:rsidR="00A403D4" w:rsidRDefault="00A403D4" w:rsidP="00A403D4">
      <w:pPr>
        <w:pStyle w:val="ListParagraph"/>
        <w:spacing w:line="360" w:lineRule="auto"/>
        <w:ind w:left="1440"/>
      </w:pPr>
    </w:p>
    <w:p w:rsidR="00A403D4" w:rsidRDefault="00A403D4" w:rsidP="00A403D4">
      <w:pPr>
        <w:pStyle w:val="ListParagraph"/>
      </w:pPr>
    </w:p>
    <w:p w:rsidR="0017486E" w:rsidRDefault="0017486E" w:rsidP="0056709B">
      <w:pPr>
        <w:spacing w:line="360" w:lineRule="auto"/>
        <w:jc w:val="center"/>
        <w:rPr>
          <w:u w:val="single"/>
        </w:rPr>
      </w:pPr>
    </w:p>
    <w:p w:rsidR="00A403D4" w:rsidRDefault="0056709B" w:rsidP="0056709B">
      <w:pPr>
        <w:spacing w:line="360" w:lineRule="auto"/>
        <w:jc w:val="center"/>
      </w:pPr>
      <w:r>
        <w:rPr>
          <w:u w:val="single"/>
        </w:rPr>
        <w:lastRenderedPageBreak/>
        <w:t>ORDER</w:t>
      </w:r>
    </w:p>
    <w:p w:rsidR="0056709B" w:rsidRDefault="0056709B" w:rsidP="0056709B">
      <w:pPr>
        <w:spacing w:line="360" w:lineRule="auto"/>
      </w:pPr>
    </w:p>
    <w:p w:rsidR="00137316" w:rsidRDefault="00137316" w:rsidP="0056709B">
      <w:pPr>
        <w:spacing w:line="360" w:lineRule="auto"/>
      </w:pPr>
    </w:p>
    <w:p w:rsidR="0056709B" w:rsidRDefault="0056709B" w:rsidP="0056709B">
      <w:pPr>
        <w:spacing w:line="360" w:lineRule="auto"/>
      </w:pPr>
      <w:r>
        <w:tab/>
      </w:r>
      <w:r>
        <w:tab/>
        <w:t>THEREFORE,</w:t>
      </w:r>
    </w:p>
    <w:p w:rsidR="0056709B" w:rsidRDefault="0056709B" w:rsidP="0056709B">
      <w:pPr>
        <w:spacing w:line="360" w:lineRule="auto"/>
      </w:pPr>
    </w:p>
    <w:p w:rsidR="0056709B" w:rsidRDefault="0056709B" w:rsidP="0056709B">
      <w:pPr>
        <w:spacing w:line="360" w:lineRule="auto"/>
      </w:pPr>
      <w:r>
        <w:tab/>
      </w:r>
      <w:r>
        <w:tab/>
        <w:t>IT IS ORDERED:</w:t>
      </w:r>
    </w:p>
    <w:p w:rsidR="0056709B" w:rsidRDefault="0056709B" w:rsidP="0056709B">
      <w:pPr>
        <w:spacing w:line="360" w:lineRule="auto"/>
      </w:pPr>
    </w:p>
    <w:p w:rsidR="0056709B" w:rsidRDefault="00E01BBB" w:rsidP="0056709B">
      <w:pPr>
        <w:pStyle w:val="ListParagraph"/>
        <w:numPr>
          <w:ilvl w:val="0"/>
          <w:numId w:val="3"/>
        </w:numPr>
        <w:spacing w:line="360" w:lineRule="auto"/>
        <w:ind w:left="0" w:firstLine="1440"/>
      </w:pPr>
      <w:r>
        <w:t xml:space="preserve">That the complaint of </w:t>
      </w:r>
      <w:r w:rsidR="00EE451A">
        <w:t xml:space="preserve">the Pennsylvania Public Utility Commission, Bureau of Investigation and Enforcement against </w:t>
      </w:r>
      <w:r w:rsidR="00EE451A" w:rsidRPr="007C2B21">
        <w:t>Respondent,</w:t>
      </w:r>
      <w:r w:rsidR="00EE451A">
        <w:t xml:space="preserve"> Gene </w:t>
      </w:r>
      <w:proofErr w:type="spellStart"/>
      <w:r w:rsidR="00EE451A">
        <w:t>Polsinelli</w:t>
      </w:r>
      <w:proofErr w:type="spellEnd"/>
      <w:r w:rsidR="00EE451A">
        <w:t>, Inc., t/a American Lenders Service Company of Pittsburgh, PA at D</w:t>
      </w:r>
      <w:r w:rsidR="0056709B">
        <w:t>ocket No. </w:t>
      </w:r>
      <w:r w:rsidR="0056709B" w:rsidRPr="004F20ED">
        <w:t>C-</w:t>
      </w:r>
      <w:r w:rsidR="0056709B">
        <w:t>201</w:t>
      </w:r>
      <w:r>
        <w:t>2-</w:t>
      </w:r>
      <w:r w:rsidR="00EE451A">
        <w:t>2333793</w:t>
      </w:r>
      <w:r w:rsidR="0056709B">
        <w:t xml:space="preserve"> is hereby </w:t>
      </w:r>
      <w:r w:rsidR="00EE451A">
        <w:t>dismissed</w:t>
      </w:r>
      <w:r w:rsidR="000D2194">
        <w:t xml:space="preserve"> for failure to meet the burden of proof</w:t>
      </w:r>
      <w:r w:rsidR="0056709B">
        <w:t>.</w:t>
      </w:r>
    </w:p>
    <w:p w:rsidR="001E0E54" w:rsidRDefault="001E0E54" w:rsidP="001E0E54">
      <w:pPr>
        <w:pStyle w:val="ListParagraph"/>
        <w:spacing w:line="360" w:lineRule="auto"/>
        <w:ind w:left="1440"/>
      </w:pPr>
    </w:p>
    <w:p w:rsidR="00294E68" w:rsidRDefault="00EE451A" w:rsidP="00DF28EC">
      <w:pPr>
        <w:spacing w:line="360" w:lineRule="auto"/>
        <w:ind w:firstLine="1440"/>
      </w:pPr>
      <w:r>
        <w:t>2.</w:t>
      </w:r>
      <w:r>
        <w:tab/>
        <w:t>That the Docket in this proceeding, Docket No. C-2012-2333793, be marked closed.</w:t>
      </w:r>
    </w:p>
    <w:p w:rsidR="00294E68" w:rsidRDefault="00294E68" w:rsidP="00294E68">
      <w:pPr>
        <w:spacing w:line="360" w:lineRule="auto"/>
      </w:pPr>
    </w:p>
    <w:p w:rsidR="00431878" w:rsidRDefault="00431878" w:rsidP="00294E68">
      <w:pPr>
        <w:spacing w:line="360" w:lineRule="auto"/>
      </w:pPr>
    </w:p>
    <w:p w:rsidR="00C27B32" w:rsidRDefault="00C27B32" w:rsidP="00294E68">
      <w:pPr>
        <w:spacing w:line="360" w:lineRule="auto"/>
      </w:pPr>
    </w:p>
    <w:p w:rsidR="00431878" w:rsidRDefault="00294E68" w:rsidP="00431878">
      <w:r>
        <w:t xml:space="preserve">Date:  </w:t>
      </w:r>
      <w:r w:rsidR="00EE451A">
        <w:rPr>
          <w:u w:val="single"/>
        </w:rPr>
        <w:t>August 27, 2013</w:t>
      </w:r>
      <w:r>
        <w:tab/>
      </w:r>
      <w:r>
        <w:tab/>
      </w:r>
      <w:r>
        <w:tab/>
      </w:r>
      <w:r>
        <w:tab/>
      </w:r>
      <w:r w:rsidR="00D123EE">
        <w:tab/>
      </w:r>
      <w:r w:rsidR="00431878">
        <w:rPr>
          <w:u w:val="single"/>
        </w:rPr>
        <w:tab/>
      </w:r>
      <w:r w:rsidR="00431878">
        <w:rPr>
          <w:u w:val="single"/>
        </w:rPr>
        <w:tab/>
        <w:t>/s/</w:t>
      </w:r>
      <w:r w:rsidR="00431878">
        <w:rPr>
          <w:u w:val="single"/>
        </w:rPr>
        <w:tab/>
      </w:r>
      <w:r w:rsidR="00431878">
        <w:rPr>
          <w:u w:val="single"/>
        </w:rPr>
        <w:tab/>
      </w:r>
      <w:r w:rsidR="00431878">
        <w:rPr>
          <w:u w:val="single"/>
        </w:rPr>
        <w:tab/>
      </w:r>
    </w:p>
    <w:p w:rsidR="00431878" w:rsidRDefault="00431878" w:rsidP="00431878">
      <w:r>
        <w:tab/>
      </w:r>
      <w:r>
        <w:tab/>
      </w:r>
      <w:r>
        <w:tab/>
      </w:r>
      <w:r>
        <w:tab/>
      </w:r>
      <w:r>
        <w:tab/>
      </w:r>
      <w:r>
        <w:tab/>
      </w:r>
      <w:r>
        <w:tab/>
      </w:r>
      <w:r>
        <w:tab/>
        <w:t>Mark A. Hoyer</w:t>
      </w:r>
    </w:p>
    <w:p w:rsidR="00431878" w:rsidRDefault="00431878" w:rsidP="00431878">
      <w:r>
        <w:tab/>
      </w:r>
      <w:r>
        <w:tab/>
      </w:r>
      <w:r>
        <w:tab/>
      </w:r>
      <w:r>
        <w:tab/>
      </w:r>
      <w:r>
        <w:tab/>
      </w:r>
      <w:r>
        <w:tab/>
      </w:r>
      <w:r>
        <w:tab/>
      </w:r>
      <w:r>
        <w:tab/>
        <w:t>Administrative Law Judge</w:t>
      </w:r>
    </w:p>
    <w:p w:rsidR="00294E68" w:rsidRDefault="00294E68" w:rsidP="00C27B32"/>
    <w:p w:rsidR="00294E68" w:rsidRPr="00294E68" w:rsidRDefault="00294E68" w:rsidP="00294E68"/>
    <w:sectPr w:rsidR="00294E68" w:rsidRPr="00294E68" w:rsidSect="00AC3E07">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31" w:rsidRDefault="00984F31" w:rsidP="00D97263">
      <w:r>
        <w:separator/>
      </w:r>
    </w:p>
  </w:endnote>
  <w:endnote w:type="continuationSeparator" w:id="0">
    <w:p w:rsidR="00984F31" w:rsidRDefault="00984F31" w:rsidP="00D9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895318"/>
      <w:docPartObj>
        <w:docPartGallery w:val="Page Numbers (Bottom of Page)"/>
        <w:docPartUnique/>
      </w:docPartObj>
    </w:sdtPr>
    <w:sdtEndPr>
      <w:rPr>
        <w:noProof/>
        <w:sz w:val="20"/>
        <w:szCs w:val="20"/>
      </w:rPr>
    </w:sdtEndPr>
    <w:sdtContent>
      <w:p w:rsidR="006021FF" w:rsidRPr="00F77850" w:rsidRDefault="006021FF">
        <w:pPr>
          <w:pStyle w:val="Footer"/>
          <w:jc w:val="center"/>
          <w:rPr>
            <w:sz w:val="20"/>
            <w:szCs w:val="20"/>
          </w:rPr>
        </w:pPr>
        <w:r w:rsidRPr="00F77850">
          <w:rPr>
            <w:sz w:val="20"/>
            <w:szCs w:val="20"/>
          </w:rPr>
          <w:fldChar w:fldCharType="begin"/>
        </w:r>
        <w:r w:rsidRPr="00F77850">
          <w:rPr>
            <w:sz w:val="20"/>
            <w:szCs w:val="20"/>
          </w:rPr>
          <w:instrText xml:space="preserve"> PAGE   \* MERGEFORMAT </w:instrText>
        </w:r>
        <w:r w:rsidRPr="00F77850">
          <w:rPr>
            <w:sz w:val="20"/>
            <w:szCs w:val="20"/>
          </w:rPr>
          <w:fldChar w:fldCharType="separate"/>
        </w:r>
        <w:r w:rsidR="00184E15">
          <w:rPr>
            <w:noProof/>
            <w:sz w:val="20"/>
            <w:szCs w:val="20"/>
          </w:rPr>
          <w:t>3</w:t>
        </w:r>
        <w:r w:rsidRPr="00F7785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31" w:rsidRDefault="00984F31" w:rsidP="00D97263">
      <w:r>
        <w:separator/>
      </w:r>
    </w:p>
  </w:footnote>
  <w:footnote w:type="continuationSeparator" w:id="0">
    <w:p w:rsidR="00984F31" w:rsidRDefault="00984F31" w:rsidP="00D97263">
      <w:r>
        <w:continuationSeparator/>
      </w:r>
    </w:p>
  </w:footnote>
  <w:footnote w:id="1">
    <w:p w:rsidR="008869D5" w:rsidRDefault="008869D5">
      <w:pPr>
        <w:pStyle w:val="FootnoteText"/>
      </w:pPr>
      <w:r>
        <w:rPr>
          <w:rStyle w:val="FootnoteReference"/>
        </w:rPr>
        <w:footnoteRef/>
      </w:r>
      <w:r>
        <w:t xml:space="preserve"> The answer filed was a one-page Facsimile Transmission Sheet sent to the Commission’s Secretary from “Janet</w:t>
      </w:r>
      <w:r w:rsidR="00135B9E">
        <w:t> </w:t>
      </w:r>
      <w:r>
        <w:t>O.”</w:t>
      </w:r>
      <w:r w:rsidR="00EA7E27">
        <w:t xml:space="preserve">  Under </w:t>
      </w:r>
      <w:r w:rsidR="002E1FDF">
        <w:t>“</w:t>
      </w:r>
      <w:r w:rsidR="00EA7E27">
        <w:t>Notes/Comments</w:t>
      </w:r>
      <w:r w:rsidR="002E1FDF">
        <w:t xml:space="preserve">” </w:t>
      </w:r>
      <w:r w:rsidR="00EA7E27">
        <w:t>appears the following:</w:t>
      </w:r>
      <w:r w:rsidR="002C003A">
        <w:t xml:space="preserve"> </w:t>
      </w:r>
      <w:r w:rsidR="00EA7E27">
        <w:t xml:space="preserve"> “The Form H was electronically sent, and Mr.</w:t>
      </w:r>
      <w:r w:rsidR="00135B9E">
        <w:t> </w:t>
      </w:r>
      <w:proofErr w:type="spellStart"/>
      <w:r w:rsidR="00EA7E27">
        <w:t>Polsinelli</w:t>
      </w:r>
      <w:proofErr w:type="spellEnd"/>
      <w:r w:rsidR="00EA7E27">
        <w:t xml:space="preserve"> has had insurance in effect 10/31/12.  The Form E went through but the Form H did not for some reason.  Is there any way the $500 fine be dropped, and all proof of insurance can be provided?”  Answer, p. 1 of 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347F"/>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568F"/>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425A71"/>
    <w:multiLevelType w:val="hybridMultilevel"/>
    <w:tmpl w:val="EF205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44904"/>
    <w:multiLevelType w:val="hybridMultilevel"/>
    <w:tmpl w:val="21121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70ADD"/>
    <w:multiLevelType w:val="hybridMultilevel"/>
    <w:tmpl w:val="EF2051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722A010C"/>
    <w:multiLevelType w:val="hybridMultilevel"/>
    <w:tmpl w:val="5D8E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6"/>
  </w:num>
  <w:num w:numId="5">
    <w:abstractNumId w:val="5"/>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5A37080-5486-4777-9E01-AD39D0A77FD6}"/>
    <w:docVar w:name="dgnword-eventsink" w:val="105039832"/>
  </w:docVars>
  <w:rsids>
    <w:rsidRoot w:val="00D97263"/>
    <w:rsid w:val="00002E71"/>
    <w:rsid w:val="0000610B"/>
    <w:rsid w:val="00010015"/>
    <w:rsid w:val="0001444C"/>
    <w:rsid w:val="000158F5"/>
    <w:rsid w:val="00015C87"/>
    <w:rsid w:val="000200B5"/>
    <w:rsid w:val="00022031"/>
    <w:rsid w:val="00022664"/>
    <w:rsid w:val="00023CEE"/>
    <w:rsid w:val="00024AA5"/>
    <w:rsid w:val="000251BE"/>
    <w:rsid w:val="0002620E"/>
    <w:rsid w:val="00027171"/>
    <w:rsid w:val="00027E4C"/>
    <w:rsid w:val="00032F25"/>
    <w:rsid w:val="0003505B"/>
    <w:rsid w:val="00035A71"/>
    <w:rsid w:val="00035D88"/>
    <w:rsid w:val="00037857"/>
    <w:rsid w:val="000404B5"/>
    <w:rsid w:val="00041450"/>
    <w:rsid w:val="00041943"/>
    <w:rsid w:val="000424B8"/>
    <w:rsid w:val="00042860"/>
    <w:rsid w:val="00044944"/>
    <w:rsid w:val="0004591A"/>
    <w:rsid w:val="00047D45"/>
    <w:rsid w:val="00047F6E"/>
    <w:rsid w:val="0005471E"/>
    <w:rsid w:val="00056339"/>
    <w:rsid w:val="000567AE"/>
    <w:rsid w:val="00063896"/>
    <w:rsid w:val="0006554F"/>
    <w:rsid w:val="00067C8F"/>
    <w:rsid w:val="00070D98"/>
    <w:rsid w:val="000716B7"/>
    <w:rsid w:val="00075ED3"/>
    <w:rsid w:val="000767FF"/>
    <w:rsid w:val="00077EF6"/>
    <w:rsid w:val="0008135A"/>
    <w:rsid w:val="0008257A"/>
    <w:rsid w:val="00085610"/>
    <w:rsid w:val="00085DB0"/>
    <w:rsid w:val="00087CC5"/>
    <w:rsid w:val="0009005C"/>
    <w:rsid w:val="00090F7A"/>
    <w:rsid w:val="000921BC"/>
    <w:rsid w:val="00095B50"/>
    <w:rsid w:val="00096CBF"/>
    <w:rsid w:val="00096F74"/>
    <w:rsid w:val="000A0A7F"/>
    <w:rsid w:val="000A2C9E"/>
    <w:rsid w:val="000A510C"/>
    <w:rsid w:val="000A76F8"/>
    <w:rsid w:val="000A7EFE"/>
    <w:rsid w:val="000B3598"/>
    <w:rsid w:val="000B4C46"/>
    <w:rsid w:val="000B53F0"/>
    <w:rsid w:val="000B629F"/>
    <w:rsid w:val="000B6D95"/>
    <w:rsid w:val="000C1A6B"/>
    <w:rsid w:val="000C269C"/>
    <w:rsid w:val="000C5510"/>
    <w:rsid w:val="000C71B2"/>
    <w:rsid w:val="000C76C7"/>
    <w:rsid w:val="000D0A51"/>
    <w:rsid w:val="000D1336"/>
    <w:rsid w:val="000D2194"/>
    <w:rsid w:val="000D715A"/>
    <w:rsid w:val="000D785D"/>
    <w:rsid w:val="000D7906"/>
    <w:rsid w:val="000E0C64"/>
    <w:rsid w:val="000E1700"/>
    <w:rsid w:val="000E4E82"/>
    <w:rsid w:val="000E6C36"/>
    <w:rsid w:val="000F0CB0"/>
    <w:rsid w:val="000F1E2C"/>
    <w:rsid w:val="000F22AD"/>
    <w:rsid w:val="000F331D"/>
    <w:rsid w:val="000F423E"/>
    <w:rsid w:val="000F4FF1"/>
    <w:rsid w:val="000F51A4"/>
    <w:rsid w:val="000F5655"/>
    <w:rsid w:val="000F6BCB"/>
    <w:rsid w:val="0010180F"/>
    <w:rsid w:val="00105690"/>
    <w:rsid w:val="001059C3"/>
    <w:rsid w:val="001079C3"/>
    <w:rsid w:val="0011082D"/>
    <w:rsid w:val="00111A25"/>
    <w:rsid w:val="00114A5C"/>
    <w:rsid w:val="00114D69"/>
    <w:rsid w:val="001163B8"/>
    <w:rsid w:val="001164A8"/>
    <w:rsid w:val="00117158"/>
    <w:rsid w:val="00117F6D"/>
    <w:rsid w:val="001219E5"/>
    <w:rsid w:val="0012337D"/>
    <w:rsid w:val="0012341F"/>
    <w:rsid w:val="001238E7"/>
    <w:rsid w:val="00124C5D"/>
    <w:rsid w:val="00126555"/>
    <w:rsid w:val="0013358A"/>
    <w:rsid w:val="001336B2"/>
    <w:rsid w:val="00135B9E"/>
    <w:rsid w:val="00137316"/>
    <w:rsid w:val="0013746C"/>
    <w:rsid w:val="00140ED5"/>
    <w:rsid w:val="001422C9"/>
    <w:rsid w:val="0014423A"/>
    <w:rsid w:val="0014599C"/>
    <w:rsid w:val="0014695E"/>
    <w:rsid w:val="00147A1C"/>
    <w:rsid w:val="00150F38"/>
    <w:rsid w:val="00151828"/>
    <w:rsid w:val="00152DD8"/>
    <w:rsid w:val="001534FA"/>
    <w:rsid w:val="00153BB2"/>
    <w:rsid w:val="001551FE"/>
    <w:rsid w:val="00155E3F"/>
    <w:rsid w:val="00157F7C"/>
    <w:rsid w:val="00163192"/>
    <w:rsid w:val="00163667"/>
    <w:rsid w:val="00170837"/>
    <w:rsid w:val="00171BA7"/>
    <w:rsid w:val="00172E37"/>
    <w:rsid w:val="001736C0"/>
    <w:rsid w:val="0017486E"/>
    <w:rsid w:val="00177B41"/>
    <w:rsid w:val="00177C22"/>
    <w:rsid w:val="00184E15"/>
    <w:rsid w:val="0018502A"/>
    <w:rsid w:val="00186713"/>
    <w:rsid w:val="00190B52"/>
    <w:rsid w:val="00192F81"/>
    <w:rsid w:val="00194EDA"/>
    <w:rsid w:val="00197214"/>
    <w:rsid w:val="00197656"/>
    <w:rsid w:val="00197FE7"/>
    <w:rsid w:val="001A517C"/>
    <w:rsid w:val="001A6616"/>
    <w:rsid w:val="001B1283"/>
    <w:rsid w:val="001B37F9"/>
    <w:rsid w:val="001B389A"/>
    <w:rsid w:val="001B5D6E"/>
    <w:rsid w:val="001B6147"/>
    <w:rsid w:val="001B669F"/>
    <w:rsid w:val="001B6767"/>
    <w:rsid w:val="001B7B44"/>
    <w:rsid w:val="001C16F1"/>
    <w:rsid w:val="001C1DA4"/>
    <w:rsid w:val="001D0B3C"/>
    <w:rsid w:val="001D2572"/>
    <w:rsid w:val="001D341C"/>
    <w:rsid w:val="001D4EAA"/>
    <w:rsid w:val="001E0E54"/>
    <w:rsid w:val="001E13F6"/>
    <w:rsid w:val="001E4606"/>
    <w:rsid w:val="001E480F"/>
    <w:rsid w:val="001E49BB"/>
    <w:rsid w:val="001E4E3F"/>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4CB4"/>
    <w:rsid w:val="00215CE0"/>
    <w:rsid w:val="00216054"/>
    <w:rsid w:val="00216B01"/>
    <w:rsid w:val="00220B5F"/>
    <w:rsid w:val="00221630"/>
    <w:rsid w:val="00222675"/>
    <w:rsid w:val="00222A1D"/>
    <w:rsid w:val="002231E7"/>
    <w:rsid w:val="00224D1A"/>
    <w:rsid w:val="00225F5E"/>
    <w:rsid w:val="00225FE5"/>
    <w:rsid w:val="0022623F"/>
    <w:rsid w:val="002270C7"/>
    <w:rsid w:val="00234986"/>
    <w:rsid w:val="0023594C"/>
    <w:rsid w:val="00237F95"/>
    <w:rsid w:val="002420E4"/>
    <w:rsid w:val="002432B5"/>
    <w:rsid w:val="00244C4F"/>
    <w:rsid w:val="00244DC3"/>
    <w:rsid w:val="00254AC4"/>
    <w:rsid w:val="0025505D"/>
    <w:rsid w:val="0025568C"/>
    <w:rsid w:val="0025624A"/>
    <w:rsid w:val="00256602"/>
    <w:rsid w:val="002569D2"/>
    <w:rsid w:val="00256E10"/>
    <w:rsid w:val="00256F15"/>
    <w:rsid w:val="00264827"/>
    <w:rsid w:val="002659C1"/>
    <w:rsid w:val="00265F08"/>
    <w:rsid w:val="00266EEA"/>
    <w:rsid w:val="002700BB"/>
    <w:rsid w:val="002705F3"/>
    <w:rsid w:val="002715D6"/>
    <w:rsid w:val="00273113"/>
    <w:rsid w:val="00273CD5"/>
    <w:rsid w:val="00274AEB"/>
    <w:rsid w:val="00277C6E"/>
    <w:rsid w:val="0028196A"/>
    <w:rsid w:val="00282E72"/>
    <w:rsid w:val="00286013"/>
    <w:rsid w:val="00286E18"/>
    <w:rsid w:val="002915AA"/>
    <w:rsid w:val="00292413"/>
    <w:rsid w:val="00292C52"/>
    <w:rsid w:val="0029312D"/>
    <w:rsid w:val="00294E68"/>
    <w:rsid w:val="00297007"/>
    <w:rsid w:val="002A08AE"/>
    <w:rsid w:val="002A0C6D"/>
    <w:rsid w:val="002A5634"/>
    <w:rsid w:val="002B080D"/>
    <w:rsid w:val="002B31C7"/>
    <w:rsid w:val="002B40F4"/>
    <w:rsid w:val="002B43C8"/>
    <w:rsid w:val="002B693E"/>
    <w:rsid w:val="002C003A"/>
    <w:rsid w:val="002C0A83"/>
    <w:rsid w:val="002C5195"/>
    <w:rsid w:val="002C6736"/>
    <w:rsid w:val="002C71A9"/>
    <w:rsid w:val="002D15FF"/>
    <w:rsid w:val="002D3212"/>
    <w:rsid w:val="002D46AD"/>
    <w:rsid w:val="002D50E8"/>
    <w:rsid w:val="002E1FDF"/>
    <w:rsid w:val="002E414F"/>
    <w:rsid w:val="002E62AE"/>
    <w:rsid w:val="002E7B4F"/>
    <w:rsid w:val="002E7CBD"/>
    <w:rsid w:val="002F0988"/>
    <w:rsid w:val="002F0CDC"/>
    <w:rsid w:val="002F58C1"/>
    <w:rsid w:val="003009B5"/>
    <w:rsid w:val="00303C1E"/>
    <w:rsid w:val="003065A6"/>
    <w:rsid w:val="003105EB"/>
    <w:rsid w:val="003107BF"/>
    <w:rsid w:val="003108AD"/>
    <w:rsid w:val="00313224"/>
    <w:rsid w:val="003134DF"/>
    <w:rsid w:val="00314634"/>
    <w:rsid w:val="0031504C"/>
    <w:rsid w:val="00320C3C"/>
    <w:rsid w:val="0032184B"/>
    <w:rsid w:val="00322AAB"/>
    <w:rsid w:val="00323A64"/>
    <w:rsid w:val="00323CE9"/>
    <w:rsid w:val="0032536B"/>
    <w:rsid w:val="0032582D"/>
    <w:rsid w:val="003315E8"/>
    <w:rsid w:val="0033201A"/>
    <w:rsid w:val="003367D1"/>
    <w:rsid w:val="003413E4"/>
    <w:rsid w:val="003415C3"/>
    <w:rsid w:val="00341EDC"/>
    <w:rsid w:val="00343DF7"/>
    <w:rsid w:val="00344BBD"/>
    <w:rsid w:val="00347D4D"/>
    <w:rsid w:val="00350F53"/>
    <w:rsid w:val="00354367"/>
    <w:rsid w:val="003560A1"/>
    <w:rsid w:val="003567DC"/>
    <w:rsid w:val="0036055F"/>
    <w:rsid w:val="00360976"/>
    <w:rsid w:val="00361F47"/>
    <w:rsid w:val="00363FC4"/>
    <w:rsid w:val="00364892"/>
    <w:rsid w:val="00372BCE"/>
    <w:rsid w:val="003742DF"/>
    <w:rsid w:val="00374A60"/>
    <w:rsid w:val="00375FC7"/>
    <w:rsid w:val="00376FD2"/>
    <w:rsid w:val="00377219"/>
    <w:rsid w:val="003811B2"/>
    <w:rsid w:val="00383E9E"/>
    <w:rsid w:val="00386EC2"/>
    <w:rsid w:val="003914A1"/>
    <w:rsid w:val="003915CD"/>
    <w:rsid w:val="003928FD"/>
    <w:rsid w:val="00393A51"/>
    <w:rsid w:val="0039530D"/>
    <w:rsid w:val="003A4581"/>
    <w:rsid w:val="003A51FD"/>
    <w:rsid w:val="003A5775"/>
    <w:rsid w:val="003A645A"/>
    <w:rsid w:val="003A7731"/>
    <w:rsid w:val="003B0F7E"/>
    <w:rsid w:val="003B16ED"/>
    <w:rsid w:val="003B5554"/>
    <w:rsid w:val="003B5AD6"/>
    <w:rsid w:val="003C0F08"/>
    <w:rsid w:val="003C1C91"/>
    <w:rsid w:val="003C43CE"/>
    <w:rsid w:val="003C49C9"/>
    <w:rsid w:val="003C4D08"/>
    <w:rsid w:val="003C4FBC"/>
    <w:rsid w:val="003D00C1"/>
    <w:rsid w:val="003D15D0"/>
    <w:rsid w:val="003D38F7"/>
    <w:rsid w:val="003D42D0"/>
    <w:rsid w:val="003D5AB0"/>
    <w:rsid w:val="003D6669"/>
    <w:rsid w:val="003D6830"/>
    <w:rsid w:val="003D7325"/>
    <w:rsid w:val="003E1327"/>
    <w:rsid w:val="003E3140"/>
    <w:rsid w:val="003E5628"/>
    <w:rsid w:val="003E5D1E"/>
    <w:rsid w:val="003F100E"/>
    <w:rsid w:val="003F25C6"/>
    <w:rsid w:val="003F347A"/>
    <w:rsid w:val="003F5FDE"/>
    <w:rsid w:val="003F69AF"/>
    <w:rsid w:val="003F69C5"/>
    <w:rsid w:val="00402F8C"/>
    <w:rsid w:val="0040464B"/>
    <w:rsid w:val="00405757"/>
    <w:rsid w:val="00407E2D"/>
    <w:rsid w:val="0041214B"/>
    <w:rsid w:val="00415484"/>
    <w:rsid w:val="0041758B"/>
    <w:rsid w:val="00417A48"/>
    <w:rsid w:val="00417FB9"/>
    <w:rsid w:val="00423158"/>
    <w:rsid w:val="00424342"/>
    <w:rsid w:val="004255AD"/>
    <w:rsid w:val="00425F5E"/>
    <w:rsid w:val="00426A32"/>
    <w:rsid w:val="00427446"/>
    <w:rsid w:val="00427731"/>
    <w:rsid w:val="00430695"/>
    <w:rsid w:val="00431878"/>
    <w:rsid w:val="00431ED9"/>
    <w:rsid w:val="0043213F"/>
    <w:rsid w:val="004345F2"/>
    <w:rsid w:val="00441E8C"/>
    <w:rsid w:val="00443FC3"/>
    <w:rsid w:val="00444F84"/>
    <w:rsid w:val="00447594"/>
    <w:rsid w:val="00447DAD"/>
    <w:rsid w:val="00451BB3"/>
    <w:rsid w:val="00452B6A"/>
    <w:rsid w:val="00454A55"/>
    <w:rsid w:val="00456B68"/>
    <w:rsid w:val="004606F8"/>
    <w:rsid w:val="004610DD"/>
    <w:rsid w:val="00465CA9"/>
    <w:rsid w:val="00466EEB"/>
    <w:rsid w:val="00470BA6"/>
    <w:rsid w:val="0047239C"/>
    <w:rsid w:val="004763CF"/>
    <w:rsid w:val="00476406"/>
    <w:rsid w:val="00476EDE"/>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26"/>
    <w:rsid w:val="004C6ACC"/>
    <w:rsid w:val="004D0F86"/>
    <w:rsid w:val="004D17EE"/>
    <w:rsid w:val="004D1AF6"/>
    <w:rsid w:val="004D26B3"/>
    <w:rsid w:val="004D3CF4"/>
    <w:rsid w:val="004D474A"/>
    <w:rsid w:val="004D5571"/>
    <w:rsid w:val="004D60AD"/>
    <w:rsid w:val="004D6A84"/>
    <w:rsid w:val="004E12D1"/>
    <w:rsid w:val="004E1384"/>
    <w:rsid w:val="004E1A31"/>
    <w:rsid w:val="004E1AA7"/>
    <w:rsid w:val="004E2DEE"/>
    <w:rsid w:val="004E3130"/>
    <w:rsid w:val="004E3916"/>
    <w:rsid w:val="004E3AEF"/>
    <w:rsid w:val="004E48B8"/>
    <w:rsid w:val="004E56E5"/>
    <w:rsid w:val="004F3674"/>
    <w:rsid w:val="004F52CA"/>
    <w:rsid w:val="00500E04"/>
    <w:rsid w:val="00501290"/>
    <w:rsid w:val="005013AB"/>
    <w:rsid w:val="00502C02"/>
    <w:rsid w:val="00503B65"/>
    <w:rsid w:val="005055FD"/>
    <w:rsid w:val="005071E6"/>
    <w:rsid w:val="00510BCD"/>
    <w:rsid w:val="00513A0D"/>
    <w:rsid w:val="00513E78"/>
    <w:rsid w:val="005208CC"/>
    <w:rsid w:val="00520B4D"/>
    <w:rsid w:val="00520B8C"/>
    <w:rsid w:val="00522F41"/>
    <w:rsid w:val="005235D3"/>
    <w:rsid w:val="00523617"/>
    <w:rsid w:val="005245B1"/>
    <w:rsid w:val="00526125"/>
    <w:rsid w:val="0052693F"/>
    <w:rsid w:val="005319D7"/>
    <w:rsid w:val="00531FC5"/>
    <w:rsid w:val="00540E99"/>
    <w:rsid w:val="00543716"/>
    <w:rsid w:val="00544B49"/>
    <w:rsid w:val="005463A9"/>
    <w:rsid w:val="00546F57"/>
    <w:rsid w:val="005474D6"/>
    <w:rsid w:val="0055234E"/>
    <w:rsid w:val="00553A47"/>
    <w:rsid w:val="0055517B"/>
    <w:rsid w:val="00556AB0"/>
    <w:rsid w:val="00562BF1"/>
    <w:rsid w:val="0056301D"/>
    <w:rsid w:val="0056709B"/>
    <w:rsid w:val="00570686"/>
    <w:rsid w:val="0057174D"/>
    <w:rsid w:val="00574946"/>
    <w:rsid w:val="005756A2"/>
    <w:rsid w:val="005756F9"/>
    <w:rsid w:val="00575B38"/>
    <w:rsid w:val="00576844"/>
    <w:rsid w:val="005773BD"/>
    <w:rsid w:val="00580C5C"/>
    <w:rsid w:val="0058134C"/>
    <w:rsid w:val="00581E78"/>
    <w:rsid w:val="0058350D"/>
    <w:rsid w:val="0058593F"/>
    <w:rsid w:val="00590615"/>
    <w:rsid w:val="005945F6"/>
    <w:rsid w:val="0059466F"/>
    <w:rsid w:val="00595A60"/>
    <w:rsid w:val="00595C07"/>
    <w:rsid w:val="00596083"/>
    <w:rsid w:val="005963C4"/>
    <w:rsid w:val="005A032B"/>
    <w:rsid w:val="005A127F"/>
    <w:rsid w:val="005A3647"/>
    <w:rsid w:val="005A560D"/>
    <w:rsid w:val="005A629E"/>
    <w:rsid w:val="005A7D35"/>
    <w:rsid w:val="005B0099"/>
    <w:rsid w:val="005B04D0"/>
    <w:rsid w:val="005B4EAA"/>
    <w:rsid w:val="005B7AAB"/>
    <w:rsid w:val="005C0684"/>
    <w:rsid w:val="005C12F8"/>
    <w:rsid w:val="005C2DEE"/>
    <w:rsid w:val="005C3AEA"/>
    <w:rsid w:val="005C3F43"/>
    <w:rsid w:val="005C49D0"/>
    <w:rsid w:val="005C4BA9"/>
    <w:rsid w:val="005C5138"/>
    <w:rsid w:val="005C5ED9"/>
    <w:rsid w:val="005C6FAE"/>
    <w:rsid w:val="005D141F"/>
    <w:rsid w:val="005D45C9"/>
    <w:rsid w:val="005D5EE7"/>
    <w:rsid w:val="005E3C0F"/>
    <w:rsid w:val="005E45BD"/>
    <w:rsid w:val="005E6C7E"/>
    <w:rsid w:val="005F4331"/>
    <w:rsid w:val="005F4AA1"/>
    <w:rsid w:val="006021FF"/>
    <w:rsid w:val="0060255E"/>
    <w:rsid w:val="00603FCF"/>
    <w:rsid w:val="006050C5"/>
    <w:rsid w:val="006058BB"/>
    <w:rsid w:val="00605A5C"/>
    <w:rsid w:val="00606573"/>
    <w:rsid w:val="006067E0"/>
    <w:rsid w:val="00611B45"/>
    <w:rsid w:val="00613DA8"/>
    <w:rsid w:val="00614058"/>
    <w:rsid w:val="00614B07"/>
    <w:rsid w:val="006168E8"/>
    <w:rsid w:val="00616EF1"/>
    <w:rsid w:val="0062040F"/>
    <w:rsid w:val="00621DEC"/>
    <w:rsid w:val="00622630"/>
    <w:rsid w:val="00622936"/>
    <w:rsid w:val="0062391C"/>
    <w:rsid w:val="0062694E"/>
    <w:rsid w:val="00631809"/>
    <w:rsid w:val="00631CED"/>
    <w:rsid w:val="006352C1"/>
    <w:rsid w:val="00635E6D"/>
    <w:rsid w:val="00636172"/>
    <w:rsid w:val="0063762F"/>
    <w:rsid w:val="0064016B"/>
    <w:rsid w:val="006408ED"/>
    <w:rsid w:val="006503D8"/>
    <w:rsid w:val="0065128E"/>
    <w:rsid w:val="00651BF9"/>
    <w:rsid w:val="0065509C"/>
    <w:rsid w:val="00655A67"/>
    <w:rsid w:val="00656454"/>
    <w:rsid w:val="0065674E"/>
    <w:rsid w:val="00657F07"/>
    <w:rsid w:val="00661B4E"/>
    <w:rsid w:val="00662C19"/>
    <w:rsid w:val="006646A6"/>
    <w:rsid w:val="00667481"/>
    <w:rsid w:val="0067080A"/>
    <w:rsid w:val="00670B1B"/>
    <w:rsid w:val="006729FF"/>
    <w:rsid w:val="006734EC"/>
    <w:rsid w:val="00675F41"/>
    <w:rsid w:val="00676400"/>
    <w:rsid w:val="00677198"/>
    <w:rsid w:val="00677E47"/>
    <w:rsid w:val="0068098C"/>
    <w:rsid w:val="00680D83"/>
    <w:rsid w:val="00686666"/>
    <w:rsid w:val="00692D9A"/>
    <w:rsid w:val="006939C5"/>
    <w:rsid w:val="00694B4C"/>
    <w:rsid w:val="006A1BB3"/>
    <w:rsid w:val="006A30D3"/>
    <w:rsid w:val="006A3C03"/>
    <w:rsid w:val="006A4740"/>
    <w:rsid w:val="006A491B"/>
    <w:rsid w:val="006A6097"/>
    <w:rsid w:val="006A64F2"/>
    <w:rsid w:val="006B2410"/>
    <w:rsid w:val="006B3C1B"/>
    <w:rsid w:val="006B3EFB"/>
    <w:rsid w:val="006B55D0"/>
    <w:rsid w:val="006B690F"/>
    <w:rsid w:val="006B774A"/>
    <w:rsid w:val="006C245B"/>
    <w:rsid w:val="006C3402"/>
    <w:rsid w:val="006C3AD5"/>
    <w:rsid w:val="006C590D"/>
    <w:rsid w:val="006C5DA4"/>
    <w:rsid w:val="006C6F08"/>
    <w:rsid w:val="006C7836"/>
    <w:rsid w:val="006D370E"/>
    <w:rsid w:val="006D3B1F"/>
    <w:rsid w:val="006D491B"/>
    <w:rsid w:val="006D4B7E"/>
    <w:rsid w:val="006D4E8D"/>
    <w:rsid w:val="006D51A2"/>
    <w:rsid w:val="006D5286"/>
    <w:rsid w:val="006E1DF2"/>
    <w:rsid w:val="006E2384"/>
    <w:rsid w:val="006E57E8"/>
    <w:rsid w:val="006F08AE"/>
    <w:rsid w:val="006F2ACE"/>
    <w:rsid w:val="007000FB"/>
    <w:rsid w:val="007008E0"/>
    <w:rsid w:val="00705235"/>
    <w:rsid w:val="007066FA"/>
    <w:rsid w:val="007107AD"/>
    <w:rsid w:val="00711EC8"/>
    <w:rsid w:val="007153F8"/>
    <w:rsid w:val="007234F3"/>
    <w:rsid w:val="00724A27"/>
    <w:rsid w:val="007342EA"/>
    <w:rsid w:val="00734BA5"/>
    <w:rsid w:val="00735001"/>
    <w:rsid w:val="007351B3"/>
    <w:rsid w:val="007354F0"/>
    <w:rsid w:val="00742C25"/>
    <w:rsid w:val="00743300"/>
    <w:rsid w:val="00745364"/>
    <w:rsid w:val="00747A6F"/>
    <w:rsid w:val="007520AB"/>
    <w:rsid w:val="00752308"/>
    <w:rsid w:val="00752B0E"/>
    <w:rsid w:val="00756B4F"/>
    <w:rsid w:val="007575D6"/>
    <w:rsid w:val="00763043"/>
    <w:rsid w:val="00766870"/>
    <w:rsid w:val="00766C21"/>
    <w:rsid w:val="0077010C"/>
    <w:rsid w:val="00770452"/>
    <w:rsid w:val="00781BAD"/>
    <w:rsid w:val="00782E41"/>
    <w:rsid w:val="007854CF"/>
    <w:rsid w:val="00787B82"/>
    <w:rsid w:val="007900D4"/>
    <w:rsid w:val="007959D8"/>
    <w:rsid w:val="00795AC6"/>
    <w:rsid w:val="00796F08"/>
    <w:rsid w:val="007A0FA3"/>
    <w:rsid w:val="007A1A4C"/>
    <w:rsid w:val="007A4181"/>
    <w:rsid w:val="007A46A0"/>
    <w:rsid w:val="007A6F64"/>
    <w:rsid w:val="007A7CF3"/>
    <w:rsid w:val="007A7EA7"/>
    <w:rsid w:val="007B21DD"/>
    <w:rsid w:val="007B430A"/>
    <w:rsid w:val="007B5630"/>
    <w:rsid w:val="007B5878"/>
    <w:rsid w:val="007C0BAC"/>
    <w:rsid w:val="007C0CAD"/>
    <w:rsid w:val="007C679F"/>
    <w:rsid w:val="007C72B6"/>
    <w:rsid w:val="007D106F"/>
    <w:rsid w:val="007D2137"/>
    <w:rsid w:val="007D4333"/>
    <w:rsid w:val="007D6606"/>
    <w:rsid w:val="007D67D1"/>
    <w:rsid w:val="007D682B"/>
    <w:rsid w:val="007D6BF3"/>
    <w:rsid w:val="007E2A88"/>
    <w:rsid w:val="007E2B59"/>
    <w:rsid w:val="007E5284"/>
    <w:rsid w:val="007E5C59"/>
    <w:rsid w:val="007E6CAF"/>
    <w:rsid w:val="007E73C3"/>
    <w:rsid w:val="007F378A"/>
    <w:rsid w:val="008046A7"/>
    <w:rsid w:val="00805E1E"/>
    <w:rsid w:val="0080763A"/>
    <w:rsid w:val="00810162"/>
    <w:rsid w:val="008101A5"/>
    <w:rsid w:val="008111AD"/>
    <w:rsid w:val="008172FE"/>
    <w:rsid w:val="0082072C"/>
    <w:rsid w:val="008211B6"/>
    <w:rsid w:val="008215F2"/>
    <w:rsid w:val="0082540B"/>
    <w:rsid w:val="0082561C"/>
    <w:rsid w:val="008302A9"/>
    <w:rsid w:val="00831A19"/>
    <w:rsid w:val="00831EDA"/>
    <w:rsid w:val="008363BD"/>
    <w:rsid w:val="00836630"/>
    <w:rsid w:val="00836A1D"/>
    <w:rsid w:val="00837349"/>
    <w:rsid w:val="008433EA"/>
    <w:rsid w:val="00844572"/>
    <w:rsid w:val="008461EA"/>
    <w:rsid w:val="00847619"/>
    <w:rsid w:val="008527AF"/>
    <w:rsid w:val="00853982"/>
    <w:rsid w:val="00854310"/>
    <w:rsid w:val="0085796E"/>
    <w:rsid w:val="00860CE9"/>
    <w:rsid w:val="008637CC"/>
    <w:rsid w:val="008703F0"/>
    <w:rsid w:val="00870493"/>
    <w:rsid w:val="008733F2"/>
    <w:rsid w:val="008739F3"/>
    <w:rsid w:val="00875888"/>
    <w:rsid w:val="008767AF"/>
    <w:rsid w:val="00877335"/>
    <w:rsid w:val="00881A7C"/>
    <w:rsid w:val="00884320"/>
    <w:rsid w:val="00885412"/>
    <w:rsid w:val="008869D5"/>
    <w:rsid w:val="0089003E"/>
    <w:rsid w:val="0089092B"/>
    <w:rsid w:val="00890FD6"/>
    <w:rsid w:val="0089104A"/>
    <w:rsid w:val="00891D27"/>
    <w:rsid w:val="00892801"/>
    <w:rsid w:val="00895B38"/>
    <w:rsid w:val="008979D0"/>
    <w:rsid w:val="00897CDB"/>
    <w:rsid w:val="008A3128"/>
    <w:rsid w:val="008A53F1"/>
    <w:rsid w:val="008B629C"/>
    <w:rsid w:val="008B6C4F"/>
    <w:rsid w:val="008C0A8C"/>
    <w:rsid w:val="008C1CCC"/>
    <w:rsid w:val="008C1F08"/>
    <w:rsid w:val="008C2171"/>
    <w:rsid w:val="008C4B08"/>
    <w:rsid w:val="008C4DAE"/>
    <w:rsid w:val="008C6C90"/>
    <w:rsid w:val="008C6CD3"/>
    <w:rsid w:val="008D0556"/>
    <w:rsid w:val="008D25CC"/>
    <w:rsid w:val="008D3E8B"/>
    <w:rsid w:val="008D409A"/>
    <w:rsid w:val="008D70A6"/>
    <w:rsid w:val="008E121E"/>
    <w:rsid w:val="008E31F7"/>
    <w:rsid w:val="008F3531"/>
    <w:rsid w:val="008F36BF"/>
    <w:rsid w:val="008F5047"/>
    <w:rsid w:val="008F6929"/>
    <w:rsid w:val="00902EC3"/>
    <w:rsid w:val="00904091"/>
    <w:rsid w:val="009044B7"/>
    <w:rsid w:val="00906E26"/>
    <w:rsid w:val="00906EDB"/>
    <w:rsid w:val="00912360"/>
    <w:rsid w:val="00914472"/>
    <w:rsid w:val="009156B0"/>
    <w:rsid w:val="00917AE9"/>
    <w:rsid w:val="0092041D"/>
    <w:rsid w:val="00921DA9"/>
    <w:rsid w:val="00922734"/>
    <w:rsid w:val="00923457"/>
    <w:rsid w:val="009262AC"/>
    <w:rsid w:val="009323D2"/>
    <w:rsid w:val="009331A0"/>
    <w:rsid w:val="0093663B"/>
    <w:rsid w:val="0094092B"/>
    <w:rsid w:val="0094137F"/>
    <w:rsid w:val="00941BFF"/>
    <w:rsid w:val="00941E0A"/>
    <w:rsid w:val="00942B3C"/>
    <w:rsid w:val="00945A38"/>
    <w:rsid w:val="00950A70"/>
    <w:rsid w:val="00951681"/>
    <w:rsid w:val="00951BC4"/>
    <w:rsid w:val="009603C9"/>
    <w:rsid w:val="00960B87"/>
    <w:rsid w:val="0096131A"/>
    <w:rsid w:val="00962AAD"/>
    <w:rsid w:val="009635AB"/>
    <w:rsid w:val="00964ECF"/>
    <w:rsid w:val="0096573C"/>
    <w:rsid w:val="009659A0"/>
    <w:rsid w:val="00971A09"/>
    <w:rsid w:val="0097213D"/>
    <w:rsid w:val="00973ACE"/>
    <w:rsid w:val="009758CE"/>
    <w:rsid w:val="00975E03"/>
    <w:rsid w:val="0097671C"/>
    <w:rsid w:val="009803DF"/>
    <w:rsid w:val="00980566"/>
    <w:rsid w:val="00980A77"/>
    <w:rsid w:val="00982ED8"/>
    <w:rsid w:val="00984A9D"/>
    <w:rsid w:val="00984F31"/>
    <w:rsid w:val="00986732"/>
    <w:rsid w:val="00986ECD"/>
    <w:rsid w:val="009903E3"/>
    <w:rsid w:val="0099176B"/>
    <w:rsid w:val="0099459B"/>
    <w:rsid w:val="00994603"/>
    <w:rsid w:val="009966EF"/>
    <w:rsid w:val="009972E5"/>
    <w:rsid w:val="009A2737"/>
    <w:rsid w:val="009A2A70"/>
    <w:rsid w:val="009A3BBF"/>
    <w:rsid w:val="009A3D45"/>
    <w:rsid w:val="009A68DE"/>
    <w:rsid w:val="009A7D1A"/>
    <w:rsid w:val="009B13C4"/>
    <w:rsid w:val="009B3268"/>
    <w:rsid w:val="009B5FBB"/>
    <w:rsid w:val="009B64C4"/>
    <w:rsid w:val="009C2B79"/>
    <w:rsid w:val="009D0659"/>
    <w:rsid w:val="009D080B"/>
    <w:rsid w:val="009D119A"/>
    <w:rsid w:val="009E047A"/>
    <w:rsid w:val="009E0743"/>
    <w:rsid w:val="009E0762"/>
    <w:rsid w:val="009E0D5F"/>
    <w:rsid w:val="009E16BB"/>
    <w:rsid w:val="009E3575"/>
    <w:rsid w:val="009E3DB9"/>
    <w:rsid w:val="009E558C"/>
    <w:rsid w:val="009E6657"/>
    <w:rsid w:val="009E6878"/>
    <w:rsid w:val="009F0215"/>
    <w:rsid w:val="009F07ED"/>
    <w:rsid w:val="009F17FE"/>
    <w:rsid w:val="009F34A1"/>
    <w:rsid w:val="009F4221"/>
    <w:rsid w:val="009F4617"/>
    <w:rsid w:val="009F47A7"/>
    <w:rsid w:val="009F5718"/>
    <w:rsid w:val="009F61DA"/>
    <w:rsid w:val="009F707B"/>
    <w:rsid w:val="009F7990"/>
    <w:rsid w:val="009F7A6D"/>
    <w:rsid w:val="00A009D4"/>
    <w:rsid w:val="00A01254"/>
    <w:rsid w:val="00A0320E"/>
    <w:rsid w:val="00A05A3F"/>
    <w:rsid w:val="00A12944"/>
    <w:rsid w:val="00A12D4C"/>
    <w:rsid w:val="00A14EFC"/>
    <w:rsid w:val="00A1691E"/>
    <w:rsid w:val="00A22BE0"/>
    <w:rsid w:val="00A22C52"/>
    <w:rsid w:val="00A22FEF"/>
    <w:rsid w:val="00A22FF3"/>
    <w:rsid w:val="00A2365D"/>
    <w:rsid w:val="00A24357"/>
    <w:rsid w:val="00A24980"/>
    <w:rsid w:val="00A24C4F"/>
    <w:rsid w:val="00A2719F"/>
    <w:rsid w:val="00A312B8"/>
    <w:rsid w:val="00A32C82"/>
    <w:rsid w:val="00A33A9C"/>
    <w:rsid w:val="00A3408C"/>
    <w:rsid w:val="00A349F4"/>
    <w:rsid w:val="00A35315"/>
    <w:rsid w:val="00A3561A"/>
    <w:rsid w:val="00A367BC"/>
    <w:rsid w:val="00A403D4"/>
    <w:rsid w:val="00A40FF6"/>
    <w:rsid w:val="00A442C3"/>
    <w:rsid w:val="00A443FB"/>
    <w:rsid w:val="00A4684B"/>
    <w:rsid w:val="00A46DA4"/>
    <w:rsid w:val="00A474D4"/>
    <w:rsid w:val="00A50F6C"/>
    <w:rsid w:val="00A5372D"/>
    <w:rsid w:val="00A6600B"/>
    <w:rsid w:val="00A66018"/>
    <w:rsid w:val="00A66558"/>
    <w:rsid w:val="00A7014D"/>
    <w:rsid w:val="00A71047"/>
    <w:rsid w:val="00A71E55"/>
    <w:rsid w:val="00A72BCD"/>
    <w:rsid w:val="00A72D1A"/>
    <w:rsid w:val="00A751B8"/>
    <w:rsid w:val="00A835FF"/>
    <w:rsid w:val="00A83846"/>
    <w:rsid w:val="00A83E30"/>
    <w:rsid w:val="00A85EA9"/>
    <w:rsid w:val="00A916E8"/>
    <w:rsid w:val="00A921BC"/>
    <w:rsid w:val="00A92349"/>
    <w:rsid w:val="00A944BC"/>
    <w:rsid w:val="00A95190"/>
    <w:rsid w:val="00A97BF1"/>
    <w:rsid w:val="00AA1CCA"/>
    <w:rsid w:val="00AB0007"/>
    <w:rsid w:val="00AB07B5"/>
    <w:rsid w:val="00AB09C8"/>
    <w:rsid w:val="00AB0B25"/>
    <w:rsid w:val="00AB0C6D"/>
    <w:rsid w:val="00AB6557"/>
    <w:rsid w:val="00AC0550"/>
    <w:rsid w:val="00AC2BD0"/>
    <w:rsid w:val="00AC3607"/>
    <w:rsid w:val="00AC3E07"/>
    <w:rsid w:val="00AC54FF"/>
    <w:rsid w:val="00AC77FD"/>
    <w:rsid w:val="00AC7B96"/>
    <w:rsid w:val="00AD066A"/>
    <w:rsid w:val="00AD069F"/>
    <w:rsid w:val="00AD6C0F"/>
    <w:rsid w:val="00AD7631"/>
    <w:rsid w:val="00AE029D"/>
    <w:rsid w:val="00AE206E"/>
    <w:rsid w:val="00AE2CB0"/>
    <w:rsid w:val="00AE3450"/>
    <w:rsid w:val="00AE5055"/>
    <w:rsid w:val="00AE699D"/>
    <w:rsid w:val="00AE7C7C"/>
    <w:rsid w:val="00AF0886"/>
    <w:rsid w:val="00AF1477"/>
    <w:rsid w:val="00AF2AAB"/>
    <w:rsid w:val="00AF33FC"/>
    <w:rsid w:val="00AF4C7A"/>
    <w:rsid w:val="00AF5D5B"/>
    <w:rsid w:val="00AF6B9A"/>
    <w:rsid w:val="00B00AA3"/>
    <w:rsid w:val="00B026D9"/>
    <w:rsid w:val="00B05442"/>
    <w:rsid w:val="00B072ED"/>
    <w:rsid w:val="00B07368"/>
    <w:rsid w:val="00B10BF4"/>
    <w:rsid w:val="00B10D5A"/>
    <w:rsid w:val="00B1170E"/>
    <w:rsid w:val="00B11A62"/>
    <w:rsid w:val="00B14602"/>
    <w:rsid w:val="00B14A97"/>
    <w:rsid w:val="00B15030"/>
    <w:rsid w:val="00B150FA"/>
    <w:rsid w:val="00B20D8C"/>
    <w:rsid w:val="00B20EE3"/>
    <w:rsid w:val="00B21021"/>
    <w:rsid w:val="00B21B7C"/>
    <w:rsid w:val="00B22AC5"/>
    <w:rsid w:val="00B246F0"/>
    <w:rsid w:val="00B24C6D"/>
    <w:rsid w:val="00B2556F"/>
    <w:rsid w:val="00B273CB"/>
    <w:rsid w:val="00B307AF"/>
    <w:rsid w:val="00B323F0"/>
    <w:rsid w:val="00B34146"/>
    <w:rsid w:val="00B3465A"/>
    <w:rsid w:val="00B36702"/>
    <w:rsid w:val="00B3785D"/>
    <w:rsid w:val="00B37E41"/>
    <w:rsid w:val="00B43E1A"/>
    <w:rsid w:val="00B456F0"/>
    <w:rsid w:val="00B46050"/>
    <w:rsid w:val="00B462C9"/>
    <w:rsid w:val="00B47709"/>
    <w:rsid w:val="00B50794"/>
    <w:rsid w:val="00B51639"/>
    <w:rsid w:val="00B51738"/>
    <w:rsid w:val="00B51E90"/>
    <w:rsid w:val="00B57380"/>
    <w:rsid w:val="00B63006"/>
    <w:rsid w:val="00B648CD"/>
    <w:rsid w:val="00B67C1A"/>
    <w:rsid w:val="00B7271C"/>
    <w:rsid w:val="00B763C7"/>
    <w:rsid w:val="00B763FA"/>
    <w:rsid w:val="00B774A8"/>
    <w:rsid w:val="00B816DD"/>
    <w:rsid w:val="00B81A18"/>
    <w:rsid w:val="00B81D8F"/>
    <w:rsid w:val="00B82AC2"/>
    <w:rsid w:val="00B83C4A"/>
    <w:rsid w:val="00B91A4A"/>
    <w:rsid w:val="00B97B9F"/>
    <w:rsid w:val="00BA3333"/>
    <w:rsid w:val="00BA36B3"/>
    <w:rsid w:val="00BA5434"/>
    <w:rsid w:val="00BA5B1F"/>
    <w:rsid w:val="00BA66B1"/>
    <w:rsid w:val="00BA6EBC"/>
    <w:rsid w:val="00BB1638"/>
    <w:rsid w:val="00BB1ED3"/>
    <w:rsid w:val="00BB297E"/>
    <w:rsid w:val="00BB34F9"/>
    <w:rsid w:val="00BB3ECE"/>
    <w:rsid w:val="00BB4BAF"/>
    <w:rsid w:val="00BB7E8B"/>
    <w:rsid w:val="00BC0B12"/>
    <w:rsid w:val="00BC0E96"/>
    <w:rsid w:val="00BC12E2"/>
    <w:rsid w:val="00BC1DCF"/>
    <w:rsid w:val="00BC26F1"/>
    <w:rsid w:val="00BC346D"/>
    <w:rsid w:val="00BC35D4"/>
    <w:rsid w:val="00BC3D16"/>
    <w:rsid w:val="00BD4345"/>
    <w:rsid w:val="00BD4DFB"/>
    <w:rsid w:val="00BE1542"/>
    <w:rsid w:val="00BE3510"/>
    <w:rsid w:val="00BE4CCA"/>
    <w:rsid w:val="00BE74C8"/>
    <w:rsid w:val="00BE761E"/>
    <w:rsid w:val="00BF0827"/>
    <w:rsid w:val="00BF0A35"/>
    <w:rsid w:val="00BF2F4A"/>
    <w:rsid w:val="00BF3093"/>
    <w:rsid w:val="00BF3C89"/>
    <w:rsid w:val="00C016F9"/>
    <w:rsid w:val="00C04531"/>
    <w:rsid w:val="00C04558"/>
    <w:rsid w:val="00C04EA1"/>
    <w:rsid w:val="00C07C80"/>
    <w:rsid w:val="00C107A2"/>
    <w:rsid w:val="00C11AAF"/>
    <w:rsid w:val="00C11EFF"/>
    <w:rsid w:val="00C124E6"/>
    <w:rsid w:val="00C13079"/>
    <w:rsid w:val="00C13F83"/>
    <w:rsid w:val="00C15382"/>
    <w:rsid w:val="00C15ECA"/>
    <w:rsid w:val="00C1633C"/>
    <w:rsid w:val="00C17E8D"/>
    <w:rsid w:val="00C20E93"/>
    <w:rsid w:val="00C21DF1"/>
    <w:rsid w:val="00C222F3"/>
    <w:rsid w:val="00C23BF2"/>
    <w:rsid w:val="00C24004"/>
    <w:rsid w:val="00C24455"/>
    <w:rsid w:val="00C254F0"/>
    <w:rsid w:val="00C27855"/>
    <w:rsid w:val="00C27B32"/>
    <w:rsid w:val="00C3145F"/>
    <w:rsid w:val="00C3479F"/>
    <w:rsid w:val="00C373EF"/>
    <w:rsid w:val="00C374CC"/>
    <w:rsid w:val="00C379FE"/>
    <w:rsid w:val="00C37CD0"/>
    <w:rsid w:val="00C43CFE"/>
    <w:rsid w:val="00C451AC"/>
    <w:rsid w:val="00C46557"/>
    <w:rsid w:val="00C46DC6"/>
    <w:rsid w:val="00C4789A"/>
    <w:rsid w:val="00C5077F"/>
    <w:rsid w:val="00C5093C"/>
    <w:rsid w:val="00C52731"/>
    <w:rsid w:val="00C55401"/>
    <w:rsid w:val="00C5584F"/>
    <w:rsid w:val="00C60CCE"/>
    <w:rsid w:val="00C624D3"/>
    <w:rsid w:val="00C669E5"/>
    <w:rsid w:val="00C66DBB"/>
    <w:rsid w:val="00C679CE"/>
    <w:rsid w:val="00C704C9"/>
    <w:rsid w:val="00C71914"/>
    <w:rsid w:val="00C74D72"/>
    <w:rsid w:val="00C74F5A"/>
    <w:rsid w:val="00C7784C"/>
    <w:rsid w:val="00C80F04"/>
    <w:rsid w:val="00C81090"/>
    <w:rsid w:val="00C81C16"/>
    <w:rsid w:val="00C86564"/>
    <w:rsid w:val="00C90531"/>
    <w:rsid w:val="00C9305A"/>
    <w:rsid w:val="00C93740"/>
    <w:rsid w:val="00CA06B1"/>
    <w:rsid w:val="00CA6B55"/>
    <w:rsid w:val="00CB72E6"/>
    <w:rsid w:val="00CB75FF"/>
    <w:rsid w:val="00CB7B6B"/>
    <w:rsid w:val="00CB7F8E"/>
    <w:rsid w:val="00CC0060"/>
    <w:rsid w:val="00CC02EA"/>
    <w:rsid w:val="00CC04C1"/>
    <w:rsid w:val="00CC0BE8"/>
    <w:rsid w:val="00CC147D"/>
    <w:rsid w:val="00CC3E11"/>
    <w:rsid w:val="00CC6237"/>
    <w:rsid w:val="00CC6700"/>
    <w:rsid w:val="00CC6D89"/>
    <w:rsid w:val="00CC6EA2"/>
    <w:rsid w:val="00CC6F63"/>
    <w:rsid w:val="00CD20F8"/>
    <w:rsid w:val="00CD3316"/>
    <w:rsid w:val="00CD34E9"/>
    <w:rsid w:val="00CD3706"/>
    <w:rsid w:val="00CD6874"/>
    <w:rsid w:val="00CE116F"/>
    <w:rsid w:val="00CE1403"/>
    <w:rsid w:val="00CE2FD5"/>
    <w:rsid w:val="00CF09ED"/>
    <w:rsid w:val="00CF1A8C"/>
    <w:rsid w:val="00CF35E9"/>
    <w:rsid w:val="00CF43F2"/>
    <w:rsid w:val="00CF43F4"/>
    <w:rsid w:val="00CF4B8D"/>
    <w:rsid w:val="00CF543F"/>
    <w:rsid w:val="00D02312"/>
    <w:rsid w:val="00D05356"/>
    <w:rsid w:val="00D0622E"/>
    <w:rsid w:val="00D06CF4"/>
    <w:rsid w:val="00D1088E"/>
    <w:rsid w:val="00D123EE"/>
    <w:rsid w:val="00D12BD9"/>
    <w:rsid w:val="00D15CE9"/>
    <w:rsid w:val="00D162BC"/>
    <w:rsid w:val="00D167BB"/>
    <w:rsid w:val="00D16D6E"/>
    <w:rsid w:val="00D205BA"/>
    <w:rsid w:val="00D22216"/>
    <w:rsid w:val="00D25F59"/>
    <w:rsid w:val="00D266C2"/>
    <w:rsid w:val="00D27E98"/>
    <w:rsid w:val="00D3255C"/>
    <w:rsid w:val="00D32EFD"/>
    <w:rsid w:val="00D3420E"/>
    <w:rsid w:val="00D3478E"/>
    <w:rsid w:val="00D356CF"/>
    <w:rsid w:val="00D3669E"/>
    <w:rsid w:val="00D4206A"/>
    <w:rsid w:val="00D4620B"/>
    <w:rsid w:val="00D50735"/>
    <w:rsid w:val="00D50C61"/>
    <w:rsid w:val="00D5467C"/>
    <w:rsid w:val="00D565BB"/>
    <w:rsid w:val="00D621DA"/>
    <w:rsid w:val="00D648E0"/>
    <w:rsid w:val="00D65AC8"/>
    <w:rsid w:val="00D6729F"/>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3B84"/>
    <w:rsid w:val="00D94632"/>
    <w:rsid w:val="00D969EB"/>
    <w:rsid w:val="00D97263"/>
    <w:rsid w:val="00D974FF"/>
    <w:rsid w:val="00DA0270"/>
    <w:rsid w:val="00DA04D6"/>
    <w:rsid w:val="00DA06FC"/>
    <w:rsid w:val="00DA1A80"/>
    <w:rsid w:val="00DA47AE"/>
    <w:rsid w:val="00DA4BFE"/>
    <w:rsid w:val="00DA56F0"/>
    <w:rsid w:val="00DA5F0B"/>
    <w:rsid w:val="00DA728C"/>
    <w:rsid w:val="00DA7A60"/>
    <w:rsid w:val="00DB2450"/>
    <w:rsid w:val="00DB3B88"/>
    <w:rsid w:val="00DB4791"/>
    <w:rsid w:val="00DB4818"/>
    <w:rsid w:val="00DB5F13"/>
    <w:rsid w:val="00DC155B"/>
    <w:rsid w:val="00DC5B32"/>
    <w:rsid w:val="00DD173D"/>
    <w:rsid w:val="00DD40C0"/>
    <w:rsid w:val="00DD4DBC"/>
    <w:rsid w:val="00DD5231"/>
    <w:rsid w:val="00DE0A3F"/>
    <w:rsid w:val="00DE0EFF"/>
    <w:rsid w:val="00DE2FEA"/>
    <w:rsid w:val="00DE4AC1"/>
    <w:rsid w:val="00DE5630"/>
    <w:rsid w:val="00DE5FF0"/>
    <w:rsid w:val="00DF0EC6"/>
    <w:rsid w:val="00DF26E7"/>
    <w:rsid w:val="00DF28EC"/>
    <w:rsid w:val="00DF4B57"/>
    <w:rsid w:val="00DF54D3"/>
    <w:rsid w:val="00DF6DBF"/>
    <w:rsid w:val="00E01BBB"/>
    <w:rsid w:val="00E02E3B"/>
    <w:rsid w:val="00E031E1"/>
    <w:rsid w:val="00E03824"/>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2D1B"/>
    <w:rsid w:val="00E43A15"/>
    <w:rsid w:val="00E4472A"/>
    <w:rsid w:val="00E47077"/>
    <w:rsid w:val="00E51C4C"/>
    <w:rsid w:val="00E52101"/>
    <w:rsid w:val="00E52779"/>
    <w:rsid w:val="00E53C53"/>
    <w:rsid w:val="00E546FB"/>
    <w:rsid w:val="00E553D5"/>
    <w:rsid w:val="00E56ADF"/>
    <w:rsid w:val="00E626F1"/>
    <w:rsid w:val="00E641A6"/>
    <w:rsid w:val="00E65624"/>
    <w:rsid w:val="00E6714F"/>
    <w:rsid w:val="00E705D3"/>
    <w:rsid w:val="00E7317F"/>
    <w:rsid w:val="00E73276"/>
    <w:rsid w:val="00E737FA"/>
    <w:rsid w:val="00E76ACE"/>
    <w:rsid w:val="00E84012"/>
    <w:rsid w:val="00E8579D"/>
    <w:rsid w:val="00E861DA"/>
    <w:rsid w:val="00E86364"/>
    <w:rsid w:val="00E904E5"/>
    <w:rsid w:val="00E954D4"/>
    <w:rsid w:val="00E959E8"/>
    <w:rsid w:val="00E96A0E"/>
    <w:rsid w:val="00EA0EDA"/>
    <w:rsid w:val="00EA174A"/>
    <w:rsid w:val="00EA18D9"/>
    <w:rsid w:val="00EA2F7B"/>
    <w:rsid w:val="00EA4441"/>
    <w:rsid w:val="00EA460D"/>
    <w:rsid w:val="00EA571E"/>
    <w:rsid w:val="00EA7897"/>
    <w:rsid w:val="00EA7E27"/>
    <w:rsid w:val="00EB07A6"/>
    <w:rsid w:val="00EB154E"/>
    <w:rsid w:val="00EB1721"/>
    <w:rsid w:val="00EB1B66"/>
    <w:rsid w:val="00EB208A"/>
    <w:rsid w:val="00EB2FB3"/>
    <w:rsid w:val="00EB425C"/>
    <w:rsid w:val="00EB4B2B"/>
    <w:rsid w:val="00EB4B99"/>
    <w:rsid w:val="00EB6D30"/>
    <w:rsid w:val="00EB7E3D"/>
    <w:rsid w:val="00EC11E4"/>
    <w:rsid w:val="00EC1AE7"/>
    <w:rsid w:val="00EC439F"/>
    <w:rsid w:val="00EC7FD4"/>
    <w:rsid w:val="00ED1EC3"/>
    <w:rsid w:val="00ED2F45"/>
    <w:rsid w:val="00ED4012"/>
    <w:rsid w:val="00ED55A2"/>
    <w:rsid w:val="00ED6AD0"/>
    <w:rsid w:val="00EE010A"/>
    <w:rsid w:val="00EE274B"/>
    <w:rsid w:val="00EE451A"/>
    <w:rsid w:val="00EE5B1A"/>
    <w:rsid w:val="00EF0A65"/>
    <w:rsid w:val="00EF12CB"/>
    <w:rsid w:val="00EF331C"/>
    <w:rsid w:val="00EF3332"/>
    <w:rsid w:val="00EF41AC"/>
    <w:rsid w:val="00EF4F0C"/>
    <w:rsid w:val="00F0033E"/>
    <w:rsid w:val="00F02A7A"/>
    <w:rsid w:val="00F03624"/>
    <w:rsid w:val="00F06057"/>
    <w:rsid w:val="00F07387"/>
    <w:rsid w:val="00F101B4"/>
    <w:rsid w:val="00F10E54"/>
    <w:rsid w:val="00F1477C"/>
    <w:rsid w:val="00F213E6"/>
    <w:rsid w:val="00F26B72"/>
    <w:rsid w:val="00F3014C"/>
    <w:rsid w:val="00F353CE"/>
    <w:rsid w:val="00F35C47"/>
    <w:rsid w:val="00F3651B"/>
    <w:rsid w:val="00F37163"/>
    <w:rsid w:val="00F435F1"/>
    <w:rsid w:val="00F45B8B"/>
    <w:rsid w:val="00F45F9D"/>
    <w:rsid w:val="00F47958"/>
    <w:rsid w:val="00F47B5F"/>
    <w:rsid w:val="00F5046A"/>
    <w:rsid w:val="00F51224"/>
    <w:rsid w:val="00F56248"/>
    <w:rsid w:val="00F61397"/>
    <w:rsid w:val="00F61F43"/>
    <w:rsid w:val="00F65411"/>
    <w:rsid w:val="00F66425"/>
    <w:rsid w:val="00F666D7"/>
    <w:rsid w:val="00F66C87"/>
    <w:rsid w:val="00F710FC"/>
    <w:rsid w:val="00F71165"/>
    <w:rsid w:val="00F7161F"/>
    <w:rsid w:val="00F736C7"/>
    <w:rsid w:val="00F739DE"/>
    <w:rsid w:val="00F73E58"/>
    <w:rsid w:val="00F7406E"/>
    <w:rsid w:val="00F74249"/>
    <w:rsid w:val="00F75473"/>
    <w:rsid w:val="00F77850"/>
    <w:rsid w:val="00F838BA"/>
    <w:rsid w:val="00F839BB"/>
    <w:rsid w:val="00F84751"/>
    <w:rsid w:val="00F85075"/>
    <w:rsid w:val="00F85AD4"/>
    <w:rsid w:val="00F87CCD"/>
    <w:rsid w:val="00F93E48"/>
    <w:rsid w:val="00F95D50"/>
    <w:rsid w:val="00F96AA9"/>
    <w:rsid w:val="00FA2073"/>
    <w:rsid w:val="00FA2A0D"/>
    <w:rsid w:val="00FA521B"/>
    <w:rsid w:val="00FA6DA0"/>
    <w:rsid w:val="00FA7E0A"/>
    <w:rsid w:val="00FB0B72"/>
    <w:rsid w:val="00FB0CB0"/>
    <w:rsid w:val="00FB1797"/>
    <w:rsid w:val="00FB5F3F"/>
    <w:rsid w:val="00FC789F"/>
    <w:rsid w:val="00FD241B"/>
    <w:rsid w:val="00FD3AAB"/>
    <w:rsid w:val="00FD3C7C"/>
    <w:rsid w:val="00FD4B19"/>
    <w:rsid w:val="00FD6D4E"/>
    <w:rsid w:val="00FE0A6D"/>
    <w:rsid w:val="00FE2301"/>
    <w:rsid w:val="00FE251E"/>
    <w:rsid w:val="00FE2D9A"/>
    <w:rsid w:val="00FE3202"/>
    <w:rsid w:val="00FE33A9"/>
    <w:rsid w:val="00FE3976"/>
    <w:rsid w:val="00FE3C14"/>
    <w:rsid w:val="00FE4274"/>
    <w:rsid w:val="00FE5327"/>
    <w:rsid w:val="00FE6A03"/>
    <w:rsid w:val="00FE6EC0"/>
    <w:rsid w:val="00FE6FF7"/>
    <w:rsid w:val="00FF20C4"/>
    <w:rsid w:val="00FF6210"/>
    <w:rsid w:val="00FF73EC"/>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 w:type="paragraph" w:styleId="BodyText">
    <w:name w:val="Body Text"/>
    <w:basedOn w:val="Normal"/>
    <w:link w:val="BodyTextChar"/>
    <w:rsid w:val="00DA47AE"/>
    <w:pPr>
      <w:spacing w:line="360" w:lineRule="auto"/>
      <w:jc w:val="both"/>
    </w:pPr>
    <w:rPr>
      <w:sz w:val="26"/>
      <w:szCs w:val="20"/>
    </w:rPr>
  </w:style>
  <w:style w:type="character" w:customStyle="1" w:styleId="BodyTextChar">
    <w:name w:val="Body Text Char"/>
    <w:basedOn w:val="DefaultParagraphFont"/>
    <w:link w:val="BodyText"/>
    <w:rsid w:val="00DA47AE"/>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26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97263"/>
    <w:rPr>
      <w:sz w:val="20"/>
      <w:szCs w:val="20"/>
    </w:rPr>
  </w:style>
  <w:style w:type="character" w:customStyle="1" w:styleId="FootnoteTextChar">
    <w:name w:val="Footnote Text Char"/>
    <w:basedOn w:val="DefaultParagraphFont"/>
    <w:link w:val="FootnoteText"/>
    <w:rsid w:val="00D97263"/>
  </w:style>
  <w:style w:type="character" w:styleId="FootnoteReference">
    <w:name w:val="footnote reference"/>
    <w:basedOn w:val="DefaultParagraphFont"/>
    <w:rsid w:val="00D97263"/>
    <w:rPr>
      <w:vertAlign w:val="superscript"/>
    </w:rPr>
  </w:style>
  <w:style w:type="paragraph" w:styleId="Header">
    <w:name w:val="header"/>
    <w:basedOn w:val="Normal"/>
    <w:link w:val="HeaderChar"/>
    <w:rsid w:val="001164A8"/>
    <w:pPr>
      <w:tabs>
        <w:tab w:val="center" w:pos="4680"/>
        <w:tab w:val="right" w:pos="9360"/>
      </w:tabs>
    </w:pPr>
  </w:style>
  <w:style w:type="character" w:customStyle="1" w:styleId="HeaderChar">
    <w:name w:val="Header Char"/>
    <w:basedOn w:val="DefaultParagraphFont"/>
    <w:link w:val="Header"/>
    <w:rsid w:val="001164A8"/>
    <w:rPr>
      <w:sz w:val="24"/>
      <w:szCs w:val="24"/>
    </w:rPr>
  </w:style>
  <w:style w:type="paragraph" w:styleId="Footer">
    <w:name w:val="footer"/>
    <w:basedOn w:val="Normal"/>
    <w:link w:val="FooterChar"/>
    <w:uiPriority w:val="99"/>
    <w:rsid w:val="001164A8"/>
    <w:pPr>
      <w:tabs>
        <w:tab w:val="center" w:pos="4680"/>
        <w:tab w:val="right" w:pos="9360"/>
      </w:tabs>
    </w:pPr>
  </w:style>
  <w:style w:type="character" w:customStyle="1" w:styleId="FooterChar">
    <w:name w:val="Footer Char"/>
    <w:basedOn w:val="DefaultParagraphFont"/>
    <w:link w:val="Footer"/>
    <w:uiPriority w:val="99"/>
    <w:rsid w:val="001164A8"/>
    <w:rPr>
      <w:sz w:val="24"/>
      <w:szCs w:val="24"/>
    </w:rPr>
  </w:style>
  <w:style w:type="paragraph" w:styleId="ListParagraph">
    <w:name w:val="List Paragraph"/>
    <w:basedOn w:val="Normal"/>
    <w:uiPriority w:val="34"/>
    <w:qFormat/>
    <w:rsid w:val="0059466F"/>
    <w:pPr>
      <w:ind w:left="720"/>
      <w:contextualSpacing/>
    </w:pPr>
  </w:style>
  <w:style w:type="paragraph" w:styleId="BalloonText">
    <w:name w:val="Balloon Text"/>
    <w:basedOn w:val="Normal"/>
    <w:link w:val="BalloonTextChar"/>
    <w:rsid w:val="00341EDC"/>
    <w:rPr>
      <w:rFonts w:ascii="Tahoma" w:hAnsi="Tahoma" w:cs="Tahoma"/>
      <w:sz w:val="16"/>
      <w:szCs w:val="16"/>
    </w:rPr>
  </w:style>
  <w:style w:type="character" w:customStyle="1" w:styleId="BalloonTextChar">
    <w:name w:val="Balloon Text Char"/>
    <w:basedOn w:val="DefaultParagraphFont"/>
    <w:link w:val="BalloonText"/>
    <w:rsid w:val="00341EDC"/>
    <w:rPr>
      <w:rFonts w:ascii="Tahoma" w:hAnsi="Tahoma" w:cs="Tahoma"/>
      <w:sz w:val="16"/>
      <w:szCs w:val="16"/>
    </w:rPr>
  </w:style>
  <w:style w:type="paragraph" w:styleId="BodyText">
    <w:name w:val="Body Text"/>
    <w:basedOn w:val="Normal"/>
    <w:link w:val="BodyTextChar"/>
    <w:rsid w:val="00DA47AE"/>
    <w:pPr>
      <w:spacing w:line="360" w:lineRule="auto"/>
      <w:jc w:val="both"/>
    </w:pPr>
    <w:rPr>
      <w:sz w:val="26"/>
      <w:szCs w:val="20"/>
    </w:rPr>
  </w:style>
  <w:style w:type="character" w:customStyle="1" w:styleId="BodyTextChar">
    <w:name w:val="Body Text Char"/>
    <w:basedOn w:val="DefaultParagraphFont"/>
    <w:link w:val="BodyText"/>
    <w:rsid w:val="00DA47A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0CDBC-849E-489B-81C8-1E1ECD26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sandra elizabeth oldynski</cp:lastModifiedBy>
  <cp:revision>26</cp:revision>
  <cp:lastPrinted>2013-08-28T19:01:00Z</cp:lastPrinted>
  <dcterms:created xsi:type="dcterms:W3CDTF">2013-08-27T15:45:00Z</dcterms:created>
  <dcterms:modified xsi:type="dcterms:W3CDTF">2013-08-28T19:02:00Z</dcterms:modified>
</cp:coreProperties>
</file>