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ab/>
      </w:r>
      <w:r w:rsidR="00E862F4">
        <w:rPr>
          <w:sz w:val="26"/>
          <w:szCs w:val="26"/>
        </w:rPr>
        <w:t xml:space="preserve">  </w:t>
      </w:r>
      <w:r w:rsidR="009304FE">
        <w:rPr>
          <w:sz w:val="26"/>
          <w:szCs w:val="26"/>
        </w:rPr>
        <w:t>P</w:t>
      </w:r>
      <w:r w:rsidR="009304FE" w:rsidRPr="002A5D4B">
        <w:rPr>
          <w:sz w:val="26"/>
          <w:szCs w:val="26"/>
        </w:rPr>
        <w:t xml:space="preserve">ublic Meeting held </w:t>
      </w:r>
      <w:r w:rsidR="00C74F8F">
        <w:rPr>
          <w:sz w:val="26"/>
          <w:szCs w:val="26"/>
        </w:rPr>
        <w:t>September 12</w:t>
      </w:r>
      <w:r w:rsidR="00E862F4">
        <w:rPr>
          <w:sz w:val="26"/>
          <w:szCs w:val="26"/>
        </w:rPr>
        <w:t>, 2013</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AC6A03" w:rsidRPr="00AC6A03" w:rsidRDefault="00AC6A03" w:rsidP="00AC6A03">
      <w:pPr>
        <w:ind w:firstLine="540"/>
        <w:rPr>
          <w:rFonts w:ascii="Times New (W1)" w:hAnsi="Times New (W1)"/>
          <w:sz w:val="26"/>
          <w:szCs w:val="20"/>
        </w:rPr>
      </w:pPr>
      <w:r w:rsidRPr="00AC6A03">
        <w:rPr>
          <w:rFonts w:ascii="Times New (W1)" w:hAnsi="Times New (W1)"/>
          <w:sz w:val="26"/>
          <w:szCs w:val="20"/>
        </w:rPr>
        <w:t>Robert F. Powelson, Chairman</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John F. Coleman, Jr., Vice Chairman</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Wayne E. Gardner</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James H. Cawley</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Pamela A. Witmer</w:t>
      </w:r>
    </w:p>
    <w:p w:rsidR="00AC6A03" w:rsidRDefault="00AC6A03" w:rsidP="00AC6A03">
      <w:pPr>
        <w:rPr>
          <w:sz w:val="26"/>
          <w:szCs w:val="26"/>
        </w:rPr>
      </w:pPr>
    </w:p>
    <w:p w:rsidR="009304FE" w:rsidRDefault="009304FE" w:rsidP="009304FE"/>
    <w:p w:rsidR="0024069A" w:rsidRDefault="00E862F4" w:rsidP="0024069A">
      <w:pPr>
        <w:tabs>
          <w:tab w:val="left" w:pos="-720"/>
          <w:tab w:val="left" w:pos="0"/>
        </w:tabs>
        <w:suppressAutoHyphens/>
        <w:rPr>
          <w:sz w:val="26"/>
          <w:szCs w:val="26"/>
        </w:rPr>
      </w:pPr>
      <w:r>
        <w:rPr>
          <w:sz w:val="26"/>
          <w:szCs w:val="26"/>
        </w:rPr>
        <w:t>Pennsylvania Public Utility Commission,</w:t>
      </w:r>
      <w:r>
        <w:rPr>
          <w:sz w:val="26"/>
          <w:szCs w:val="26"/>
        </w:rPr>
        <w:tab/>
      </w:r>
      <w:r>
        <w:rPr>
          <w:sz w:val="26"/>
          <w:szCs w:val="26"/>
        </w:rPr>
        <w:tab/>
      </w:r>
      <w:r>
        <w:rPr>
          <w:sz w:val="26"/>
          <w:szCs w:val="26"/>
        </w:rPr>
        <w:tab/>
        <w:t xml:space="preserve">                            C-2010-2175330</w:t>
      </w:r>
    </w:p>
    <w:p w:rsidR="00E862F4" w:rsidRDefault="00E862F4" w:rsidP="0024069A">
      <w:pPr>
        <w:tabs>
          <w:tab w:val="left" w:pos="-720"/>
          <w:tab w:val="left" w:pos="0"/>
        </w:tabs>
        <w:suppressAutoHyphens/>
        <w:rPr>
          <w:sz w:val="26"/>
          <w:szCs w:val="26"/>
        </w:rPr>
      </w:pPr>
      <w:r>
        <w:rPr>
          <w:sz w:val="26"/>
          <w:szCs w:val="26"/>
        </w:rPr>
        <w:t xml:space="preserve">Bureau of Transportation and Safety </w:t>
      </w:r>
    </w:p>
    <w:p w:rsidR="00E862F4" w:rsidRDefault="00E862F4" w:rsidP="0024069A">
      <w:pPr>
        <w:tabs>
          <w:tab w:val="left" w:pos="-720"/>
          <w:tab w:val="left" w:pos="0"/>
        </w:tabs>
        <w:suppressAutoHyphens/>
        <w:rPr>
          <w:sz w:val="26"/>
          <w:szCs w:val="26"/>
        </w:rPr>
      </w:pPr>
    </w:p>
    <w:p w:rsidR="00E862F4" w:rsidRDefault="00E862F4" w:rsidP="0024069A">
      <w:pPr>
        <w:tabs>
          <w:tab w:val="left" w:pos="-720"/>
          <w:tab w:val="left" w:pos="0"/>
        </w:tabs>
        <w:suppressAutoHyphens/>
        <w:rPr>
          <w:sz w:val="26"/>
          <w:szCs w:val="26"/>
        </w:rPr>
      </w:pPr>
      <w:r>
        <w:rPr>
          <w:sz w:val="26"/>
          <w:szCs w:val="26"/>
        </w:rPr>
        <w:tab/>
      </w:r>
      <w:r>
        <w:rPr>
          <w:sz w:val="26"/>
          <w:szCs w:val="26"/>
        </w:rPr>
        <w:tab/>
        <w:t>v.</w:t>
      </w:r>
    </w:p>
    <w:p w:rsidR="00E862F4" w:rsidRDefault="00E862F4" w:rsidP="0024069A">
      <w:pPr>
        <w:tabs>
          <w:tab w:val="left" w:pos="-720"/>
          <w:tab w:val="left" w:pos="0"/>
        </w:tabs>
        <w:suppressAutoHyphens/>
        <w:rPr>
          <w:sz w:val="26"/>
          <w:szCs w:val="26"/>
        </w:rPr>
      </w:pPr>
    </w:p>
    <w:p w:rsidR="00E862F4" w:rsidRPr="006C64C8" w:rsidRDefault="00E862F4" w:rsidP="0024069A">
      <w:pPr>
        <w:tabs>
          <w:tab w:val="left" w:pos="-720"/>
          <w:tab w:val="left" w:pos="0"/>
        </w:tabs>
        <w:suppressAutoHyphens/>
        <w:rPr>
          <w:sz w:val="26"/>
          <w:szCs w:val="26"/>
        </w:rPr>
      </w:pPr>
      <w:r>
        <w:rPr>
          <w:sz w:val="26"/>
          <w:szCs w:val="26"/>
        </w:rPr>
        <w:t xml:space="preserve">Germantown Cab Company </w:t>
      </w:r>
    </w:p>
    <w:p w:rsidR="009304FE" w:rsidRPr="006C64C8" w:rsidRDefault="009304FE" w:rsidP="009304FE">
      <w:pPr>
        <w:tabs>
          <w:tab w:val="left" w:pos="-720"/>
          <w:tab w:val="left" w:pos="0"/>
        </w:tabs>
        <w:suppressAutoHyphens/>
        <w:rPr>
          <w:sz w:val="26"/>
          <w:szCs w:val="26"/>
        </w:rPr>
      </w:pPr>
    </w:p>
    <w:p w:rsidR="009304FE" w:rsidRPr="00624B80" w:rsidRDefault="009304FE" w:rsidP="007F67A7">
      <w:pPr>
        <w:tabs>
          <w:tab w:val="left" w:pos="-720"/>
          <w:tab w:val="left" w:pos="0"/>
        </w:tabs>
        <w:suppressAutoHyphens/>
        <w:rPr>
          <w:sz w:val="26"/>
        </w:rPr>
      </w:pPr>
      <w:r w:rsidRPr="006C64C8">
        <w:rPr>
          <w:sz w:val="26"/>
          <w:szCs w:val="26"/>
        </w:rPr>
        <w:tab/>
      </w: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966051" w:rsidRDefault="00AE655A" w:rsidP="0019214E">
      <w:pPr>
        <w:spacing w:line="360" w:lineRule="auto"/>
        <w:rPr>
          <w:sz w:val="26"/>
          <w:szCs w:val="26"/>
        </w:rPr>
      </w:pPr>
      <w:r>
        <w:rPr>
          <w:sz w:val="26"/>
          <w:szCs w:val="26"/>
        </w:rPr>
        <w:tab/>
      </w:r>
      <w:r>
        <w:rPr>
          <w:sz w:val="26"/>
          <w:szCs w:val="26"/>
        </w:rPr>
        <w:tab/>
      </w:r>
      <w:r w:rsidR="00C74F8F" w:rsidRPr="00027664">
        <w:rPr>
          <w:sz w:val="26"/>
        </w:rPr>
        <w:t xml:space="preserve">Before the </w:t>
      </w:r>
      <w:r w:rsidR="00C74F8F">
        <w:rPr>
          <w:sz w:val="26"/>
        </w:rPr>
        <w:t xml:space="preserve">Pennsylvania Public Utility </w:t>
      </w:r>
      <w:r w:rsidR="00C74F8F" w:rsidRPr="00027664">
        <w:rPr>
          <w:sz w:val="26"/>
        </w:rPr>
        <w:t xml:space="preserve">Commission </w:t>
      </w:r>
      <w:r w:rsidR="00C74F8F">
        <w:rPr>
          <w:sz w:val="26"/>
        </w:rPr>
        <w:t xml:space="preserve">(Commission) </w:t>
      </w:r>
      <w:r w:rsidR="00C74F8F" w:rsidRPr="00027664">
        <w:rPr>
          <w:sz w:val="26"/>
        </w:rPr>
        <w:t>for co</w:t>
      </w:r>
      <w:r w:rsidR="00C74F8F">
        <w:rPr>
          <w:sz w:val="26"/>
        </w:rPr>
        <w:t>nsideration and disposition is the</w:t>
      </w:r>
      <w:r w:rsidR="00C74F8F" w:rsidRPr="00027664">
        <w:rPr>
          <w:sz w:val="26"/>
        </w:rPr>
        <w:t xml:space="preserve"> Petition for Reconsideration (Petition), filed by</w:t>
      </w:r>
      <w:r w:rsidR="00C74F8F">
        <w:rPr>
          <w:sz w:val="26"/>
        </w:rPr>
        <w:t xml:space="preserve"> </w:t>
      </w:r>
      <w:r w:rsidR="00C74F8F">
        <w:rPr>
          <w:sz w:val="26"/>
          <w:szCs w:val="26"/>
        </w:rPr>
        <w:t xml:space="preserve">Germantown Cab Company (Respondent or Company) </w:t>
      </w:r>
      <w:r w:rsidR="00C74F8F" w:rsidRPr="00027664">
        <w:rPr>
          <w:sz w:val="26"/>
        </w:rPr>
        <w:t>on</w:t>
      </w:r>
      <w:r w:rsidR="00C74F8F">
        <w:rPr>
          <w:sz w:val="26"/>
        </w:rPr>
        <w:t xml:space="preserve"> March 1, 2013, seeking reconsideration of the </w:t>
      </w:r>
      <w:r w:rsidR="00C74F8F" w:rsidRPr="00027664">
        <w:rPr>
          <w:sz w:val="26"/>
        </w:rPr>
        <w:t xml:space="preserve">Opinion and Order entered </w:t>
      </w:r>
      <w:r w:rsidR="00C74F8F">
        <w:rPr>
          <w:sz w:val="26"/>
        </w:rPr>
        <w:t>February 14, 2013</w:t>
      </w:r>
      <w:r w:rsidR="00B51B94">
        <w:rPr>
          <w:sz w:val="26"/>
        </w:rPr>
        <w:t xml:space="preserve"> (</w:t>
      </w:r>
      <w:r w:rsidR="00B51B94" w:rsidRPr="00B51B94">
        <w:rPr>
          <w:i/>
          <w:sz w:val="26"/>
        </w:rPr>
        <w:t>February 2013 Order</w:t>
      </w:r>
      <w:r w:rsidR="00B51B94">
        <w:rPr>
          <w:sz w:val="26"/>
        </w:rPr>
        <w:t>)</w:t>
      </w:r>
      <w:r w:rsidR="00C74F8F" w:rsidRPr="00027664">
        <w:rPr>
          <w:sz w:val="26"/>
        </w:rPr>
        <w:t>, relative to the above-captioned proceeding</w:t>
      </w:r>
      <w:r w:rsidR="00C74F8F">
        <w:rPr>
          <w:sz w:val="26"/>
        </w:rPr>
        <w:t xml:space="preserve">.  </w:t>
      </w:r>
      <w:r w:rsidR="00C2059E">
        <w:rPr>
          <w:sz w:val="26"/>
        </w:rPr>
        <w:t>Answers to the Petition have not been filed.</w:t>
      </w:r>
      <w:r w:rsidR="009304FE">
        <w:rPr>
          <w:sz w:val="26"/>
          <w:szCs w:val="26"/>
        </w:rPr>
        <w:t xml:space="preserve"> </w:t>
      </w:r>
      <w:r w:rsidR="001863B0">
        <w:rPr>
          <w:sz w:val="26"/>
          <w:szCs w:val="26"/>
        </w:rPr>
        <w:t xml:space="preserve"> </w:t>
      </w:r>
      <w:r w:rsidR="00137630">
        <w:rPr>
          <w:sz w:val="26"/>
          <w:szCs w:val="26"/>
        </w:rPr>
        <w:t xml:space="preserve">For the reasons set forth herein, we shall </w:t>
      </w:r>
      <w:r w:rsidR="002D6130">
        <w:rPr>
          <w:sz w:val="26"/>
          <w:szCs w:val="26"/>
        </w:rPr>
        <w:t>grant the Petition, in part, and deny the Petition, in part, consistent with the discussion in this Opinion and Order</w:t>
      </w:r>
      <w:r w:rsidR="00137630">
        <w:rPr>
          <w:sz w:val="26"/>
          <w:szCs w:val="26"/>
        </w:rPr>
        <w:t>.</w:t>
      </w:r>
      <w:r w:rsidR="00C2059E">
        <w:rPr>
          <w:sz w:val="26"/>
          <w:szCs w:val="26"/>
        </w:rPr>
        <w:t xml:space="preserve">  </w:t>
      </w:r>
      <w:r w:rsidR="00137630">
        <w:rPr>
          <w:sz w:val="26"/>
          <w:szCs w:val="26"/>
        </w:rPr>
        <w:t xml:space="preserve">  </w:t>
      </w:r>
      <w:r w:rsidR="001863B0">
        <w:rPr>
          <w:sz w:val="26"/>
          <w:szCs w:val="26"/>
        </w:rPr>
        <w:t xml:space="preserve">  </w:t>
      </w:r>
    </w:p>
    <w:p w:rsidR="003E48AA" w:rsidRDefault="003E48AA" w:rsidP="0019214E">
      <w:pPr>
        <w:spacing w:line="360" w:lineRule="auto"/>
        <w:rPr>
          <w:sz w:val="26"/>
          <w:szCs w:val="26"/>
        </w:rPr>
      </w:pPr>
    </w:p>
    <w:p w:rsidR="001863B0" w:rsidRDefault="001863B0" w:rsidP="00F55BED">
      <w:pPr>
        <w:spacing w:line="360" w:lineRule="auto"/>
        <w:jc w:val="center"/>
        <w:rPr>
          <w:b/>
          <w:sz w:val="26"/>
          <w:szCs w:val="26"/>
        </w:rPr>
      </w:pPr>
    </w:p>
    <w:p w:rsidR="009304FE" w:rsidRDefault="00F55BED" w:rsidP="00F55BED">
      <w:pPr>
        <w:spacing w:line="360" w:lineRule="auto"/>
        <w:jc w:val="center"/>
        <w:rPr>
          <w:b/>
          <w:sz w:val="26"/>
          <w:szCs w:val="26"/>
        </w:rPr>
      </w:pPr>
      <w:r w:rsidRPr="00CA1972">
        <w:rPr>
          <w:b/>
          <w:sz w:val="26"/>
          <w:szCs w:val="26"/>
        </w:rPr>
        <w:lastRenderedPageBreak/>
        <w:t>History of the Proceeding</w:t>
      </w:r>
    </w:p>
    <w:p w:rsidR="005C6B17" w:rsidRDefault="005C6B17" w:rsidP="00F55BED">
      <w:pPr>
        <w:spacing w:line="360" w:lineRule="auto"/>
        <w:jc w:val="center"/>
        <w:rPr>
          <w:b/>
          <w:sz w:val="26"/>
          <w:szCs w:val="26"/>
        </w:rPr>
      </w:pPr>
    </w:p>
    <w:p w:rsidR="00F919E8" w:rsidRPr="00BF3CBC" w:rsidRDefault="00F919E8" w:rsidP="00374917">
      <w:pPr>
        <w:pStyle w:val="BodyText"/>
        <w:ind w:firstLine="1440"/>
        <w:rPr>
          <w:szCs w:val="24"/>
        </w:rPr>
      </w:pPr>
      <w:r>
        <w:rPr>
          <w:szCs w:val="24"/>
        </w:rPr>
        <w:t>On August 4, 2010, t</w:t>
      </w:r>
      <w:r w:rsidRPr="00BF3CBC">
        <w:rPr>
          <w:szCs w:val="24"/>
        </w:rPr>
        <w:t>he Commission’s Bureau of Transportation and Safety</w:t>
      </w:r>
      <w:r w:rsidR="00144175">
        <w:rPr>
          <w:szCs w:val="24"/>
        </w:rPr>
        <w:t xml:space="preserve"> (BTS)</w:t>
      </w:r>
      <w:r w:rsidR="005A4155">
        <w:rPr>
          <w:szCs w:val="24"/>
        </w:rPr>
        <w:t xml:space="preserve">, now </w:t>
      </w:r>
      <w:r w:rsidR="00341DA1">
        <w:rPr>
          <w:szCs w:val="24"/>
        </w:rPr>
        <w:t>the Bureau of Investigation and Enforcement (</w:t>
      </w:r>
      <w:r w:rsidR="005A4155">
        <w:rPr>
          <w:szCs w:val="24"/>
        </w:rPr>
        <w:t>I&amp;E</w:t>
      </w:r>
      <w:r w:rsidR="00341DA1">
        <w:rPr>
          <w:szCs w:val="24"/>
        </w:rPr>
        <w:t>)</w:t>
      </w:r>
      <w:r w:rsidR="005A4155">
        <w:rPr>
          <w:szCs w:val="24"/>
        </w:rPr>
        <w:t>,</w:t>
      </w:r>
      <w:r>
        <w:rPr>
          <w:rStyle w:val="FootnoteReference"/>
          <w:szCs w:val="24"/>
        </w:rPr>
        <w:footnoteReference w:id="1"/>
      </w:r>
      <w:r w:rsidRPr="00BF3CBC">
        <w:rPr>
          <w:szCs w:val="24"/>
        </w:rPr>
        <w:t xml:space="preserve"> filed a </w:t>
      </w:r>
      <w:r w:rsidR="0094412E">
        <w:rPr>
          <w:szCs w:val="24"/>
        </w:rPr>
        <w:t>F</w:t>
      </w:r>
      <w:r w:rsidRPr="00BF3CBC">
        <w:rPr>
          <w:szCs w:val="24"/>
        </w:rPr>
        <w:t xml:space="preserve">ormal </w:t>
      </w:r>
      <w:r w:rsidR="0094412E">
        <w:rPr>
          <w:szCs w:val="24"/>
        </w:rPr>
        <w:t>C</w:t>
      </w:r>
      <w:r w:rsidRPr="00BF3CBC">
        <w:rPr>
          <w:szCs w:val="24"/>
        </w:rPr>
        <w:t xml:space="preserve">omplaint against </w:t>
      </w:r>
      <w:r w:rsidR="0094412E">
        <w:rPr>
          <w:szCs w:val="24"/>
        </w:rPr>
        <w:t xml:space="preserve">the </w:t>
      </w:r>
      <w:r w:rsidRPr="00BF3CBC">
        <w:rPr>
          <w:szCs w:val="24"/>
        </w:rPr>
        <w:t xml:space="preserve">Respondent.  </w:t>
      </w:r>
      <w:r w:rsidR="0094412E">
        <w:rPr>
          <w:szCs w:val="24"/>
        </w:rPr>
        <w:t>In the Complaint, I&amp;E</w:t>
      </w:r>
      <w:r w:rsidRPr="00BF3CBC">
        <w:rPr>
          <w:szCs w:val="24"/>
        </w:rPr>
        <w:t xml:space="preserve"> </w:t>
      </w:r>
      <w:r w:rsidR="00D715A5">
        <w:rPr>
          <w:szCs w:val="24"/>
        </w:rPr>
        <w:t>stated</w:t>
      </w:r>
      <w:r w:rsidRPr="00BF3CBC">
        <w:rPr>
          <w:szCs w:val="24"/>
        </w:rPr>
        <w:t xml:space="preserve"> that </w:t>
      </w:r>
      <w:r w:rsidR="0094412E">
        <w:rPr>
          <w:szCs w:val="24"/>
        </w:rPr>
        <w:t>Commission e</w:t>
      </w:r>
      <w:r w:rsidRPr="00BF3CBC">
        <w:rPr>
          <w:szCs w:val="24"/>
        </w:rPr>
        <w:t xml:space="preserve">nforcement </w:t>
      </w:r>
      <w:r w:rsidR="0094412E">
        <w:rPr>
          <w:szCs w:val="24"/>
        </w:rPr>
        <w:t>o</w:t>
      </w:r>
      <w:r w:rsidRPr="00BF3CBC">
        <w:rPr>
          <w:szCs w:val="24"/>
        </w:rPr>
        <w:t xml:space="preserve">fficers </w:t>
      </w:r>
      <w:r w:rsidR="0094412E">
        <w:rPr>
          <w:szCs w:val="24"/>
        </w:rPr>
        <w:t>co</w:t>
      </w:r>
      <w:r w:rsidRPr="00BF3CBC">
        <w:rPr>
          <w:szCs w:val="24"/>
        </w:rPr>
        <w:t>nducted an annual inspection of the Respondent’s vehicles on April 26, 27,</w:t>
      </w:r>
      <w:r w:rsidR="00D715A5">
        <w:rPr>
          <w:szCs w:val="24"/>
        </w:rPr>
        <w:t xml:space="preserve"> and 30,</w:t>
      </w:r>
      <w:r w:rsidRPr="00BF3CBC">
        <w:rPr>
          <w:szCs w:val="24"/>
        </w:rPr>
        <w:t xml:space="preserve"> 2010.  The officers inspected forty-nine of the ninety vehicles in </w:t>
      </w:r>
      <w:r w:rsidR="00D715A5">
        <w:rPr>
          <w:szCs w:val="24"/>
        </w:rPr>
        <w:t xml:space="preserve">the </w:t>
      </w:r>
      <w:r w:rsidRPr="00BF3CBC">
        <w:rPr>
          <w:szCs w:val="24"/>
        </w:rPr>
        <w:t>Respondent’s fleet</w:t>
      </w:r>
      <w:r w:rsidR="00D715A5">
        <w:rPr>
          <w:szCs w:val="24"/>
        </w:rPr>
        <w:t xml:space="preserve"> and found </w:t>
      </w:r>
      <w:r w:rsidRPr="00BF3CBC">
        <w:rPr>
          <w:szCs w:val="24"/>
        </w:rPr>
        <w:t xml:space="preserve">seventy-three violations, including twenty-five mechanical violations, fifteen meter violations, twenty-two passenger violations, and eleven other violations.  </w:t>
      </w:r>
      <w:r w:rsidR="00E52BF1">
        <w:rPr>
          <w:szCs w:val="24"/>
        </w:rPr>
        <w:t xml:space="preserve">Tr. at 9.  </w:t>
      </w:r>
      <w:r w:rsidR="00E80BF5">
        <w:rPr>
          <w:szCs w:val="24"/>
        </w:rPr>
        <w:t xml:space="preserve">In the Complaint, </w:t>
      </w:r>
      <w:r w:rsidR="00D715A5">
        <w:rPr>
          <w:szCs w:val="24"/>
        </w:rPr>
        <w:t xml:space="preserve">I&amp;E alleged </w:t>
      </w:r>
      <w:r w:rsidR="00374917">
        <w:rPr>
          <w:szCs w:val="24"/>
        </w:rPr>
        <w:t>various vi</w:t>
      </w:r>
      <w:r w:rsidR="00D715A5">
        <w:rPr>
          <w:szCs w:val="24"/>
        </w:rPr>
        <w:t>olat</w:t>
      </w:r>
      <w:r w:rsidR="00E80BF5">
        <w:rPr>
          <w:szCs w:val="24"/>
        </w:rPr>
        <w:t>ions</w:t>
      </w:r>
      <w:r w:rsidR="00374917">
        <w:rPr>
          <w:szCs w:val="24"/>
        </w:rPr>
        <w:t xml:space="preserve"> of the Commission’s Regulations.  </w:t>
      </w:r>
      <w:r w:rsidR="00A16A4E">
        <w:rPr>
          <w:szCs w:val="24"/>
        </w:rPr>
        <w:t>Complaint at ¶¶ 54 - 65.  I&amp;E sought a</w:t>
      </w:r>
      <w:r w:rsidRPr="00BF3CBC">
        <w:rPr>
          <w:szCs w:val="24"/>
        </w:rPr>
        <w:t xml:space="preserve"> </w:t>
      </w:r>
      <w:r w:rsidR="002E59E3">
        <w:rPr>
          <w:szCs w:val="24"/>
        </w:rPr>
        <w:t xml:space="preserve">total </w:t>
      </w:r>
      <w:r w:rsidRPr="00BF3CBC">
        <w:rPr>
          <w:szCs w:val="24"/>
        </w:rPr>
        <w:t xml:space="preserve">civil penalty </w:t>
      </w:r>
      <w:r w:rsidR="00A16A4E">
        <w:rPr>
          <w:szCs w:val="24"/>
        </w:rPr>
        <w:t xml:space="preserve">of </w:t>
      </w:r>
      <w:r w:rsidRPr="00BF3CBC">
        <w:rPr>
          <w:szCs w:val="24"/>
        </w:rPr>
        <w:t>$9,950.</w:t>
      </w:r>
      <w:r w:rsidR="002E59E3">
        <w:rPr>
          <w:szCs w:val="24"/>
        </w:rPr>
        <w:t xml:space="preserve">  </w:t>
      </w:r>
      <w:r w:rsidR="00A16A4E">
        <w:rPr>
          <w:szCs w:val="24"/>
        </w:rPr>
        <w:t xml:space="preserve">  </w:t>
      </w:r>
    </w:p>
    <w:p w:rsidR="00F919E8" w:rsidRPr="00BF3CBC" w:rsidRDefault="00F919E8" w:rsidP="00F919E8">
      <w:pPr>
        <w:pStyle w:val="BodyText"/>
        <w:tabs>
          <w:tab w:val="left" w:pos="720"/>
        </w:tabs>
        <w:rPr>
          <w:szCs w:val="24"/>
        </w:rPr>
      </w:pPr>
    </w:p>
    <w:p w:rsidR="00F919E8" w:rsidRPr="00BF3CBC" w:rsidRDefault="00F919E8" w:rsidP="00F919E8">
      <w:pPr>
        <w:pStyle w:val="BodyText"/>
        <w:tabs>
          <w:tab w:val="left" w:pos="0"/>
        </w:tabs>
        <w:rPr>
          <w:szCs w:val="24"/>
        </w:rPr>
      </w:pPr>
      <w:r w:rsidRPr="00BF3CBC">
        <w:rPr>
          <w:szCs w:val="24"/>
        </w:rPr>
        <w:tab/>
      </w:r>
      <w:r w:rsidRPr="00BF3CBC">
        <w:rPr>
          <w:szCs w:val="24"/>
        </w:rPr>
        <w:tab/>
        <w:t xml:space="preserve">On August 23, 2010, the Respondent filed an </w:t>
      </w:r>
      <w:r w:rsidR="002E59E3">
        <w:rPr>
          <w:szCs w:val="24"/>
        </w:rPr>
        <w:t>A</w:t>
      </w:r>
      <w:r w:rsidRPr="00BF3CBC">
        <w:rPr>
          <w:szCs w:val="24"/>
        </w:rPr>
        <w:t>nswer admitting that an inspection occurred</w:t>
      </w:r>
      <w:r w:rsidR="002E59E3">
        <w:rPr>
          <w:szCs w:val="24"/>
        </w:rPr>
        <w:t>,</w:t>
      </w:r>
      <w:r w:rsidRPr="00BF3CBC">
        <w:rPr>
          <w:szCs w:val="24"/>
        </w:rPr>
        <w:t xml:space="preserve"> but denying the allegations in the </w:t>
      </w:r>
      <w:r w:rsidR="002E59E3">
        <w:rPr>
          <w:szCs w:val="24"/>
        </w:rPr>
        <w:t>C</w:t>
      </w:r>
      <w:r w:rsidRPr="00BF3CBC">
        <w:rPr>
          <w:szCs w:val="24"/>
        </w:rPr>
        <w:t xml:space="preserve">omplaint.  </w:t>
      </w:r>
    </w:p>
    <w:p w:rsidR="00F919E8" w:rsidRPr="00BF3CBC" w:rsidRDefault="00F919E8" w:rsidP="00F919E8">
      <w:pPr>
        <w:pStyle w:val="BodyText"/>
        <w:tabs>
          <w:tab w:val="left" w:pos="0"/>
        </w:tabs>
        <w:rPr>
          <w:szCs w:val="24"/>
        </w:rPr>
      </w:pPr>
    </w:p>
    <w:p w:rsidR="00F919E8" w:rsidRDefault="00F919E8" w:rsidP="002B7818">
      <w:pPr>
        <w:pStyle w:val="BodyText"/>
        <w:tabs>
          <w:tab w:val="left" w:pos="0"/>
        </w:tabs>
      </w:pPr>
      <w:r w:rsidRPr="00BF3CBC">
        <w:rPr>
          <w:szCs w:val="24"/>
        </w:rPr>
        <w:tab/>
      </w:r>
      <w:r w:rsidRPr="00BF3CBC">
        <w:rPr>
          <w:szCs w:val="24"/>
        </w:rPr>
        <w:tab/>
      </w:r>
      <w:r w:rsidRPr="006070AE">
        <w:rPr>
          <w:szCs w:val="24"/>
        </w:rPr>
        <w:t xml:space="preserve">An </w:t>
      </w:r>
      <w:r w:rsidR="002B7818">
        <w:rPr>
          <w:szCs w:val="24"/>
        </w:rPr>
        <w:t>evidentiary</w:t>
      </w:r>
      <w:r w:rsidRPr="006070AE">
        <w:rPr>
          <w:szCs w:val="24"/>
        </w:rPr>
        <w:t xml:space="preserve"> hearing was held on October 25, 2011.</w:t>
      </w:r>
      <w:r w:rsidR="002B7818">
        <w:rPr>
          <w:szCs w:val="24"/>
        </w:rPr>
        <w:t xml:space="preserve">  </w:t>
      </w:r>
      <w:r w:rsidRPr="006070AE">
        <w:t>During the hearing,</w:t>
      </w:r>
      <w:r w:rsidRPr="006070AE">
        <w:rPr>
          <w:b/>
        </w:rPr>
        <w:t xml:space="preserve"> </w:t>
      </w:r>
      <w:r w:rsidRPr="006070AE">
        <w:t>counsel for the Respondent questioned the Commission’s jurisdiction to prosecute this case</w:t>
      </w:r>
      <w:r w:rsidR="00FD38BA">
        <w:t xml:space="preserve"> based on the fact</w:t>
      </w:r>
      <w:r w:rsidRPr="006070AE">
        <w:t xml:space="preserve"> that both the Commission and the Philadelphia Parking Authority </w:t>
      </w:r>
      <w:r w:rsidR="00261A03">
        <w:t xml:space="preserve">(PPA) </w:t>
      </w:r>
      <w:r w:rsidRPr="006070AE">
        <w:t>regulate the Respondent</w:t>
      </w:r>
      <w:r w:rsidR="00261A03">
        <w:t>,</w:t>
      </w:r>
      <w:r w:rsidRPr="006070AE">
        <w:t xml:space="preserve"> because </w:t>
      </w:r>
      <w:r w:rsidR="009957DD">
        <w:t>the Respondent</w:t>
      </w:r>
      <w:r w:rsidRPr="006070AE">
        <w:t xml:space="preserve"> operates outside of Philadelphia and in part of Philadelphia.</w:t>
      </w:r>
      <w:r w:rsidR="00FD38BA">
        <w:t xml:space="preserve">  Tr. at 165.</w:t>
      </w:r>
      <w:r w:rsidRPr="006070AE">
        <w:t xml:space="preserve">  </w:t>
      </w:r>
      <w:r w:rsidR="00D17574">
        <w:t>By</w:t>
      </w:r>
      <w:r w:rsidR="00FD38BA">
        <w:t xml:space="preserve"> Order dated November 2, 2011, the A</w:t>
      </w:r>
      <w:r w:rsidR="00520B5D">
        <w:t xml:space="preserve">dministrative </w:t>
      </w:r>
      <w:r w:rsidR="00FD38BA">
        <w:t>L</w:t>
      </w:r>
      <w:r w:rsidR="00520B5D">
        <w:t xml:space="preserve">aw </w:t>
      </w:r>
      <w:r w:rsidR="00FD38BA">
        <w:t>J</w:t>
      </w:r>
      <w:r w:rsidR="00520B5D">
        <w:t>udge (ALJ)</w:t>
      </w:r>
      <w:r w:rsidR="00FD38BA">
        <w:t xml:space="preserve"> determined that, after</w:t>
      </w:r>
      <w:r w:rsidRPr="006070AE">
        <w:t xml:space="preserve"> the transcript was received</w:t>
      </w:r>
      <w:r w:rsidR="00FD38BA">
        <w:t>,</w:t>
      </w:r>
      <w:r w:rsidRPr="006070AE">
        <w:t xml:space="preserve"> the Respondent could file a motion and brief concerning jurisdiction and </w:t>
      </w:r>
      <w:r w:rsidR="007F2242">
        <w:t>I&amp;E</w:t>
      </w:r>
      <w:r w:rsidRPr="006070AE">
        <w:t xml:space="preserve"> could file an answer and brief.  </w:t>
      </w:r>
    </w:p>
    <w:p w:rsidR="00FD38BA" w:rsidRPr="006070AE" w:rsidRDefault="00FD38BA" w:rsidP="006070AE">
      <w:pPr>
        <w:spacing w:line="360" w:lineRule="auto"/>
        <w:rPr>
          <w:sz w:val="26"/>
        </w:rPr>
      </w:pPr>
    </w:p>
    <w:p w:rsidR="007325F6" w:rsidRDefault="00F919E8" w:rsidP="007325F6">
      <w:pPr>
        <w:pStyle w:val="Default"/>
        <w:spacing w:line="360" w:lineRule="auto"/>
        <w:rPr>
          <w:color w:val="auto"/>
          <w:sz w:val="26"/>
        </w:rPr>
      </w:pPr>
      <w:r w:rsidRPr="006070AE">
        <w:rPr>
          <w:sz w:val="26"/>
        </w:rPr>
        <w:lastRenderedPageBreak/>
        <w:tab/>
      </w:r>
      <w:r w:rsidRPr="006070AE">
        <w:rPr>
          <w:sz w:val="26"/>
        </w:rPr>
        <w:tab/>
        <w:t>The Respondent filed a Motion for Declaratory Order</w:t>
      </w:r>
      <w:r w:rsidR="00D17574">
        <w:rPr>
          <w:sz w:val="26"/>
        </w:rPr>
        <w:t xml:space="preserve"> (Motion)</w:t>
      </w:r>
      <w:r w:rsidRPr="006070AE">
        <w:rPr>
          <w:sz w:val="26"/>
        </w:rPr>
        <w:t xml:space="preserve"> and Respondent’s Brief in Support of Motion for Declaratory Order on February 10, 2012.</w:t>
      </w:r>
      <w:r w:rsidR="007325F6" w:rsidRPr="007325F6">
        <w:rPr>
          <w:color w:val="auto"/>
          <w:sz w:val="26"/>
        </w:rPr>
        <w:t xml:space="preserve"> </w:t>
      </w:r>
      <w:r w:rsidR="007325F6">
        <w:rPr>
          <w:color w:val="auto"/>
          <w:sz w:val="26"/>
        </w:rPr>
        <w:t xml:space="preserve"> </w:t>
      </w:r>
      <w:r w:rsidR="0045431E">
        <w:rPr>
          <w:color w:val="auto"/>
          <w:sz w:val="26"/>
        </w:rPr>
        <w:t xml:space="preserve">The Motion sought to have the Complaint dismissed.  Motion at 1.  </w:t>
      </w:r>
      <w:r w:rsidR="007325F6" w:rsidRPr="00A6577E">
        <w:rPr>
          <w:color w:val="auto"/>
          <w:sz w:val="26"/>
        </w:rPr>
        <w:t>In the Motion</w:t>
      </w:r>
      <w:r w:rsidR="007325F6">
        <w:rPr>
          <w:color w:val="auto"/>
          <w:sz w:val="26"/>
        </w:rPr>
        <w:t>,</w:t>
      </w:r>
      <w:r w:rsidR="007325F6" w:rsidRPr="00A6577E">
        <w:rPr>
          <w:color w:val="auto"/>
          <w:sz w:val="26"/>
        </w:rPr>
        <w:t xml:space="preserve"> the Respondent stated that “Germantown does not contend that the Commission lacks jurisdiction over this proceeding.  Rather, Germantown contends that the Commission has </w:t>
      </w:r>
      <w:r w:rsidR="007325F6" w:rsidRPr="00A6577E">
        <w:rPr>
          <w:b/>
          <w:bCs/>
          <w:i/>
          <w:iCs/>
          <w:color w:val="auto"/>
          <w:sz w:val="26"/>
        </w:rPr>
        <w:t xml:space="preserve">exclusive </w:t>
      </w:r>
      <w:r w:rsidR="007325F6" w:rsidRPr="00A6577E">
        <w:rPr>
          <w:color w:val="auto"/>
          <w:sz w:val="26"/>
        </w:rPr>
        <w:t xml:space="preserve">jurisdiction and regulatory authority over Germantown.”  </w:t>
      </w:r>
      <w:r w:rsidR="0045431E">
        <w:rPr>
          <w:i/>
          <w:color w:val="auto"/>
          <w:sz w:val="26"/>
        </w:rPr>
        <w:t>Id.</w:t>
      </w:r>
      <w:r w:rsidR="007325F6" w:rsidRPr="00A6577E">
        <w:rPr>
          <w:color w:val="auto"/>
          <w:sz w:val="26"/>
        </w:rPr>
        <w:t xml:space="preserve"> at ¶¶ 6, 7.  </w:t>
      </w:r>
      <w:r w:rsidR="007325F6">
        <w:rPr>
          <w:color w:val="auto"/>
          <w:sz w:val="26"/>
        </w:rPr>
        <w:t>T</w:t>
      </w:r>
      <w:r w:rsidR="007325F6" w:rsidRPr="00A6577E">
        <w:rPr>
          <w:color w:val="auto"/>
          <w:sz w:val="26"/>
        </w:rPr>
        <w:t xml:space="preserve">he Respondent requested that the Commission clarify this issue in the context of the present </w:t>
      </w:r>
      <w:r w:rsidR="007325F6">
        <w:rPr>
          <w:color w:val="auto"/>
          <w:sz w:val="26"/>
        </w:rPr>
        <w:t>case</w:t>
      </w:r>
      <w:r w:rsidR="007325F6" w:rsidRPr="00A6577E">
        <w:rPr>
          <w:color w:val="auto"/>
          <w:sz w:val="26"/>
        </w:rPr>
        <w:t xml:space="preserve">.  </w:t>
      </w:r>
      <w:r w:rsidR="0045431E">
        <w:rPr>
          <w:i/>
          <w:color w:val="auto"/>
          <w:sz w:val="26"/>
        </w:rPr>
        <w:t>Id.</w:t>
      </w:r>
      <w:r w:rsidR="007325F6" w:rsidRPr="00A6577E">
        <w:rPr>
          <w:color w:val="auto"/>
          <w:sz w:val="26"/>
        </w:rPr>
        <w:t xml:space="preserve"> at 8.</w:t>
      </w:r>
      <w:r w:rsidR="007325F6">
        <w:rPr>
          <w:color w:val="auto"/>
          <w:sz w:val="26"/>
        </w:rPr>
        <w:t xml:space="preserve">  </w:t>
      </w:r>
      <w:r w:rsidR="007325F6" w:rsidRPr="00A6577E">
        <w:rPr>
          <w:color w:val="auto"/>
          <w:sz w:val="26"/>
        </w:rPr>
        <w:t>The Respondent expressed concern about complying with conflicting regulations</w:t>
      </w:r>
      <w:r w:rsidR="007325F6">
        <w:rPr>
          <w:color w:val="auto"/>
          <w:sz w:val="26"/>
        </w:rPr>
        <w:t>,</w:t>
      </w:r>
      <w:r w:rsidR="007325F6" w:rsidRPr="00A6577E">
        <w:rPr>
          <w:color w:val="auto"/>
          <w:sz w:val="26"/>
        </w:rPr>
        <w:t xml:space="preserve"> specifically the rates that </w:t>
      </w:r>
      <w:r w:rsidR="007325F6">
        <w:rPr>
          <w:color w:val="auto"/>
          <w:sz w:val="26"/>
        </w:rPr>
        <w:t xml:space="preserve">the </w:t>
      </w:r>
      <w:r w:rsidR="007325F6" w:rsidRPr="00A6577E">
        <w:rPr>
          <w:color w:val="auto"/>
          <w:sz w:val="26"/>
        </w:rPr>
        <w:t xml:space="preserve">PPA requires versus the rates in </w:t>
      </w:r>
      <w:r w:rsidR="00520B5D">
        <w:rPr>
          <w:color w:val="auto"/>
          <w:sz w:val="26"/>
        </w:rPr>
        <w:t xml:space="preserve">the Respondent’s </w:t>
      </w:r>
      <w:r w:rsidR="007325F6" w:rsidRPr="00A6577E">
        <w:rPr>
          <w:color w:val="auto"/>
          <w:sz w:val="26"/>
        </w:rPr>
        <w:t xml:space="preserve">tariff </w:t>
      </w:r>
      <w:r w:rsidR="00261A03">
        <w:rPr>
          <w:color w:val="auto"/>
          <w:sz w:val="26"/>
        </w:rPr>
        <w:t>on</w:t>
      </w:r>
      <w:r w:rsidR="007325F6" w:rsidRPr="00A6577E">
        <w:rPr>
          <w:color w:val="auto"/>
          <w:sz w:val="26"/>
        </w:rPr>
        <w:t xml:space="preserve"> file with the Commission.  </w:t>
      </w:r>
      <w:r w:rsidR="0045431E" w:rsidRPr="002177B3">
        <w:rPr>
          <w:i/>
          <w:color w:val="auto"/>
          <w:sz w:val="26"/>
        </w:rPr>
        <w:t>Id</w:t>
      </w:r>
      <w:r w:rsidR="0045431E">
        <w:rPr>
          <w:color w:val="auto"/>
          <w:sz w:val="26"/>
        </w:rPr>
        <w:t>.</w:t>
      </w:r>
      <w:r w:rsidR="007325F6" w:rsidRPr="00A6577E">
        <w:rPr>
          <w:color w:val="auto"/>
          <w:sz w:val="26"/>
        </w:rPr>
        <w:t xml:space="preserve"> at ¶¶ 21</w:t>
      </w:r>
      <w:r w:rsidR="007325F6" w:rsidRPr="00A6577E">
        <w:rPr>
          <w:color w:val="auto"/>
          <w:sz w:val="26"/>
        </w:rPr>
        <w:noBreakHyphen/>
        <w:t>38.</w:t>
      </w:r>
    </w:p>
    <w:p w:rsidR="007325F6" w:rsidRPr="00A6577E" w:rsidRDefault="007325F6" w:rsidP="007325F6">
      <w:pPr>
        <w:pStyle w:val="Default"/>
        <w:spacing w:line="360" w:lineRule="auto"/>
        <w:rPr>
          <w:color w:val="auto"/>
          <w:sz w:val="26"/>
        </w:rPr>
      </w:pPr>
    </w:p>
    <w:p w:rsidR="007325F6" w:rsidRDefault="008E5B70" w:rsidP="007325F6">
      <w:pPr>
        <w:pStyle w:val="BodyText"/>
        <w:ind w:firstLine="1440"/>
        <w:rPr>
          <w:szCs w:val="24"/>
        </w:rPr>
      </w:pPr>
      <w:r>
        <w:t xml:space="preserve">On March 6, 2012, </w:t>
      </w:r>
      <w:r w:rsidR="00D17574">
        <w:t>I&amp;E</w:t>
      </w:r>
      <w:r w:rsidR="00F919E8" w:rsidRPr="006070AE">
        <w:t xml:space="preserve"> filed Preliminary Objections to the Motion of Germantown Cab Company and </w:t>
      </w:r>
      <w:r w:rsidR="00D17574">
        <w:t>a</w:t>
      </w:r>
      <w:r w:rsidR="00F919E8" w:rsidRPr="006070AE">
        <w:t xml:space="preserve"> Brief in Support </w:t>
      </w:r>
      <w:r w:rsidR="00EE2F68">
        <w:t>there</w:t>
      </w:r>
      <w:r w:rsidR="00F919E8" w:rsidRPr="006070AE">
        <w:t>of</w:t>
      </w:r>
      <w:r w:rsidR="00F643ED">
        <w:t>.</w:t>
      </w:r>
      <w:r w:rsidR="00074512">
        <w:t xml:space="preserve"> </w:t>
      </w:r>
      <w:r w:rsidR="00F919E8" w:rsidRPr="006070AE">
        <w:t xml:space="preserve"> </w:t>
      </w:r>
      <w:r w:rsidR="007325F6">
        <w:rPr>
          <w:szCs w:val="24"/>
        </w:rPr>
        <w:t xml:space="preserve">In its Preliminary Objections, I&amp;E objected to the Motion for the following reasons:  the Respondent failed to provide a basis for the request to dismiss the Complaint; </w:t>
      </w:r>
      <w:r w:rsidR="000C730E">
        <w:rPr>
          <w:szCs w:val="24"/>
        </w:rPr>
        <w:t>I&amp;E</w:t>
      </w:r>
      <w:r w:rsidR="007325F6">
        <w:rPr>
          <w:szCs w:val="24"/>
        </w:rPr>
        <w:t xml:space="preserve"> agreed with the Respondent that the Commission has jurisdiction over the Respondent; and it was irrelevant to this proceeding whether the Commission has concurrent or exclusive jurisdiction over the Respondent.  Preliminary Objections at 1.</w:t>
      </w:r>
    </w:p>
    <w:p w:rsidR="007325F6" w:rsidRPr="005F73F8" w:rsidRDefault="007325F6" w:rsidP="007325F6">
      <w:pPr>
        <w:pStyle w:val="BodyText"/>
        <w:rPr>
          <w:szCs w:val="24"/>
        </w:rPr>
      </w:pPr>
    </w:p>
    <w:p w:rsidR="00F919E8" w:rsidRDefault="00F919E8" w:rsidP="006070AE">
      <w:pPr>
        <w:pStyle w:val="BodyText"/>
        <w:tabs>
          <w:tab w:val="left" w:pos="720"/>
          <w:tab w:val="left" w:pos="1440"/>
        </w:tabs>
        <w:rPr>
          <w:szCs w:val="24"/>
        </w:rPr>
      </w:pPr>
      <w:r w:rsidRPr="006070AE">
        <w:rPr>
          <w:szCs w:val="24"/>
        </w:rPr>
        <w:tab/>
      </w:r>
      <w:r w:rsidRPr="006070AE">
        <w:rPr>
          <w:szCs w:val="24"/>
        </w:rPr>
        <w:tab/>
        <w:t xml:space="preserve">The record consists of </w:t>
      </w:r>
      <w:r w:rsidR="00D17574">
        <w:rPr>
          <w:szCs w:val="24"/>
        </w:rPr>
        <w:t>a</w:t>
      </w:r>
      <w:r w:rsidRPr="006070AE">
        <w:rPr>
          <w:szCs w:val="24"/>
        </w:rPr>
        <w:t xml:space="preserve"> 207</w:t>
      </w:r>
      <w:r w:rsidR="00D17574">
        <w:rPr>
          <w:szCs w:val="24"/>
        </w:rPr>
        <w:t>-</w:t>
      </w:r>
      <w:r w:rsidRPr="006070AE">
        <w:rPr>
          <w:szCs w:val="24"/>
        </w:rPr>
        <w:t>page transcript, four exhibits</w:t>
      </w:r>
      <w:r w:rsidR="00D17574">
        <w:rPr>
          <w:szCs w:val="24"/>
        </w:rPr>
        <w:t>,</w:t>
      </w:r>
      <w:r w:rsidRPr="006070AE">
        <w:rPr>
          <w:szCs w:val="24"/>
        </w:rPr>
        <w:t xml:space="preserve"> the </w:t>
      </w:r>
      <w:r w:rsidR="00D17574">
        <w:rPr>
          <w:szCs w:val="24"/>
        </w:rPr>
        <w:t xml:space="preserve">Respondent’s </w:t>
      </w:r>
      <w:r w:rsidRPr="006070AE">
        <w:rPr>
          <w:szCs w:val="24"/>
        </w:rPr>
        <w:t xml:space="preserve">Motion, </w:t>
      </w:r>
      <w:r w:rsidR="00F643ED">
        <w:rPr>
          <w:szCs w:val="24"/>
        </w:rPr>
        <w:t xml:space="preserve">I&amp;E’s </w:t>
      </w:r>
      <w:r w:rsidRPr="006070AE">
        <w:rPr>
          <w:szCs w:val="24"/>
        </w:rPr>
        <w:t>Objection to the Motion</w:t>
      </w:r>
      <w:r w:rsidR="00F643ED">
        <w:rPr>
          <w:szCs w:val="24"/>
        </w:rPr>
        <w:t>,</w:t>
      </w:r>
      <w:r w:rsidRPr="006070AE">
        <w:rPr>
          <w:szCs w:val="24"/>
        </w:rPr>
        <w:t xml:space="preserve"> and the </w:t>
      </w:r>
      <w:r w:rsidR="00F643ED">
        <w:rPr>
          <w:szCs w:val="24"/>
        </w:rPr>
        <w:t xml:space="preserve">Parties’ </w:t>
      </w:r>
      <w:r w:rsidRPr="006070AE">
        <w:rPr>
          <w:szCs w:val="24"/>
        </w:rPr>
        <w:t>briefs.  The record closed on March 21, 2012.</w:t>
      </w:r>
    </w:p>
    <w:p w:rsidR="00A53A81" w:rsidRPr="006070AE" w:rsidRDefault="00A53A81" w:rsidP="006070AE">
      <w:pPr>
        <w:pStyle w:val="BodyText"/>
        <w:tabs>
          <w:tab w:val="left" w:pos="720"/>
          <w:tab w:val="left" w:pos="1440"/>
        </w:tabs>
        <w:rPr>
          <w:szCs w:val="24"/>
        </w:rPr>
      </w:pPr>
    </w:p>
    <w:p w:rsidR="005507C7" w:rsidRDefault="00E4082F" w:rsidP="00D343B7">
      <w:pPr>
        <w:spacing w:line="360" w:lineRule="auto"/>
        <w:ind w:firstLine="1440"/>
        <w:rPr>
          <w:sz w:val="26"/>
        </w:rPr>
      </w:pPr>
      <w:r>
        <w:rPr>
          <w:sz w:val="26"/>
          <w:szCs w:val="26"/>
        </w:rPr>
        <w:t xml:space="preserve">In an Initial Decision, issued </w:t>
      </w:r>
      <w:r w:rsidR="00F643ED">
        <w:rPr>
          <w:sz w:val="26"/>
          <w:szCs w:val="26"/>
        </w:rPr>
        <w:t>July 18</w:t>
      </w:r>
      <w:r>
        <w:rPr>
          <w:sz w:val="26"/>
          <w:szCs w:val="26"/>
        </w:rPr>
        <w:t>, 201</w:t>
      </w:r>
      <w:r w:rsidR="00F643ED">
        <w:rPr>
          <w:sz w:val="26"/>
          <w:szCs w:val="26"/>
        </w:rPr>
        <w:t>2</w:t>
      </w:r>
      <w:r>
        <w:rPr>
          <w:sz w:val="26"/>
          <w:szCs w:val="26"/>
        </w:rPr>
        <w:t xml:space="preserve">, </w:t>
      </w:r>
      <w:r w:rsidR="003802BC">
        <w:rPr>
          <w:sz w:val="26"/>
          <w:szCs w:val="26"/>
        </w:rPr>
        <w:t xml:space="preserve">the </w:t>
      </w:r>
      <w:r>
        <w:rPr>
          <w:sz w:val="26"/>
          <w:szCs w:val="26"/>
        </w:rPr>
        <w:t xml:space="preserve">ALJ </w:t>
      </w:r>
      <w:r w:rsidR="003802BC">
        <w:rPr>
          <w:sz w:val="26"/>
          <w:szCs w:val="26"/>
        </w:rPr>
        <w:t xml:space="preserve">denied the Respondent’s Motion and sustained the Complaint.  I.D. at 23. </w:t>
      </w:r>
      <w:r>
        <w:rPr>
          <w:sz w:val="26"/>
          <w:szCs w:val="26"/>
        </w:rPr>
        <w:t xml:space="preserve"> </w:t>
      </w:r>
      <w:r w:rsidR="002F2FB3">
        <w:rPr>
          <w:sz w:val="26"/>
          <w:szCs w:val="26"/>
        </w:rPr>
        <w:t>T</w:t>
      </w:r>
      <w:r w:rsidR="003802BC">
        <w:rPr>
          <w:sz w:val="26"/>
          <w:szCs w:val="26"/>
        </w:rPr>
        <w:t xml:space="preserve">he Respondent </w:t>
      </w:r>
      <w:r>
        <w:rPr>
          <w:sz w:val="26"/>
          <w:szCs w:val="26"/>
        </w:rPr>
        <w:t xml:space="preserve">filed Exceptions on </w:t>
      </w:r>
      <w:r w:rsidR="003802BC">
        <w:rPr>
          <w:sz w:val="26"/>
          <w:szCs w:val="26"/>
        </w:rPr>
        <w:t>August 7,</w:t>
      </w:r>
      <w:r w:rsidR="001F3665">
        <w:rPr>
          <w:sz w:val="26"/>
          <w:szCs w:val="26"/>
        </w:rPr>
        <w:t xml:space="preserve"> 201</w:t>
      </w:r>
      <w:r w:rsidR="003802BC">
        <w:rPr>
          <w:sz w:val="26"/>
          <w:szCs w:val="26"/>
        </w:rPr>
        <w:t>2</w:t>
      </w:r>
      <w:r w:rsidR="001F3665">
        <w:rPr>
          <w:sz w:val="26"/>
          <w:szCs w:val="26"/>
        </w:rPr>
        <w:t xml:space="preserve">.  </w:t>
      </w:r>
      <w:r w:rsidR="003802BC">
        <w:rPr>
          <w:sz w:val="26"/>
          <w:szCs w:val="26"/>
        </w:rPr>
        <w:t>I&amp;E</w:t>
      </w:r>
      <w:r>
        <w:rPr>
          <w:sz w:val="26"/>
          <w:szCs w:val="26"/>
        </w:rPr>
        <w:t xml:space="preserve"> filed Replies to Exceptions on </w:t>
      </w:r>
      <w:r w:rsidR="003802BC">
        <w:rPr>
          <w:sz w:val="26"/>
          <w:szCs w:val="26"/>
        </w:rPr>
        <w:t>August 17, 2012</w:t>
      </w:r>
      <w:r>
        <w:rPr>
          <w:sz w:val="26"/>
          <w:szCs w:val="26"/>
        </w:rPr>
        <w:t>.</w:t>
      </w:r>
      <w:r w:rsidR="005507C7">
        <w:rPr>
          <w:sz w:val="26"/>
          <w:szCs w:val="26"/>
        </w:rPr>
        <w:t xml:space="preserve">  </w:t>
      </w:r>
      <w:r w:rsidR="002F2FB3">
        <w:rPr>
          <w:sz w:val="26"/>
          <w:szCs w:val="26"/>
        </w:rPr>
        <w:t xml:space="preserve">In the </w:t>
      </w:r>
      <w:r w:rsidR="002F2FB3" w:rsidRPr="00B51B94">
        <w:rPr>
          <w:i/>
          <w:sz w:val="26"/>
        </w:rPr>
        <w:t>February 2013 Order</w:t>
      </w:r>
      <w:r w:rsidR="002F2FB3">
        <w:rPr>
          <w:sz w:val="26"/>
        </w:rPr>
        <w:t xml:space="preserve">, we denied the Respondent’s Exceptions and adopted the Initial Decision.  </w:t>
      </w:r>
    </w:p>
    <w:p w:rsidR="005507C7" w:rsidRDefault="005507C7" w:rsidP="00D343B7">
      <w:pPr>
        <w:spacing w:line="360" w:lineRule="auto"/>
        <w:ind w:firstLine="1440"/>
        <w:rPr>
          <w:sz w:val="26"/>
        </w:rPr>
      </w:pPr>
    </w:p>
    <w:p w:rsidR="00E4082F" w:rsidRDefault="002F2FB3" w:rsidP="00D343B7">
      <w:pPr>
        <w:spacing w:line="360" w:lineRule="auto"/>
        <w:ind w:firstLine="1440"/>
        <w:rPr>
          <w:sz w:val="26"/>
          <w:szCs w:val="26"/>
        </w:rPr>
      </w:pPr>
      <w:r w:rsidRPr="00B6433C">
        <w:rPr>
          <w:sz w:val="26"/>
        </w:rPr>
        <w:lastRenderedPageBreak/>
        <w:t>The Respondent filed the instant Petition on March 1, 2013.  The Respondent filed “Exhibits” to its Petition on March 4, 2013, and additional “Exhibits” to its Petition on April 5, 2013.</w:t>
      </w:r>
      <w:r w:rsidR="00B6433C">
        <w:rPr>
          <w:rStyle w:val="FootnoteReference"/>
        </w:rPr>
        <w:footnoteReference w:id="2"/>
      </w:r>
      <w:r w:rsidR="005507C7">
        <w:rPr>
          <w:sz w:val="26"/>
        </w:rPr>
        <w:t xml:space="preserve">  By Order entered March 14, 2013, we granted Reconsideration, pending review of, and consideration on, the merits.</w:t>
      </w:r>
      <w:r>
        <w:rPr>
          <w:sz w:val="26"/>
        </w:rPr>
        <w:t xml:space="preserve">    </w:t>
      </w:r>
      <w:r w:rsidR="00E4082F">
        <w:rPr>
          <w:sz w:val="26"/>
          <w:szCs w:val="26"/>
        </w:rPr>
        <w:t xml:space="preserve">  </w:t>
      </w:r>
    </w:p>
    <w:p w:rsidR="00E4082F" w:rsidRDefault="00E4082F" w:rsidP="00D343B7">
      <w:pPr>
        <w:spacing w:line="360" w:lineRule="auto"/>
        <w:ind w:firstLine="1440"/>
        <w:rPr>
          <w:sz w:val="26"/>
          <w:szCs w:val="26"/>
        </w:rPr>
      </w:pPr>
    </w:p>
    <w:p w:rsidR="001A1AD3" w:rsidRDefault="004419DA" w:rsidP="003D09C0">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B62E38" w:rsidRPr="00B62E38" w:rsidRDefault="00B62E38" w:rsidP="00B62E38">
      <w:pPr>
        <w:spacing w:line="360" w:lineRule="auto"/>
        <w:rPr>
          <w:b/>
          <w:sz w:val="26"/>
          <w:szCs w:val="26"/>
        </w:rPr>
      </w:pPr>
      <w:r w:rsidRPr="00B62E38">
        <w:rPr>
          <w:b/>
          <w:sz w:val="26"/>
          <w:szCs w:val="26"/>
        </w:rPr>
        <w:t xml:space="preserve">Legal Standards </w:t>
      </w:r>
    </w:p>
    <w:p w:rsidR="00B62E38" w:rsidRDefault="00B62E38" w:rsidP="00603FA5">
      <w:pPr>
        <w:spacing w:line="360" w:lineRule="auto"/>
        <w:ind w:firstLine="1440"/>
        <w:rPr>
          <w:sz w:val="26"/>
          <w:szCs w:val="26"/>
        </w:rPr>
      </w:pPr>
    </w:p>
    <w:p w:rsidR="00603FA5" w:rsidRPr="00603FA5" w:rsidRDefault="00603FA5" w:rsidP="00603FA5">
      <w:pPr>
        <w:spacing w:line="360" w:lineRule="auto"/>
        <w:ind w:firstLine="1440"/>
        <w:rPr>
          <w:sz w:val="26"/>
          <w:szCs w:val="26"/>
        </w:rPr>
      </w:pPr>
      <w:r w:rsidRPr="00603FA5">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132894">
          <w:rPr>
            <w:i/>
            <w:iCs/>
            <w:color w:val="000000"/>
            <w:sz w:val="26"/>
            <w:szCs w:val="26"/>
          </w:rPr>
          <w:t xml:space="preserve">Consolidated Rail Corporation v. Pa. PUC, </w:t>
        </w:r>
        <w:r w:rsidRPr="00132894">
          <w:rPr>
            <w:color w:val="000000"/>
            <w:sz w:val="26"/>
            <w:szCs w:val="26"/>
          </w:rPr>
          <w:t>625 A.2d 741 (Pa. Cmwlth. 1993);</w:t>
        </w:r>
      </w:hyperlink>
      <w:r w:rsidRPr="00132894">
        <w:rPr>
          <w:color w:val="000000"/>
          <w:sz w:val="26"/>
          <w:szCs w:val="26"/>
        </w:rPr>
        <w:t xml:space="preserve"> </w:t>
      </w:r>
      <w:r w:rsidRPr="00603FA5">
        <w:rPr>
          <w:i/>
          <w:color w:val="000000"/>
          <w:sz w:val="26"/>
          <w:szCs w:val="26"/>
        </w:rPr>
        <w:t xml:space="preserve">also </w:t>
      </w:r>
      <w:r w:rsidRPr="00603FA5">
        <w:rPr>
          <w:i/>
          <w:iCs/>
          <w:color w:val="000000"/>
          <w:sz w:val="26"/>
          <w:szCs w:val="26"/>
        </w:rPr>
        <w:t xml:space="preserve">see, generally, </w:t>
      </w:r>
      <w:hyperlink r:id="rId10" w:history="1">
        <w:r w:rsidRPr="00603FA5">
          <w:rPr>
            <w:i/>
            <w:iCs/>
            <w:color w:val="000000"/>
            <w:sz w:val="26"/>
            <w:szCs w:val="26"/>
          </w:rPr>
          <w:t>University of Pennsyl</w:t>
        </w:r>
        <w:r w:rsidRPr="00603FA5">
          <w:rPr>
            <w:i/>
            <w:iCs/>
            <w:color w:val="000000"/>
            <w:sz w:val="26"/>
            <w:szCs w:val="26"/>
          </w:rPr>
          <w:softHyphen/>
          <w:t>vania v. Pa. PUC</w:t>
        </w:r>
        <w:r w:rsidRPr="00132894">
          <w:rPr>
            <w:color w:val="000000"/>
            <w:sz w:val="26"/>
            <w:szCs w:val="26"/>
          </w:rPr>
          <w:t>, 485 A.2d 1217 (Pa. Cmwlth. 1984).</w:t>
        </w:r>
      </w:hyperlink>
    </w:p>
    <w:p w:rsidR="00603FA5" w:rsidRPr="00603FA5" w:rsidRDefault="00603FA5" w:rsidP="00603FA5">
      <w:pPr>
        <w:spacing w:line="360" w:lineRule="auto"/>
        <w:ind w:firstLine="1440"/>
        <w:rPr>
          <w:sz w:val="26"/>
          <w:szCs w:val="26"/>
        </w:rPr>
      </w:pPr>
    </w:p>
    <w:p w:rsidR="00603FA5" w:rsidRPr="00603FA5" w:rsidRDefault="00603FA5" w:rsidP="000C72DD">
      <w:pPr>
        <w:spacing w:line="360" w:lineRule="auto"/>
        <w:ind w:firstLine="1440"/>
        <w:rPr>
          <w:sz w:val="26"/>
          <w:szCs w:val="26"/>
        </w:rPr>
      </w:pPr>
      <w:r w:rsidRPr="00603FA5">
        <w:rPr>
          <w:sz w:val="26"/>
          <w:szCs w:val="26"/>
        </w:rPr>
        <w:t xml:space="preserve">The </w:t>
      </w:r>
      <w:r w:rsidR="000C72DD">
        <w:rPr>
          <w:sz w:val="26"/>
          <w:szCs w:val="26"/>
        </w:rPr>
        <w:t xml:space="preserve">Public Utility </w:t>
      </w:r>
      <w:r w:rsidRPr="00603FA5">
        <w:rPr>
          <w:sz w:val="26"/>
          <w:szCs w:val="26"/>
        </w:rPr>
        <w:t xml:space="preserve">Code </w:t>
      </w:r>
      <w:r w:rsidR="000C72DD">
        <w:rPr>
          <w:sz w:val="26"/>
          <w:szCs w:val="26"/>
        </w:rPr>
        <w:t xml:space="preserve">(Code) </w:t>
      </w:r>
      <w:r w:rsidRPr="00603FA5">
        <w:rPr>
          <w:sz w:val="26"/>
          <w:szCs w:val="26"/>
        </w:rPr>
        <w:t xml:space="preserve">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603FA5">
        <w:rPr>
          <w:i/>
          <w:sz w:val="26"/>
          <w:szCs w:val="26"/>
        </w:rPr>
        <w:t>Duick v. Pennsylvania Gas and Water Company</w:t>
      </w:r>
      <w:r w:rsidRPr="00603FA5">
        <w:rPr>
          <w:sz w:val="26"/>
          <w:szCs w:val="26"/>
        </w:rPr>
        <w:t xml:space="preserve">, 1982 Pa. PUC Lexis 4, *12-13:  </w:t>
      </w:r>
    </w:p>
    <w:p w:rsidR="00603FA5" w:rsidRPr="00603FA5" w:rsidRDefault="00603FA5" w:rsidP="00603FA5">
      <w:pPr>
        <w:rPr>
          <w:sz w:val="26"/>
          <w:szCs w:val="26"/>
        </w:rPr>
      </w:pPr>
    </w:p>
    <w:p w:rsidR="00C93659" w:rsidRDefault="00C93659">
      <w:pPr>
        <w:rPr>
          <w:sz w:val="26"/>
          <w:szCs w:val="26"/>
        </w:rPr>
      </w:pPr>
      <w:r>
        <w:rPr>
          <w:sz w:val="26"/>
          <w:szCs w:val="26"/>
        </w:rPr>
        <w:br w:type="page"/>
      </w:r>
    </w:p>
    <w:p w:rsidR="00603FA5" w:rsidRPr="00603FA5" w:rsidRDefault="00603FA5" w:rsidP="00603FA5">
      <w:pPr>
        <w:ind w:left="1440" w:right="1440"/>
        <w:rPr>
          <w:sz w:val="26"/>
          <w:szCs w:val="26"/>
        </w:rPr>
      </w:pPr>
      <w:r w:rsidRPr="00603FA5">
        <w:rPr>
          <w:sz w:val="26"/>
          <w:szCs w:val="26"/>
        </w:rPr>
        <w:lastRenderedPageBreak/>
        <w:t xml:space="preserve">A Petition for Reconsideration, under the provisions of </w:t>
      </w:r>
    </w:p>
    <w:p w:rsidR="00603FA5" w:rsidRPr="00603FA5" w:rsidRDefault="00603FA5" w:rsidP="00603FA5">
      <w:pPr>
        <w:ind w:left="1440" w:right="1440"/>
        <w:rPr>
          <w:sz w:val="26"/>
          <w:szCs w:val="26"/>
        </w:rPr>
      </w:pPr>
      <w:r w:rsidRPr="00603FA5">
        <w:rPr>
          <w:sz w:val="26"/>
          <w:szCs w:val="26"/>
        </w:rPr>
        <w:t xml:space="preserve">66 Pa. C.S. § 703(g), may properly raise any matters designed to convince the Commission that it should exercise its discretion under this code section to rescind or amend a prior order in whole or in part.  </w:t>
      </w:r>
    </w:p>
    <w:p w:rsidR="00603FA5" w:rsidRPr="00603FA5" w:rsidRDefault="00603FA5" w:rsidP="00603FA5">
      <w:pPr>
        <w:ind w:left="1440" w:right="1440"/>
        <w:rPr>
          <w:sz w:val="26"/>
          <w:szCs w:val="26"/>
        </w:rPr>
      </w:pPr>
    </w:p>
    <w:p w:rsidR="00603FA5" w:rsidRPr="00603FA5" w:rsidRDefault="00603FA5" w:rsidP="00603FA5">
      <w:pPr>
        <w:ind w:left="1440" w:right="1440"/>
        <w:rPr>
          <w:sz w:val="26"/>
          <w:szCs w:val="26"/>
        </w:rPr>
      </w:pPr>
      <w:r w:rsidRPr="00603FA5">
        <w:rPr>
          <w:sz w:val="26"/>
          <w:szCs w:val="26"/>
        </w:rPr>
        <w:tab/>
        <w:t>In this regard we agree with the court in the Pennsyl</w:t>
      </w:r>
      <w:r w:rsidRPr="00603FA5">
        <w:rPr>
          <w:sz w:val="26"/>
          <w:szCs w:val="26"/>
        </w:rPr>
        <w:softHyphen/>
        <w:t xml:space="preserve">vania Railroad Company case, wherein it was stated that:  </w:t>
      </w:r>
    </w:p>
    <w:p w:rsidR="00603FA5" w:rsidRPr="00603FA5" w:rsidRDefault="00603FA5" w:rsidP="00603FA5">
      <w:pPr>
        <w:ind w:left="2160" w:right="2160"/>
        <w:rPr>
          <w:sz w:val="26"/>
          <w:szCs w:val="26"/>
        </w:rPr>
      </w:pPr>
    </w:p>
    <w:p w:rsidR="00603FA5" w:rsidRPr="00603FA5" w:rsidRDefault="00603FA5" w:rsidP="00603FA5">
      <w:pPr>
        <w:tabs>
          <w:tab w:val="left" w:pos="-720"/>
        </w:tabs>
        <w:ind w:left="2160" w:right="2160"/>
        <w:rPr>
          <w:sz w:val="26"/>
          <w:szCs w:val="26"/>
        </w:rPr>
      </w:pPr>
      <w:r w:rsidRPr="00603FA5">
        <w:rPr>
          <w:sz w:val="26"/>
          <w:szCs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603FA5">
        <w:rPr>
          <w:sz w:val="26"/>
          <w:szCs w:val="26"/>
        </w:rPr>
        <w:softHyphen/>
        <w:t xml:space="preserve">tions which appear to have been overlooked by the Commission.  </w:t>
      </w:r>
    </w:p>
    <w:p w:rsidR="00603FA5" w:rsidRPr="00603FA5" w:rsidRDefault="00603FA5" w:rsidP="00603FA5">
      <w:pPr>
        <w:tabs>
          <w:tab w:val="left" w:pos="-720"/>
        </w:tabs>
        <w:ind w:left="2160" w:right="2160"/>
        <w:rPr>
          <w:sz w:val="26"/>
          <w:szCs w:val="26"/>
        </w:rPr>
      </w:pPr>
    </w:p>
    <w:p w:rsidR="00603FA5" w:rsidRDefault="00603FA5" w:rsidP="00603FA5">
      <w:pPr>
        <w:suppressAutoHyphens/>
        <w:spacing w:line="360" w:lineRule="auto"/>
        <w:rPr>
          <w:color w:val="000000"/>
          <w:spacing w:val="-3"/>
          <w:sz w:val="26"/>
          <w:szCs w:val="26"/>
          <w:u w:color="000000"/>
        </w:rPr>
      </w:pPr>
      <w:r w:rsidRPr="00603FA5">
        <w:rPr>
          <w:color w:val="000000"/>
          <w:spacing w:val="-3"/>
          <w:sz w:val="26"/>
          <w:szCs w:val="26"/>
          <w:u w:color="000000"/>
        </w:rPr>
        <w:tab/>
      </w:r>
      <w:r w:rsidRPr="00603FA5">
        <w:rPr>
          <w:color w:val="000000"/>
          <w:spacing w:val="-3"/>
          <w:sz w:val="26"/>
          <w:szCs w:val="26"/>
          <w:u w:color="000000"/>
        </w:rPr>
        <w:tab/>
        <w:t xml:space="preserve">Under the standards of </w:t>
      </w:r>
      <w:r w:rsidRPr="00603FA5">
        <w:rPr>
          <w:i/>
          <w:color w:val="000000"/>
          <w:spacing w:val="-3"/>
          <w:sz w:val="26"/>
          <w:szCs w:val="26"/>
          <w:u w:color="000000"/>
        </w:rPr>
        <w:t>Duick</w:t>
      </w:r>
      <w:r w:rsidRPr="00603FA5">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603FA5">
        <w:rPr>
          <w:i/>
          <w:color w:val="000000"/>
          <w:spacing w:val="-3"/>
          <w:sz w:val="26"/>
          <w:szCs w:val="26"/>
          <w:u w:color="000000"/>
        </w:rPr>
        <w:t>Id</w:t>
      </w:r>
      <w:r w:rsidRPr="00603FA5">
        <w:rPr>
          <w:color w:val="000000"/>
          <w:spacing w:val="-3"/>
          <w:sz w:val="26"/>
          <w:szCs w:val="26"/>
          <w:u w:color="000000"/>
        </w:rPr>
        <w:t xml:space="preserve">. at *13.     </w:t>
      </w:r>
    </w:p>
    <w:p w:rsidR="00536ABE" w:rsidRDefault="00536ABE" w:rsidP="00603FA5">
      <w:pPr>
        <w:suppressAutoHyphens/>
        <w:spacing w:line="360" w:lineRule="auto"/>
        <w:rPr>
          <w:color w:val="000000"/>
          <w:spacing w:val="-3"/>
          <w:sz w:val="26"/>
          <w:szCs w:val="26"/>
          <w:u w:color="000000"/>
        </w:rPr>
      </w:pPr>
    </w:p>
    <w:p w:rsidR="00B62E38" w:rsidRPr="00B62E38" w:rsidRDefault="00B62E38" w:rsidP="00603FA5">
      <w:pPr>
        <w:suppressAutoHyphens/>
        <w:spacing w:line="360" w:lineRule="auto"/>
        <w:rPr>
          <w:b/>
          <w:i/>
          <w:sz w:val="26"/>
        </w:rPr>
      </w:pPr>
      <w:r w:rsidRPr="00B62E38">
        <w:rPr>
          <w:b/>
          <w:i/>
          <w:sz w:val="26"/>
        </w:rPr>
        <w:t>February 2013 Order</w:t>
      </w:r>
    </w:p>
    <w:p w:rsidR="00B62E38" w:rsidRDefault="00B62E38" w:rsidP="00603FA5">
      <w:pPr>
        <w:suppressAutoHyphens/>
        <w:spacing w:line="360" w:lineRule="auto"/>
        <w:rPr>
          <w:color w:val="000000"/>
          <w:spacing w:val="-3"/>
          <w:sz w:val="26"/>
          <w:szCs w:val="26"/>
          <w:u w:color="000000"/>
        </w:rPr>
      </w:pPr>
    </w:p>
    <w:p w:rsidR="00565692" w:rsidRDefault="000F76C5" w:rsidP="00B214AE">
      <w:pPr>
        <w:tabs>
          <w:tab w:val="left" w:pos="720"/>
        </w:tabs>
        <w:spacing w:line="360" w:lineRule="auto"/>
        <w:rPr>
          <w:sz w:val="26"/>
          <w:szCs w:val="18"/>
        </w:rPr>
      </w:pPr>
      <w:r>
        <w:rPr>
          <w:sz w:val="26"/>
          <w:szCs w:val="18"/>
        </w:rPr>
        <w:tab/>
      </w:r>
      <w:r>
        <w:rPr>
          <w:sz w:val="26"/>
          <w:szCs w:val="18"/>
        </w:rPr>
        <w:tab/>
        <w:t xml:space="preserve">In the </w:t>
      </w:r>
      <w:r w:rsidR="0060482A" w:rsidRPr="0060482A">
        <w:rPr>
          <w:i/>
          <w:sz w:val="26"/>
          <w:szCs w:val="18"/>
        </w:rPr>
        <w:t>February 2013 Order</w:t>
      </w:r>
      <w:r w:rsidR="0060482A">
        <w:rPr>
          <w:sz w:val="26"/>
          <w:szCs w:val="18"/>
        </w:rPr>
        <w:t>,</w:t>
      </w:r>
      <w:r>
        <w:rPr>
          <w:sz w:val="26"/>
          <w:szCs w:val="18"/>
        </w:rPr>
        <w:t xml:space="preserve"> </w:t>
      </w:r>
      <w:r w:rsidR="00FE539D">
        <w:rPr>
          <w:sz w:val="26"/>
          <w:szCs w:val="18"/>
        </w:rPr>
        <w:t>we denied the Respondent’s Exceptions, adopted the Initial Decision, denied the Respondent’s Motion for a Declaratory Order, and sustained the Complaint.  W</w:t>
      </w:r>
      <w:r w:rsidR="0060482A">
        <w:rPr>
          <w:sz w:val="26"/>
          <w:szCs w:val="18"/>
        </w:rPr>
        <w:t>e found that</w:t>
      </w:r>
      <w:r w:rsidR="000B0027">
        <w:rPr>
          <w:sz w:val="26"/>
          <w:szCs w:val="18"/>
        </w:rPr>
        <w:t xml:space="preserve"> it </w:t>
      </w:r>
      <w:r w:rsidR="0060482A">
        <w:rPr>
          <w:sz w:val="26"/>
          <w:szCs w:val="18"/>
        </w:rPr>
        <w:t>wa</w:t>
      </w:r>
      <w:r w:rsidR="000B0027">
        <w:rPr>
          <w:sz w:val="26"/>
          <w:szCs w:val="18"/>
        </w:rPr>
        <w:t xml:space="preserve">s clear that the Commission has jurisdiction over the Respondent’s operations, and, as such, that the Commission has the authority to impose civil penalties upon the Respondent for violations of the </w:t>
      </w:r>
    </w:p>
    <w:p w:rsidR="000B0027" w:rsidRDefault="000B0027" w:rsidP="000B0027">
      <w:pPr>
        <w:tabs>
          <w:tab w:val="left" w:pos="720"/>
        </w:tabs>
        <w:spacing w:line="360" w:lineRule="auto"/>
        <w:rPr>
          <w:sz w:val="26"/>
          <w:szCs w:val="18"/>
        </w:rPr>
      </w:pPr>
      <w:r>
        <w:rPr>
          <w:sz w:val="26"/>
          <w:szCs w:val="18"/>
        </w:rPr>
        <w:lastRenderedPageBreak/>
        <w:t>Commission’s Rules and Regulations.</w:t>
      </w:r>
      <w:r w:rsidR="004F39A2">
        <w:rPr>
          <w:rStyle w:val="FootnoteReference"/>
        </w:rPr>
        <w:footnoteReference w:id="3"/>
      </w:r>
      <w:r>
        <w:rPr>
          <w:sz w:val="26"/>
          <w:szCs w:val="18"/>
        </w:rPr>
        <w:t xml:space="preserve">  </w:t>
      </w:r>
      <w:r w:rsidR="0060482A">
        <w:rPr>
          <w:sz w:val="26"/>
          <w:szCs w:val="18"/>
        </w:rPr>
        <w:t>We stated that t</w:t>
      </w:r>
      <w:r>
        <w:rPr>
          <w:sz w:val="26"/>
          <w:szCs w:val="18"/>
        </w:rPr>
        <w:t xml:space="preserve">he Respondent was issued a Certificate by the Commission on September 5, 1996 for call or demand authority, at Docket No. A-00110733.  </w:t>
      </w:r>
      <w:r w:rsidR="0060482A">
        <w:rPr>
          <w:sz w:val="26"/>
          <w:szCs w:val="18"/>
        </w:rPr>
        <w:t>We concluded that t</w:t>
      </w:r>
      <w:r>
        <w:rPr>
          <w:sz w:val="26"/>
          <w:szCs w:val="18"/>
        </w:rPr>
        <w:t>he record demonstrate</w:t>
      </w:r>
      <w:r w:rsidR="0060482A">
        <w:rPr>
          <w:sz w:val="26"/>
          <w:szCs w:val="18"/>
        </w:rPr>
        <w:t>d</w:t>
      </w:r>
      <w:r>
        <w:rPr>
          <w:sz w:val="26"/>
          <w:szCs w:val="18"/>
        </w:rPr>
        <w:t xml:space="preserve"> that the Respondent holds authority from the PPA to provide service in Philadelphia on a non-citywide basis and separate authority from the Commission to provide service in areas outside of Philadelphia.  </w:t>
      </w:r>
      <w:r w:rsidR="0060482A">
        <w:rPr>
          <w:sz w:val="26"/>
          <w:szCs w:val="18"/>
        </w:rPr>
        <w:t>We also concluded that t</w:t>
      </w:r>
      <w:r>
        <w:rPr>
          <w:sz w:val="26"/>
          <w:szCs w:val="18"/>
        </w:rPr>
        <w:t>he record demonstrate</w:t>
      </w:r>
      <w:r w:rsidR="0060482A">
        <w:rPr>
          <w:sz w:val="26"/>
          <w:szCs w:val="18"/>
        </w:rPr>
        <w:t>d</w:t>
      </w:r>
      <w:r>
        <w:rPr>
          <w:sz w:val="26"/>
          <w:szCs w:val="18"/>
        </w:rPr>
        <w:t xml:space="preserve"> that all of the Respondent’s vehicles are subject to inspection by the Commission as none of them operate solely under the PPA’s jurisdiction, i.e., solely within Philadelphia on a non-citywide basis.</w:t>
      </w:r>
      <w:r w:rsidR="0060482A">
        <w:rPr>
          <w:sz w:val="26"/>
          <w:szCs w:val="18"/>
        </w:rPr>
        <w:t xml:space="preserve">  </w:t>
      </w:r>
      <w:r w:rsidR="0060482A" w:rsidRPr="0060482A">
        <w:rPr>
          <w:i/>
          <w:sz w:val="26"/>
          <w:szCs w:val="18"/>
        </w:rPr>
        <w:t>February 2013 Order</w:t>
      </w:r>
      <w:r w:rsidR="0060482A">
        <w:rPr>
          <w:i/>
          <w:sz w:val="26"/>
          <w:szCs w:val="18"/>
        </w:rPr>
        <w:t xml:space="preserve"> </w:t>
      </w:r>
      <w:r w:rsidR="0060482A">
        <w:rPr>
          <w:sz w:val="26"/>
          <w:szCs w:val="18"/>
        </w:rPr>
        <w:t>at 9.</w:t>
      </w:r>
    </w:p>
    <w:p w:rsidR="00B62E38" w:rsidRPr="0060482A" w:rsidRDefault="00B62E38" w:rsidP="000B0027">
      <w:pPr>
        <w:tabs>
          <w:tab w:val="left" w:pos="720"/>
        </w:tabs>
        <w:spacing w:line="360" w:lineRule="auto"/>
        <w:rPr>
          <w:sz w:val="26"/>
          <w:szCs w:val="18"/>
        </w:rPr>
      </w:pPr>
    </w:p>
    <w:p w:rsidR="00B62E38" w:rsidRPr="00B62E38" w:rsidRDefault="00B62E38" w:rsidP="00B62E38">
      <w:pPr>
        <w:spacing w:line="360" w:lineRule="auto"/>
        <w:rPr>
          <w:b/>
          <w:sz w:val="26"/>
          <w:szCs w:val="26"/>
        </w:rPr>
      </w:pPr>
      <w:r>
        <w:rPr>
          <w:b/>
          <w:sz w:val="26"/>
          <w:szCs w:val="26"/>
        </w:rPr>
        <w:t>Respondent’s Petition</w:t>
      </w:r>
    </w:p>
    <w:p w:rsidR="00B62E38" w:rsidRDefault="00B62E38" w:rsidP="00A04FFC">
      <w:pPr>
        <w:spacing w:line="360" w:lineRule="auto"/>
        <w:ind w:firstLine="1440"/>
        <w:rPr>
          <w:sz w:val="26"/>
          <w:szCs w:val="26"/>
        </w:rPr>
      </w:pPr>
    </w:p>
    <w:p w:rsidR="00A17337" w:rsidRDefault="009A269C" w:rsidP="00A04FFC">
      <w:pPr>
        <w:spacing w:line="360" w:lineRule="auto"/>
        <w:ind w:firstLine="1440"/>
        <w:rPr>
          <w:sz w:val="26"/>
        </w:rPr>
      </w:pPr>
      <w:r>
        <w:rPr>
          <w:sz w:val="26"/>
          <w:szCs w:val="26"/>
        </w:rPr>
        <w:t xml:space="preserve">In its Petition, the Respondent seeks reconsideration of the Commission’s conclusion that it does not have exclusive jurisdiction to regulate the Respondent’s operations, but, rather, that the Commission shares jurisdiction with the PPA.  </w:t>
      </w:r>
      <w:r w:rsidR="00A17337">
        <w:rPr>
          <w:sz w:val="26"/>
          <w:szCs w:val="26"/>
        </w:rPr>
        <w:t xml:space="preserve">In its first </w:t>
      </w:r>
      <w:r w:rsidR="00B53081">
        <w:rPr>
          <w:sz w:val="26"/>
          <w:szCs w:val="26"/>
        </w:rPr>
        <w:t>averment</w:t>
      </w:r>
      <w:r w:rsidR="00A17337">
        <w:rPr>
          <w:sz w:val="26"/>
          <w:szCs w:val="26"/>
        </w:rPr>
        <w:t xml:space="preserve">, the Respondent states that the Commission made clearly erroneous findings of fact regarding the nature of the Company’s operating rights.  </w:t>
      </w:r>
      <w:r>
        <w:rPr>
          <w:sz w:val="26"/>
          <w:szCs w:val="26"/>
        </w:rPr>
        <w:t xml:space="preserve">Specifically, the Respondent avers that the Commission erred in finding that “[t]he record demonstrates that the </w:t>
      </w:r>
      <w:r>
        <w:rPr>
          <w:sz w:val="26"/>
          <w:szCs w:val="26"/>
        </w:rPr>
        <w:lastRenderedPageBreak/>
        <w:t xml:space="preserve">Respondent holds authority from the PPA to provide service in Philadelphia on a non-citywide basis and separate authority from the Commission to provide service in areas outside of Philadelphia.”  </w:t>
      </w:r>
      <w:r w:rsidR="00370F92">
        <w:rPr>
          <w:sz w:val="26"/>
          <w:szCs w:val="26"/>
        </w:rPr>
        <w:t>Petition</w:t>
      </w:r>
      <w:r w:rsidR="000A5227">
        <w:rPr>
          <w:sz w:val="26"/>
          <w:szCs w:val="26"/>
        </w:rPr>
        <w:t xml:space="preserve"> at 2 (quoting</w:t>
      </w:r>
      <w:r w:rsidR="000A5227" w:rsidRPr="000A5227">
        <w:rPr>
          <w:i/>
          <w:sz w:val="26"/>
        </w:rPr>
        <w:t xml:space="preserve"> </w:t>
      </w:r>
      <w:r w:rsidR="000A5227" w:rsidRPr="00B51B94">
        <w:rPr>
          <w:i/>
          <w:sz w:val="26"/>
        </w:rPr>
        <w:t>February 2013 Order</w:t>
      </w:r>
      <w:r w:rsidR="000A5227">
        <w:rPr>
          <w:sz w:val="26"/>
        </w:rPr>
        <w:t xml:space="preserve"> at 9).  The Respondent states that it has only one Certificate of Public Convenience (Certificate), which was issued by the Commission</w:t>
      </w:r>
      <w:r w:rsidR="0062429E">
        <w:rPr>
          <w:sz w:val="26"/>
        </w:rPr>
        <w:t>,</w:t>
      </w:r>
      <w:r w:rsidR="000A5227">
        <w:rPr>
          <w:sz w:val="26"/>
        </w:rPr>
        <w:t xml:space="preserve"> and authorizes it to provide call or demand service in a territory that includes part of Philadelphia and part of Montgomery County.  The Respondent asserts that it was clearly erroneous for the Commission to find that </w:t>
      </w:r>
      <w:r w:rsidR="0062429E">
        <w:rPr>
          <w:sz w:val="26"/>
        </w:rPr>
        <w:t>the Respondent</w:t>
      </w:r>
      <w:r w:rsidR="000A5227">
        <w:rPr>
          <w:sz w:val="26"/>
        </w:rPr>
        <w:t xml:space="preserve"> holds authority from the PPA because the record does not contain any evidence that the PPA issued an order granting such authority or issued the Respondent a Certificate and the </w:t>
      </w:r>
      <w:r w:rsidR="002951C3">
        <w:rPr>
          <w:sz w:val="26"/>
        </w:rPr>
        <w:t>R</w:t>
      </w:r>
      <w:r w:rsidR="000A5227">
        <w:rPr>
          <w:sz w:val="26"/>
        </w:rPr>
        <w:t xml:space="preserve">espondent has not, in fact, received such authority or Certificate from the PPA.  </w:t>
      </w:r>
      <w:r w:rsidR="000A5227" w:rsidRPr="000A5227">
        <w:rPr>
          <w:i/>
          <w:sz w:val="26"/>
        </w:rPr>
        <w:t>Id</w:t>
      </w:r>
      <w:r w:rsidR="000A5227">
        <w:rPr>
          <w:sz w:val="26"/>
        </w:rPr>
        <w:t>. at 3-4.</w:t>
      </w:r>
      <w:r w:rsidR="00A17337">
        <w:rPr>
          <w:sz w:val="26"/>
        </w:rPr>
        <w:t xml:space="preserve">  The Respondent also asserts that there is no evidence to support the Commission’s finding that </w:t>
      </w:r>
      <w:r w:rsidR="0062429E">
        <w:rPr>
          <w:sz w:val="26"/>
        </w:rPr>
        <w:t>the Respondent</w:t>
      </w:r>
      <w:r w:rsidR="00A17337">
        <w:rPr>
          <w:sz w:val="26"/>
        </w:rPr>
        <w:t xml:space="preserve"> possesses a Certificate from the Commission authorizing it to provide call or demand service solely in a part of Montgomery County, and the Commission has not issued an </w:t>
      </w:r>
      <w:r w:rsidR="008B01D6">
        <w:rPr>
          <w:sz w:val="26"/>
        </w:rPr>
        <w:t>order granting such authorization</w:t>
      </w:r>
      <w:r w:rsidR="00A17337">
        <w:rPr>
          <w:sz w:val="26"/>
        </w:rPr>
        <w:t xml:space="preserve">.  </w:t>
      </w:r>
      <w:r w:rsidR="00A17337" w:rsidRPr="00A17337">
        <w:rPr>
          <w:i/>
          <w:sz w:val="26"/>
        </w:rPr>
        <w:t>Id</w:t>
      </w:r>
      <w:r w:rsidR="00A17337">
        <w:rPr>
          <w:sz w:val="26"/>
        </w:rPr>
        <w:t xml:space="preserve">. at 6.    </w:t>
      </w:r>
      <w:r w:rsidR="000A5227">
        <w:rPr>
          <w:sz w:val="26"/>
        </w:rPr>
        <w:t xml:space="preserve"> </w:t>
      </w:r>
    </w:p>
    <w:p w:rsidR="00A17337" w:rsidRDefault="00A17337" w:rsidP="00A04FFC">
      <w:pPr>
        <w:spacing w:line="360" w:lineRule="auto"/>
        <w:ind w:firstLine="1440"/>
        <w:rPr>
          <w:sz w:val="26"/>
        </w:rPr>
      </w:pPr>
    </w:p>
    <w:p w:rsidR="00574C77" w:rsidRDefault="008B01D6" w:rsidP="00A04FFC">
      <w:pPr>
        <w:spacing w:line="360" w:lineRule="auto"/>
        <w:ind w:firstLine="1440"/>
        <w:rPr>
          <w:sz w:val="26"/>
        </w:rPr>
      </w:pPr>
      <w:r>
        <w:rPr>
          <w:sz w:val="26"/>
        </w:rPr>
        <w:t xml:space="preserve">In its second </w:t>
      </w:r>
      <w:r w:rsidR="006428CF">
        <w:rPr>
          <w:sz w:val="26"/>
        </w:rPr>
        <w:t>averment</w:t>
      </w:r>
      <w:r>
        <w:rPr>
          <w:sz w:val="26"/>
        </w:rPr>
        <w:t xml:space="preserve">, the Respondent contends that the concept of jurisdiction adopted by both the Commission and the PPA is clearly erroneous because it is contrary to the legislative intent as interpreted in </w:t>
      </w:r>
      <w:r>
        <w:rPr>
          <w:i/>
          <w:sz w:val="26"/>
        </w:rPr>
        <w:t>Blount v. Philadelphia Parking Authority</w:t>
      </w:r>
      <w:r>
        <w:rPr>
          <w:sz w:val="26"/>
        </w:rPr>
        <w:t xml:space="preserve">, </w:t>
      </w:r>
      <w:r w:rsidR="006F3908">
        <w:rPr>
          <w:sz w:val="26"/>
        </w:rPr>
        <w:t xml:space="preserve">600 Pa. 277, </w:t>
      </w:r>
      <w:r>
        <w:rPr>
          <w:sz w:val="26"/>
        </w:rPr>
        <w:t xml:space="preserve">965 A.2d 226 (2009).  </w:t>
      </w:r>
      <w:r w:rsidR="00370F92">
        <w:rPr>
          <w:sz w:val="26"/>
        </w:rPr>
        <w:t>Petition</w:t>
      </w:r>
      <w:r>
        <w:rPr>
          <w:sz w:val="26"/>
        </w:rPr>
        <w:t xml:space="preserve"> at 7.  The Respondent believes that the Supreme Court has made it clear that both the Commission and the PPA have territorial jurisdiction throughout the entire state, each of which combines and overlaps with each other.  The Respondent states that the PPA regulates medallion taxicabs regardless of where they operate in Pennsylvania, and the Commission regulates taxicabs under its authority even when they operate in Philadelphia.  </w:t>
      </w:r>
      <w:r w:rsidRPr="008B01D6">
        <w:rPr>
          <w:i/>
          <w:sz w:val="26"/>
        </w:rPr>
        <w:t>Id</w:t>
      </w:r>
      <w:r>
        <w:rPr>
          <w:sz w:val="26"/>
        </w:rPr>
        <w:t xml:space="preserve">. at 9.  The Respondent avers that, in order to determine whether the Commission has exclusive jurisdiction over the Company, the Commission must </w:t>
      </w:r>
      <w:r w:rsidR="000E1BFB">
        <w:rPr>
          <w:sz w:val="26"/>
        </w:rPr>
        <w:t xml:space="preserve">interpret the specific provisions of the Parking Authorities Law, which transfer specific powers and functions from the Commission to the PPA.  </w:t>
      </w:r>
      <w:r w:rsidR="000E1BFB" w:rsidRPr="000E1BFB">
        <w:rPr>
          <w:i/>
          <w:sz w:val="26"/>
        </w:rPr>
        <w:t>Id</w:t>
      </w:r>
      <w:r w:rsidR="000E1BFB">
        <w:rPr>
          <w:sz w:val="26"/>
        </w:rPr>
        <w:t xml:space="preserve">. at 10.  </w:t>
      </w:r>
    </w:p>
    <w:p w:rsidR="00996EE2" w:rsidRDefault="00574C77" w:rsidP="00996EE2">
      <w:pPr>
        <w:spacing w:line="360" w:lineRule="auto"/>
        <w:ind w:firstLine="1440"/>
        <w:rPr>
          <w:sz w:val="26"/>
          <w:szCs w:val="26"/>
        </w:rPr>
      </w:pPr>
      <w:r>
        <w:rPr>
          <w:sz w:val="26"/>
        </w:rPr>
        <w:lastRenderedPageBreak/>
        <w:t xml:space="preserve">In its third </w:t>
      </w:r>
      <w:r w:rsidR="006428CF">
        <w:rPr>
          <w:sz w:val="26"/>
        </w:rPr>
        <w:t>averment</w:t>
      </w:r>
      <w:r>
        <w:rPr>
          <w:sz w:val="26"/>
        </w:rPr>
        <w:t xml:space="preserve">, the Respondent argues that the Commission erred in concluding that it shares jurisdiction over the Respondent, because </w:t>
      </w:r>
      <w:r w:rsidR="00F150CA">
        <w:rPr>
          <w:sz w:val="26"/>
        </w:rPr>
        <w:t>the Parking Authorities Law</w:t>
      </w:r>
      <w:r>
        <w:rPr>
          <w:sz w:val="26"/>
        </w:rPr>
        <w:t xml:space="preserve"> only transferred the Commission’s functions and powers under the Medallion Act</w:t>
      </w:r>
      <w:r w:rsidR="00F150CA">
        <w:rPr>
          <w:rStyle w:val="FootnoteReference"/>
        </w:rPr>
        <w:footnoteReference w:id="4"/>
      </w:r>
      <w:r>
        <w:rPr>
          <w:sz w:val="26"/>
        </w:rPr>
        <w:t xml:space="preserve"> and with regard to the regulation of limousines in Philadelphia.  </w:t>
      </w:r>
      <w:r w:rsidRPr="00574C77">
        <w:rPr>
          <w:i/>
          <w:sz w:val="26"/>
        </w:rPr>
        <w:t>Id</w:t>
      </w:r>
      <w:r>
        <w:rPr>
          <w:sz w:val="26"/>
        </w:rPr>
        <w:t xml:space="preserve">.  </w:t>
      </w:r>
      <w:r w:rsidR="003A0763">
        <w:rPr>
          <w:sz w:val="26"/>
        </w:rPr>
        <w:t xml:space="preserve">The Respondent states that the Commission failed to consider the legislative and administrative history of “grandfathering” the Company and its operations from regulation under various legislative enactments over the years.  </w:t>
      </w:r>
      <w:r w:rsidR="003A0763" w:rsidRPr="003A0763">
        <w:rPr>
          <w:i/>
          <w:sz w:val="26"/>
        </w:rPr>
        <w:t>Id</w:t>
      </w:r>
      <w:r w:rsidR="003A0763">
        <w:rPr>
          <w:sz w:val="26"/>
        </w:rPr>
        <w:t>. at 12.  The Respondent</w:t>
      </w:r>
      <w:r w:rsidR="00BD070F">
        <w:rPr>
          <w:sz w:val="26"/>
        </w:rPr>
        <w:t xml:space="preserve">’s position is that </w:t>
      </w:r>
      <w:r w:rsidR="003A0763">
        <w:rPr>
          <w:sz w:val="26"/>
        </w:rPr>
        <w:t xml:space="preserve">operating rights cannot be amended, modified, cancelled, or revoked without due process, and that existing carriers must be “grandfathered” when legislative changes are enacted to protect the carriers’ rights under the Constitution.  </w:t>
      </w:r>
      <w:r w:rsidR="003A0763" w:rsidRPr="003A0763">
        <w:rPr>
          <w:i/>
          <w:sz w:val="26"/>
        </w:rPr>
        <w:t>Id</w:t>
      </w:r>
      <w:r w:rsidR="0004346E">
        <w:rPr>
          <w:sz w:val="26"/>
        </w:rPr>
        <w:t>. at </w:t>
      </w:r>
      <w:r w:rsidR="003A0763">
        <w:rPr>
          <w:sz w:val="26"/>
        </w:rPr>
        <w:t>1</w:t>
      </w:r>
      <w:r w:rsidR="007143CA">
        <w:rPr>
          <w:sz w:val="26"/>
        </w:rPr>
        <w:t>2-17</w:t>
      </w:r>
      <w:r w:rsidR="003A0763">
        <w:rPr>
          <w:sz w:val="26"/>
        </w:rPr>
        <w:t>.</w:t>
      </w:r>
      <w:r w:rsidR="00BD070F">
        <w:rPr>
          <w:rStyle w:val="FootnoteReference"/>
        </w:rPr>
        <w:footnoteReference w:id="5"/>
      </w:r>
      <w:r w:rsidR="00B2685F">
        <w:rPr>
          <w:sz w:val="26"/>
        </w:rPr>
        <w:t xml:space="preserve">  </w:t>
      </w:r>
      <w:r w:rsidR="00996EE2">
        <w:rPr>
          <w:sz w:val="26"/>
        </w:rPr>
        <w:t>The Respondent asserts that the Commission misconstrued Section 5714(d)(2)</w:t>
      </w:r>
      <w:r w:rsidR="0004346E">
        <w:rPr>
          <w:sz w:val="26"/>
        </w:rPr>
        <w:t xml:space="preserve"> </w:t>
      </w:r>
      <w:r w:rsidR="00996EE2">
        <w:rPr>
          <w:sz w:val="26"/>
        </w:rPr>
        <w:t xml:space="preserve">by failing to recognize that this Section is a “grandfathering” provision that exempts the Company and its operations from regulation.  </w:t>
      </w:r>
      <w:r w:rsidR="00996EE2" w:rsidRPr="00996EE2">
        <w:rPr>
          <w:i/>
          <w:sz w:val="26"/>
        </w:rPr>
        <w:t>Id</w:t>
      </w:r>
      <w:r w:rsidR="00996EE2">
        <w:rPr>
          <w:sz w:val="26"/>
        </w:rPr>
        <w:t xml:space="preserve">. at 21.              </w:t>
      </w:r>
      <w:r w:rsidR="00996EE2">
        <w:rPr>
          <w:sz w:val="26"/>
          <w:szCs w:val="26"/>
        </w:rPr>
        <w:t xml:space="preserve">      </w:t>
      </w:r>
    </w:p>
    <w:p w:rsidR="00D13663" w:rsidRDefault="00D13663" w:rsidP="00A04FFC">
      <w:pPr>
        <w:spacing w:line="360" w:lineRule="auto"/>
        <w:ind w:firstLine="1440"/>
        <w:rPr>
          <w:sz w:val="26"/>
        </w:rPr>
      </w:pPr>
    </w:p>
    <w:p w:rsidR="00744CFC" w:rsidRDefault="0042298A" w:rsidP="00A04FFC">
      <w:pPr>
        <w:spacing w:line="360" w:lineRule="auto"/>
        <w:ind w:firstLine="1440"/>
        <w:rPr>
          <w:sz w:val="26"/>
        </w:rPr>
      </w:pPr>
      <w:r>
        <w:rPr>
          <w:sz w:val="26"/>
        </w:rPr>
        <w:t xml:space="preserve">The Respondent also states that the Commission failed to consider the absence of express language in </w:t>
      </w:r>
      <w:r w:rsidR="00FC3DD5">
        <w:rPr>
          <w:sz w:val="26"/>
        </w:rPr>
        <w:t xml:space="preserve">the Parking Authorities Law </w:t>
      </w:r>
      <w:r>
        <w:rPr>
          <w:sz w:val="26"/>
        </w:rPr>
        <w:t xml:space="preserve">transferring the Commission’s powers and functions with respect to the Company and its operations to the PPA.  </w:t>
      </w:r>
      <w:r w:rsidRPr="0042298A">
        <w:rPr>
          <w:i/>
          <w:sz w:val="26"/>
        </w:rPr>
        <w:t>Id</w:t>
      </w:r>
      <w:r>
        <w:rPr>
          <w:sz w:val="26"/>
        </w:rPr>
        <w:t>. at 17.</w:t>
      </w:r>
      <w:r w:rsidR="00D13663">
        <w:rPr>
          <w:sz w:val="26"/>
        </w:rPr>
        <w:t xml:space="preserve">  The Respondent believes that, if the </w:t>
      </w:r>
      <w:r w:rsidR="004D5C73">
        <w:rPr>
          <w:sz w:val="26"/>
        </w:rPr>
        <w:t>L</w:t>
      </w:r>
      <w:r w:rsidR="00D13663">
        <w:rPr>
          <w:sz w:val="26"/>
        </w:rPr>
        <w:t xml:space="preserve">egislature had intended to confer powers on the PPA regarding motor carriers like the Respondent, the </w:t>
      </w:r>
      <w:r w:rsidR="004D5C73">
        <w:rPr>
          <w:sz w:val="26"/>
        </w:rPr>
        <w:t>L</w:t>
      </w:r>
      <w:r w:rsidR="00D13663">
        <w:rPr>
          <w:sz w:val="26"/>
        </w:rPr>
        <w:t>egislature would have made its intent explicit in the PPA’s enabling act, but it did not.</w:t>
      </w:r>
      <w:r w:rsidR="004D3683">
        <w:rPr>
          <w:sz w:val="26"/>
        </w:rPr>
        <w:t xml:space="preserve">  </w:t>
      </w:r>
      <w:r w:rsidR="004D3683" w:rsidRPr="004D3683">
        <w:rPr>
          <w:i/>
          <w:sz w:val="26"/>
        </w:rPr>
        <w:t>Id</w:t>
      </w:r>
      <w:r w:rsidR="004D3683">
        <w:rPr>
          <w:sz w:val="26"/>
        </w:rPr>
        <w:t xml:space="preserve">. at 18.  The Respondent also avers that the Pennsylvania Supreme Court has stated that the </w:t>
      </w:r>
      <w:r w:rsidR="004D5C73">
        <w:rPr>
          <w:sz w:val="26"/>
        </w:rPr>
        <w:t>L</w:t>
      </w:r>
      <w:r w:rsidR="004D3683">
        <w:rPr>
          <w:sz w:val="26"/>
        </w:rPr>
        <w:t xml:space="preserve">egislature uses plain language to make it clear that Act 94 transfers the Commission’s authority under the Medallion Act and with regard to the regulation of limousines in cities of the first class, but not with regard to the regulation of partial rights </w:t>
      </w:r>
      <w:r w:rsidR="006C5411">
        <w:rPr>
          <w:sz w:val="26"/>
        </w:rPr>
        <w:t xml:space="preserve">taxicabs, such </w:t>
      </w:r>
      <w:r w:rsidR="006C5411">
        <w:rPr>
          <w:sz w:val="26"/>
        </w:rPr>
        <w:lastRenderedPageBreak/>
        <w:t xml:space="preserve">as the Respondent.  </w:t>
      </w:r>
      <w:r w:rsidR="006C5411" w:rsidRPr="006C5411">
        <w:rPr>
          <w:i/>
          <w:sz w:val="26"/>
        </w:rPr>
        <w:t>Id</w:t>
      </w:r>
      <w:r w:rsidR="006C5411">
        <w:rPr>
          <w:sz w:val="26"/>
        </w:rPr>
        <w:t xml:space="preserve">. at 19 (citing </w:t>
      </w:r>
      <w:r w:rsidR="006C5411">
        <w:rPr>
          <w:i/>
          <w:sz w:val="26"/>
        </w:rPr>
        <w:t>Germantown Cab Co. v. Philadelphia Parking Authority</w:t>
      </w:r>
      <w:r w:rsidR="006C5411">
        <w:rPr>
          <w:sz w:val="26"/>
        </w:rPr>
        <w:t>, 36 A.3d 105 (Pa. 2012)</w:t>
      </w:r>
      <w:r w:rsidR="00CC3197">
        <w:rPr>
          <w:sz w:val="26"/>
        </w:rPr>
        <w:t>)</w:t>
      </w:r>
      <w:r w:rsidR="006C5411">
        <w:rPr>
          <w:sz w:val="26"/>
        </w:rPr>
        <w:t>.</w:t>
      </w:r>
      <w:r w:rsidR="00DC753B">
        <w:rPr>
          <w:sz w:val="26"/>
        </w:rPr>
        <w:t xml:space="preserve">  </w:t>
      </w:r>
    </w:p>
    <w:p w:rsidR="00FC3DD5" w:rsidRDefault="00FC3DD5" w:rsidP="00A04FFC">
      <w:pPr>
        <w:spacing w:line="360" w:lineRule="auto"/>
        <w:ind w:firstLine="1440"/>
        <w:rPr>
          <w:sz w:val="26"/>
        </w:rPr>
      </w:pPr>
    </w:p>
    <w:p w:rsidR="00846162" w:rsidRDefault="00F3354F" w:rsidP="00A04FFC">
      <w:pPr>
        <w:spacing w:line="360" w:lineRule="auto"/>
        <w:ind w:firstLine="1440"/>
        <w:rPr>
          <w:sz w:val="26"/>
        </w:rPr>
      </w:pPr>
      <w:r>
        <w:rPr>
          <w:sz w:val="26"/>
        </w:rPr>
        <w:t>Additionally</w:t>
      </w:r>
      <w:r w:rsidR="00744CFC">
        <w:rPr>
          <w:sz w:val="26"/>
        </w:rPr>
        <w:t>, t</w:t>
      </w:r>
      <w:r w:rsidR="00DC753B">
        <w:rPr>
          <w:sz w:val="26"/>
        </w:rPr>
        <w:t>he Respondent opines that</w:t>
      </w:r>
      <w:r w:rsidR="00744CFC">
        <w:rPr>
          <w:sz w:val="26"/>
        </w:rPr>
        <w:t xml:space="preserve">, in order to protect the due process rights of </w:t>
      </w:r>
      <w:r w:rsidR="009E58CC">
        <w:rPr>
          <w:sz w:val="26"/>
        </w:rPr>
        <w:t xml:space="preserve">the </w:t>
      </w:r>
      <w:r w:rsidR="00744CFC">
        <w:rPr>
          <w:sz w:val="26"/>
        </w:rPr>
        <w:t>regulated community,</w:t>
      </w:r>
      <w:r w:rsidR="00DC753B">
        <w:rPr>
          <w:sz w:val="26"/>
        </w:rPr>
        <w:t xml:space="preserve"> the </w:t>
      </w:r>
      <w:r w:rsidR="009E58CC">
        <w:rPr>
          <w:sz w:val="26"/>
        </w:rPr>
        <w:t>L</w:t>
      </w:r>
      <w:r w:rsidR="00DC753B">
        <w:rPr>
          <w:sz w:val="26"/>
        </w:rPr>
        <w:t xml:space="preserve">egislature would have included a seat on the PPA’s advisory committee for carriers with rights to provide call or demand service in a territory that includes a portion of Philadelphia, such as the Company, if the </w:t>
      </w:r>
      <w:r w:rsidR="009E58CC">
        <w:rPr>
          <w:sz w:val="26"/>
        </w:rPr>
        <w:t>L</w:t>
      </w:r>
      <w:r w:rsidR="00DC753B">
        <w:rPr>
          <w:sz w:val="26"/>
        </w:rPr>
        <w:t xml:space="preserve">egislature had intended for the PPA to exercise regulatory power over such carriers.  </w:t>
      </w:r>
      <w:r w:rsidR="00DC753B" w:rsidRPr="00DC753B">
        <w:rPr>
          <w:i/>
          <w:sz w:val="26"/>
        </w:rPr>
        <w:t>Id</w:t>
      </w:r>
      <w:r w:rsidR="00DC753B">
        <w:rPr>
          <w:sz w:val="26"/>
        </w:rPr>
        <w:t>. at 23.</w:t>
      </w:r>
      <w:r w:rsidR="00744CFC">
        <w:rPr>
          <w:sz w:val="26"/>
        </w:rPr>
        <w:t xml:space="preserve">  The Respondent also opines that</w:t>
      </w:r>
      <w:r>
        <w:rPr>
          <w:sz w:val="26"/>
        </w:rPr>
        <w:t xml:space="preserve">, if the </w:t>
      </w:r>
      <w:r w:rsidR="009E58CC">
        <w:rPr>
          <w:sz w:val="26"/>
        </w:rPr>
        <w:t>L</w:t>
      </w:r>
      <w:r>
        <w:rPr>
          <w:sz w:val="26"/>
        </w:rPr>
        <w:t xml:space="preserve">egislature had intended to give the PPA regulatory control over common carriers with rights to provide call or demand service in territories that include a portion of Philadelphia, it would have given the PPA the power to make an annual assessment on such carriers and established an equitable method of allocating regulatory expenses to these carriers.  </w:t>
      </w:r>
      <w:r w:rsidRPr="00F3354F">
        <w:rPr>
          <w:i/>
          <w:sz w:val="26"/>
        </w:rPr>
        <w:t>Id</w:t>
      </w:r>
      <w:r>
        <w:rPr>
          <w:sz w:val="26"/>
        </w:rPr>
        <w:t xml:space="preserve">. at 25-26.  </w:t>
      </w:r>
    </w:p>
    <w:p w:rsidR="00846162" w:rsidRDefault="00846162" w:rsidP="00A04FFC">
      <w:pPr>
        <w:spacing w:line="360" w:lineRule="auto"/>
        <w:ind w:firstLine="1440"/>
        <w:rPr>
          <w:sz w:val="26"/>
        </w:rPr>
      </w:pPr>
    </w:p>
    <w:p w:rsidR="00A0564B" w:rsidRDefault="00846162" w:rsidP="00A04FFC">
      <w:pPr>
        <w:spacing w:line="360" w:lineRule="auto"/>
        <w:ind w:firstLine="1440"/>
        <w:rPr>
          <w:sz w:val="26"/>
        </w:rPr>
      </w:pPr>
      <w:r>
        <w:rPr>
          <w:sz w:val="26"/>
        </w:rPr>
        <w:t>Further, t</w:t>
      </w:r>
      <w:r w:rsidR="00F3354F">
        <w:rPr>
          <w:sz w:val="26"/>
        </w:rPr>
        <w:t xml:space="preserve">he Respondent argues that the Commission failed to consider that its interpretation of </w:t>
      </w:r>
      <w:r w:rsidR="00FC3DD5">
        <w:rPr>
          <w:sz w:val="26"/>
        </w:rPr>
        <w:t xml:space="preserve">the Parking Authorities Law </w:t>
      </w:r>
      <w:r w:rsidR="00F3354F">
        <w:rPr>
          <w:sz w:val="26"/>
        </w:rPr>
        <w:t>would lead to the absurd result of dual regulation, and the Company would be required to comply with two sets of conflicting regulations</w:t>
      </w:r>
      <w:r w:rsidR="00A0564B">
        <w:rPr>
          <w:sz w:val="26"/>
        </w:rPr>
        <w:t xml:space="preserve"> administered and enforced by two separate regulatory agencies</w:t>
      </w:r>
      <w:r w:rsidR="00F3354F">
        <w:rPr>
          <w:sz w:val="26"/>
        </w:rPr>
        <w:t xml:space="preserve">.  </w:t>
      </w:r>
      <w:r w:rsidR="00F3354F" w:rsidRPr="00F3354F">
        <w:rPr>
          <w:i/>
          <w:sz w:val="26"/>
        </w:rPr>
        <w:t>Id</w:t>
      </w:r>
      <w:r w:rsidR="00F3354F">
        <w:rPr>
          <w:sz w:val="26"/>
        </w:rPr>
        <w:t>. at 27.</w:t>
      </w:r>
      <w:r>
        <w:rPr>
          <w:sz w:val="26"/>
        </w:rPr>
        <w:t xml:space="preserve">  The Respondent states that, under the dual system of regulation, it is required to place rates on its meters imposed on it by the PPA, which are not contained in the Respondent’s tariff on file with the Commission.  For this reason, the Respondent believes that it is required to charge the public rates that have not been determined to be just and reasonable by the Commission.  </w:t>
      </w:r>
      <w:r w:rsidRPr="00846162">
        <w:rPr>
          <w:i/>
          <w:sz w:val="26"/>
        </w:rPr>
        <w:t>Id</w:t>
      </w:r>
      <w:r>
        <w:rPr>
          <w:sz w:val="26"/>
        </w:rPr>
        <w:t xml:space="preserve">. at 33.      </w:t>
      </w:r>
      <w:r w:rsidR="00A0564B">
        <w:rPr>
          <w:sz w:val="26"/>
        </w:rPr>
        <w:t xml:space="preserve">  </w:t>
      </w:r>
    </w:p>
    <w:p w:rsidR="00A0564B" w:rsidRDefault="00A0564B" w:rsidP="00A04FFC">
      <w:pPr>
        <w:spacing w:line="360" w:lineRule="auto"/>
        <w:ind w:firstLine="1440"/>
        <w:rPr>
          <w:sz w:val="26"/>
        </w:rPr>
      </w:pPr>
    </w:p>
    <w:p w:rsidR="00DC34E9" w:rsidRPr="00DC34E9" w:rsidRDefault="00DC34E9" w:rsidP="00DC34E9">
      <w:pPr>
        <w:spacing w:line="360" w:lineRule="auto"/>
        <w:rPr>
          <w:b/>
          <w:sz w:val="26"/>
          <w:szCs w:val="26"/>
        </w:rPr>
      </w:pPr>
      <w:r>
        <w:rPr>
          <w:b/>
          <w:sz w:val="26"/>
          <w:szCs w:val="26"/>
        </w:rPr>
        <w:t xml:space="preserve">Disposition </w:t>
      </w:r>
    </w:p>
    <w:p w:rsidR="00DC34E9" w:rsidRDefault="00DC34E9" w:rsidP="00A04FFC">
      <w:pPr>
        <w:spacing w:line="360" w:lineRule="auto"/>
        <w:ind w:firstLine="1440"/>
        <w:rPr>
          <w:sz w:val="26"/>
          <w:szCs w:val="26"/>
        </w:rPr>
      </w:pPr>
    </w:p>
    <w:p w:rsidR="000461FF" w:rsidRDefault="00B97131" w:rsidP="00A04FFC">
      <w:pPr>
        <w:spacing w:line="360" w:lineRule="auto"/>
        <w:ind w:firstLine="1440"/>
        <w:rPr>
          <w:sz w:val="26"/>
        </w:rPr>
      </w:pPr>
      <w:r>
        <w:rPr>
          <w:sz w:val="26"/>
          <w:szCs w:val="26"/>
        </w:rPr>
        <w:t>Based on our review of the Respondent’s Petition,</w:t>
      </w:r>
      <w:r w:rsidR="00CC0402">
        <w:rPr>
          <w:sz w:val="26"/>
          <w:szCs w:val="26"/>
        </w:rPr>
        <w:t xml:space="preserve"> we conclude that the Respondent raised only one new argument, in its first averment, based on our characterization</w:t>
      </w:r>
      <w:r w:rsidR="00615AF7">
        <w:rPr>
          <w:sz w:val="26"/>
          <w:szCs w:val="26"/>
        </w:rPr>
        <w:t xml:space="preserve"> in the </w:t>
      </w:r>
      <w:r w:rsidR="00615AF7" w:rsidRPr="00615AF7">
        <w:rPr>
          <w:i/>
          <w:sz w:val="26"/>
          <w:szCs w:val="26"/>
        </w:rPr>
        <w:t>February 2013 Order</w:t>
      </w:r>
      <w:r w:rsidR="00CC0402">
        <w:rPr>
          <w:sz w:val="26"/>
          <w:szCs w:val="26"/>
        </w:rPr>
        <w:t xml:space="preserve"> of the type of service that the Company </w:t>
      </w:r>
      <w:r w:rsidR="00CC0402">
        <w:rPr>
          <w:sz w:val="26"/>
          <w:szCs w:val="26"/>
        </w:rPr>
        <w:lastRenderedPageBreak/>
        <w:t xml:space="preserve">provides.  </w:t>
      </w:r>
      <w:r w:rsidR="00123BCB">
        <w:rPr>
          <w:sz w:val="26"/>
          <w:szCs w:val="26"/>
        </w:rPr>
        <w:t xml:space="preserve">The Respondent specifically objects to our </w:t>
      </w:r>
      <w:r w:rsidR="005656E1">
        <w:rPr>
          <w:sz w:val="26"/>
          <w:szCs w:val="26"/>
        </w:rPr>
        <w:t xml:space="preserve">statement that “[t]he record demonstrates that the Respondent holds authority from the PPA to provide service in Philadelphia on a non-citywide basis and separate authority from the Commission to provide service in areas outside of Philadelphia.”  </w:t>
      </w:r>
      <w:r w:rsidR="00370F92">
        <w:rPr>
          <w:sz w:val="26"/>
          <w:szCs w:val="26"/>
        </w:rPr>
        <w:t>Petition</w:t>
      </w:r>
      <w:r w:rsidR="005656E1">
        <w:rPr>
          <w:sz w:val="26"/>
          <w:szCs w:val="26"/>
        </w:rPr>
        <w:t xml:space="preserve"> at 2 (quoting</w:t>
      </w:r>
      <w:r w:rsidR="005656E1" w:rsidRPr="000A5227">
        <w:rPr>
          <w:i/>
          <w:sz w:val="26"/>
        </w:rPr>
        <w:t xml:space="preserve"> </w:t>
      </w:r>
      <w:r w:rsidR="005656E1" w:rsidRPr="00B51B94">
        <w:rPr>
          <w:i/>
          <w:sz w:val="26"/>
        </w:rPr>
        <w:t>February 2013 Order</w:t>
      </w:r>
      <w:r w:rsidR="005656E1">
        <w:rPr>
          <w:sz w:val="26"/>
        </w:rPr>
        <w:t xml:space="preserve"> at 9).</w:t>
      </w:r>
      <w:r w:rsidR="00FB1312">
        <w:rPr>
          <w:sz w:val="26"/>
        </w:rPr>
        <w:t xml:space="preserve">  </w:t>
      </w:r>
      <w:r w:rsidR="005E0947">
        <w:rPr>
          <w:sz w:val="26"/>
        </w:rPr>
        <w:t>The Respondent states that it has only one Certificate, which was issued by the Commission</w:t>
      </w:r>
      <w:r w:rsidR="000461FF">
        <w:rPr>
          <w:sz w:val="26"/>
        </w:rPr>
        <w:t>,</w:t>
      </w:r>
      <w:r w:rsidR="005E0947">
        <w:rPr>
          <w:sz w:val="26"/>
        </w:rPr>
        <w:t xml:space="preserve"> and authorizes t</w:t>
      </w:r>
      <w:r w:rsidR="000461FF">
        <w:rPr>
          <w:sz w:val="26"/>
        </w:rPr>
        <w:t>he Respondent</w:t>
      </w:r>
      <w:r w:rsidR="005E0947">
        <w:rPr>
          <w:sz w:val="26"/>
        </w:rPr>
        <w:t xml:space="preserve"> to provide call or demand service in a territory that includes part of Philadelphia and part of Montgomery County</w:t>
      </w:r>
      <w:r w:rsidR="002A7048">
        <w:rPr>
          <w:sz w:val="26"/>
        </w:rPr>
        <w:t xml:space="preserve">, and that it was </w:t>
      </w:r>
      <w:r w:rsidR="005E0947">
        <w:rPr>
          <w:sz w:val="26"/>
        </w:rPr>
        <w:t xml:space="preserve">clearly erroneous for the Commission to find that </w:t>
      </w:r>
      <w:r w:rsidR="000461FF">
        <w:rPr>
          <w:sz w:val="26"/>
        </w:rPr>
        <w:t>the Respondent</w:t>
      </w:r>
      <w:r w:rsidR="005E0947">
        <w:rPr>
          <w:sz w:val="26"/>
        </w:rPr>
        <w:t xml:space="preserve"> holds authority from the PPA</w:t>
      </w:r>
      <w:r w:rsidR="002A7048">
        <w:rPr>
          <w:sz w:val="26"/>
        </w:rPr>
        <w:t>.</w:t>
      </w:r>
    </w:p>
    <w:p w:rsidR="00615AF7" w:rsidRDefault="002A7048" w:rsidP="00A04FFC">
      <w:pPr>
        <w:spacing w:line="360" w:lineRule="auto"/>
        <w:ind w:firstLine="1440"/>
        <w:rPr>
          <w:sz w:val="26"/>
        </w:rPr>
      </w:pPr>
      <w:r>
        <w:rPr>
          <w:sz w:val="26"/>
        </w:rPr>
        <w:t xml:space="preserve"> </w:t>
      </w:r>
    </w:p>
    <w:p w:rsidR="006F73BE" w:rsidRDefault="00501917" w:rsidP="00A04FFC">
      <w:pPr>
        <w:spacing w:line="360" w:lineRule="auto"/>
        <w:ind w:firstLine="1440"/>
        <w:rPr>
          <w:sz w:val="26"/>
        </w:rPr>
      </w:pPr>
      <w:r>
        <w:rPr>
          <w:sz w:val="26"/>
        </w:rPr>
        <w:t>The Commission’s records and the record in this proceeding reflect that the Respondent was issued a Certificate by the Commission on September 5, 1996, at Docket No. A-00110733, for call or demand authority.</w:t>
      </w:r>
      <w:r w:rsidR="002A7048">
        <w:rPr>
          <w:sz w:val="26"/>
        </w:rPr>
        <w:t xml:space="preserve">  The Respondent has authority from the Commission to operate in Montgomery County, </w:t>
      </w:r>
      <w:r w:rsidR="00437292">
        <w:rPr>
          <w:sz w:val="26"/>
        </w:rPr>
        <w:t xml:space="preserve">including </w:t>
      </w:r>
      <w:r w:rsidR="002A7048">
        <w:rPr>
          <w:sz w:val="26"/>
        </w:rPr>
        <w:t xml:space="preserve">Norristown, Conshohocken, Plymouth Meeting, </w:t>
      </w:r>
      <w:r w:rsidR="00437292">
        <w:rPr>
          <w:sz w:val="26"/>
        </w:rPr>
        <w:t xml:space="preserve">and </w:t>
      </w:r>
      <w:r w:rsidR="002A7048">
        <w:rPr>
          <w:sz w:val="26"/>
        </w:rPr>
        <w:t>parts of Blue Bell, and a portion of Philadelphia in the northwest section of the City that includes Germantown, Chestnut Hill, and Roxborough.  Tr. at 149, 150.</w:t>
      </w:r>
      <w:r w:rsidR="008D005B">
        <w:rPr>
          <w:sz w:val="26"/>
        </w:rPr>
        <w:t xml:space="preserve">  The Company is considered a partial-rights taxicab company because it is authorized to provide taxicab service within a limited territory in Philadelphia.  </w:t>
      </w:r>
      <w:r w:rsidR="008D005B" w:rsidRPr="007E45B6">
        <w:rPr>
          <w:i/>
          <w:sz w:val="26"/>
        </w:rPr>
        <w:t>See</w:t>
      </w:r>
      <w:r w:rsidR="007E45B6">
        <w:rPr>
          <w:sz w:val="26"/>
        </w:rPr>
        <w:t>,</w:t>
      </w:r>
      <w:r w:rsidR="00780C4A">
        <w:rPr>
          <w:sz w:val="26"/>
        </w:rPr>
        <w:t xml:space="preserve"> 52 </w:t>
      </w:r>
      <w:r w:rsidR="008D005B">
        <w:rPr>
          <w:sz w:val="26"/>
        </w:rPr>
        <w:t xml:space="preserve">Pa. Code § 1011.2; </w:t>
      </w:r>
      <w:r w:rsidR="008D005B" w:rsidRPr="007E45B6">
        <w:rPr>
          <w:i/>
          <w:sz w:val="26"/>
        </w:rPr>
        <w:t>Germantown Cab Co. v. Philadelphia Parking Authority</w:t>
      </w:r>
      <w:r w:rsidR="008D005B">
        <w:rPr>
          <w:sz w:val="26"/>
        </w:rPr>
        <w:t>, 2013 Pa. Commw. Unpub. Lexis 79, *1.</w:t>
      </w:r>
      <w:r w:rsidR="001C3897">
        <w:rPr>
          <w:sz w:val="26"/>
        </w:rPr>
        <w:t xml:space="preserve">  </w:t>
      </w:r>
      <w:r w:rsidR="00A64996">
        <w:rPr>
          <w:sz w:val="26"/>
        </w:rPr>
        <w:t>While th</w:t>
      </w:r>
      <w:r w:rsidR="00E81388">
        <w:rPr>
          <w:sz w:val="26"/>
        </w:rPr>
        <w:t>e</w:t>
      </w:r>
      <w:r w:rsidR="00A64996">
        <w:rPr>
          <w:sz w:val="26"/>
        </w:rPr>
        <w:t>s</w:t>
      </w:r>
      <w:r w:rsidR="00E81388">
        <w:rPr>
          <w:sz w:val="26"/>
        </w:rPr>
        <w:t>e</w:t>
      </w:r>
      <w:r w:rsidR="00A64996">
        <w:rPr>
          <w:sz w:val="26"/>
        </w:rPr>
        <w:t xml:space="preserve"> s</w:t>
      </w:r>
      <w:r w:rsidR="00E81388">
        <w:rPr>
          <w:sz w:val="26"/>
        </w:rPr>
        <w:t>tatements</w:t>
      </w:r>
      <w:r w:rsidR="00A64996">
        <w:rPr>
          <w:sz w:val="26"/>
        </w:rPr>
        <w:t xml:space="preserve"> do not change </w:t>
      </w:r>
      <w:r w:rsidR="00615AF7">
        <w:rPr>
          <w:sz w:val="26"/>
        </w:rPr>
        <w:t>our determinations</w:t>
      </w:r>
      <w:r w:rsidR="00A64996">
        <w:rPr>
          <w:sz w:val="26"/>
        </w:rPr>
        <w:t xml:space="preserve"> in the </w:t>
      </w:r>
      <w:r w:rsidR="00C0692B" w:rsidRPr="00C0692B">
        <w:rPr>
          <w:i/>
          <w:sz w:val="26"/>
        </w:rPr>
        <w:t>February 2013 Order</w:t>
      </w:r>
      <w:r w:rsidR="00C0692B">
        <w:rPr>
          <w:sz w:val="26"/>
        </w:rPr>
        <w:t xml:space="preserve">, we will modify the language in the </w:t>
      </w:r>
      <w:r w:rsidR="00615AF7" w:rsidRPr="00C0692B">
        <w:rPr>
          <w:i/>
          <w:sz w:val="26"/>
        </w:rPr>
        <w:t>February 2013 Order</w:t>
      </w:r>
      <w:r w:rsidR="00C0692B">
        <w:rPr>
          <w:sz w:val="26"/>
        </w:rPr>
        <w:t xml:space="preserve"> to the extent that we did not fully or accurately describe the Company’s operating authority.  Therefore, the Respondent’s Petition will be granted for the limited purpose of </w:t>
      </w:r>
      <w:r w:rsidR="00615AF7">
        <w:rPr>
          <w:sz w:val="26"/>
        </w:rPr>
        <w:t xml:space="preserve">modifying the </w:t>
      </w:r>
      <w:r w:rsidR="00615AF7" w:rsidRPr="00C0692B">
        <w:rPr>
          <w:i/>
          <w:sz w:val="26"/>
        </w:rPr>
        <w:t>February 2013 Order</w:t>
      </w:r>
      <w:r w:rsidR="00615AF7">
        <w:rPr>
          <w:sz w:val="26"/>
        </w:rPr>
        <w:t xml:space="preserve"> to </w:t>
      </w:r>
      <w:r w:rsidR="00C0692B">
        <w:rPr>
          <w:sz w:val="26"/>
        </w:rPr>
        <w:t>describ</w:t>
      </w:r>
      <w:r w:rsidR="00615AF7">
        <w:rPr>
          <w:sz w:val="26"/>
        </w:rPr>
        <w:t>e</w:t>
      </w:r>
      <w:r w:rsidR="00C0692B">
        <w:rPr>
          <w:sz w:val="26"/>
        </w:rPr>
        <w:t xml:space="preserve"> the Company’s operating authority as set forth, above, in this Opinion and Order.  </w:t>
      </w:r>
    </w:p>
    <w:p w:rsidR="006F73BE" w:rsidRDefault="006F73BE" w:rsidP="00A04FFC">
      <w:pPr>
        <w:spacing w:line="360" w:lineRule="auto"/>
        <w:ind w:firstLine="1440"/>
        <w:rPr>
          <w:sz w:val="26"/>
        </w:rPr>
      </w:pPr>
    </w:p>
    <w:p w:rsidR="000A3F31" w:rsidRDefault="004671AE" w:rsidP="00A04FFC">
      <w:pPr>
        <w:spacing w:line="360" w:lineRule="auto"/>
        <w:ind w:firstLine="1440"/>
        <w:rPr>
          <w:color w:val="000000"/>
          <w:spacing w:val="-3"/>
          <w:sz w:val="26"/>
          <w:szCs w:val="26"/>
          <w:u w:color="000000"/>
        </w:rPr>
      </w:pPr>
      <w:r>
        <w:rPr>
          <w:sz w:val="26"/>
          <w:szCs w:val="26"/>
        </w:rPr>
        <w:t xml:space="preserve">The Respondent’s remaining arguments pertain to jurisdictional issues and the Commission’s conclusion that it does not have exclusive jurisdiction to regulate the Respondent’s operations, but, rather, that the Commission shares jurisdiction with the </w:t>
      </w:r>
      <w:r>
        <w:rPr>
          <w:sz w:val="26"/>
          <w:szCs w:val="26"/>
        </w:rPr>
        <w:lastRenderedPageBreak/>
        <w:t>PPA.</w:t>
      </w:r>
      <w:r>
        <w:rPr>
          <w:sz w:val="26"/>
        </w:rPr>
        <w:t xml:space="preserve">  </w:t>
      </w:r>
      <w:r w:rsidR="003C473F">
        <w:rPr>
          <w:sz w:val="26"/>
        </w:rPr>
        <w:t xml:space="preserve">With respect to the Respondent’s </w:t>
      </w:r>
      <w:r>
        <w:rPr>
          <w:sz w:val="26"/>
        </w:rPr>
        <w:t xml:space="preserve">jurisdictional </w:t>
      </w:r>
      <w:r w:rsidR="003C473F">
        <w:rPr>
          <w:sz w:val="26"/>
        </w:rPr>
        <w:t>arguments, we find that the Respondent has not satisfied th</w:t>
      </w:r>
      <w:r w:rsidR="008D5059">
        <w:rPr>
          <w:sz w:val="26"/>
        </w:rPr>
        <w:t>e</w:t>
      </w:r>
      <w:r w:rsidR="003C473F">
        <w:rPr>
          <w:sz w:val="26"/>
        </w:rPr>
        <w:t xml:space="preserve"> standards for reconsideration set forth in </w:t>
      </w:r>
      <w:r w:rsidR="003C473F" w:rsidRPr="003C473F">
        <w:rPr>
          <w:i/>
          <w:sz w:val="26"/>
        </w:rPr>
        <w:t>Duick</w:t>
      </w:r>
      <w:r w:rsidR="003C473F">
        <w:rPr>
          <w:sz w:val="26"/>
        </w:rPr>
        <w:t xml:space="preserve">, </w:t>
      </w:r>
      <w:r w:rsidR="003C473F" w:rsidRPr="003C473F">
        <w:rPr>
          <w:i/>
          <w:sz w:val="26"/>
        </w:rPr>
        <w:t>supra</w:t>
      </w:r>
      <w:r w:rsidR="003C473F">
        <w:rPr>
          <w:sz w:val="26"/>
        </w:rPr>
        <w:t>, as the Respondent has not</w:t>
      </w:r>
      <w:r w:rsidR="00CF3DBA">
        <w:rPr>
          <w:sz w:val="26"/>
        </w:rPr>
        <w:t xml:space="preserve"> raised any</w:t>
      </w:r>
      <w:r w:rsidR="003C473F">
        <w:rPr>
          <w:sz w:val="26"/>
        </w:rPr>
        <w:t xml:space="preserve"> </w:t>
      </w:r>
      <w:r w:rsidR="00CF3DBA" w:rsidRPr="00603FA5">
        <w:rPr>
          <w:color w:val="000000"/>
          <w:spacing w:val="-3"/>
          <w:sz w:val="26"/>
          <w:szCs w:val="26"/>
          <w:u w:color="000000"/>
        </w:rPr>
        <w:t>“new and novel arguments” not previously heard or considerations which appear to have been overlooked or not addressed by the Commission</w:t>
      </w:r>
      <w:r w:rsidR="00CF3DBA">
        <w:rPr>
          <w:color w:val="000000"/>
          <w:spacing w:val="-3"/>
          <w:sz w:val="26"/>
          <w:szCs w:val="26"/>
          <w:u w:color="000000"/>
        </w:rPr>
        <w:t>.  The Respondent</w:t>
      </w:r>
      <w:r w:rsidR="002951C3">
        <w:rPr>
          <w:color w:val="000000"/>
          <w:spacing w:val="-3"/>
          <w:sz w:val="26"/>
          <w:szCs w:val="26"/>
          <w:u w:color="000000"/>
        </w:rPr>
        <w:t xml:space="preserve"> raise</w:t>
      </w:r>
      <w:r w:rsidR="00E7536D">
        <w:rPr>
          <w:color w:val="000000"/>
          <w:spacing w:val="-3"/>
          <w:sz w:val="26"/>
          <w:szCs w:val="26"/>
          <w:u w:color="000000"/>
        </w:rPr>
        <w:t>s</w:t>
      </w:r>
      <w:r w:rsidR="002951C3">
        <w:rPr>
          <w:color w:val="000000"/>
          <w:spacing w:val="-3"/>
          <w:sz w:val="26"/>
          <w:szCs w:val="26"/>
          <w:u w:color="000000"/>
        </w:rPr>
        <w:t xml:space="preserve"> the same arguments in its Petition that it </w:t>
      </w:r>
      <w:r w:rsidR="009A3ACE">
        <w:rPr>
          <w:color w:val="000000"/>
          <w:spacing w:val="-3"/>
          <w:sz w:val="26"/>
          <w:szCs w:val="26"/>
          <w:u w:color="000000"/>
        </w:rPr>
        <w:t xml:space="preserve">previously </w:t>
      </w:r>
      <w:r w:rsidR="002951C3">
        <w:rPr>
          <w:color w:val="000000"/>
          <w:spacing w:val="-3"/>
          <w:sz w:val="26"/>
          <w:szCs w:val="26"/>
          <w:u w:color="000000"/>
        </w:rPr>
        <w:t xml:space="preserve">raised </w:t>
      </w:r>
      <w:r w:rsidR="00CF3DBA">
        <w:rPr>
          <w:color w:val="000000"/>
          <w:spacing w:val="-3"/>
          <w:sz w:val="26"/>
          <w:szCs w:val="26"/>
          <w:u w:color="000000"/>
        </w:rPr>
        <w:t>in its Exceptions, its Motion for Declaratory Order, and/or its Brief in Support of Motion for Declaratory Order.</w:t>
      </w:r>
      <w:r w:rsidR="00565F24">
        <w:rPr>
          <w:rStyle w:val="FootnoteReference"/>
          <w:color w:val="000000"/>
          <w:spacing w:val="-3"/>
          <w:u w:color="000000"/>
        </w:rPr>
        <w:footnoteReference w:id="6"/>
      </w:r>
      <w:r w:rsidR="00CF3DBA">
        <w:rPr>
          <w:color w:val="000000"/>
          <w:spacing w:val="-3"/>
          <w:sz w:val="26"/>
          <w:szCs w:val="26"/>
          <w:u w:color="000000"/>
        </w:rPr>
        <w:t xml:space="preserve">  We have already addressed </w:t>
      </w:r>
      <w:r w:rsidR="00E7536D">
        <w:rPr>
          <w:color w:val="000000"/>
          <w:spacing w:val="-3"/>
          <w:sz w:val="26"/>
          <w:szCs w:val="26"/>
          <w:u w:color="000000"/>
        </w:rPr>
        <w:t xml:space="preserve">and made a determination on the arguments that the Respondent set forth in its Exceptions, its Motion for Declaratory Order, and/or its Brief in Support of Motion for Declaratory Order </w:t>
      </w:r>
      <w:r w:rsidR="00CF3DBA">
        <w:rPr>
          <w:color w:val="000000"/>
          <w:spacing w:val="-3"/>
          <w:sz w:val="26"/>
          <w:szCs w:val="26"/>
          <w:u w:color="000000"/>
        </w:rPr>
        <w:t>in the</w:t>
      </w:r>
      <w:r>
        <w:rPr>
          <w:color w:val="000000"/>
          <w:spacing w:val="-3"/>
          <w:sz w:val="26"/>
          <w:szCs w:val="26"/>
          <w:u w:color="000000"/>
        </w:rPr>
        <w:t xml:space="preserve"> </w:t>
      </w:r>
      <w:r w:rsidRPr="004671AE">
        <w:rPr>
          <w:i/>
          <w:color w:val="000000"/>
          <w:spacing w:val="-3"/>
          <w:sz w:val="26"/>
          <w:szCs w:val="26"/>
          <w:u w:color="000000"/>
        </w:rPr>
        <w:t>February 2013 Order</w:t>
      </w:r>
      <w:r>
        <w:rPr>
          <w:color w:val="000000"/>
          <w:spacing w:val="-3"/>
          <w:sz w:val="26"/>
          <w:szCs w:val="26"/>
          <w:u w:color="000000"/>
        </w:rPr>
        <w:t>.</w:t>
      </w:r>
      <w:r w:rsidR="002951C3">
        <w:rPr>
          <w:color w:val="000000"/>
          <w:spacing w:val="-3"/>
          <w:sz w:val="26"/>
          <w:szCs w:val="26"/>
          <w:u w:color="000000"/>
        </w:rPr>
        <w:t xml:space="preserve">  </w:t>
      </w:r>
      <w:r w:rsidR="000A3F31">
        <w:rPr>
          <w:color w:val="000000"/>
          <w:spacing w:val="-3"/>
          <w:sz w:val="26"/>
          <w:szCs w:val="26"/>
          <w:u w:color="000000"/>
        </w:rPr>
        <w:t xml:space="preserve">  </w:t>
      </w:r>
    </w:p>
    <w:p w:rsidR="000A3F31" w:rsidRDefault="000A3F31" w:rsidP="00A04FFC">
      <w:pPr>
        <w:spacing w:line="360" w:lineRule="auto"/>
        <w:ind w:firstLine="1440"/>
        <w:rPr>
          <w:color w:val="000000"/>
          <w:spacing w:val="-3"/>
          <w:sz w:val="26"/>
          <w:szCs w:val="26"/>
          <w:u w:color="000000"/>
        </w:rPr>
      </w:pPr>
    </w:p>
    <w:p w:rsidR="00A505ED" w:rsidRDefault="00E7536D" w:rsidP="004F39A2">
      <w:pPr>
        <w:spacing w:line="360" w:lineRule="auto"/>
        <w:ind w:firstLine="1440"/>
        <w:rPr>
          <w:sz w:val="26"/>
          <w:szCs w:val="18"/>
        </w:rPr>
      </w:pPr>
      <w:r>
        <w:rPr>
          <w:color w:val="000000"/>
          <w:spacing w:val="-3"/>
          <w:sz w:val="26"/>
          <w:szCs w:val="26"/>
          <w:u w:color="000000"/>
        </w:rPr>
        <w:t>Moreover,</w:t>
      </w:r>
      <w:r w:rsidR="00F652B5">
        <w:rPr>
          <w:color w:val="000000"/>
          <w:spacing w:val="-3"/>
          <w:sz w:val="26"/>
          <w:szCs w:val="26"/>
          <w:u w:color="000000"/>
        </w:rPr>
        <w:t xml:space="preserve"> the Commonwealth Court recently </w:t>
      </w:r>
      <w:r w:rsidR="0079085D">
        <w:rPr>
          <w:color w:val="000000"/>
          <w:spacing w:val="-3"/>
          <w:sz w:val="26"/>
          <w:szCs w:val="26"/>
          <w:u w:color="000000"/>
        </w:rPr>
        <w:t>issued a decision</w:t>
      </w:r>
      <w:r w:rsidR="003665E4">
        <w:rPr>
          <w:color w:val="000000"/>
          <w:spacing w:val="-3"/>
          <w:sz w:val="26"/>
          <w:szCs w:val="26"/>
          <w:u w:color="000000"/>
        </w:rPr>
        <w:t xml:space="preserve"> that supports our prior determination that we d</w:t>
      </w:r>
      <w:r w:rsidR="0000464C">
        <w:rPr>
          <w:color w:val="000000"/>
          <w:spacing w:val="-3"/>
          <w:sz w:val="26"/>
          <w:szCs w:val="26"/>
          <w:u w:color="000000"/>
        </w:rPr>
        <w:t>o</w:t>
      </w:r>
      <w:r w:rsidR="003665E4">
        <w:rPr>
          <w:color w:val="000000"/>
          <w:spacing w:val="-3"/>
          <w:sz w:val="26"/>
          <w:szCs w:val="26"/>
          <w:u w:color="000000"/>
        </w:rPr>
        <w:t xml:space="preserve"> not have exclusive jurisdiction over the Respondent’s operations, </w:t>
      </w:r>
      <w:r w:rsidR="007251BB">
        <w:rPr>
          <w:color w:val="000000"/>
          <w:spacing w:val="-3"/>
          <w:sz w:val="26"/>
          <w:szCs w:val="26"/>
          <w:u w:color="000000"/>
        </w:rPr>
        <w:t>but, rather,</w:t>
      </w:r>
      <w:r w:rsidR="003665E4">
        <w:rPr>
          <w:color w:val="000000"/>
          <w:spacing w:val="-3"/>
          <w:sz w:val="26"/>
          <w:szCs w:val="26"/>
          <w:u w:color="000000"/>
        </w:rPr>
        <w:t xml:space="preserve"> </w:t>
      </w:r>
      <w:r w:rsidR="0075490F">
        <w:rPr>
          <w:color w:val="000000"/>
          <w:spacing w:val="-3"/>
          <w:sz w:val="26"/>
          <w:szCs w:val="26"/>
          <w:u w:color="000000"/>
        </w:rPr>
        <w:t xml:space="preserve">that the PPA has jurisdiction over the Respondent’s operations within the </w:t>
      </w:r>
      <w:r w:rsidR="006E2F4F">
        <w:rPr>
          <w:color w:val="000000"/>
          <w:spacing w:val="-3"/>
          <w:sz w:val="26"/>
          <w:szCs w:val="26"/>
          <w:u w:color="000000"/>
        </w:rPr>
        <w:t>City of Philadelphia.</w:t>
      </w:r>
      <w:r w:rsidR="00C048A4">
        <w:rPr>
          <w:color w:val="000000"/>
          <w:spacing w:val="-3"/>
          <w:sz w:val="26"/>
          <w:szCs w:val="26"/>
          <w:u w:color="000000"/>
        </w:rPr>
        <w:t xml:space="preserve">  </w:t>
      </w:r>
      <w:r w:rsidR="00C048A4" w:rsidRPr="00C048A4">
        <w:rPr>
          <w:i/>
          <w:color w:val="000000"/>
          <w:spacing w:val="-3"/>
          <w:sz w:val="26"/>
          <w:szCs w:val="26"/>
          <w:u w:color="000000"/>
        </w:rPr>
        <w:t>See</w:t>
      </w:r>
      <w:r w:rsidR="00C048A4">
        <w:rPr>
          <w:color w:val="000000"/>
          <w:spacing w:val="-3"/>
          <w:sz w:val="26"/>
          <w:szCs w:val="26"/>
          <w:u w:color="000000"/>
        </w:rPr>
        <w:t>,</w:t>
      </w:r>
      <w:r w:rsidR="0079085D">
        <w:rPr>
          <w:color w:val="000000"/>
          <w:spacing w:val="-3"/>
          <w:sz w:val="26"/>
          <w:szCs w:val="26"/>
          <w:u w:color="000000"/>
        </w:rPr>
        <w:t xml:space="preserve"> </w:t>
      </w:r>
      <w:r w:rsidR="0079085D" w:rsidRPr="00D62C0E">
        <w:rPr>
          <w:i/>
          <w:color w:val="000000"/>
          <w:spacing w:val="-3"/>
          <w:sz w:val="26"/>
          <w:szCs w:val="26"/>
          <w:u w:color="000000"/>
        </w:rPr>
        <w:t xml:space="preserve">Bucks County Services, </w:t>
      </w:r>
      <w:r w:rsidR="0079085D" w:rsidRPr="00510005">
        <w:rPr>
          <w:i/>
          <w:color w:val="000000"/>
          <w:spacing w:val="-3"/>
          <w:sz w:val="26"/>
          <w:szCs w:val="26"/>
          <w:u w:color="000000"/>
        </w:rPr>
        <w:t>Inc</w:t>
      </w:r>
      <w:r w:rsidR="0079085D" w:rsidRPr="002177B3">
        <w:rPr>
          <w:i/>
          <w:color w:val="000000"/>
          <w:spacing w:val="-3"/>
          <w:sz w:val="26"/>
          <w:szCs w:val="26"/>
          <w:u w:color="000000"/>
        </w:rPr>
        <w:t>.</w:t>
      </w:r>
      <w:r w:rsidR="00510005" w:rsidRPr="002177B3">
        <w:rPr>
          <w:i/>
          <w:color w:val="000000"/>
          <w:spacing w:val="-3"/>
          <w:sz w:val="26"/>
          <w:szCs w:val="26"/>
          <w:u w:color="000000"/>
        </w:rPr>
        <w:t xml:space="preserve"> v. Philadelphia Parking Authority</w:t>
      </w:r>
      <w:r w:rsidR="0079085D" w:rsidRPr="002177B3">
        <w:rPr>
          <w:i/>
          <w:color w:val="000000"/>
          <w:spacing w:val="-3"/>
          <w:sz w:val="26"/>
          <w:szCs w:val="26"/>
          <w:u w:color="000000"/>
        </w:rPr>
        <w:t>,</w:t>
      </w:r>
      <w:r w:rsidR="0079085D">
        <w:rPr>
          <w:color w:val="000000"/>
          <w:spacing w:val="-3"/>
          <w:sz w:val="26"/>
          <w:szCs w:val="26"/>
          <w:u w:color="000000"/>
        </w:rPr>
        <w:t xml:space="preserve"> 2013 Pa. Commw. Lexis 201, *28-29</w:t>
      </w:r>
      <w:r w:rsidR="003961C6">
        <w:rPr>
          <w:color w:val="000000"/>
          <w:spacing w:val="-3"/>
          <w:sz w:val="26"/>
          <w:szCs w:val="26"/>
          <w:u w:color="000000"/>
        </w:rPr>
        <w:t xml:space="preserve"> (June 10, 2013)</w:t>
      </w:r>
      <w:r w:rsidR="0079085D">
        <w:rPr>
          <w:color w:val="000000"/>
          <w:spacing w:val="-3"/>
          <w:sz w:val="26"/>
          <w:szCs w:val="26"/>
          <w:u w:color="000000"/>
        </w:rPr>
        <w:t xml:space="preserve"> (citing</w:t>
      </w:r>
      <w:r w:rsidR="00C048A4">
        <w:rPr>
          <w:color w:val="000000"/>
          <w:spacing w:val="-3"/>
          <w:sz w:val="26"/>
          <w:szCs w:val="26"/>
          <w:u w:color="000000"/>
        </w:rPr>
        <w:t xml:space="preserve"> </w:t>
      </w:r>
      <w:r w:rsidR="00C048A4" w:rsidRPr="00C048A4">
        <w:rPr>
          <w:i/>
          <w:color w:val="000000"/>
          <w:spacing w:val="-3"/>
          <w:sz w:val="26"/>
          <w:szCs w:val="26"/>
          <w:u w:color="000000"/>
        </w:rPr>
        <w:t>Germantown Cab Co. v. Philadelphia Parking Authority</w:t>
      </w:r>
      <w:r w:rsidR="00C048A4">
        <w:rPr>
          <w:color w:val="000000"/>
          <w:spacing w:val="-3"/>
          <w:sz w:val="26"/>
          <w:szCs w:val="26"/>
          <w:u w:color="000000"/>
        </w:rPr>
        <w:t xml:space="preserve">, </w:t>
      </w:r>
      <w:r>
        <w:rPr>
          <w:i/>
          <w:color w:val="000000"/>
          <w:spacing w:val="-3"/>
          <w:sz w:val="26"/>
          <w:szCs w:val="26"/>
          <w:u w:color="000000"/>
        </w:rPr>
        <w:t>supra</w:t>
      </w:r>
      <w:r w:rsidR="0079085D">
        <w:rPr>
          <w:color w:val="000000"/>
          <w:spacing w:val="-3"/>
          <w:sz w:val="26"/>
          <w:szCs w:val="26"/>
          <w:u w:color="000000"/>
        </w:rPr>
        <w:t>).</w:t>
      </w:r>
      <w:r w:rsidR="00C048A4">
        <w:rPr>
          <w:color w:val="000000"/>
          <w:spacing w:val="-3"/>
          <w:sz w:val="26"/>
          <w:szCs w:val="26"/>
          <w:u w:color="000000"/>
        </w:rPr>
        <w:t xml:space="preserve"> </w:t>
      </w:r>
      <w:r w:rsidR="0079085D">
        <w:rPr>
          <w:color w:val="000000"/>
          <w:spacing w:val="-3"/>
          <w:sz w:val="26"/>
          <w:szCs w:val="26"/>
          <w:u w:color="000000"/>
        </w:rPr>
        <w:t xml:space="preserve"> </w:t>
      </w:r>
      <w:r w:rsidR="00C048A4">
        <w:rPr>
          <w:color w:val="000000"/>
          <w:spacing w:val="-3"/>
          <w:sz w:val="26"/>
          <w:szCs w:val="26"/>
          <w:u w:color="000000"/>
        </w:rPr>
        <w:t xml:space="preserve">In </w:t>
      </w:r>
      <w:r>
        <w:rPr>
          <w:color w:val="000000"/>
          <w:spacing w:val="-3"/>
          <w:sz w:val="26"/>
          <w:szCs w:val="26"/>
          <w:u w:color="000000"/>
        </w:rPr>
        <w:t xml:space="preserve">a Memorandum Opinion in </w:t>
      </w:r>
      <w:r w:rsidR="0079085D" w:rsidRPr="0079085D">
        <w:rPr>
          <w:i/>
          <w:color w:val="000000"/>
          <w:spacing w:val="-3"/>
          <w:sz w:val="26"/>
          <w:szCs w:val="26"/>
          <w:u w:color="000000"/>
        </w:rPr>
        <w:t>Germantown Cab Co</w:t>
      </w:r>
      <w:r w:rsidR="0079085D">
        <w:rPr>
          <w:color w:val="000000"/>
          <w:spacing w:val="-3"/>
          <w:sz w:val="26"/>
          <w:szCs w:val="26"/>
          <w:u w:color="000000"/>
        </w:rPr>
        <w:t xml:space="preserve">., </w:t>
      </w:r>
      <w:r w:rsidR="00C048A4">
        <w:rPr>
          <w:color w:val="000000"/>
          <w:spacing w:val="-3"/>
          <w:sz w:val="26"/>
          <w:szCs w:val="26"/>
          <w:u w:color="000000"/>
        </w:rPr>
        <w:t xml:space="preserve">Judge Leadbetter rejected the Respondent’s argument that the PPA lacked </w:t>
      </w:r>
      <w:r w:rsidR="0079085D">
        <w:rPr>
          <w:color w:val="000000"/>
          <w:spacing w:val="-3"/>
          <w:sz w:val="26"/>
          <w:szCs w:val="26"/>
          <w:u w:color="000000"/>
        </w:rPr>
        <w:t>jurisdiction</w:t>
      </w:r>
      <w:r w:rsidR="00C048A4">
        <w:rPr>
          <w:color w:val="000000"/>
          <w:spacing w:val="-3"/>
          <w:sz w:val="26"/>
          <w:szCs w:val="26"/>
          <w:u w:color="000000"/>
        </w:rPr>
        <w:t xml:space="preserve"> over partial-rights </w:t>
      </w:r>
      <w:r w:rsidR="00FF7918">
        <w:rPr>
          <w:color w:val="000000"/>
          <w:spacing w:val="-3"/>
          <w:sz w:val="26"/>
          <w:szCs w:val="26"/>
          <w:u w:color="000000"/>
        </w:rPr>
        <w:t>taxicabs under Section 5714(d)(2) .</w:t>
      </w:r>
      <w:r w:rsidR="00D62C0E">
        <w:rPr>
          <w:rStyle w:val="FootnoteReference"/>
          <w:color w:val="000000"/>
          <w:spacing w:val="-3"/>
          <w:u w:color="000000"/>
        </w:rPr>
        <w:footnoteReference w:id="7"/>
      </w:r>
      <w:r w:rsidR="00601AE3">
        <w:rPr>
          <w:color w:val="000000"/>
          <w:spacing w:val="-3"/>
          <w:sz w:val="26"/>
          <w:szCs w:val="26"/>
          <w:u w:color="000000"/>
        </w:rPr>
        <w:t xml:space="preserve">  In reaching this decision, the Judge stated that the language in the statute was free from ambiguity, and any further deliberation into its meaning was unwarranted.</w:t>
      </w:r>
      <w:r w:rsidR="00D01033">
        <w:rPr>
          <w:color w:val="000000"/>
          <w:spacing w:val="-3"/>
          <w:sz w:val="26"/>
          <w:szCs w:val="26"/>
          <w:u w:color="000000"/>
        </w:rPr>
        <w:t xml:space="preserve"> </w:t>
      </w:r>
      <w:r w:rsidR="00601AE3">
        <w:rPr>
          <w:color w:val="000000"/>
          <w:spacing w:val="-3"/>
          <w:sz w:val="26"/>
          <w:szCs w:val="26"/>
          <w:u w:color="000000"/>
        </w:rPr>
        <w:t xml:space="preserve"> </w:t>
      </w:r>
      <w:r w:rsidR="00D01033" w:rsidRPr="00601AE3">
        <w:rPr>
          <w:i/>
          <w:color w:val="000000"/>
          <w:spacing w:val="-3"/>
          <w:sz w:val="26"/>
          <w:szCs w:val="26"/>
          <w:u w:color="000000"/>
        </w:rPr>
        <w:t>Id</w:t>
      </w:r>
      <w:r w:rsidR="00D01033">
        <w:rPr>
          <w:color w:val="000000"/>
          <w:spacing w:val="-3"/>
          <w:sz w:val="26"/>
          <w:szCs w:val="26"/>
          <w:u w:color="000000"/>
        </w:rPr>
        <w:t xml:space="preserve">. at *4.  </w:t>
      </w:r>
      <w:r w:rsidR="00601AE3">
        <w:rPr>
          <w:color w:val="000000"/>
          <w:spacing w:val="-3"/>
          <w:sz w:val="26"/>
          <w:szCs w:val="26"/>
          <w:u w:color="000000"/>
        </w:rPr>
        <w:t xml:space="preserve">The Judge additionally noted that the Pennsylvania Supreme Court has stated that, in 2004, the Legislature transferred a portion of the responsibility to regulate regional taxicab services from the Commission to the PPA pursuant to the Parking Authorities Law.  </w:t>
      </w:r>
      <w:r w:rsidR="00601AE3" w:rsidRPr="00601AE3">
        <w:rPr>
          <w:i/>
          <w:color w:val="000000"/>
          <w:spacing w:val="-3"/>
          <w:sz w:val="26"/>
          <w:szCs w:val="26"/>
          <w:u w:color="000000"/>
        </w:rPr>
        <w:t>Id</w:t>
      </w:r>
      <w:r w:rsidR="00601AE3">
        <w:rPr>
          <w:color w:val="000000"/>
          <w:spacing w:val="-3"/>
          <w:sz w:val="26"/>
          <w:szCs w:val="26"/>
          <w:u w:color="000000"/>
        </w:rPr>
        <w:t>. at *4</w:t>
      </w:r>
      <w:r w:rsidR="00D01033">
        <w:rPr>
          <w:color w:val="000000"/>
          <w:spacing w:val="-3"/>
          <w:sz w:val="26"/>
          <w:szCs w:val="26"/>
          <w:u w:color="000000"/>
        </w:rPr>
        <w:t xml:space="preserve"> (citing </w:t>
      </w:r>
      <w:r w:rsidR="00D01033" w:rsidRPr="00E7536D">
        <w:rPr>
          <w:i/>
          <w:color w:val="000000"/>
          <w:spacing w:val="-3"/>
          <w:sz w:val="26"/>
          <w:szCs w:val="26"/>
          <w:u w:color="000000"/>
        </w:rPr>
        <w:t>Germantown Cab Co. v. Philadelphia Parking Authority</w:t>
      </w:r>
      <w:r w:rsidR="00D01033">
        <w:rPr>
          <w:color w:val="000000"/>
          <w:spacing w:val="-3"/>
          <w:sz w:val="26"/>
          <w:szCs w:val="26"/>
          <w:u w:color="000000"/>
        </w:rPr>
        <w:t xml:space="preserve">, 614 Pa. 133, 136, 36 A.3d 105, </w:t>
      </w:r>
      <w:r w:rsidR="00D01033">
        <w:rPr>
          <w:color w:val="000000"/>
          <w:spacing w:val="-3"/>
          <w:sz w:val="26"/>
          <w:szCs w:val="26"/>
          <w:u w:color="000000"/>
        </w:rPr>
        <w:lastRenderedPageBreak/>
        <w:t xml:space="preserve">107 (2012)).  </w:t>
      </w:r>
      <w:r w:rsidR="00446D3D">
        <w:rPr>
          <w:color w:val="000000"/>
          <w:spacing w:val="-3"/>
          <w:sz w:val="26"/>
          <w:szCs w:val="26"/>
          <w:u w:color="000000"/>
        </w:rPr>
        <w:t xml:space="preserve">For these reasons, we shall deny the </w:t>
      </w:r>
      <w:r>
        <w:rPr>
          <w:color w:val="000000"/>
          <w:spacing w:val="-3"/>
          <w:sz w:val="26"/>
          <w:szCs w:val="26"/>
          <w:u w:color="000000"/>
        </w:rPr>
        <w:t xml:space="preserve">arguments in the </w:t>
      </w:r>
      <w:r w:rsidR="00446D3D">
        <w:rPr>
          <w:color w:val="000000"/>
          <w:spacing w:val="-3"/>
          <w:sz w:val="26"/>
          <w:szCs w:val="26"/>
          <w:u w:color="000000"/>
        </w:rPr>
        <w:t xml:space="preserve">Respondent’s </w:t>
      </w:r>
      <w:r>
        <w:rPr>
          <w:color w:val="000000"/>
          <w:spacing w:val="-3"/>
          <w:sz w:val="26"/>
          <w:szCs w:val="26"/>
          <w:u w:color="000000"/>
        </w:rPr>
        <w:t>Petition</w:t>
      </w:r>
      <w:r w:rsidR="00446D3D">
        <w:rPr>
          <w:color w:val="000000"/>
          <w:spacing w:val="-3"/>
          <w:sz w:val="26"/>
          <w:szCs w:val="26"/>
          <w:u w:color="000000"/>
        </w:rPr>
        <w:t xml:space="preserve"> relating to our jurisdictional determinations in the </w:t>
      </w:r>
      <w:r w:rsidR="00446D3D" w:rsidRPr="004671AE">
        <w:rPr>
          <w:i/>
          <w:color w:val="000000"/>
          <w:spacing w:val="-3"/>
          <w:sz w:val="26"/>
          <w:szCs w:val="26"/>
          <w:u w:color="000000"/>
        </w:rPr>
        <w:t>February 2013 Order</w:t>
      </w:r>
      <w:r w:rsidR="00446D3D">
        <w:rPr>
          <w:color w:val="000000"/>
          <w:spacing w:val="-3"/>
          <w:sz w:val="26"/>
          <w:szCs w:val="26"/>
          <w:u w:color="000000"/>
        </w:rPr>
        <w:t>.</w:t>
      </w:r>
      <w:r w:rsidR="00C048A4">
        <w:rPr>
          <w:color w:val="000000"/>
          <w:spacing w:val="-3"/>
          <w:sz w:val="26"/>
          <w:szCs w:val="26"/>
          <w:u w:color="000000"/>
        </w:rPr>
        <w:t xml:space="preserve">   </w:t>
      </w:r>
      <w:r w:rsidR="0075490F">
        <w:rPr>
          <w:color w:val="000000"/>
          <w:spacing w:val="-3"/>
          <w:sz w:val="26"/>
          <w:szCs w:val="26"/>
          <w:u w:color="000000"/>
        </w:rPr>
        <w:t xml:space="preserve">   </w:t>
      </w:r>
      <w:r w:rsidR="003665E4">
        <w:rPr>
          <w:color w:val="000000"/>
          <w:spacing w:val="-3"/>
          <w:sz w:val="26"/>
          <w:szCs w:val="26"/>
          <w:u w:color="000000"/>
        </w:rPr>
        <w:t xml:space="preserve">  </w:t>
      </w:r>
      <w:r w:rsidR="000C7A7C">
        <w:rPr>
          <w:color w:val="000000"/>
          <w:spacing w:val="-3"/>
          <w:sz w:val="26"/>
          <w:szCs w:val="26"/>
          <w:u w:color="000000"/>
        </w:rPr>
        <w:t xml:space="preserve">  </w:t>
      </w:r>
    </w:p>
    <w:p w:rsidR="00132894" w:rsidRDefault="00A505ED" w:rsidP="006555FE">
      <w:pPr>
        <w:spacing w:line="360" w:lineRule="auto"/>
        <w:ind w:right="1440"/>
        <w:rPr>
          <w:sz w:val="26"/>
          <w:szCs w:val="26"/>
        </w:rPr>
      </w:pPr>
      <w:r>
        <w:rPr>
          <w:sz w:val="26"/>
          <w:szCs w:val="18"/>
        </w:rPr>
        <w:t xml:space="preserve">    </w:t>
      </w:r>
      <w:r w:rsidR="00CC0402">
        <w:rPr>
          <w:sz w:val="26"/>
          <w:szCs w:val="26"/>
        </w:rPr>
        <w:t xml:space="preserve"> </w:t>
      </w:r>
      <w:r w:rsidR="00B97131">
        <w:rPr>
          <w:sz w:val="26"/>
          <w:szCs w:val="26"/>
        </w:rPr>
        <w:t xml:space="preserve"> </w:t>
      </w:r>
    </w:p>
    <w:p w:rsidR="00956972" w:rsidRPr="00956972" w:rsidRDefault="006555FE" w:rsidP="006555FE">
      <w:pPr>
        <w:spacing w:line="360" w:lineRule="auto"/>
        <w:jc w:val="center"/>
        <w:rPr>
          <w:b/>
          <w:sz w:val="26"/>
          <w:szCs w:val="26"/>
        </w:rPr>
      </w:pPr>
      <w:r>
        <w:rPr>
          <w:b/>
          <w:sz w:val="26"/>
          <w:szCs w:val="26"/>
        </w:rPr>
        <w:t>C</w:t>
      </w:r>
      <w:r w:rsidR="00956972">
        <w:rPr>
          <w:b/>
          <w:sz w:val="26"/>
          <w:szCs w:val="26"/>
        </w:rPr>
        <w:t>onclusion</w:t>
      </w:r>
    </w:p>
    <w:p w:rsidR="006C56A5" w:rsidRDefault="006C56A5" w:rsidP="007E3501">
      <w:pPr>
        <w:spacing w:line="360" w:lineRule="auto"/>
        <w:rPr>
          <w:sz w:val="26"/>
          <w:szCs w:val="26"/>
        </w:rPr>
      </w:pPr>
    </w:p>
    <w:p w:rsidR="006555FE" w:rsidRPr="006555FE" w:rsidRDefault="006555FE" w:rsidP="006555FE">
      <w:pPr>
        <w:spacing w:line="360" w:lineRule="auto"/>
        <w:ind w:firstLine="1440"/>
        <w:rPr>
          <w:b/>
          <w:sz w:val="26"/>
          <w:szCs w:val="26"/>
        </w:rPr>
      </w:pPr>
      <w:r w:rsidRPr="006555FE">
        <w:rPr>
          <w:color w:val="000000"/>
          <w:sz w:val="26"/>
        </w:rPr>
        <w:t xml:space="preserve">Based on our review of the record, the Petition, and the </w:t>
      </w:r>
      <w:r>
        <w:rPr>
          <w:color w:val="000000"/>
          <w:sz w:val="26"/>
        </w:rPr>
        <w:t xml:space="preserve">applicable law, </w:t>
      </w:r>
      <w:r w:rsidRPr="006555FE">
        <w:rPr>
          <w:sz w:val="26"/>
          <w:szCs w:val="26"/>
        </w:rPr>
        <w:t xml:space="preserve">we shall </w:t>
      </w:r>
      <w:r>
        <w:rPr>
          <w:sz w:val="26"/>
          <w:szCs w:val="26"/>
        </w:rPr>
        <w:t xml:space="preserve">grant the </w:t>
      </w:r>
      <w:r w:rsidRPr="006555FE">
        <w:rPr>
          <w:sz w:val="26"/>
          <w:szCs w:val="26"/>
        </w:rPr>
        <w:t xml:space="preserve">Petition, </w:t>
      </w:r>
      <w:r>
        <w:rPr>
          <w:sz w:val="26"/>
          <w:szCs w:val="26"/>
        </w:rPr>
        <w:t xml:space="preserve">in part, and deny the Petition, in part, </w:t>
      </w:r>
      <w:r w:rsidRPr="006555FE">
        <w:rPr>
          <w:sz w:val="26"/>
          <w:szCs w:val="26"/>
        </w:rPr>
        <w:t xml:space="preserve">consistent with the discussion in this Opinion and Order; </w:t>
      </w:r>
      <w:r w:rsidRPr="006555FE">
        <w:rPr>
          <w:b/>
          <w:sz w:val="26"/>
          <w:szCs w:val="26"/>
        </w:rPr>
        <w:t>THEREFORE,</w:t>
      </w:r>
    </w:p>
    <w:p w:rsidR="00002751"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002751">
      <w:pPr>
        <w:spacing w:line="360" w:lineRule="auto"/>
        <w:ind w:left="720" w:firstLine="720"/>
        <w:rPr>
          <w:b/>
          <w:sz w:val="26"/>
          <w:szCs w:val="26"/>
        </w:rPr>
      </w:pPr>
      <w:r w:rsidRPr="000D6043">
        <w:rPr>
          <w:b/>
          <w:sz w:val="26"/>
          <w:szCs w:val="26"/>
        </w:rPr>
        <w:t>IT IS ORDERED:</w:t>
      </w:r>
    </w:p>
    <w:p w:rsidR="001A1AD3" w:rsidRDefault="001A1AD3" w:rsidP="001A1AD3">
      <w:pPr>
        <w:spacing w:line="360" w:lineRule="auto"/>
        <w:rPr>
          <w:sz w:val="26"/>
          <w:szCs w:val="26"/>
        </w:rPr>
      </w:pPr>
    </w:p>
    <w:p w:rsidR="001A1AD3" w:rsidRPr="00E028C2" w:rsidRDefault="00BD67BF" w:rsidP="00441BFA">
      <w:pPr>
        <w:pStyle w:val="ListParagraph"/>
        <w:numPr>
          <w:ilvl w:val="0"/>
          <w:numId w:val="4"/>
        </w:numPr>
        <w:spacing w:line="360" w:lineRule="auto"/>
        <w:ind w:left="0" w:firstLine="1440"/>
        <w:rPr>
          <w:sz w:val="26"/>
          <w:szCs w:val="26"/>
        </w:rPr>
      </w:pPr>
      <w:r>
        <w:rPr>
          <w:sz w:val="26"/>
          <w:szCs w:val="26"/>
        </w:rPr>
        <w:t>T</w:t>
      </w:r>
      <w:r w:rsidR="00FB37EA" w:rsidRPr="00E028C2">
        <w:rPr>
          <w:sz w:val="26"/>
          <w:szCs w:val="26"/>
        </w:rPr>
        <w:t xml:space="preserve">hat the </w:t>
      </w:r>
      <w:r w:rsidR="006555FE">
        <w:rPr>
          <w:sz w:val="26"/>
          <w:szCs w:val="26"/>
        </w:rPr>
        <w:t>Petition for Reconsideration</w:t>
      </w:r>
      <w:r w:rsidR="000C25F1">
        <w:rPr>
          <w:sz w:val="26"/>
          <w:szCs w:val="26"/>
        </w:rPr>
        <w:t xml:space="preserve">, </w:t>
      </w:r>
      <w:r w:rsidR="006555FE" w:rsidRPr="00027664">
        <w:rPr>
          <w:sz w:val="26"/>
        </w:rPr>
        <w:t>filed by</w:t>
      </w:r>
      <w:r w:rsidR="006555FE">
        <w:rPr>
          <w:sz w:val="26"/>
        </w:rPr>
        <w:t xml:space="preserve"> </w:t>
      </w:r>
      <w:r w:rsidR="006555FE">
        <w:rPr>
          <w:sz w:val="26"/>
          <w:szCs w:val="26"/>
        </w:rPr>
        <w:t>Germantown Cab Company o</w:t>
      </w:r>
      <w:r w:rsidR="006555FE" w:rsidRPr="00027664">
        <w:rPr>
          <w:sz w:val="26"/>
        </w:rPr>
        <w:t>n</w:t>
      </w:r>
      <w:r w:rsidR="006555FE">
        <w:rPr>
          <w:sz w:val="26"/>
        </w:rPr>
        <w:t xml:space="preserve"> March 1, 2013, is granted, in part, and</w:t>
      </w:r>
      <w:r>
        <w:rPr>
          <w:sz w:val="26"/>
          <w:szCs w:val="26"/>
        </w:rPr>
        <w:t xml:space="preserve"> denied</w:t>
      </w:r>
      <w:r w:rsidR="006555FE">
        <w:rPr>
          <w:sz w:val="26"/>
          <w:szCs w:val="26"/>
        </w:rPr>
        <w:t>, in part</w:t>
      </w:r>
      <w:r w:rsidR="00B265B1" w:rsidRPr="00E028C2">
        <w:rPr>
          <w:sz w:val="26"/>
          <w:szCs w:val="26"/>
        </w:rPr>
        <w:t>.</w:t>
      </w:r>
    </w:p>
    <w:p w:rsidR="001A1AD3" w:rsidRDefault="001A1AD3" w:rsidP="001A1AD3">
      <w:pPr>
        <w:spacing w:line="360" w:lineRule="auto"/>
        <w:rPr>
          <w:sz w:val="26"/>
          <w:szCs w:val="26"/>
        </w:rPr>
      </w:pPr>
    </w:p>
    <w:p w:rsidR="00D17D89" w:rsidRDefault="00431F78" w:rsidP="006555FE">
      <w:pPr>
        <w:spacing w:line="360" w:lineRule="auto"/>
        <w:rPr>
          <w:sz w:val="26"/>
        </w:rPr>
      </w:pPr>
      <w:r>
        <w:rPr>
          <w:b/>
          <w:sz w:val="26"/>
          <w:szCs w:val="26"/>
        </w:rPr>
        <w:tab/>
      </w:r>
      <w:r>
        <w:rPr>
          <w:b/>
          <w:sz w:val="26"/>
          <w:szCs w:val="26"/>
        </w:rPr>
        <w:tab/>
      </w:r>
      <w:r w:rsidR="006555FE" w:rsidRPr="006555FE">
        <w:rPr>
          <w:sz w:val="26"/>
          <w:szCs w:val="26"/>
        </w:rPr>
        <w:t>2</w:t>
      </w:r>
      <w:r w:rsidR="00D17D89" w:rsidRPr="006555FE">
        <w:rPr>
          <w:sz w:val="26"/>
        </w:rPr>
        <w:t>.</w:t>
      </w:r>
      <w:r w:rsidR="00D17D89" w:rsidRPr="00753FA4">
        <w:rPr>
          <w:sz w:val="26"/>
        </w:rPr>
        <w:tab/>
        <w:t>That th</w:t>
      </w:r>
      <w:r w:rsidR="006555FE">
        <w:rPr>
          <w:sz w:val="26"/>
        </w:rPr>
        <w:t xml:space="preserve">is </w:t>
      </w:r>
      <w:r w:rsidR="00D17D89" w:rsidRPr="00753FA4">
        <w:rPr>
          <w:sz w:val="26"/>
        </w:rPr>
        <w:t xml:space="preserve">proceeding </w:t>
      </w:r>
      <w:r w:rsidR="006555FE">
        <w:rPr>
          <w:sz w:val="26"/>
        </w:rPr>
        <w:t xml:space="preserve">shall be marked </w:t>
      </w:r>
      <w:r w:rsidR="00D17D89" w:rsidRPr="00753FA4">
        <w:rPr>
          <w:sz w:val="26"/>
        </w:rPr>
        <w:t>closed.</w:t>
      </w:r>
    </w:p>
    <w:p w:rsidR="0080051F" w:rsidRDefault="0080051F" w:rsidP="00B55B97">
      <w:pPr>
        <w:tabs>
          <w:tab w:val="left" w:pos="-720"/>
          <w:tab w:val="left" w:pos="0"/>
        </w:tabs>
        <w:suppressAutoHyphens/>
        <w:spacing w:line="360" w:lineRule="auto"/>
        <w:rPr>
          <w:sz w:val="26"/>
          <w:szCs w:val="26"/>
        </w:rPr>
      </w:pPr>
    </w:p>
    <w:p w:rsidR="00503B2F" w:rsidRPr="003C63B1" w:rsidRDefault="004E4281" w:rsidP="00503B2F">
      <w:pPr>
        <w:tabs>
          <w:tab w:val="left" w:pos="-720"/>
        </w:tabs>
        <w:suppressAutoHyphens/>
        <w:rPr>
          <w:sz w:val="26"/>
        </w:rPr>
      </w:pPr>
      <w:bookmarkStart w:id="0" w:name="_GoBack"/>
      <w:r>
        <w:rPr>
          <w:noProof/>
        </w:rPr>
        <w:drawing>
          <wp:anchor distT="0" distB="0" distL="114300" distR="114300" simplePos="0" relativeHeight="251659264" behindDoc="1" locked="0" layoutInCell="1" allowOverlap="1" wp14:anchorId="7DB35C26" wp14:editId="64E328B8">
            <wp:simplePos x="0" y="0"/>
            <wp:positionH relativeFrom="column">
              <wp:posOffset>2969260</wp:posOffset>
            </wp:positionH>
            <wp:positionV relativeFrom="paragraph">
              <wp:posOffset>55880</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2C4ABE">
        <w:rPr>
          <w:sz w:val="26"/>
        </w:rPr>
        <w:t>September 12</w:t>
      </w:r>
      <w:r w:rsidR="003965A9">
        <w:rPr>
          <w:sz w:val="26"/>
        </w:rPr>
        <w:t xml:space="preserve">, 2013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4E4281">
        <w:rPr>
          <w:sz w:val="26"/>
        </w:rPr>
        <w:t xml:space="preserve"> September 12, 2013</w:t>
      </w:r>
    </w:p>
    <w:p w:rsidR="009304FE" w:rsidRDefault="009304FE" w:rsidP="00503B2F">
      <w:pPr>
        <w:spacing w:line="360" w:lineRule="auto"/>
      </w:pPr>
    </w:p>
    <w:sectPr w:rsidR="009304FE"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1B3" w:rsidRDefault="000071B3">
      <w:r>
        <w:separator/>
      </w:r>
    </w:p>
  </w:endnote>
  <w:endnote w:type="continuationSeparator" w:id="0">
    <w:p w:rsidR="000071B3" w:rsidRDefault="0000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0B705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247418" w:rsidRDefault="000B7056" w:rsidP="00654A2F">
    <w:pPr>
      <w:pStyle w:val="Footer"/>
      <w:framePr w:wrap="around" w:vAnchor="text" w:hAnchor="margin" w:xAlign="center" w:y="1"/>
      <w:rPr>
        <w:rStyle w:val="PageNumber"/>
        <w:sz w:val="26"/>
        <w:szCs w:val="26"/>
      </w:rPr>
    </w:pPr>
    <w:r w:rsidRPr="00247418">
      <w:rPr>
        <w:rStyle w:val="PageNumber"/>
        <w:sz w:val="26"/>
        <w:szCs w:val="26"/>
      </w:rPr>
      <w:fldChar w:fldCharType="begin"/>
    </w:r>
    <w:r w:rsidR="00DF4141" w:rsidRPr="00247418">
      <w:rPr>
        <w:rStyle w:val="PageNumber"/>
        <w:sz w:val="26"/>
        <w:szCs w:val="26"/>
      </w:rPr>
      <w:instrText xml:space="preserve">PAGE  </w:instrText>
    </w:r>
    <w:r w:rsidRPr="00247418">
      <w:rPr>
        <w:rStyle w:val="PageNumber"/>
        <w:sz w:val="26"/>
        <w:szCs w:val="26"/>
      </w:rPr>
      <w:fldChar w:fldCharType="separate"/>
    </w:r>
    <w:r w:rsidR="004E4281">
      <w:rPr>
        <w:rStyle w:val="PageNumber"/>
        <w:noProof/>
        <w:sz w:val="26"/>
        <w:szCs w:val="26"/>
      </w:rPr>
      <w:t>12</w:t>
    </w:r>
    <w:r w:rsidRPr="00247418">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1B3" w:rsidRDefault="000071B3">
      <w:r>
        <w:separator/>
      </w:r>
    </w:p>
  </w:footnote>
  <w:footnote w:type="continuationSeparator" w:id="0">
    <w:p w:rsidR="000071B3" w:rsidRDefault="000071B3">
      <w:r>
        <w:continuationSeparator/>
      </w:r>
    </w:p>
  </w:footnote>
  <w:footnote w:id="1">
    <w:p w:rsidR="001B1974" w:rsidRPr="00A228EB" w:rsidRDefault="00F919E8" w:rsidP="001B1974">
      <w:pPr>
        <w:pStyle w:val="FootnoteText"/>
        <w:ind w:firstLine="720"/>
        <w:rPr>
          <w:sz w:val="26"/>
          <w:szCs w:val="26"/>
        </w:rPr>
      </w:pPr>
      <w:r w:rsidRPr="0094412E">
        <w:rPr>
          <w:rStyle w:val="FootnoteReference"/>
          <w:rFonts w:ascii="Times New Roman" w:hAnsi="Times New Roman"/>
        </w:rPr>
        <w:footnoteRef/>
      </w:r>
      <w:r w:rsidRPr="0094412E">
        <w:rPr>
          <w:rFonts w:ascii="Times New Roman" w:hAnsi="Times New Roman"/>
          <w:sz w:val="26"/>
        </w:rPr>
        <w:t xml:space="preserve"> </w:t>
      </w:r>
      <w:r w:rsidRPr="0094412E">
        <w:rPr>
          <w:rFonts w:ascii="Times New Roman" w:hAnsi="Times New Roman"/>
          <w:sz w:val="26"/>
        </w:rPr>
        <w:tab/>
      </w:r>
      <w:r w:rsidR="001B1974" w:rsidRPr="00A228EB">
        <w:rPr>
          <w:sz w:val="26"/>
          <w:szCs w:val="26"/>
        </w:rPr>
        <w:t>By Order entered August 11, 2011, at Docket No. M-2008-2071852, the Commission reorganized this function of BTS into the new I</w:t>
      </w:r>
      <w:r w:rsidR="00341DA1">
        <w:rPr>
          <w:sz w:val="26"/>
          <w:szCs w:val="26"/>
        </w:rPr>
        <w:t>&amp;</w:t>
      </w:r>
      <w:r w:rsidR="001B1974" w:rsidRPr="00A228EB">
        <w:rPr>
          <w:sz w:val="26"/>
          <w:szCs w:val="26"/>
        </w:rPr>
        <w:t>E.  For purposes of consistency, this Opinion and Order shall use the term “</w:t>
      </w:r>
      <w:r w:rsidR="001B1974">
        <w:rPr>
          <w:sz w:val="26"/>
          <w:szCs w:val="26"/>
        </w:rPr>
        <w:t>I&amp;E</w:t>
      </w:r>
      <w:r w:rsidR="001B1974" w:rsidRPr="00A228EB">
        <w:rPr>
          <w:sz w:val="26"/>
          <w:szCs w:val="26"/>
        </w:rPr>
        <w:t>” throughout.</w:t>
      </w:r>
    </w:p>
    <w:p w:rsidR="00F919E8" w:rsidRPr="0094412E" w:rsidRDefault="00F919E8" w:rsidP="00F919E8">
      <w:pPr>
        <w:pStyle w:val="FootnoteText"/>
        <w:rPr>
          <w:rFonts w:ascii="Times New Roman" w:hAnsi="Times New Roman"/>
          <w:sz w:val="26"/>
        </w:rPr>
      </w:pPr>
    </w:p>
  </w:footnote>
  <w:footnote w:id="2">
    <w:p w:rsidR="00B6433C" w:rsidRPr="002177B3" w:rsidRDefault="00B6433C" w:rsidP="002177B3">
      <w:pPr>
        <w:pStyle w:val="FootnoteText"/>
        <w:ind w:firstLine="720"/>
        <w:rPr>
          <w:rFonts w:ascii="Times New Roman" w:hAnsi="Times New Roman"/>
          <w:sz w:val="26"/>
          <w:szCs w:val="26"/>
        </w:rPr>
      </w:pPr>
      <w:r w:rsidRPr="002177B3">
        <w:rPr>
          <w:rStyle w:val="FootnoteReference"/>
          <w:rFonts w:ascii="Times New Roman" w:hAnsi="Times New Roman"/>
        </w:rPr>
        <w:footnoteRef/>
      </w:r>
      <w:r w:rsidRPr="002177B3">
        <w:rPr>
          <w:rFonts w:ascii="Times New Roman" w:hAnsi="Times New Roman"/>
          <w:sz w:val="26"/>
          <w:szCs w:val="26"/>
        </w:rPr>
        <w:t xml:space="preserve"> </w:t>
      </w:r>
      <w:r w:rsidRPr="002177B3">
        <w:rPr>
          <w:rFonts w:ascii="Times New Roman" w:hAnsi="Times New Roman"/>
          <w:sz w:val="26"/>
          <w:szCs w:val="26"/>
        </w:rPr>
        <w:tab/>
        <w:t xml:space="preserve">Generally, </w:t>
      </w:r>
      <w:r w:rsidR="00B90CDE">
        <w:rPr>
          <w:rFonts w:ascii="Times New Roman" w:hAnsi="Times New Roman"/>
          <w:sz w:val="26"/>
          <w:szCs w:val="26"/>
        </w:rPr>
        <w:t xml:space="preserve">these “Exhibits” consist of </w:t>
      </w:r>
      <w:r w:rsidRPr="002177B3">
        <w:rPr>
          <w:rFonts w:ascii="Times New Roman" w:hAnsi="Times New Roman"/>
          <w:sz w:val="26"/>
          <w:szCs w:val="26"/>
        </w:rPr>
        <w:t xml:space="preserve">documents </w:t>
      </w:r>
      <w:r>
        <w:rPr>
          <w:rFonts w:ascii="Times New Roman" w:hAnsi="Times New Roman"/>
          <w:sz w:val="26"/>
          <w:szCs w:val="26"/>
        </w:rPr>
        <w:t xml:space="preserve">that are published or contained in Commission files (e.g., </w:t>
      </w:r>
      <w:r w:rsidR="00B90CDE">
        <w:rPr>
          <w:rFonts w:ascii="Times New Roman" w:hAnsi="Times New Roman"/>
          <w:sz w:val="26"/>
          <w:szCs w:val="26"/>
        </w:rPr>
        <w:t xml:space="preserve">copies of pertinent </w:t>
      </w:r>
      <w:r w:rsidRPr="002177B3">
        <w:rPr>
          <w:rFonts w:ascii="Times New Roman" w:hAnsi="Times New Roman"/>
          <w:sz w:val="26"/>
          <w:szCs w:val="26"/>
        </w:rPr>
        <w:t>Commission Orders, ALJ decisions, transcripts of Commission proceedings, and Pennsylvania Bulletin notices</w:t>
      </w:r>
      <w:r>
        <w:rPr>
          <w:rFonts w:ascii="Times New Roman" w:hAnsi="Times New Roman"/>
          <w:sz w:val="26"/>
          <w:szCs w:val="26"/>
        </w:rPr>
        <w:t>)</w:t>
      </w:r>
      <w:r w:rsidRPr="002177B3">
        <w:rPr>
          <w:rFonts w:ascii="Times New Roman" w:hAnsi="Times New Roman"/>
          <w:sz w:val="26"/>
          <w:szCs w:val="26"/>
        </w:rPr>
        <w:t>.</w:t>
      </w:r>
      <w:r>
        <w:rPr>
          <w:rFonts w:ascii="Times New Roman" w:hAnsi="Times New Roman"/>
          <w:sz w:val="26"/>
          <w:szCs w:val="26"/>
        </w:rPr>
        <w:t xml:space="preserve"> </w:t>
      </w:r>
    </w:p>
  </w:footnote>
  <w:footnote w:id="3">
    <w:p w:rsidR="00EF2129" w:rsidRDefault="004F39A2" w:rsidP="00EF2129">
      <w:pPr>
        <w:ind w:firstLine="720"/>
        <w:rPr>
          <w:sz w:val="26"/>
          <w:szCs w:val="18"/>
        </w:rPr>
      </w:pPr>
      <w:r w:rsidRPr="00565692">
        <w:rPr>
          <w:rStyle w:val="FootnoteReference"/>
        </w:rPr>
        <w:footnoteRef/>
      </w:r>
      <w:r w:rsidRPr="00565692">
        <w:rPr>
          <w:sz w:val="26"/>
        </w:rPr>
        <w:t xml:space="preserve"> </w:t>
      </w:r>
      <w:r w:rsidR="00EF2129" w:rsidRPr="00565692">
        <w:rPr>
          <w:sz w:val="26"/>
        </w:rPr>
        <w:tab/>
      </w:r>
      <w:r w:rsidR="00565692" w:rsidRPr="00565692">
        <w:rPr>
          <w:sz w:val="26"/>
        </w:rPr>
        <w:t xml:space="preserve">The </w:t>
      </w:r>
      <w:r w:rsidR="00F266BF">
        <w:rPr>
          <w:sz w:val="26"/>
        </w:rPr>
        <w:t xml:space="preserve">pertinent </w:t>
      </w:r>
      <w:r w:rsidR="00565692" w:rsidRPr="00565692">
        <w:rPr>
          <w:sz w:val="26"/>
        </w:rPr>
        <w:t>language in</w:t>
      </w:r>
      <w:r w:rsidR="00565692">
        <w:t xml:space="preserve"> </w:t>
      </w:r>
      <w:r w:rsidR="00EF2129">
        <w:rPr>
          <w:color w:val="000000"/>
          <w:spacing w:val="-3"/>
          <w:sz w:val="26"/>
          <w:szCs w:val="26"/>
          <w:u w:color="000000"/>
        </w:rPr>
        <w:t xml:space="preserve">the </w:t>
      </w:r>
      <w:r w:rsidR="00EF2129">
        <w:rPr>
          <w:sz w:val="26"/>
          <w:szCs w:val="18"/>
        </w:rPr>
        <w:t xml:space="preserve">Parking Authorities Law, </w:t>
      </w:r>
      <w:r w:rsidR="00F266BF">
        <w:rPr>
          <w:sz w:val="26"/>
          <w:szCs w:val="18"/>
        </w:rPr>
        <w:t xml:space="preserve">53 Pa. C.S. § 5714(d)(2), </w:t>
      </w:r>
      <w:r w:rsidR="00EF2129">
        <w:rPr>
          <w:sz w:val="26"/>
          <w:szCs w:val="18"/>
        </w:rPr>
        <w:t>which was effective at the time of the April 2010 violations,</w:t>
      </w:r>
      <w:r w:rsidR="00955719">
        <w:rPr>
          <w:sz w:val="26"/>
          <w:szCs w:val="18"/>
        </w:rPr>
        <w:t xml:space="preserve"> and, therefore, applicable to this Complaint proceeding,</w:t>
      </w:r>
      <w:r w:rsidR="00EF2129">
        <w:rPr>
          <w:sz w:val="26"/>
          <w:szCs w:val="18"/>
        </w:rPr>
        <w:t xml:space="preserve"> provided as follows:  </w:t>
      </w:r>
    </w:p>
    <w:p w:rsidR="00955719" w:rsidRDefault="00955719" w:rsidP="00EF2129">
      <w:pPr>
        <w:ind w:left="1440" w:right="1440"/>
        <w:rPr>
          <w:sz w:val="26"/>
          <w:szCs w:val="18"/>
        </w:rPr>
      </w:pPr>
    </w:p>
    <w:p w:rsidR="00565692" w:rsidRDefault="00EF2129" w:rsidP="00EF2129">
      <w:pPr>
        <w:ind w:left="1440" w:right="1440"/>
        <w:rPr>
          <w:sz w:val="26"/>
          <w:szCs w:val="18"/>
        </w:rPr>
      </w:pPr>
      <w:r>
        <w:rPr>
          <w:sz w:val="26"/>
          <w:szCs w:val="18"/>
        </w:rPr>
        <w:t xml:space="preserve">Carriers currently authorized to provide service to designated areas within cities of the first class on a non-citywide basis shall retain their authorization through the authority.  The authority shall not grant additional rights to new or existing carriers to serve designated areas within cities of the first class on a non-citywide basis. </w:t>
      </w:r>
    </w:p>
    <w:p w:rsidR="00EF2129" w:rsidRDefault="00EF2129" w:rsidP="00EF2129">
      <w:pPr>
        <w:ind w:left="1440" w:right="1440"/>
        <w:rPr>
          <w:sz w:val="26"/>
          <w:szCs w:val="18"/>
        </w:rPr>
      </w:pPr>
      <w:r>
        <w:rPr>
          <w:sz w:val="26"/>
          <w:szCs w:val="18"/>
        </w:rPr>
        <w:t xml:space="preserve"> </w:t>
      </w:r>
    </w:p>
    <w:p w:rsidR="00D62C0E" w:rsidRDefault="002B2460" w:rsidP="00D62C0E">
      <w:pPr>
        <w:ind w:right="1440"/>
        <w:rPr>
          <w:sz w:val="26"/>
          <w:szCs w:val="18"/>
        </w:rPr>
      </w:pPr>
      <w:r>
        <w:rPr>
          <w:sz w:val="26"/>
          <w:szCs w:val="18"/>
        </w:rPr>
        <w:t xml:space="preserve">On July 5, 2012, </w:t>
      </w:r>
      <w:r w:rsidR="00D62C0E">
        <w:rPr>
          <w:sz w:val="26"/>
          <w:szCs w:val="18"/>
        </w:rPr>
        <w:t>Section 5714(d)(2) was amended by Act 119.</w:t>
      </w:r>
    </w:p>
    <w:p w:rsidR="00EF2129" w:rsidRDefault="00EF2129" w:rsidP="00EF2129">
      <w:pPr>
        <w:ind w:left="1440" w:right="1440"/>
        <w:rPr>
          <w:sz w:val="26"/>
          <w:szCs w:val="18"/>
        </w:rPr>
      </w:pPr>
    </w:p>
    <w:p w:rsidR="004F39A2" w:rsidRPr="00955719" w:rsidRDefault="004F39A2">
      <w:pPr>
        <w:pStyle w:val="FootnoteText"/>
        <w:rPr>
          <w:rFonts w:ascii="Times New Roman" w:hAnsi="Times New Roman"/>
          <w:sz w:val="26"/>
        </w:rPr>
      </w:pPr>
    </w:p>
  </w:footnote>
  <w:footnote w:id="4">
    <w:p w:rsidR="00F150CA" w:rsidRPr="00F150CA" w:rsidRDefault="00F150CA" w:rsidP="002177B3">
      <w:pPr>
        <w:pStyle w:val="FootnoteText"/>
        <w:spacing w:before="0" w:after="0"/>
        <w:rPr>
          <w:rFonts w:ascii="Times New Roman" w:hAnsi="Times New Roman"/>
          <w:sz w:val="26"/>
        </w:rPr>
      </w:pPr>
      <w:r>
        <w:rPr>
          <w:rFonts w:ascii="Times New Roman" w:hAnsi="Times New Roman"/>
          <w:sz w:val="26"/>
        </w:rPr>
        <w:tab/>
      </w:r>
      <w:r w:rsidRPr="00F150CA">
        <w:rPr>
          <w:rStyle w:val="FootnoteReference"/>
          <w:rFonts w:ascii="Times New Roman" w:hAnsi="Times New Roman"/>
        </w:rPr>
        <w:footnoteRef/>
      </w:r>
      <w:r w:rsidRPr="00F150CA">
        <w:rPr>
          <w:rFonts w:ascii="Times New Roman" w:hAnsi="Times New Roman"/>
          <w:sz w:val="26"/>
        </w:rPr>
        <w:t xml:space="preserve"> </w:t>
      </w:r>
      <w:r>
        <w:rPr>
          <w:rFonts w:ascii="Times New Roman" w:hAnsi="Times New Roman"/>
          <w:sz w:val="26"/>
        </w:rPr>
        <w:tab/>
      </w:r>
      <w:r w:rsidRPr="00F150CA">
        <w:rPr>
          <w:rFonts w:ascii="Times New Roman" w:hAnsi="Times New Roman"/>
          <w:sz w:val="26"/>
        </w:rPr>
        <w:t xml:space="preserve">In 2004, the Legislature repealed the Medallion Act, 66 Pa. C.S. §§ 2401-2416, and substantially re-enacted it </w:t>
      </w:r>
      <w:r w:rsidR="00020A18">
        <w:rPr>
          <w:rFonts w:ascii="Times New Roman" w:hAnsi="Times New Roman"/>
          <w:sz w:val="26"/>
        </w:rPr>
        <w:t xml:space="preserve">in </w:t>
      </w:r>
      <w:r w:rsidRPr="00F150CA">
        <w:rPr>
          <w:rFonts w:ascii="Times New Roman" w:hAnsi="Times New Roman"/>
          <w:sz w:val="26"/>
        </w:rPr>
        <w:t>the Parking Authorities Law</w:t>
      </w:r>
      <w:r w:rsidR="00020A18">
        <w:rPr>
          <w:rFonts w:ascii="Times New Roman" w:hAnsi="Times New Roman"/>
          <w:sz w:val="26"/>
        </w:rPr>
        <w:t xml:space="preserve"> at 53 Pa. C.S. §§ 5701 </w:t>
      </w:r>
      <w:r w:rsidR="00020A18" w:rsidRPr="002177B3">
        <w:rPr>
          <w:rFonts w:ascii="Times New Roman" w:hAnsi="Times New Roman"/>
          <w:i/>
          <w:sz w:val="26"/>
        </w:rPr>
        <w:t>et seq</w:t>
      </w:r>
      <w:r w:rsidR="00020A18">
        <w:rPr>
          <w:rFonts w:ascii="Times New Roman" w:hAnsi="Times New Roman"/>
          <w:sz w:val="26"/>
        </w:rPr>
        <w:t>.</w:t>
      </w:r>
      <w:r w:rsidRPr="00F150CA">
        <w:rPr>
          <w:rFonts w:ascii="Times New Roman" w:hAnsi="Times New Roman"/>
          <w:sz w:val="26"/>
        </w:rPr>
        <w:t xml:space="preserve">.   </w:t>
      </w:r>
    </w:p>
  </w:footnote>
  <w:footnote w:id="5">
    <w:p w:rsidR="00BD070F" w:rsidRPr="005C409F" w:rsidRDefault="005C409F" w:rsidP="002177B3">
      <w:pPr>
        <w:pStyle w:val="FootnoteText"/>
        <w:spacing w:before="0" w:after="0"/>
        <w:rPr>
          <w:rFonts w:ascii="Times New Roman" w:hAnsi="Times New Roman"/>
          <w:sz w:val="26"/>
        </w:rPr>
      </w:pPr>
      <w:r>
        <w:tab/>
      </w:r>
      <w:r w:rsidR="00BD070F" w:rsidRPr="005C409F">
        <w:rPr>
          <w:rStyle w:val="FootnoteReference"/>
          <w:rFonts w:ascii="Times New Roman" w:hAnsi="Times New Roman"/>
        </w:rPr>
        <w:footnoteRef/>
      </w:r>
      <w:r w:rsidR="00BD070F" w:rsidRPr="005C409F">
        <w:rPr>
          <w:rFonts w:ascii="Times New Roman" w:hAnsi="Times New Roman"/>
          <w:sz w:val="26"/>
        </w:rPr>
        <w:t xml:space="preserve"> </w:t>
      </w:r>
      <w:r w:rsidRPr="005C409F">
        <w:rPr>
          <w:rFonts w:ascii="Times New Roman" w:hAnsi="Times New Roman"/>
          <w:sz w:val="26"/>
        </w:rPr>
        <w:tab/>
      </w:r>
      <w:r w:rsidR="00BD070F" w:rsidRPr="005C409F">
        <w:rPr>
          <w:rFonts w:ascii="Times New Roman" w:hAnsi="Times New Roman"/>
          <w:sz w:val="26"/>
        </w:rPr>
        <w:t xml:space="preserve">In support of its position, the Respondent cites to </w:t>
      </w:r>
      <w:r w:rsidR="004E6C75" w:rsidRPr="005C409F">
        <w:rPr>
          <w:rFonts w:ascii="Times New Roman" w:hAnsi="Times New Roman"/>
          <w:i/>
          <w:sz w:val="26"/>
        </w:rPr>
        <w:t>Dee Dee Cab</w:t>
      </w:r>
      <w:r w:rsidR="004E6C75">
        <w:rPr>
          <w:rFonts w:ascii="Times New Roman" w:hAnsi="Times New Roman"/>
          <w:i/>
          <w:sz w:val="26"/>
        </w:rPr>
        <w:t>, Inc</w:t>
      </w:r>
      <w:r w:rsidR="004E6C75" w:rsidRPr="005C409F">
        <w:rPr>
          <w:rFonts w:ascii="Times New Roman" w:hAnsi="Times New Roman"/>
          <w:i/>
          <w:sz w:val="26"/>
        </w:rPr>
        <w:t>. v. Pa. PUC</w:t>
      </w:r>
      <w:r w:rsidR="004E6C75" w:rsidRPr="005C409F">
        <w:rPr>
          <w:rFonts w:ascii="Times New Roman" w:hAnsi="Times New Roman"/>
          <w:sz w:val="26"/>
        </w:rPr>
        <w:t xml:space="preserve">, 817 A.2d </w:t>
      </w:r>
      <w:r w:rsidR="004E6C75">
        <w:rPr>
          <w:rFonts w:ascii="Times New Roman" w:hAnsi="Times New Roman"/>
          <w:sz w:val="26"/>
        </w:rPr>
        <w:t xml:space="preserve">593 </w:t>
      </w:r>
      <w:r w:rsidR="004E6C75" w:rsidRPr="005C409F">
        <w:rPr>
          <w:rFonts w:ascii="Times New Roman" w:hAnsi="Times New Roman"/>
          <w:sz w:val="26"/>
        </w:rPr>
        <w:t>(Pa. Cmwlth. 2003)</w:t>
      </w:r>
      <w:r w:rsidR="004E6C75">
        <w:rPr>
          <w:rFonts w:ascii="Times New Roman" w:hAnsi="Times New Roman"/>
          <w:sz w:val="26"/>
        </w:rPr>
        <w:t xml:space="preserve"> and </w:t>
      </w:r>
      <w:r w:rsidR="00BD070F" w:rsidRPr="005C409F">
        <w:rPr>
          <w:rFonts w:ascii="Times New Roman" w:hAnsi="Times New Roman"/>
          <w:i/>
          <w:sz w:val="26"/>
        </w:rPr>
        <w:t>Pa. PUC v. Genco Services, Inc</w:t>
      </w:r>
      <w:r w:rsidR="00BD070F" w:rsidRPr="005C409F">
        <w:rPr>
          <w:rFonts w:ascii="Times New Roman" w:hAnsi="Times New Roman"/>
          <w:sz w:val="26"/>
        </w:rPr>
        <w:t xml:space="preserve">., </w:t>
      </w:r>
      <w:r w:rsidR="00BD070F" w:rsidRPr="005C409F">
        <w:rPr>
          <w:rFonts w:ascii="Times New Roman" w:hAnsi="Times New Roman"/>
          <w:i/>
          <w:sz w:val="26"/>
        </w:rPr>
        <w:t>t/a Cheldon Radio Cab Co., Inc</w:t>
      </w:r>
      <w:r w:rsidR="00BD070F" w:rsidRPr="005C409F">
        <w:rPr>
          <w:rFonts w:ascii="Times New Roman" w:hAnsi="Times New Roman"/>
          <w:sz w:val="26"/>
        </w:rPr>
        <w:t>., 1992 Pa. PUC Lexis 40</w:t>
      </w:r>
      <w:r w:rsidR="004D5C73">
        <w:rPr>
          <w:rFonts w:ascii="Times New Roman" w:hAnsi="Times New Roman"/>
          <w:sz w:val="26"/>
        </w:rPr>
        <w:t xml:space="preserve">. </w:t>
      </w:r>
      <w:r w:rsidRPr="005C409F">
        <w:rPr>
          <w:rFonts w:ascii="Times New Roman" w:hAnsi="Times New Roman"/>
          <w:sz w:val="26"/>
        </w:rPr>
        <w:t xml:space="preserve">  </w:t>
      </w:r>
      <w:r w:rsidR="00BD070F" w:rsidRPr="005C409F">
        <w:rPr>
          <w:rFonts w:ascii="Times New Roman" w:hAnsi="Times New Roman"/>
          <w:sz w:val="26"/>
        </w:rPr>
        <w:t xml:space="preserve">  </w:t>
      </w:r>
    </w:p>
  </w:footnote>
  <w:footnote w:id="6">
    <w:p w:rsidR="00565F24" w:rsidRPr="00565F24" w:rsidRDefault="000F70A9" w:rsidP="002177B3">
      <w:pPr>
        <w:pStyle w:val="FootnoteText"/>
        <w:spacing w:before="0" w:after="0"/>
        <w:rPr>
          <w:rFonts w:ascii="Times New Roman" w:hAnsi="Times New Roman"/>
          <w:sz w:val="26"/>
        </w:rPr>
      </w:pPr>
      <w:r>
        <w:rPr>
          <w:rFonts w:ascii="Times New Roman" w:hAnsi="Times New Roman"/>
          <w:sz w:val="26"/>
        </w:rPr>
        <w:tab/>
      </w:r>
      <w:r w:rsidR="00565F24" w:rsidRPr="00565F24">
        <w:rPr>
          <w:rStyle w:val="FootnoteReference"/>
          <w:rFonts w:ascii="Times New Roman" w:hAnsi="Times New Roman"/>
        </w:rPr>
        <w:footnoteRef/>
      </w:r>
      <w:r w:rsidR="00565F24" w:rsidRPr="00565F24">
        <w:rPr>
          <w:rFonts w:ascii="Times New Roman" w:hAnsi="Times New Roman"/>
          <w:sz w:val="26"/>
        </w:rPr>
        <w:t xml:space="preserve"> </w:t>
      </w:r>
      <w:r>
        <w:rPr>
          <w:rFonts w:ascii="Times New Roman" w:hAnsi="Times New Roman"/>
          <w:sz w:val="26"/>
        </w:rPr>
        <w:tab/>
      </w:r>
      <w:r w:rsidR="00565F24" w:rsidRPr="00565F24">
        <w:rPr>
          <w:rFonts w:ascii="Times New Roman" w:hAnsi="Times New Roman"/>
          <w:sz w:val="26"/>
        </w:rPr>
        <w:t xml:space="preserve">In its Exceptions, the Respondent expressly incorporated all arguments in its Motion for Declaratory Judgment and Brief in Support.  Exc. at 2.  </w:t>
      </w:r>
    </w:p>
  </w:footnote>
  <w:footnote w:id="7">
    <w:p w:rsidR="00D62C0E" w:rsidRPr="00601AE3" w:rsidRDefault="00601AE3" w:rsidP="00601AE3">
      <w:pPr>
        <w:pStyle w:val="FootnoteText"/>
        <w:spacing w:before="0" w:after="0"/>
        <w:rPr>
          <w:rFonts w:ascii="Times New Roman" w:hAnsi="Times New Roman"/>
          <w:sz w:val="26"/>
        </w:rPr>
      </w:pPr>
      <w:r>
        <w:tab/>
      </w:r>
      <w:r w:rsidR="00D62C0E" w:rsidRPr="00601AE3">
        <w:rPr>
          <w:rStyle w:val="FootnoteReference"/>
          <w:rFonts w:ascii="Times New Roman" w:hAnsi="Times New Roman"/>
        </w:rPr>
        <w:footnoteRef/>
      </w:r>
      <w:r w:rsidR="00D62C0E" w:rsidRPr="00601AE3">
        <w:rPr>
          <w:rFonts w:ascii="Times New Roman" w:hAnsi="Times New Roman"/>
          <w:sz w:val="26"/>
        </w:rPr>
        <w:t xml:space="preserve"> </w:t>
      </w:r>
      <w:r w:rsidRPr="00601AE3">
        <w:rPr>
          <w:rFonts w:ascii="Times New Roman" w:hAnsi="Times New Roman"/>
          <w:sz w:val="26"/>
        </w:rPr>
        <w:tab/>
      </w:r>
      <w:r w:rsidR="00D62C0E" w:rsidRPr="00601AE3">
        <w:rPr>
          <w:rFonts w:ascii="Times New Roman" w:hAnsi="Times New Roman"/>
          <w:sz w:val="26"/>
        </w:rPr>
        <w:t xml:space="preserve">The Judge’s analysis in that case was based on the language in Section 5714(d)(2), prior to </w:t>
      </w:r>
      <w:r w:rsidRPr="00601AE3">
        <w:rPr>
          <w:rFonts w:ascii="Times New Roman" w:hAnsi="Times New Roman"/>
          <w:sz w:val="26"/>
        </w:rPr>
        <w:t>its amendment by Act 119 of 2012.</w:t>
      </w:r>
      <w:r>
        <w:rPr>
          <w:rFonts w:ascii="Times New Roman" w:hAnsi="Times New Roman"/>
          <w:sz w:val="26"/>
        </w:rPr>
        <w:t xml:space="preserve">  The same language is relevant in the instant case.  </w:t>
      </w:r>
      <w:r w:rsidRPr="00601AE3">
        <w:rPr>
          <w:rFonts w:ascii="Times New Roman" w:hAnsi="Times New Roman"/>
          <w:sz w:val="26"/>
        </w:rPr>
        <w:t xml:space="preserve">  </w:t>
      </w:r>
      <w:r w:rsidR="00D62C0E" w:rsidRPr="00601AE3">
        <w:rPr>
          <w:rFonts w:ascii="Times New Roman" w:hAnsi="Times New Roman"/>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80468"/>
    <w:multiLevelType w:val="hybridMultilevel"/>
    <w:tmpl w:val="A4A04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E506B"/>
    <w:multiLevelType w:val="hybridMultilevel"/>
    <w:tmpl w:val="9F0C1BFE"/>
    <w:lvl w:ilvl="0" w:tplc="0409000F">
      <w:start w:val="1"/>
      <w:numFmt w:val="decimal"/>
      <w:lvlText w:val="%1."/>
      <w:lvlJc w:val="left"/>
      <w:pPr>
        <w:ind w:left="720" w:hanging="360"/>
      </w:pPr>
    </w:lvl>
    <w:lvl w:ilvl="1" w:tplc="3BAA4EFC">
      <w:start w:val="1"/>
      <w:numFmt w:val="lowerLetter"/>
      <w:lvlText w:val="%2."/>
      <w:lvlJc w:val="left"/>
      <w:pPr>
        <w:ind w:left="1440" w:hanging="360"/>
      </w:pPr>
      <w:rPr>
        <w:rFonts w:ascii="Times New Roman" w:hAnsi="Times New Roman"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1752"/>
    <w:multiLevelType w:val="hybridMultilevel"/>
    <w:tmpl w:val="C5D4CA64"/>
    <w:lvl w:ilvl="0" w:tplc="BCC8D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51900E6"/>
    <w:multiLevelType w:val="hybridMultilevel"/>
    <w:tmpl w:val="D29083A6"/>
    <w:lvl w:ilvl="0" w:tplc="86D053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623E3CE4"/>
    <w:multiLevelType w:val="hybridMultilevel"/>
    <w:tmpl w:val="E1007D22"/>
    <w:lvl w:ilvl="0" w:tplc="A68CD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751"/>
    <w:rsid w:val="00002EC7"/>
    <w:rsid w:val="00002F2A"/>
    <w:rsid w:val="0000464C"/>
    <w:rsid w:val="000063E9"/>
    <w:rsid w:val="00007106"/>
    <w:rsid w:val="000071B3"/>
    <w:rsid w:val="00007461"/>
    <w:rsid w:val="000074DC"/>
    <w:rsid w:val="00010322"/>
    <w:rsid w:val="0001099D"/>
    <w:rsid w:val="00011EC9"/>
    <w:rsid w:val="00012A70"/>
    <w:rsid w:val="00013B94"/>
    <w:rsid w:val="0001411C"/>
    <w:rsid w:val="000148F5"/>
    <w:rsid w:val="00015969"/>
    <w:rsid w:val="00015A01"/>
    <w:rsid w:val="00016160"/>
    <w:rsid w:val="000161E1"/>
    <w:rsid w:val="00016CE0"/>
    <w:rsid w:val="00017033"/>
    <w:rsid w:val="00017BF5"/>
    <w:rsid w:val="000207A6"/>
    <w:rsid w:val="00020A18"/>
    <w:rsid w:val="00020E43"/>
    <w:rsid w:val="00020F8F"/>
    <w:rsid w:val="00021AAC"/>
    <w:rsid w:val="000234F5"/>
    <w:rsid w:val="00024987"/>
    <w:rsid w:val="00024DD1"/>
    <w:rsid w:val="00025686"/>
    <w:rsid w:val="0002585B"/>
    <w:rsid w:val="00025B28"/>
    <w:rsid w:val="000261D5"/>
    <w:rsid w:val="00026E4B"/>
    <w:rsid w:val="0002723A"/>
    <w:rsid w:val="0002744F"/>
    <w:rsid w:val="00027EE5"/>
    <w:rsid w:val="000310BE"/>
    <w:rsid w:val="000313B8"/>
    <w:rsid w:val="00031E93"/>
    <w:rsid w:val="0003225A"/>
    <w:rsid w:val="00033CB2"/>
    <w:rsid w:val="00037290"/>
    <w:rsid w:val="000378DC"/>
    <w:rsid w:val="000429BA"/>
    <w:rsid w:val="00042D1D"/>
    <w:rsid w:val="0004346E"/>
    <w:rsid w:val="00044438"/>
    <w:rsid w:val="00044A5E"/>
    <w:rsid w:val="00045622"/>
    <w:rsid w:val="000461FF"/>
    <w:rsid w:val="00046B36"/>
    <w:rsid w:val="00047DC4"/>
    <w:rsid w:val="000510D0"/>
    <w:rsid w:val="000510FD"/>
    <w:rsid w:val="000524CC"/>
    <w:rsid w:val="00053B4F"/>
    <w:rsid w:val="00053CED"/>
    <w:rsid w:val="00054407"/>
    <w:rsid w:val="00054F7A"/>
    <w:rsid w:val="00057057"/>
    <w:rsid w:val="00057855"/>
    <w:rsid w:val="00060B90"/>
    <w:rsid w:val="000610F9"/>
    <w:rsid w:val="00061284"/>
    <w:rsid w:val="00061850"/>
    <w:rsid w:val="000629CD"/>
    <w:rsid w:val="000634BD"/>
    <w:rsid w:val="0006405C"/>
    <w:rsid w:val="00065DB6"/>
    <w:rsid w:val="000673D1"/>
    <w:rsid w:val="00067DC7"/>
    <w:rsid w:val="000702C9"/>
    <w:rsid w:val="00070FF8"/>
    <w:rsid w:val="00070FFD"/>
    <w:rsid w:val="000711D9"/>
    <w:rsid w:val="000725E1"/>
    <w:rsid w:val="00072883"/>
    <w:rsid w:val="00073C25"/>
    <w:rsid w:val="00074512"/>
    <w:rsid w:val="00075161"/>
    <w:rsid w:val="00075677"/>
    <w:rsid w:val="0007596A"/>
    <w:rsid w:val="000777D8"/>
    <w:rsid w:val="00077995"/>
    <w:rsid w:val="00080C6A"/>
    <w:rsid w:val="0008328F"/>
    <w:rsid w:val="0008445E"/>
    <w:rsid w:val="00084B44"/>
    <w:rsid w:val="00085FFB"/>
    <w:rsid w:val="00086411"/>
    <w:rsid w:val="00086D0B"/>
    <w:rsid w:val="0008768F"/>
    <w:rsid w:val="00087C06"/>
    <w:rsid w:val="00087D18"/>
    <w:rsid w:val="0009074A"/>
    <w:rsid w:val="00090F10"/>
    <w:rsid w:val="00092384"/>
    <w:rsid w:val="00092ABD"/>
    <w:rsid w:val="00092EC8"/>
    <w:rsid w:val="00094D6F"/>
    <w:rsid w:val="00096187"/>
    <w:rsid w:val="000966DC"/>
    <w:rsid w:val="0009781B"/>
    <w:rsid w:val="000A18FF"/>
    <w:rsid w:val="000A2F11"/>
    <w:rsid w:val="000A35F4"/>
    <w:rsid w:val="000A3F31"/>
    <w:rsid w:val="000A5227"/>
    <w:rsid w:val="000A6EB3"/>
    <w:rsid w:val="000A770A"/>
    <w:rsid w:val="000A7F96"/>
    <w:rsid w:val="000B0027"/>
    <w:rsid w:val="000B1F02"/>
    <w:rsid w:val="000B2B80"/>
    <w:rsid w:val="000B3FB4"/>
    <w:rsid w:val="000B4F29"/>
    <w:rsid w:val="000B5487"/>
    <w:rsid w:val="000B5DF8"/>
    <w:rsid w:val="000B6501"/>
    <w:rsid w:val="000B7056"/>
    <w:rsid w:val="000B71E3"/>
    <w:rsid w:val="000B77E2"/>
    <w:rsid w:val="000C25F1"/>
    <w:rsid w:val="000C3577"/>
    <w:rsid w:val="000C4BFD"/>
    <w:rsid w:val="000C72DD"/>
    <w:rsid w:val="000C730E"/>
    <w:rsid w:val="000C742F"/>
    <w:rsid w:val="000C7A7C"/>
    <w:rsid w:val="000D087C"/>
    <w:rsid w:val="000D0D75"/>
    <w:rsid w:val="000D356E"/>
    <w:rsid w:val="000D3E0A"/>
    <w:rsid w:val="000D5BBB"/>
    <w:rsid w:val="000D69E1"/>
    <w:rsid w:val="000D6C35"/>
    <w:rsid w:val="000E0050"/>
    <w:rsid w:val="000E0311"/>
    <w:rsid w:val="000E09BE"/>
    <w:rsid w:val="000E0F2D"/>
    <w:rsid w:val="000E1BFB"/>
    <w:rsid w:val="000E24DE"/>
    <w:rsid w:val="000E3FDA"/>
    <w:rsid w:val="000E44FC"/>
    <w:rsid w:val="000E492B"/>
    <w:rsid w:val="000E4BED"/>
    <w:rsid w:val="000E7110"/>
    <w:rsid w:val="000F0EB4"/>
    <w:rsid w:val="000F1752"/>
    <w:rsid w:val="000F1CC8"/>
    <w:rsid w:val="000F2540"/>
    <w:rsid w:val="000F292B"/>
    <w:rsid w:val="000F34DC"/>
    <w:rsid w:val="000F34FC"/>
    <w:rsid w:val="000F4144"/>
    <w:rsid w:val="000F43AF"/>
    <w:rsid w:val="000F4C47"/>
    <w:rsid w:val="000F6D5A"/>
    <w:rsid w:val="000F70A9"/>
    <w:rsid w:val="000F76C5"/>
    <w:rsid w:val="0010013C"/>
    <w:rsid w:val="0010064F"/>
    <w:rsid w:val="001006F0"/>
    <w:rsid w:val="00100B30"/>
    <w:rsid w:val="00100B90"/>
    <w:rsid w:val="00100BF3"/>
    <w:rsid w:val="00101745"/>
    <w:rsid w:val="0010255E"/>
    <w:rsid w:val="001026AA"/>
    <w:rsid w:val="001026E6"/>
    <w:rsid w:val="00103A52"/>
    <w:rsid w:val="001048B3"/>
    <w:rsid w:val="00105084"/>
    <w:rsid w:val="00105104"/>
    <w:rsid w:val="00105193"/>
    <w:rsid w:val="00105F7D"/>
    <w:rsid w:val="00106537"/>
    <w:rsid w:val="001112D8"/>
    <w:rsid w:val="001114A0"/>
    <w:rsid w:val="0011244B"/>
    <w:rsid w:val="001133C8"/>
    <w:rsid w:val="001139C2"/>
    <w:rsid w:val="00114D80"/>
    <w:rsid w:val="00115FD9"/>
    <w:rsid w:val="00116D79"/>
    <w:rsid w:val="00117A38"/>
    <w:rsid w:val="001205FE"/>
    <w:rsid w:val="00120C2F"/>
    <w:rsid w:val="00122989"/>
    <w:rsid w:val="00123068"/>
    <w:rsid w:val="00123BCB"/>
    <w:rsid w:val="00124A50"/>
    <w:rsid w:val="00126152"/>
    <w:rsid w:val="0012697D"/>
    <w:rsid w:val="00127623"/>
    <w:rsid w:val="00127B2A"/>
    <w:rsid w:val="00127C7C"/>
    <w:rsid w:val="00130074"/>
    <w:rsid w:val="00130244"/>
    <w:rsid w:val="00130D74"/>
    <w:rsid w:val="00130EB7"/>
    <w:rsid w:val="00131B43"/>
    <w:rsid w:val="00132429"/>
    <w:rsid w:val="00132894"/>
    <w:rsid w:val="00133878"/>
    <w:rsid w:val="001338E1"/>
    <w:rsid w:val="001344F4"/>
    <w:rsid w:val="00135BB9"/>
    <w:rsid w:val="00137630"/>
    <w:rsid w:val="00137A60"/>
    <w:rsid w:val="001401EC"/>
    <w:rsid w:val="00140C4D"/>
    <w:rsid w:val="00141882"/>
    <w:rsid w:val="00141DF0"/>
    <w:rsid w:val="0014205C"/>
    <w:rsid w:val="00143F43"/>
    <w:rsid w:val="00144166"/>
    <w:rsid w:val="00144175"/>
    <w:rsid w:val="00144E09"/>
    <w:rsid w:val="00145EDC"/>
    <w:rsid w:val="0014617E"/>
    <w:rsid w:val="00147415"/>
    <w:rsid w:val="001476B8"/>
    <w:rsid w:val="00150989"/>
    <w:rsid w:val="001509E0"/>
    <w:rsid w:val="00150A39"/>
    <w:rsid w:val="00154829"/>
    <w:rsid w:val="00154DD8"/>
    <w:rsid w:val="0015662E"/>
    <w:rsid w:val="00156A41"/>
    <w:rsid w:val="001572C5"/>
    <w:rsid w:val="0016005F"/>
    <w:rsid w:val="001606BC"/>
    <w:rsid w:val="00161200"/>
    <w:rsid w:val="00162B46"/>
    <w:rsid w:val="00163AA3"/>
    <w:rsid w:val="0016441E"/>
    <w:rsid w:val="00164715"/>
    <w:rsid w:val="00164C98"/>
    <w:rsid w:val="001669F4"/>
    <w:rsid w:val="0016793B"/>
    <w:rsid w:val="001679F1"/>
    <w:rsid w:val="001701B3"/>
    <w:rsid w:val="00170405"/>
    <w:rsid w:val="001704F7"/>
    <w:rsid w:val="001707BD"/>
    <w:rsid w:val="001711B9"/>
    <w:rsid w:val="00176940"/>
    <w:rsid w:val="00177A43"/>
    <w:rsid w:val="00180052"/>
    <w:rsid w:val="001811B8"/>
    <w:rsid w:val="00181999"/>
    <w:rsid w:val="001827DB"/>
    <w:rsid w:val="001838E6"/>
    <w:rsid w:val="00183B8B"/>
    <w:rsid w:val="00183D96"/>
    <w:rsid w:val="00185B5E"/>
    <w:rsid w:val="001863B0"/>
    <w:rsid w:val="00186887"/>
    <w:rsid w:val="00187C18"/>
    <w:rsid w:val="0019214E"/>
    <w:rsid w:val="00192592"/>
    <w:rsid w:val="001928E3"/>
    <w:rsid w:val="00192B54"/>
    <w:rsid w:val="0019318F"/>
    <w:rsid w:val="001932CF"/>
    <w:rsid w:val="00193EF0"/>
    <w:rsid w:val="00195558"/>
    <w:rsid w:val="00197920"/>
    <w:rsid w:val="00197C2F"/>
    <w:rsid w:val="00197F3D"/>
    <w:rsid w:val="001A006C"/>
    <w:rsid w:val="001A0516"/>
    <w:rsid w:val="001A1AD3"/>
    <w:rsid w:val="001A4A0C"/>
    <w:rsid w:val="001A4C6C"/>
    <w:rsid w:val="001A5756"/>
    <w:rsid w:val="001A6FD4"/>
    <w:rsid w:val="001A75AA"/>
    <w:rsid w:val="001B1974"/>
    <w:rsid w:val="001B2218"/>
    <w:rsid w:val="001B2FD7"/>
    <w:rsid w:val="001B3486"/>
    <w:rsid w:val="001B37C4"/>
    <w:rsid w:val="001B423C"/>
    <w:rsid w:val="001B5CD3"/>
    <w:rsid w:val="001B7A05"/>
    <w:rsid w:val="001C3413"/>
    <w:rsid w:val="001C3897"/>
    <w:rsid w:val="001C396E"/>
    <w:rsid w:val="001C42FD"/>
    <w:rsid w:val="001C4B37"/>
    <w:rsid w:val="001C50DA"/>
    <w:rsid w:val="001C53B1"/>
    <w:rsid w:val="001C742A"/>
    <w:rsid w:val="001C7DB5"/>
    <w:rsid w:val="001C7E91"/>
    <w:rsid w:val="001C7F88"/>
    <w:rsid w:val="001D01F1"/>
    <w:rsid w:val="001D02A2"/>
    <w:rsid w:val="001D0778"/>
    <w:rsid w:val="001D0E29"/>
    <w:rsid w:val="001D21E6"/>
    <w:rsid w:val="001D2BAD"/>
    <w:rsid w:val="001D3B99"/>
    <w:rsid w:val="001D491F"/>
    <w:rsid w:val="001D57C0"/>
    <w:rsid w:val="001D5B7A"/>
    <w:rsid w:val="001D69A0"/>
    <w:rsid w:val="001D6C04"/>
    <w:rsid w:val="001D70A6"/>
    <w:rsid w:val="001D7137"/>
    <w:rsid w:val="001E058A"/>
    <w:rsid w:val="001E05C6"/>
    <w:rsid w:val="001E0B29"/>
    <w:rsid w:val="001E19BC"/>
    <w:rsid w:val="001E1A53"/>
    <w:rsid w:val="001E2CFB"/>
    <w:rsid w:val="001E3574"/>
    <w:rsid w:val="001E4106"/>
    <w:rsid w:val="001E4225"/>
    <w:rsid w:val="001E5B8E"/>
    <w:rsid w:val="001E5DEC"/>
    <w:rsid w:val="001E60D5"/>
    <w:rsid w:val="001F0488"/>
    <w:rsid w:val="001F3665"/>
    <w:rsid w:val="001F43D8"/>
    <w:rsid w:val="001F43E3"/>
    <w:rsid w:val="001F55D5"/>
    <w:rsid w:val="001F5958"/>
    <w:rsid w:val="001F5F40"/>
    <w:rsid w:val="001F75D6"/>
    <w:rsid w:val="001F79C6"/>
    <w:rsid w:val="001F7B55"/>
    <w:rsid w:val="00200BE3"/>
    <w:rsid w:val="00203F27"/>
    <w:rsid w:val="0020403A"/>
    <w:rsid w:val="00205242"/>
    <w:rsid w:val="00205B95"/>
    <w:rsid w:val="00206970"/>
    <w:rsid w:val="00206D03"/>
    <w:rsid w:val="00207453"/>
    <w:rsid w:val="0020784E"/>
    <w:rsid w:val="00207B80"/>
    <w:rsid w:val="00210868"/>
    <w:rsid w:val="00210D81"/>
    <w:rsid w:val="00213B95"/>
    <w:rsid w:val="00214C25"/>
    <w:rsid w:val="002170BF"/>
    <w:rsid w:val="002177B3"/>
    <w:rsid w:val="00217C4E"/>
    <w:rsid w:val="00220599"/>
    <w:rsid w:val="00220F20"/>
    <w:rsid w:val="00221BC9"/>
    <w:rsid w:val="0022290A"/>
    <w:rsid w:val="00223564"/>
    <w:rsid w:val="002242F7"/>
    <w:rsid w:val="00224FA9"/>
    <w:rsid w:val="002259AF"/>
    <w:rsid w:val="00225BD2"/>
    <w:rsid w:val="00225DE7"/>
    <w:rsid w:val="00230396"/>
    <w:rsid w:val="0023097E"/>
    <w:rsid w:val="00230BAB"/>
    <w:rsid w:val="00232A03"/>
    <w:rsid w:val="0023535F"/>
    <w:rsid w:val="002353F6"/>
    <w:rsid w:val="00235E4A"/>
    <w:rsid w:val="00237CE3"/>
    <w:rsid w:val="0024069A"/>
    <w:rsid w:val="00242DC1"/>
    <w:rsid w:val="0024349F"/>
    <w:rsid w:val="00243CC9"/>
    <w:rsid w:val="00243D31"/>
    <w:rsid w:val="002450F3"/>
    <w:rsid w:val="00245B0C"/>
    <w:rsid w:val="002461D4"/>
    <w:rsid w:val="002469C9"/>
    <w:rsid w:val="00247332"/>
    <w:rsid w:val="00247418"/>
    <w:rsid w:val="00250E63"/>
    <w:rsid w:val="00251D6F"/>
    <w:rsid w:val="00252194"/>
    <w:rsid w:val="00252313"/>
    <w:rsid w:val="00252626"/>
    <w:rsid w:val="00253CC7"/>
    <w:rsid w:val="00254560"/>
    <w:rsid w:val="002556E9"/>
    <w:rsid w:val="00255D89"/>
    <w:rsid w:val="002564D7"/>
    <w:rsid w:val="00256A4C"/>
    <w:rsid w:val="00256F3A"/>
    <w:rsid w:val="0025718D"/>
    <w:rsid w:val="0026143A"/>
    <w:rsid w:val="00261A03"/>
    <w:rsid w:val="00262DB1"/>
    <w:rsid w:val="0026312F"/>
    <w:rsid w:val="00263C26"/>
    <w:rsid w:val="00264ABB"/>
    <w:rsid w:val="00264ADE"/>
    <w:rsid w:val="002652DF"/>
    <w:rsid w:val="00265BD8"/>
    <w:rsid w:val="00270E21"/>
    <w:rsid w:val="00271322"/>
    <w:rsid w:val="00271AC3"/>
    <w:rsid w:val="00271DC6"/>
    <w:rsid w:val="002723CB"/>
    <w:rsid w:val="002725C1"/>
    <w:rsid w:val="002730B0"/>
    <w:rsid w:val="00273450"/>
    <w:rsid w:val="0027458E"/>
    <w:rsid w:val="00274EC0"/>
    <w:rsid w:val="00277604"/>
    <w:rsid w:val="00282019"/>
    <w:rsid w:val="00283433"/>
    <w:rsid w:val="002838E3"/>
    <w:rsid w:val="002851CE"/>
    <w:rsid w:val="002854BF"/>
    <w:rsid w:val="00285856"/>
    <w:rsid w:val="00286867"/>
    <w:rsid w:val="00287281"/>
    <w:rsid w:val="002877B6"/>
    <w:rsid w:val="00287BE6"/>
    <w:rsid w:val="0029033C"/>
    <w:rsid w:val="00291657"/>
    <w:rsid w:val="002919FB"/>
    <w:rsid w:val="00291CAB"/>
    <w:rsid w:val="002951C3"/>
    <w:rsid w:val="00295ACF"/>
    <w:rsid w:val="00296493"/>
    <w:rsid w:val="00297040"/>
    <w:rsid w:val="002A0E82"/>
    <w:rsid w:val="002A1AEC"/>
    <w:rsid w:val="002A1D48"/>
    <w:rsid w:val="002A3A6E"/>
    <w:rsid w:val="002A3AC8"/>
    <w:rsid w:val="002A5399"/>
    <w:rsid w:val="002A5F4A"/>
    <w:rsid w:val="002A7048"/>
    <w:rsid w:val="002A740E"/>
    <w:rsid w:val="002A782B"/>
    <w:rsid w:val="002B0047"/>
    <w:rsid w:val="002B0089"/>
    <w:rsid w:val="002B1332"/>
    <w:rsid w:val="002B2460"/>
    <w:rsid w:val="002B31AD"/>
    <w:rsid w:val="002B3767"/>
    <w:rsid w:val="002B4B0D"/>
    <w:rsid w:val="002B76CB"/>
    <w:rsid w:val="002B7818"/>
    <w:rsid w:val="002C011D"/>
    <w:rsid w:val="002C0A9D"/>
    <w:rsid w:val="002C1393"/>
    <w:rsid w:val="002C229A"/>
    <w:rsid w:val="002C3151"/>
    <w:rsid w:val="002C3E20"/>
    <w:rsid w:val="002C3F4C"/>
    <w:rsid w:val="002C4236"/>
    <w:rsid w:val="002C4311"/>
    <w:rsid w:val="002C4ABE"/>
    <w:rsid w:val="002C61A7"/>
    <w:rsid w:val="002C73A9"/>
    <w:rsid w:val="002D01EE"/>
    <w:rsid w:val="002D08E2"/>
    <w:rsid w:val="002D0BD9"/>
    <w:rsid w:val="002D10DC"/>
    <w:rsid w:val="002D33E8"/>
    <w:rsid w:val="002D3780"/>
    <w:rsid w:val="002D4003"/>
    <w:rsid w:val="002D5216"/>
    <w:rsid w:val="002D5C5B"/>
    <w:rsid w:val="002D6130"/>
    <w:rsid w:val="002D650D"/>
    <w:rsid w:val="002E00A3"/>
    <w:rsid w:val="002E0503"/>
    <w:rsid w:val="002E0CB0"/>
    <w:rsid w:val="002E1770"/>
    <w:rsid w:val="002E3271"/>
    <w:rsid w:val="002E3715"/>
    <w:rsid w:val="002E4908"/>
    <w:rsid w:val="002E546B"/>
    <w:rsid w:val="002E59E3"/>
    <w:rsid w:val="002E6F2D"/>
    <w:rsid w:val="002E7381"/>
    <w:rsid w:val="002F0238"/>
    <w:rsid w:val="002F2FB3"/>
    <w:rsid w:val="002F3B92"/>
    <w:rsid w:val="002F429C"/>
    <w:rsid w:val="002F4D5E"/>
    <w:rsid w:val="002F50FB"/>
    <w:rsid w:val="002F58E9"/>
    <w:rsid w:val="002F6563"/>
    <w:rsid w:val="002F6726"/>
    <w:rsid w:val="002F6E67"/>
    <w:rsid w:val="00300C9D"/>
    <w:rsid w:val="00301857"/>
    <w:rsid w:val="00303915"/>
    <w:rsid w:val="00304ABF"/>
    <w:rsid w:val="0030527A"/>
    <w:rsid w:val="0030541E"/>
    <w:rsid w:val="003054A6"/>
    <w:rsid w:val="00305684"/>
    <w:rsid w:val="003058F5"/>
    <w:rsid w:val="00306411"/>
    <w:rsid w:val="00307350"/>
    <w:rsid w:val="003077A3"/>
    <w:rsid w:val="003100C8"/>
    <w:rsid w:val="00310CE1"/>
    <w:rsid w:val="0031247C"/>
    <w:rsid w:val="0031278E"/>
    <w:rsid w:val="0031381F"/>
    <w:rsid w:val="00315C97"/>
    <w:rsid w:val="00316B27"/>
    <w:rsid w:val="00316BFA"/>
    <w:rsid w:val="003203B5"/>
    <w:rsid w:val="00322A65"/>
    <w:rsid w:val="0032388C"/>
    <w:rsid w:val="00324417"/>
    <w:rsid w:val="00324791"/>
    <w:rsid w:val="00324B2C"/>
    <w:rsid w:val="00324E5B"/>
    <w:rsid w:val="00325440"/>
    <w:rsid w:val="0032579A"/>
    <w:rsid w:val="0032615A"/>
    <w:rsid w:val="003269C4"/>
    <w:rsid w:val="00326A17"/>
    <w:rsid w:val="00326C17"/>
    <w:rsid w:val="00330392"/>
    <w:rsid w:val="00332B32"/>
    <w:rsid w:val="00334734"/>
    <w:rsid w:val="00337C48"/>
    <w:rsid w:val="00337DFD"/>
    <w:rsid w:val="003408A6"/>
    <w:rsid w:val="00341A21"/>
    <w:rsid w:val="00341DA1"/>
    <w:rsid w:val="00342B59"/>
    <w:rsid w:val="00343EE8"/>
    <w:rsid w:val="003440BD"/>
    <w:rsid w:val="00344581"/>
    <w:rsid w:val="00344E04"/>
    <w:rsid w:val="0034537F"/>
    <w:rsid w:val="00345650"/>
    <w:rsid w:val="00345910"/>
    <w:rsid w:val="003459E2"/>
    <w:rsid w:val="00346717"/>
    <w:rsid w:val="00346964"/>
    <w:rsid w:val="0034706A"/>
    <w:rsid w:val="00350442"/>
    <w:rsid w:val="00350B3E"/>
    <w:rsid w:val="00352BC7"/>
    <w:rsid w:val="00353BBC"/>
    <w:rsid w:val="00353F42"/>
    <w:rsid w:val="0035474E"/>
    <w:rsid w:val="00354EEE"/>
    <w:rsid w:val="003558F2"/>
    <w:rsid w:val="003573EB"/>
    <w:rsid w:val="00357B6E"/>
    <w:rsid w:val="00361C64"/>
    <w:rsid w:val="00362240"/>
    <w:rsid w:val="00362AC9"/>
    <w:rsid w:val="00365954"/>
    <w:rsid w:val="003665E4"/>
    <w:rsid w:val="00366660"/>
    <w:rsid w:val="00366816"/>
    <w:rsid w:val="003669C8"/>
    <w:rsid w:val="00366C32"/>
    <w:rsid w:val="00367224"/>
    <w:rsid w:val="00370193"/>
    <w:rsid w:val="0037038A"/>
    <w:rsid w:val="003704B1"/>
    <w:rsid w:val="003708CD"/>
    <w:rsid w:val="00370F92"/>
    <w:rsid w:val="00372113"/>
    <w:rsid w:val="00372BA4"/>
    <w:rsid w:val="00372E6D"/>
    <w:rsid w:val="003742CF"/>
    <w:rsid w:val="00374917"/>
    <w:rsid w:val="00374CE0"/>
    <w:rsid w:val="0037549D"/>
    <w:rsid w:val="0037692B"/>
    <w:rsid w:val="003802BC"/>
    <w:rsid w:val="003807E7"/>
    <w:rsid w:val="00381C7A"/>
    <w:rsid w:val="0038279A"/>
    <w:rsid w:val="00383585"/>
    <w:rsid w:val="00384528"/>
    <w:rsid w:val="003870F0"/>
    <w:rsid w:val="0039007A"/>
    <w:rsid w:val="00390FB3"/>
    <w:rsid w:val="00391B6F"/>
    <w:rsid w:val="00392B85"/>
    <w:rsid w:val="00393001"/>
    <w:rsid w:val="003943C4"/>
    <w:rsid w:val="00394901"/>
    <w:rsid w:val="00395BB0"/>
    <w:rsid w:val="003961C6"/>
    <w:rsid w:val="003965A9"/>
    <w:rsid w:val="003967A2"/>
    <w:rsid w:val="00397F28"/>
    <w:rsid w:val="003A0763"/>
    <w:rsid w:val="003A07CB"/>
    <w:rsid w:val="003A2FF8"/>
    <w:rsid w:val="003A3074"/>
    <w:rsid w:val="003A37DD"/>
    <w:rsid w:val="003A50AE"/>
    <w:rsid w:val="003A5385"/>
    <w:rsid w:val="003A54C7"/>
    <w:rsid w:val="003A67D6"/>
    <w:rsid w:val="003A6A3A"/>
    <w:rsid w:val="003A6C95"/>
    <w:rsid w:val="003A76DB"/>
    <w:rsid w:val="003B349B"/>
    <w:rsid w:val="003B3893"/>
    <w:rsid w:val="003B3CEA"/>
    <w:rsid w:val="003B3E5F"/>
    <w:rsid w:val="003B561F"/>
    <w:rsid w:val="003B68C7"/>
    <w:rsid w:val="003B6D2E"/>
    <w:rsid w:val="003B72E5"/>
    <w:rsid w:val="003B7738"/>
    <w:rsid w:val="003B7B99"/>
    <w:rsid w:val="003B7FF2"/>
    <w:rsid w:val="003C042A"/>
    <w:rsid w:val="003C0F72"/>
    <w:rsid w:val="003C14DA"/>
    <w:rsid w:val="003C2DB2"/>
    <w:rsid w:val="003C31AF"/>
    <w:rsid w:val="003C384E"/>
    <w:rsid w:val="003C4355"/>
    <w:rsid w:val="003C446B"/>
    <w:rsid w:val="003C473F"/>
    <w:rsid w:val="003C51A2"/>
    <w:rsid w:val="003C729B"/>
    <w:rsid w:val="003C7FAE"/>
    <w:rsid w:val="003D09C0"/>
    <w:rsid w:val="003D2264"/>
    <w:rsid w:val="003D4446"/>
    <w:rsid w:val="003D4638"/>
    <w:rsid w:val="003D4D1D"/>
    <w:rsid w:val="003D6E02"/>
    <w:rsid w:val="003D70DF"/>
    <w:rsid w:val="003D71AE"/>
    <w:rsid w:val="003D7753"/>
    <w:rsid w:val="003D7B97"/>
    <w:rsid w:val="003E07E5"/>
    <w:rsid w:val="003E0A5C"/>
    <w:rsid w:val="003E0C89"/>
    <w:rsid w:val="003E22D4"/>
    <w:rsid w:val="003E2B94"/>
    <w:rsid w:val="003E3836"/>
    <w:rsid w:val="003E48AA"/>
    <w:rsid w:val="003E4B1D"/>
    <w:rsid w:val="003E4CD9"/>
    <w:rsid w:val="003E6456"/>
    <w:rsid w:val="003E73BC"/>
    <w:rsid w:val="003F07AF"/>
    <w:rsid w:val="003F0ABA"/>
    <w:rsid w:val="003F0E5A"/>
    <w:rsid w:val="003F17CB"/>
    <w:rsid w:val="003F1C7C"/>
    <w:rsid w:val="003F27D1"/>
    <w:rsid w:val="003F287E"/>
    <w:rsid w:val="003F3939"/>
    <w:rsid w:val="003F49BF"/>
    <w:rsid w:val="003F7233"/>
    <w:rsid w:val="003F73C2"/>
    <w:rsid w:val="00401CAF"/>
    <w:rsid w:val="00401EB5"/>
    <w:rsid w:val="004023F4"/>
    <w:rsid w:val="00402479"/>
    <w:rsid w:val="0040438F"/>
    <w:rsid w:val="00404496"/>
    <w:rsid w:val="004051BE"/>
    <w:rsid w:val="00406D11"/>
    <w:rsid w:val="00410827"/>
    <w:rsid w:val="00411760"/>
    <w:rsid w:val="00411FED"/>
    <w:rsid w:val="004140BA"/>
    <w:rsid w:val="004144EB"/>
    <w:rsid w:val="004144EE"/>
    <w:rsid w:val="004146BE"/>
    <w:rsid w:val="00414855"/>
    <w:rsid w:val="00415460"/>
    <w:rsid w:val="00415478"/>
    <w:rsid w:val="00415483"/>
    <w:rsid w:val="004154A3"/>
    <w:rsid w:val="00415524"/>
    <w:rsid w:val="00415A5E"/>
    <w:rsid w:val="00415C58"/>
    <w:rsid w:val="00416F67"/>
    <w:rsid w:val="00417CCE"/>
    <w:rsid w:val="00421677"/>
    <w:rsid w:val="00421E3B"/>
    <w:rsid w:val="0042209A"/>
    <w:rsid w:val="004223FD"/>
    <w:rsid w:val="0042298A"/>
    <w:rsid w:val="004230DA"/>
    <w:rsid w:val="004235F4"/>
    <w:rsid w:val="0042448B"/>
    <w:rsid w:val="004246D3"/>
    <w:rsid w:val="00424DBA"/>
    <w:rsid w:val="004261F1"/>
    <w:rsid w:val="00427697"/>
    <w:rsid w:val="00430570"/>
    <w:rsid w:val="004315AC"/>
    <w:rsid w:val="00431621"/>
    <w:rsid w:val="00431969"/>
    <w:rsid w:val="00431F78"/>
    <w:rsid w:val="00433F60"/>
    <w:rsid w:val="004348E3"/>
    <w:rsid w:val="00435582"/>
    <w:rsid w:val="00436201"/>
    <w:rsid w:val="00437292"/>
    <w:rsid w:val="0044114D"/>
    <w:rsid w:val="00441920"/>
    <w:rsid w:val="004419DA"/>
    <w:rsid w:val="00441B3C"/>
    <w:rsid w:val="00441BFA"/>
    <w:rsid w:val="00442945"/>
    <w:rsid w:val="00442E12"/>
    <w:rsid w:val="00443198"/>
    <w:rsid w:val="00444447"/>
    <w:rsid w:val="00444F22"/>
    <w:rsid w:val="0044579D"/>
    <w:rsid w:val="00446BCB"/>
    <w:rsid w:val="00446D3D"/>
    <w:rsid w:val="0044741A"/>
    <w:rsid w:val="00447592"/>
    <w:rsid w:val="0045175A"/>
    <w:rsid w:val="00454286"/>
    <w:rsid w:val="0045431E"/>
    <w:rsid w:val="00455C99"/>
    <w:rsid w:val="004572B4"/>
    <w:rsid w:val="00457386"/>
    <w:rsid w:val="004605A3"/>
    <w:rsid w:val="004610A5"/>
    <w:rsid w:val="004610AA"/>
    <w:rsid w:val="0046178C"/>
    <w:rsid w:val="00461E0C"/>
    <w:rsid w:val="004622AF"/>
    <w:rsid w:val="0046364A"/>
    <w:rsid w:val="00464C46"/>
    <w:rsid w:val="004671AE"/>
    <w:rsid w:val="00467B57"/>
    <w:rsid w:val="004715B6"/>
    <w:rsid w:val="0047297D"/>
    <w:rsid w:val="0047307A"/>
    <w:rsid w:val="00473CA5"/>
    <w:rsid w:val="00474F36"/>
    <w:rsid w:val="00474FC8"/>
    <w:rsid w:val="00475D45"/>
    <w:rsid w:val="004760F2"/>
    <w:rsid w:val="004761B9"/>
    <w:rsid w:val="00476F04"/>
    <w:rsid w:val="004775A6"/>
    <w:rsid w:val="004812AC"/>
    <w:rsid w:val="004822FC"/>
    <w:rsid w:val="004854BF"/>
    <w:rsid w:val="0048674B"/>
    <w:rsid w:val="00486C6D"/>
    <w:rsid w:val="0048747D"/>
    <w:rsid w:val="00490BCE"/>
    <w:rsid w:val="004913AB"/>
    <w:rsid w:val="00492432"/>
    <w:rsid w:val="00492787"/>
    <w:rsid w:val="004928EE"/>
    <w:rsid w:val="004938FA"/>
    <w:rsid w:val="00493D5E"/>
    <w:rsid w:val="004949D0"/>
    <w:rsid w:val="0049771B"/>
    <w:rsid w:val="0049798B"/>
    <w:rsid w:val="00497BCA"/>
    <w:rsid w:val="004A2017"/>
    <w:rsid w:val="004A2A28"/>
    <w:rsid w:val="004A41B7"/>
    <w:rsid w:val="004A5287"/>
    <w:rsid w:val="004A572B"/>
    <w:rsid w:val="004A5E42"/>
    <w:rsid w:val="004A6496"/>
    <w:rsid w:val="004A719B"/>
    <w:rsid w:val="004A7831"/>
    <w:rsid w:val="004B1011"/>
    <w:rsid w:val="004B14C4"/>
    <w:rsid w:val="004B1784"/>
    <w:rsid w:val="004B30C3"/>
    <w:rsid w:val="004B7EF6"/>
    <w:rsid w:val="004C40E8"/>
    <w:rsid w:val="004C456A"/>
    <w:rsid w:val="004C494D"/>
    <w:rsid w:val="004C4F45"/>
    <w:rsid w:val="004C52E0"/>
    <w:rsid w:val="004C54A0"/>
    <w:rsid w:val="004C5B03"/>
    <w:rsid w:val="004C749A"/>
    <w:rsid w:val="004C7AC4"/>
    <w:rsid w:val="004D08F5"/>
    <w:rsid w:val="004D0DD2"/>
    <w:rsid w:val="004D362A"/>
    <w:rsid w:val="004D3683"/>
    <w:rsid w:val="004D47B1"/>
    <w:rsid w:val="004D4923"/>
    <w:rsid w:val="004D5A16"/>
    <w:rsid w:val="004D5A6F"/>
    <w:rsid w:val="004D5B29"/>
    <w:rsid w:val="004D5C73"/>
    <w:rsid w:val="004D5E02"/>
    <w:rsid w:val="004D5F70"/>
    <w:rsid w:val="004D75D8"/>
    <w:rsid w:val="004D7A29"/>
    <w:rsid w:val="004E05E7"/>
    <w:rsid w:val="004E1757"/>
    <w:rsid w:val="004E2F35"/>
    <w:rsid w:val="004E3204"/>
    <w:rsid w:val="004E3FFF"/>
    <w:rsid w:val="004E4222"/>
    <w:rsid w:val="004E4281"/>
    <w:rsid w:val="004E58C3"/>
    <w:rsid w:val="004E6C75"/>
    <w:rsid w:val="004E75A8"/>
    <w:rsid w:val="004E79BD"/>
    <w:rsid w:val="004F09EA"/>
    <w:rsid w:val="004F112E"/>
    <w:rsid w:val="004F2383"/>
    <w:rsid w:val="004F23E9"/>
    <w:rsid w:val="004F2FF1"/>
    <w:rsid w:val="004F39A2"/>
    <w:rsid w:val="004F4A53"/>
    <w:rsid w:val="004F5854"/>
    <w:rsid w:val="004F5BCA"/>
    <w:rsid w:val="004F7221"/>
    <w:rsid w:val="004F72E9"/>
    <w:rsid w:val="00500EDA"/>
    <w:rsid w:val="00501917"/>
    <w:rsid w:val="00501F73"/>
    <w:rsid w:val="00502D50"/>
    <w:rsid w:val="00503295"/>
    <w:rsid w:val="00503571"/>
    <w:rsid w:val="00503A81"/>
    <w:rsid w:val="00503B2F"/>
    <w:rsid w:val="00503E65"/>
    <w:rsid w:val="00504CED"/>
    <w:rsid w:val="00504D5D"/>
    <w:rsid w:val="00505BA0"/>
    <w:rsid w:val="00505E50"/>
    <w:rsid w:val="00506F07"/>
    <w:rsid w:val="00507490"/>
    <w:rsid w:val="00510005"/>
    <w:rsid w:val="005113DC"/>
    <w:rsid w:val="00511D83"/>
    <w:rsid w:val="00512879"/>
    <w:rsid w:val="00512C92"/>
    <w:rsid w:val="00512E9F"/>
    <w:rsid w:val="005132B7"/>
    <w:rsid w:val="00513BC3"/>
    <w:rsid w:val="00514497"/>
    <w:rsid w:val="00514988"/>
    <w:rsid w:val="00514C76"/>
    <w:rsid w:val="00515110"/>
    <w:rsid w:val="005154BC"/>
    <w:rsid w:val="00517839"/>
    <w:rsid w:val="00520B5D"/>
    <w:rsid w:val="00521112"/>
    <w:rsid w:val="00523193"/>
    <w:rsid w:val="00523347"/>
    <w:rsid w:val="0052377B"/>
    <w:rsid w:val="00524898"/>
    <w:rsid w:val="005255F3"/>
    <w:rsid w:val="00525715"/>
    <w:rsid w:val="00525DBB"/>
    <w:rsid w:val="005262C2"/>
    <w:rsid w:val="005265C0"/>
    <w:rsid w:val="00527A20"/>
    <w:rsid w:val="00530F5B"/>
    <w:rsid w:val="005310AE"/>
    <w:rsid w:val="005318B9"/>
    <w:rsid w:val="00531E07"/>
    <w:rsid w:val="005321F4"/>
    <w:rsid w:val="0053271E"/>
    <w:rsid w:val="005332F5"/>
    <w:rsid w:val="00534585"/>
    <w:rsid w:val="00534A1D"/>
    <w:rsid w:val="00535011"/>
    <w:rsid w:val="00535439"/>
    <w:rsid w:val="00536ABE"/>
    <w:rsid w:val="005373F9"/>
    <w:rsid w:val="005403EF"/>
    <w:rsid w:val="00540F72"/>
    <w:rsid w:val="00543297"/>
    <w:rsid w:val="00543DB7"/>
    <w:rsid w:val="00544BCF"/>
    <w:rsid w:val="00545FB5"/>
    <w:rsid w:val="005460F4"/>
    <w:rsid w:val="005469D0"/>
    <w:rsid w:val="005507C7"/>
    <w:rsid w:val="00550855"/>
    <w:rsid w:val="00551BEE"/>
    <w:rsid w:val="00555069"/>
    <w:rsid w:val="00555AFF"/>
    <w:rsid w:val="00555CA0"/>
    <w:rsid w:val="005579D3"/>
    <w:rsid w:val="00560ABF"/>
    <w:rsid w:val="00560E96"/>
    <w:rsid w:val="005611AB"/>
    <w:rsid w:val="00565214"/>
    <w:rsid w:val="0056564F"/>
    <w:rsid w:val="00565692"/>
    <w:rsid w:val="005656E1"/>
    <w:rsid w:val="00565F24"/>
    <w:rsid w:val="00566A05"/>
    <w:rsid w:val="00567178"/>
    <w:rsid w:val="005673FC"/>
    <w:rsid w:val="00571A10"/>
    <w:rsid w:val="00572F46"/>
    <w:rsid w:val="00574C77"/>
    <w:rsid w:val="005775D1"/>
    <w:rsid w:val="00584B20"/>
    <w:rsid w:val="005850E9"/>
    <w:rsid w:val="00586456"/>
    <w:rsid w:val="00587FBD"/>
    <w:rsid w:val="00590A8E"/>
    <w:rsid w:val="005921ED"/>
    <w:rsid w:val="00592CAB"/>
    <w:rsid w:val="00593628"/>
    <w:rsid w:val="0059500A"/>
    <w:rsid w:val="005964A2"/>
    <w:rsid w:val="0059745E"/>
    <w:rsid w:val="005976B1"/>
    <w:rsid w:val="005A08BE"/>
    <w:rsid w:val="005A0C50"/>
    <w:rsid w:val="005A1764"/>
    <w:rsid w:val="005A1D99"/>
    <w:rsid w:val="005A32B5"/>
    <w:rsid w:val="005A4155"/>
    <w:rsid w:val="005A4358"/>
    <w:rsid w:val="005A5F10"/>
    <w:rsid w:val="005A6378"/>
    <w:rsid w:val="005A69E2"/>
    <w:rsid w:val="005A6C7B"/>
    <w:rsid w:val="005A7541"/>
    <w:rsid w:val="005A7D77"/>
    <w:rsid w:val="005B01F2"/>
    <w:rsid w:val="005B135E"/>
    <w:rsid w:val="005B1461"/>
    <w:rsid w:val="005B174D"/>
    <w:rsid w:val="005B485A"/>
    <w:rsid w:val="005B4F29"/>
    <w:rsid w:val="005B5378"/>
    <w:rsid w:val="005B5F54"/>
    <w:rsid w:val="005C3A91"/>
    <w:rsid w:val="005C3D9A"/>
    <w:rsid w:val="005C409F"/>
    <w:rsid w:val="005C4A4C"/>
    <w:rsid w:val="005C4B64"/>
    <w:rsid w:val="005C507C"/>
    <w:rsid w:val="005C6B17"/>
    <w:rsid w:val="005D0128"/>
    <w:rsid w:val="005D090E"/>
    <w:rsid w:val="005D0E07"/>
    <w:rsid w:val="005D234C"/>
    <w:rsid w:val="005D330D"/>
    <w:rsid w:val="005D40C7"/>
    <w:rsid w:val="005D4382"/>
    <w:rsid w:val="005D4BF0"/>
    <w:rsid w:val="005D4D4F"/>
    <w:rsid w:val="005D5B48"/>
    <w:rsid w:val="005D60FF"/>
    <w:rsid w:val="005D6922"/>
    <w:rsid w:val="005D6A8B"/>
    <w:rsid w:val="005D6DA6"/>
    <w:rsid w:val="005D75C3"/>
    <w:rsid w:val="005E0947"/>
    <w:rsid w:val="005E0C51"/>
    <w:rsid w:val="005E390F"/>
    <w:rsid w:val="005E39DC"/>
    <w:rsid w:val="005E56CB"/>
    <w:rsid w:val="005E6754"/>
    <w:rsid w:val="005F05CF"/>
    <w:rsid w:val="005F10BC"/>
    <w:rsid w:val="005F178B"/>
    <w:rsid w:val="005F2B62"/>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AE3"/>
    <w:rsid w:val="00603D1C"/>
    <w:rsid w:val="00603FA5"/>
    <w:rsid w:val="0060482A"/>
    <w:rsid w:val="00604B46"/>
    <w:rsid w:val="006070AE"/>
    <w:rsid w:val="00607554"/>
    <w:rsid w:val="00607CD1"/>
    <w:rsid w:val="00613C23"/>
    <w:rsid w:val="00613EA0"/>
    <w:rsid w:val="006140FA"/>
    <w:rsid w:val="0061492A"/>
    <w:rsid w:val="0061524E"/>
    <w:rsid w:val="00615478"/>
    <w:rsid w:val="00615576"/>
    <w:rsid w:val="0061563D"/>
    <w:rsid w:val="006158BA"/>
    <w:rsid w:val="00615AF7"/>
    <w:rsid w:val="00617175"/>
    <w:rsid w:val="006172CD"/>
    <w:rsid w:val="00617E3A"/>
    <w:rsid w:val="006207F3"/>
    <w:rsid w:val="00620855"/>
    <w:rsid w:val="006216D9"/>
    <w:rsid w:val="00621F3C"/>
    <w:rsid w:val="00623C44"/>
    <w:rsid w:val="0062429E"/>
    <w:rsid w:val="00624BBB"/>
    <w:rsid w:val="006258E9"/>
    <w:rsid w:val="00625C7F"/>
    <w:rsid w:val="006301EB"/>
    <w:rsid w:val="0063129B"/>
    <w:rsid w:val="00631505"/>
    <w:rsid w:val="00631DA5"/>
    <w:rsid w:val="0063259E"/>
    <w:rsid w:val="006327F5"/>
    <w:rsid w:val="0063491D"/>
    <w:rsid w:val="00640D08"/>
    <w:rsid w:val="00642706"/>
    <w:rsid w:val="006428CF"/>
    <w:rsid w:val="00642A13"/>
    <w:rsid w:val="00642A8F"/>
    <w:rsid w:val="006437DA"/>
    <w:rsid w:val="00643ECB"/>
    <w:rsid w:val="0064401B"/>
    <w:rsid w:val="0064422C"/>
    <w:rsid w:val="00644313"/>
    <w:rsid w:val="00644E32"/>
    <w:rsid w:val="00645170"/>
    <w:rsid w:val="0065133F"/>
    <w:rsid w:val="0065242B"/>
    <w:rsid w:val="00652638"/>
    <w:rsid w:val="006536D9"/>
    <w:rsid w:val="00654340"/>
    <w:rsid w:val="0065458B"/>
    <w:rsid w:val="00654A2F"/>
    <w:rsid w:val="00654DC2"/>
    <w:rsid w:val="006555FE"/>
    <w:rsid w:val="00655AC4"/>
    <w:rsid w:val="00655CC0"/>
    <w:rsid w:val="0065707C"/>
    <w:rsid w:val="006574BB"/>
    <w:rsid w:val="00657FCD"/>
    <w:rsid w:val="00660C81"/>
    <w:rsid w:val="00661965"/>
    <w:rsid w:val="00662E16"/>
    <w:rsid w:val="00662E83"/>
    <w:rsid w:val="00663DDD"/>
    <w:rsid w:val="006644CC"/>
    <w:rsid w:val="00664F45"/>
    <w:rsid w:val="006651BE"/>
    <w:rsid w:val="00666BF3"/>
    <w:rsid w:val="006706A5"/>
    <w:rsid w:val="006709E7"/>
    <w:rsid w:val="00670E71"/>
    <w:rsid w:val="0067116A"/>
    <w:rsid w:val="00671A52"/>
    <w:rsid w:val="00671D61"/>
    <w:rsid w:val="00672851"/>
    <w:rsid w:val="00672B53"/>
    <w:rsid w:val="006737A1"/>
    <w:rsid w:val="00673F81"/>
    <w:rsid w:val="006747AD"/>
    <w:rsid w:val="0067589C"/>
    <w:rsid w:val="00677B6A"/>
    <w:rsid w:val="00680324"/>
    <w:rsid w:val="006811E0"/>
    <w:rsid w:val="006836BF"/>
    <w:rsid w:val="00685438"/>
    <w:rsid w:val="00685C47"/>
    <w:rsid w:val="00686195"/>
    <w:rsid w:val="0068734F"/>
    <w:rsid w:val="006873CB"/>
    <w:rsid w:val="006878D9"/>
    <w:rsid w:val="00690B33"/>
    <w:rsid w:val="00690F25"/>
    <w:rsid w:val="00693910"/>
    <w:rsid w:val="00694B21"/>
    <w:rsid w:val="00694D4A"/>
    <w:rsid w:val="00695654"/>
    <w:rsid w:val="00696608"/>
    <w:rsid w:val="00697605"/>
    <w:rsid w:val="00697E1F"/>
    <w:rsid w:val="006A0461"/>
    <w:rsid w:val="006A0550"/>
    <w:rsid w:val="006A0B82"/>
    <w:rsid w:val="006A29BE"/>
    <w:rsid w:val="006A2C4F"/>
    <w:rsid w:val="006A35EC"/>
    <w:rsid w:val="006A4113"/>
    <w:rsid w:val="006A4BAE"/>
    <w:rsid w:val="006A5CFC"/>
    <w:rsid w:val="006A5DB1"/>
    <w:rsid w:val="006A780B"/>
    <w:rsid w:val="006A7945"/>
    <w:rsid w:val="006A7DB6"/>
    <w:rsid w:val="006B1632"/>
    <w:rsid w:val="006B1689"/>
    <w:rsid w:val="006B247F"/>
    <w:rsid w:val="006B460D"/>
    <w:rsid w:val="006B60F1"/>
    <w:rsid w:val="006B76F8"/>
    <w:rsid w:val="006C0D4C"/>
    <w:rsid w:val="006C19BA"/>
    <w:rsid w:val="006C498E"/>
    <w:rsid w:val="006C5411"/>
    <w:rsid w:val="006C56A5"/>
    <w:rsid w:val="006C58A2"/>
    <w:rsid w:val="006C5BFF"/>
    <w:rsid w:val="006C5D46"/>
    <w:rsid w:val="006C5DAF"/>
    <w:rsid w:val="006C7E2C"/>
    <w:rsid w:val="006D0207"/>
    <w:rsid w:val="006D04EE"/>
    <w:rsid w:val="006D1398"/>
    <w:rsid w:val="006D237A"/>
    <w:rsid w:val="006D3169"/>
    <w:rsid w:val="006D3E9D"/>
    <w:rsid w:val="006D590F"/>
    <w:rsid w:val="006D6E56"/>
    <w:rsid w:val="006E0ACD"/>
    <w:rsid w:val="006E19CA"/>
    <w:rsid w:val="006E1C9D"/>
    <w:rsid w:val="006E270D"/>
    <w:rsid w:val="006E2F4F"/>
    <w:rsid w:val="006E3492"/>
    <w:rsid w:val="006E3777"/>
    <w:rsid w:val="006E50F1"/>
    <w:rsid w:val="006E63A9"/>
    <w:rsid w:val="006F0018"/>
    <w:rsid w:val="006F063A"/>
    <w:rsid w:val="006F32C7"/>
    <w:rsid w:val="006F381F"/>
    <w:rsid w:val="006F3908"/>
    <w:rsid w:val="006F3C92"/>
    <w:rsid w:val="006F4482"/>
    <w:rsid w:val="006F59DE"/>
    <w:rsid w:val="006F73BE"/>
    <w:rsid w:val="00700664"/>
    <w:rsid w:val="00701FAC"/>
    <w:rsid w:val="00702EF7"/>
    <w:rsid w:val="00704460"/>
    <w:rsid w:val="00704A66"/>
    <w:rsid w:val="007052E1"/>
    <w:rsid w:val="007061D6"/>
    <w:rsid w:val="0070698C"/>
    <w:rsid w:val="00706A32"/>
    <w:rsid w:val="007078B7"/>
    <w:rsid w:val="007078DA"/>
    <w:rsid w:val="00710EAE"/>
    <w:rsid w:val="007132B5"/>
    <w:rsid w:val="007132BF"/>
    <w:rsid w:val="007143CA"/>
    <w:rsid w:val="00714DAA"/>
    <w:rsid w:val="00715A0C"/>
    <w:rsid w:val="00715A44"/>
    <w:rsid w:val="00715D19"/>
    <w:rsid w:val="00716C77"/>
    <w:rsid w:val="00716DBB"/>
    <w:rsid w:val="00717887"/>
    <w:rsid w:val="00717AA6"/>
    <w:rsid w:val="00720090"/>
    <w:rsid w:val="007210B2"/>
    <w:rsid w:val="0072171D"/>
    <w:rsid w:val="007225AC"/>
    <w:rsid w:val="0072487D"/>
    <w:rsid w:val="007251BB"/>
    <w:rsid w:val="007258B9"/>
    <w:rsid w:val="00732100"/>
    <w:rsid w:val="007325F6"/>
    <w:rsid w:val="00732C4E"/>
    <w:rsid w:val="00733D05"/>
    <w:rsid w:val="00733E24"/>
    <w:rsid w:val="00733E87"/>
    <w:rsid w:val="00735B80"/>
    <w:rsid w:val="00735D54"/>
    <w:rsid w:val="00736CA8"/>
    <w:rsid w:val="00737C3A"/>
    <w:rsid w:val="00737F05"/>
    <w:rsid w:val="00740D7F"/>
    <w:rsid w:val="007431F5"/>
    <w:rsid w:val="00743E16"/>
    <w:rsid w:val="00744CFC"/>
    <w:rsid w:val="00745223"/>
    <w:rsid w:val="007455B2"/>
    <w:rsid w:val="00745908"/>
    <w:rsid w:val="0074691D"/>
    <w:rsid w:val="007477F4"/>
    <w:rsid w:val="00752178"/>
    <w:rsid w:val="0075282E"/>
    <w:rsid w:val="00752F02"/>
    <w:rsid w:val="00753252"/>
    <w:rsid w:val="00753516"/>
    <w:rsid w:val="0075453B"/>
    <w:rsid w:val="0075479A"/>
    <w:rsid w:val="00754881"/>
    <w:rsid w:val="0075490F"/>
    <w:rsid w:val="00754AB5"/>
    <w:rsid w:val="00754BDD"/>
    <w:rsid w:val="0075617D"/>
    <w:rsid w:val="007564AB"/>
    <w:rsid w:val="00756930"/>
    <w:rsid w:val="00756DFA"/>
    <w:rsid w:val="007570AE"/>
    <w:rsid w:val="00757C4B"/>
    <w:rsid w:val="00761B0B"/>
    <w:rsid w:val="007631E0"/>
    <w:rsid w:val="00763222"/>
    <w:rsid w:val="00765781"/>
    <w:rsid w:val="00766353"/>
    <w:rsid w:val="00766E3E"/>
    <w:rsid w:val="00774460"/>
    <w:rsid w:val="00774E2A"/>
    <w:rsid w:val="0077500C"/>
    <w:rsid w:val="00780296"/>
    <w:rsid w:val="00780707"/>
    <w:rsid w:val="00780972"/>
    <w:rsid w:val="00780C4A"/>
    <w:rsid w:val="00784C0B"/>
    <w:rsid w:val="00785FEE"/>
    <w:rsid w:val="00787B2C"/>
    <w:rsid w:val="00787D24"/>
    <w:rsid w:val="0079085D"/>
    <w:rsid w:val="00795030"/>
    <w:rsid w:val="007958D9"/>
    <w:rsid w:val="00796651"/>
    <w:rsid w:val="007A1DC5"/>
    <w:rsid w:val="007A20AD"/>
    <w:rsid w:val="007A4B95"/>
    <w:rsid w:val="007A5483"/>
    <w:rsid w:val="007A54E1"/>
    <w:rsid w:val="007A5B12"/>
    <w:rsid w:val="007A5D05"/>
    <w:rsid w:val="007A7331"/>
    <w:rsid w:val="007A7415"/>
    <w:rsid w:val="007A76D9"/>
    <w:rsid w:val="007B04CE"/>
    <w:rsid w:val="007B0927"/>
    <w:rsid w:val="007B0CB0"/>
    <w:rsid w:val="007B119F"/>
    <w:rsid w:val="007B1F99"/>
    <w:rsid w:val="007B30E6"/>
    <w:rsid w:val="007B3A86"/>
    <w:rsid w:val="007B3DF4"/>
    <w:rsid w:val="007B54ED"/>
    <w:rsid w:val="007B596C"/>
    <w:rsid w:val="007C0B66"/>
    <w:rsid w:val="007C1403"/>
    <w:rsid w:val="007C31CC"/>
    <w:rsid w:val="007C3E46"/>
    <w:rsid w:val="007C528C"/>
    <w:rsid w:val="007C6051"/>
    <w:rsid w:val="007C6751"/>
    <w:rsid w:val="007D06B3"/>
    <w:rsid w:val="007D0E00"/>
    <w:rsid w:val="007D0FC5"/>
    <w:rsid w:val="007D1913"/>
    <w:rsid w:val="007D298C"/>
    <w:rsid w:val="007D3420"/>
    <w:rsid w:val="007D5362"/>
    <w:rsid w:val="007D6110"/>
    <w:rsid w:val="007D6AFD"/>
    <w:rsid w:val="007D6C48"/>
    <w:rsid w:val="007D71F7"/>
    <w:rsid w:val="007E000F"/>
    <w:rsid w:val="007E01E3"/>
    <w:rsid w:val="007E156E"/>
    <w:rsid w:val="007E2E70"/>
    <w:rsid w:val="007E3501"/>
    <w:rsid w:val="007E45B6"/>
    <w:rsid w:val="007E4C3F"/>
    <w:rsid w:val="007E54A0"/>
    <w:rsid w:val="007F03F9"/>
    <w:rsid w:val="007F0CCA"/>
    <w:rsid w:val="007F1A80"/>
    <w:rsid w:val="007F2242"/>
    <w:rsid w:val="007F2683"/>
    <w:rsid w:val="007F2956"/>
    <w:rsid w:val="007F2E32"/>
    <w:rsid w:val="007F3B25"/>
    <w:rsid w:val="007F67A7"/>
    <w:rsid w:val="007F6A11"/>
    <w:rsid w:val="008002AA"/>
    <w:rsid w:val="0080051F"/>
    <w:rsid w:val="00800AB6"/>
    <w:rsid w:val="00800E44"/>
    <w:rsid w:val="00801BD9"/>
    <w:rsid w:val="00801E78"/>
    <w:rsid w:val="0080230D"/>
    <w:rsid w:val="0080285B"/>
    <w:rsid w:val="008039BF"/>
    <w:rsid w:val="008043A1"/>
    <w:rsid w:val="00805371"/>
    <w:rsid w:val="00807F3E"/>
    <w:rsid w:val="00810827"/>
    <w:rsid w:val="00810FAF"/>
    <w:rsid w:val="0081267A"/>
    <w:rsid w:val="0081274E"/>
    <w:rsid w:val="008127D6"/>
    <w:rsid w:val="00814E45"/>
    <w:rsid w:val="00815694"/>
    <w:rsid w:val="00817DA7"/>
    <w:rsid w:val="00821B16"/>
    <w:rsid w:val="00823332"/>
    <w:rsid w:val="00824CEF"/>
    <w:rsid w:val="008254AB"/>
    <w:rsid w:val="00826480"/>
    <w:rsid w:val="008265C6"/>
    <w:rsid w:val="00830148"/>
    <w:rsid w:val="008316AD"/>
    <w:rsid w:val="008317E8"/>
    <w:rsid w:val="00831855"/>
    <w:rsid w:val="00832EA7"/>
    <w:rsid w:val="00834BC3"/>
    <w:rsid w:val="00835315"/>
    <w:rsid w:val="00835AEB"/>
    <w:rsid w:val="00840D0F"/>
    <w:rsid w:val="008414B4"/>
    <w:rsid w:val="0084200E"/>
    <w:rsid w:val="00842A84"/>
    <w:rsid w:val="00842FDE"/>
    <w:rsid w:val="00843BDF"/>
    <w:rsid w:val="008445D4"/>
    <w:rsid w:val="008446F1"/>
    <w:rsid w:val="0084533F"/>
    <w:rsid w:val="00846162"/>
    <w:rsid w:val="00846FF0"/>
    <w:rsid w:val="0085181C"/>
    <w:rsid w:val="00854B56"/>
    <w:rsid w:val="0085728C"/>
    <w:rsid w:val="00857A42"/>
    <w:rsid w:val="008611A4"/>
    <w:rsid w:val="00861466"/>
    <w:rsid w:val="0086146D"/>
    <w:rsid w:val="00861FD7"/>
    <w:rsid w:val="0086363F"/>
    <w:rsid w:val="008639C9"/>
    <w:rsid w:val="00865DA2"/>
    <w:rsid w:val="008667AD"/>
    <w:rsid w:val="00866D13"/>
    <w:rsid w:val="00871B93"/>
    <w:rsid w:val="00873D62"/>
    <w:rsid w:val="00874DEF"/>
    <w:rsid w:val="00875599"/>
    <w:rsid w:val="008765FA"/>
    <w:rsid w:val="00876FA8"/>
    <w:rsid w:val="00877AAA"/>
    <w:rsid w:val="00877C07"/>
    <w:rsid w:val="0088013C"/>
    <w:rsid w:val="00880E96"/>
    <w:rsid w:val="00881882"/>
    <w:rsid w:val="00882AC7"/>
    <w:rsid w:val="00882CC5"/>
    <w:rsid w:val="00882DCE"/>
    <w:rsid w:val="008835E3"/>
    <w:rsid w:val="00883958"/>
    <w:rsid w:val="00884452"/>
    <w:rsid w:val="00887BF1"/>
    <w:rsid w:val="008905D7"/>
    <w:rsid w:val="008934C7"/>
    <w:rsid w:val="008957C4"/>
    <w:rsid w:val="00895B87"/>
    <w:rsid w:val="00895EB5"/>
    <w:rsid w:val="008960B7"/>
    <w:rsid w:val="008962F2"/>
    <w:rsid w:val="00896511"/>
    <w:rsid w:val="0089692A"/>
    <w:rsid w:val="00896F35"/>
    <w:rsid w:val="008975E7"/>
    <w:rsid w:val="008A08D2"/>
    <w:rsid w:val="008A0DE1"/>
    <w:rsid w:val="008A15E8"/>
    <w:rsid w:val="008A2E7B"/>
    <w:rsid w:val="008A3EA4"/>
    <w:rsid w:val="008A5A2A"/>
    <w:rsid w:val="008A5EAF"/>
    <w:rsid w:val="008A7133"/>
    <w:rsid w:val="008B01D6"/>
    <w:rsid w:val="008B0F1F"/>
    <w:rsid w:val="008B1D85"/>
    <w:rsid w:val="008B3920"/>
    <w:rsid w:val="008B5B9D"/>
    <w:rsid w:val="008B68C6"/>
    <w:rsid w:val="008B6F16"/>
    <w:rsid w:val="008B6F4B"/>
    <w:rsid w:val="008C0189"/>
    <w:rsid w:val="008C12FB"/>
    <w:rsid w:val="008C1942"/>
    <w:rsid w:val="008C202E"/>
    <w:rsid w:val="008C465E"/>
    <w:rsid w:val="008C4CE4"/>
    <w:rsid w:val="008C5856"/>
    <w:rsid w:val="008C6787"/>
    <w:rsid w:val="008C719D"/>
    <w:rsid w:val="008C73D6"/>
    <w:rsid w:val="008D005B"/>
    <w:rsid w:val="008D0C62"/>
    <w:rsid w:val="008D179E"/>
    <w:rsid w:val="008D2CD6"/>
    <w:rsid w:val="008D3A3C"/>
    <w:rsid w:val="008D4939"/>
    <w:rsid w:val="008D5059"/>
    <w:rsid w:val="008D50C8"/>
    <w:rsid w:val="008D75A6"/>
    <w:rsid w:val="008D7FC7"/>
    <w:rsid w:val="008E04DD"/>
    <w:rsid w:val="008E097D"/>
    <w:rsid w:val="008E287C"/>
    <w:rsid w:val="008E2CBC"/>
    <w:rsid w:val="008E3334"/>
    <w:rsid w:val="008E3783"/>
    <w:rsid w:val="008E3D60"/>
    <w:rsid w:val="008E45DB"/>
    <w:rsid w:val="008E4887"/>
    <w:rsid w:val="008E5B70"/>
    <w:rsid w:val="008E6F2B"/>
    <w:rsid w:val="008E7390"/>
    <w:rsid w:val="008F05C2"/>
    <w:rsid w:val="008F05F4"/>
    <w:rsid w:val="008F0991"/>
    <w:rsid w:val="008F1F00"/>
    <w:rsid w:val="008F40FA"/>
    <w:rsid w:val="008F42BB"/>
    <w:rsid w:val="008F47D1"/>
    <w:rsid w:val="008F57E0"/>
    <w:rsid w:val="008F612D"/>
    <w:rsid w:val="00901AB5"/>
    <w:rsid w:val="00905434"/>
    <w:rsid w:val="00905C39"/>
    <w:rsid w:val="009060CF"/>
    <w:rsid w:val="009072F6"/>
    <w:rsid w:val="00907697"/>
    <w:rsid w:val="009113AE"/>
    <w:rsid w:val="009116CC"/>
    <w:rsid w:val="00912262"/>
    <w:rsid w:val="00912A52"/>
    <w:rsid w:val="00912BE1"/>
    <w:rsid w:val="00916DBF"/>
    <w:rsid w:val="00920041"/>
    <w:rsid w:val="00921E66"/>
    <w:rsid w:val="00921F3C"/>
    <w:rsid w:val="009220C9"/>
    <w:rsid w:val="009221CC"/>
    <w:rsid w:val="00923A05"/>
    <w:rsid w:val="00924E06"/>
    <w:rsid w:val="00924F4A"/>
    <w:rsid w:val="009259EF"/>
    <w:rsid w:val="00927069"/>
    <w:rsid w:val="00927320"/>
    <w:rsid w:val="00927725"/>
    <w:rsid w:val="00927DC4"/>
    <w:rsid w:val="009304FE"/>
    <w:rsid w:val="00930782"/>
    <w:rsid w:val="009310AE"/>
    <w:rsid w:val="009310F0"/>
    <w:rsid w:val="00931A51"/>
    <w:rsid w:val="0093422B"/>
    <w:rsid w:val="009342EE"/>
    <w:rsid w:val="0093570A"/>
    <w:rsid w:val="009363C8"/>
    <w:rsid w:val="00936A84"/>
    <w:rsid w:val="00936C3C"/>
    <w:rsid w:val="00936EC8"/>
    <w:rsid w:val="00940C78"/>
    <w:rsid w:val="00941138"/>
    <w:rsid w:val="00941D4C"/>
    <w:rsid w:val="00942DAE"/>
    <w:rsid w:val="00943F6E"/>
    <w:rsid w:val="0094412E"/>
    <w:rsid w:val="00945D59"/>
    <w:rsid w:val="00947F9D"/>
    <w:rsid w:val="00951D24"/>
    <w:rsid w:val="00952049"/>
    <w:rsid w:val="0095274D"/>
    <w:rsid w:val="00952898"/>
    <w:rsid w:val="00953BC2"/>
    <w:rsid w:val="00953D71"/>
    <w:rsid w:val="00954376"/>
    <w:rsid w:val="0095550E"/>
    <w:rsid w:val="00955719"/>
    <w:rsid w:val="00955EF6"/>
    <w:rsid w:val="009564F3"/>
    <w:rsid w:val="009565E3"/>
    <w:rsid w:val="00956972"/>
    <w:rsid w:val="00961E91"/>
    <w:rsid w:val="00963876"/>
    <w:rsid w:val="00964BC8"/>
    <w:rsid w:val="00966051"/>
    <w:rsid w:val="00967EB9"/>
    <w:rsid w:val="00973955"/>
    <w:rsid w:val="00974568"/>
    <w:rsid w:val="0097493A"/>
    <w:rsid w:val="00977973"/>
    <w:rsid w:val="00981DB5"/>
    <w:rsid w:val="00981F79"/>
    <w:rsid w:val="009825B6"/>
    <w:rsid w:val="009834E9"/>
    <w:rsid w:val="00984326"/>
    <w:rsid w:val="009850EF"/>
    <w:rsid w:val="0098630C"/>
    <w:rsid w:val="009868FC"/>
    <w:rsid w:val="00991A16"/>
    <w:rsid w:val="00992491"/>
    <w:rsid w:val="00993BEE"/>
    <w:rsid w:val="009957DD"/>
    <w:rsid w:val="009961EE"/>
    <w:rsid w:val="00996EE2"/>
    <w:rsid w:val="00996FC8"/>
    <w:rsid w:val="009A0389"/>
    <w:rsid w:val="009A0BF1"/>
    <w:rsid w:val="009A23A4"/>
    <w:rsid w:val="009A269C"/>
    <w:rsid w:val="009A3ACE"/>
    <w:rsid w:val="009A43AF"/>
    <w:rsid w:val="009B0086"/>
    <w:rsid w:val="009B0DF1"/>
    <w:rsid w:val="009B4416"/>
    <w:rsid w:val="009B4E8F"/>
    <w:rsid w:val="009B53F4"/>
    <w:rsid w:val="009B5E0E"/>
    <w:rsid w:val="009B61A9"/>
    <w:rsid w:val="009B75B8"/>
    <w:rsid w:val="009B7759"/>
    <w:rsid w:val="009B77F7"/>
    <w:rsid w:val="009B7FCB"/>
    <w:rsid w:val="009C07DF"/>
    <w:rsid w:val="009C0E2E"/>
    <w:rsid w:val="009C0E48"/>
    <w:rsid w:val="009C190C"/>
    <w:rsid w:val="009C2436"/>
    <w:rsid w:val="009C2B04"/>
    <w:rsid w:val="009C3882"/>
    <w:rsid w:val="009C77A0"/>
    <w:rsid w:val="009C79CB"/>
    <w:rsid w:val="009D0746"/>
    <w:rsid w:val="009D1349"/>
    <w:rsid w:val="009D1640"/>
    <w:rsid w:val="009D21D0"/>
    <w:rsid w:val="009D2FBA"/>
    <w:rsid w:val="009D351E"/>
    <w:rsid w:val="009D4455"/>
    <w:rsid w:val="009D6307"/>
    <w:rsid w:val="009D7787"/>
    <w:rsid w:val="009D7C7B"/>
    <w:rsid w:val="009E02C9"/>
    <w:rsid w:val="009E2A96"/>
    <w:rsid w:val="009E2D64"/>
    <w:rsid w:val="009E2F60"/>
    <w:rsid w:val="009E39DC"/>
    <w:rsid w:val="009E3B55"/>
    <w:rsid w:val="009E44D4"/>
    <w:rsid w:val="009E455F"/>
    <w:rsid w:val="009E5575"/>
    <w:rsid w:val="009E5645"/>
    <w:rsid w:val="009E56B4"/>
    <w:rsid w:val="009E58CC"/>
    <w:rsid w:val="009E67DD"/>
    <w:rsid w:val="009E6A66"/>
    <w:rsid w:val="009F081F"/>
    <w:rsid w:val="009F2AC3"/>
    <w:rsid w:val="009F43C3"/>
    <w:rsid w:val="009F4C44"/>
    <w:rsid w:val="009F648D"/>
    <w:rsid w:val="00A020B4"/>
    <w:rsid w:val="00A024DB"/>
    <w:rsid w:val="00A02F3C"/>
    <w:rsid w:val="00A043FE"/>
    <w:rsid w:val="00A04FFC"/>
    <w:rsid w:val="00A0564B"/>
    <w:rsid w:val="00A05916"/>
    <w:rsid w:val="00A05AA6"/>
    <w:rsid w:val="00A06192"/>
    <w:rsid w:val="00A07065"/>
    <w:rsid w:val="00A101B5"/>
    <w:rsid w:val="00A10864"/>
    <w:rsid w:val="00A10886"/>
    <w:rsid w:val="00A11861"/>
    <w:rsid w:val="00A1266A"/>
    <w:rsid w:val="00A1389B"/>
    <w:rsid w:val="00A15691"/>
    <w:rsid w:val="00A1622A"/>
    <w:rsid w:val="00A16A4E"/>
    <w:rsid w:val="00A16EEB"/>
    <w:rsid w:val="00A17337"/>
    <w:rsid w:val="00A20575"/>
    <w:rsid w:val="00A20781"/>
    <w:rsid w:val="00A2114F"/>
    <w:rsid w:val="00A21A53"/>
    <w:rsid w:val="00A2216E"/>
    <w:rsid w:val="00A22F5A"/>
    <w:rsid w:val="00A2370B"/>
    <w:rsid w:val="00A23F13"/>
    <w:rsid w:val="00A245DE"/>
    <w:rsid w:val="00A2644D"/>
    <w:rsid w:val="00A26956"/>
    <w:rsid w:val="00A27ACC"/>
    <w:rsid w:val="00A27C20"/>
    <w:rsid w:val="00A30EA6"/>
    <w:rsid w:val="00A31523"/>
    <w:rsid w:val="00A31536"/>
    <w:rsid w:val="00A31FAC"/>
    <w:rsid w:val="00A3269B"/>
    <w:rsid w:val="00A346FE"/>
    <w:rsid w:val="00A3596C"/>
    <w:rsid w:val="00A36B1D"/>
    <w:rsid w:val="00A36E14"/>
    <w:rsid w:val="00A40446"/>
    <w:rsid w:val="00A437BB"/>
    <w:rsid w:val="00A44011"/>
    <w:rsid w:val="00A44499"/>
    <w:rsid w:val="00A449FF"/>
    <w:rsid w:val="00A4716C"/>
    <w:rsid w:val="00A505ED"/>
    <w:rsid w:val="00A5067D"/>
    <w:rsid w:val="00A5218D"/>
    <w:rsid w:val="00A52978"/>
    <w:rsid w:val="00A53130"/>
    <w:rsid w:val="00A53A81"/>
    <w:rsid w:val="00A53DA7"/>
    <w:rsid w:val="00A5412B"/>
    <w:rsid w:val="00A56C49"/>
    <w:rsid w:val="00A57651"/>
    <w:rsid w:val="00A57AFD"/>
    <w:rsid w:val="00A6042C"/>
    <w:rsid w:val="00A628DE"/>
    <w:rsid w:val="00A6320F"/>
    <w:rsid w:val="00A64735"/>
    <w:rsid w:val="00A64996"/>
    <w:rsid w:val="00A64ABC"/>
    <w:rsid w:val="00A64AC6"/>
    <w:rsid w:val="00A6577E"/>
    <w:rsid w:val="00A666B7"/>
    <w:rsid w:val="00A66B50"/>
    <w:rsid w:val="00A70F94"/>
    <w:rsid w:val="00A72556"/>
    <w:rsid w:val="00A7322E"/>
    <w:rsid w:val="00A73601"/>
    <w:rsid w:val="00A7422E"/>
    <w:rsid w:val="00A746B4"/>
    <w:rsid w:val="00A80B08"/>
    <w:rsid w:val="00A8291E"/>
    <w:rsid w:val="00A84536"/>
    <w:rsid w:val="00A8510A"/>
    <w:rsid w:val="00A8514D"/>
    <w:rsid w:val="00A85226"/>
    <w:rsid w:val="00A857A7"/>
    <w:rsid w:val="00A85D36"/>
    <w:rsid w:val="00A860D4"/>
    <w:rsid w:val="00A91327"/>
    <w:rsid w:val="00A92240"/>
    <w:rsid w:val="00A944A8"/>
    <w:rsid w:val="00A94ABA"/>
    <w:rsid w:val="00A95F3A"/>
    <w:rsid w:val="00A968A6"/>
    <w:rsid w:val="00A96ED1"/>
    <w:rsid w:val="00A973D1"/>
    <w:rsid w:val="00A97535"/>
    <w:rsid w:val="00A978B0"/>
    <w:rsid w:val="00AA06AA"/>
    <w:rsid w:val="00AA2990"/>
    <w:rsid w:val="00AA5C5A"/>
    <w:rsid w:val="00AA72B5"/>
    <w:rsid w:val="00AB2C4F"/>
    <w:rsid w:val="00AB2E27"/>
    <w:rsid w:val="00AB4CBC"/>
    <w:rsid w:val="00AB5020"/>
    <w:rsid w:val="00AB5546"/>
    <w:rsid w:val="00AB5F73"/>
    <w:rsid w:val="00AB6968"/>
    <w:rsid w:val="00AB699B"/>
    <w:rsid w:val="00AB6D5E"/>
    <w:rsid w:val="00AB6EAA"/>
    <w:rsid w:val="00AC113A"/>
    <w:rsid w:val="00AC1C9D"/>
    <w:rsid w:val="00AC1E64"/>
    <w:rsid w:val="00AC2919"/>
    <w:rsid w:val="00AC3473"/>
    <w:rsid w:val="00AC4230"/>
    <w:rsid w:val="00AC4377"/>
    <w:rsid w:val="00AC4746"/>
    <w:rsid w:val="00AC5FB9"/>
    <w:rsid w:val="00AC6A03"/>
    <w:rsid w:val="00AC6F04"/>
    <w:rsid w:val="00AC7204"/>
    <w:rsid w:val="00AD07F3"/>
    <w:rsid w:val="00AD0C62"/>
    <w:rsid w:val="00AD1C57"/>
    <w:rsid w:val="00AD1FB6"/>
    <w:rsid w:val="00AD22B6"/>
    <w:rsid w:val="00AD24C4"/>
    <w:rsid w:val="00AD2673"/>
    <w:rsid w:val="00AD59EB"/>
    <w:rsid w:val="00AD5C38"/>
    <w:rsid w:val="00AE2494"/>
    <w:rsid w:val="00AE2D37"/>
    <w:rsid w:val="00AE2D7B"/>
    <w:rsid w:val="00AE3F6D"/>
    <w:rsid w:val="00AE46F9"/>
    <w:rsid w:val="00AE655A"/>
    <w:rsid w:val="00AE76EA"/>
    <w:rsid w:val="00AE7768"/>
    <w:rsid w:val="00AF069F"/>
    <w:rsid w:val="00AF0964"/>
    <w:rsid w:val="00AF0AC1"/>
    <w:rsid w:val="00AF1293"/>
    <w:rsid w:val="00AF16AA"/>
    <w:rsid w:val="00AF2FA8"/>
    <w:rsid w:val="00AF3513"/>
    <w:rsid w:val="00AF3952"/>
    <w:rsid w:val="00AF3F3E"/>
    <w:rsid w:val="00AF41FA"/>
    <w:rsid w:val="00AF42E1"/>
    <w:rsid w:val="00AF4B50"/>
    <w:rsid w:val="00AF4E66"/>
    <w:rsid w:val="00AF5960"/>
    <w:rsid w:val="00AF6DD9"/>
    <w:rsid w:val="00AF7526"/>
    <w:rsid w:val="00B001CE"/>
    <w:rsid w:val="00B00417"/>
    <w:rsid w:val="00B00638"/>
    <w:rsid w:val="00B01F47"/>
    <w:rsid w:val="00B021F9"/>
    <w:rsid w:val="00B034A8"/>
    <w:rsid w:val="00B03703"/>
    <w:rsid w:val="00B044F4"/>
    <w:rsid w:val="00B0580A"/>
    <w:rsid w:val="00B05C76"/>
    <w:rsid w:val="00B07E37"/>
    <w:rsid w:val="00B101A9"/>
    <w:rsid w:val="00B102CD"/>
    <w:rsid w:val="00B106F6"/>
    <w:rsid w:val="00B10F4E"/>
    <w:rsid w:val="00B115F5"/>
    <w:rsid w:val="00B11E5B"/>
    <w:rsid w:val="00B146AF"/>
    <w:rsid w:val="00B1511A"/>
    <w:rsid w:val="00B1552C"/>
    <w:rsid w:val="00B15D08"/>
    <w:rsid w:val="00B169A9"/>
    <w:rsid w:val="00B16E7E"/>
    <w:rsid w:val="00B20655"/>
    <w:rsid w:val="00B20AC4"/>
    <w:rsid w:val="00B214AE"/>
    <w:rsid w:val="00B2168F"/>
    <w:rsid w:val="00B2631A"/>
    <w:rsid w:val="00B265B1"/>
    <w:rsid w:val="00B2685F"/>
    <w:rsid w:val="00B26D8F"/>
    <w:rsid w:val="00B301A2"/>
    <w:rsid w:val="00B303F0"/>
    <w:rsid w:val="00B30A47"/>
    <w:rsid w:val="00B312A4"/>
    <w:rsid w:val="00B32D74"/>
    <w:rsid w:val="00B3348E"/>
    <w:rsid w:val="00B35695"/>
    <w:rsid w:val="00B35BAC"/>
    <w:rsid w:val="00B374C3"/>
    <w:rsid w:val="00B40231"/>
    <w:rsid w:val="00B402C9"/>
    <w:rsid w:val="00B40C7A"/>
    <w:rsid w:val="00B415AF"/>
    <w:rsid w:val="00B419E0"/>
    <w:rsid w:val="00B4266C"/>
    <w:rsid w:val="00B42ABB"/>
    <w:rsid w:val="00B42F5F"/>
    <w:rsid w:val="00B44F7E"/>
    <w:rsid w:val="00B45042"/>
    <w:rsid w:val="00B508E9"/>
    <w:rsid w:val="00B513A5"/>
    <w:rsid w:val="00B51B94"/>
    <w:rsid w:val="00B52B1B"/>
    <w:rsid w:val="00B53081"/>
    <w:rsid w:val="00B531F1"/>
    <w:rsid w:val="00B547FB"/>
    <w:rsid w:val="00B54948"/>
    <w:rsid w:val="00B54F4D"/>
    <w:rsid w:val="00B555ED"/>
    <w:rsid w:val="00B55B97"/>
    <w:rsid w:val="00B56E5D"/>
    <w:rsid w:val="00B5729D"/>
    <w:rsid w:val="00B57E11"/>
    <w:rsid w:val="00B61727"/>
    <w:rsid w:val="00B6173F"/>
    <w:rsid w:val="00B62E38"/>
    <w:rsid w:val="00B6433C"/>
    <w:rsid w:val="00B64C58"/>
    <w:rsid w:val="00B666A5"/>
    <w:rsid w:val="00B66BAE"/>
    <w:rsid w:val="00B66D21"/>
    <w:rsid w:val="00B70517"/>
    <w:rsid w:val="00B7181E"/>
    <w:rsid w:val="00B72736"/>
    <w:rsid w:val="00B72809"/>
    <w:rsid w:val="00B72A2A"/>
    <w:rsid w:val="00B72D9A"/>
    <w:rsid w:val="00B72E8C"/>
    <w:rsid w:val="00B741A7"/>
    <w:rsid w:val="00B74F9D"/>
    <w:rsid w:val="00B751FF"/>
    <w:rsid w:val="00B75BA0"/>
    <w:rsid w:val="00B75BB3"/>
    <w:rsid w:val="00B77A70"/>
    <w:rsid w:val="00B8045B"/>
    <w:rsid w:val="00B80BA7"/>
    <w:rsid w:val="00B80D03"/>
    <w:rsid w:val="00B8177E"/>
    <w:rsid w:val="00B81FD1"/>
    <w:rsid w:val="00B865E3"/>
    <w:rsid w:val="00B866CA"/>
    <w:rsid w:val="00B877AA"/>
    <w:rsid w:val="00B87A29"/>
    <w:rsid w:val="00B90CDE"/>
    <w:rsid w:val="00B9185F"/>
    <w:rsid w:val="00B918B1"/>
    <w:rsid w:val="00B92D56"/>
    <w:rsid w:val="00B93F64"/>
    <w:rsid w:val="00B951C0"/>
    <w:rsid w:val="00B95A7D"/>
    <w:rsid w:val="00B96A3D"/>
    <w:rsid w:val="00B97131"/>
    <w:rsid w:val="00BA4BFE"/>
    <w:rsid w:val="00BA4EA6"/>
    <w:rsid w:val="00BA567A"/>
    <w:rsid w:val="00BA6576"/>
    <w:rsid w:val="00BA657A"/>
    <w:rsid w:val="00BA7BD2"/>
    <w:rsid w:val="00BB0A5A"/>
    <w:rsid w:val="00BB1257"/>
    <w:rsid w:val="00BB25C7"/>
    <w:rsid w:val="00BB276B"/>
    <w:rsid w:val="00BB354F"/>
    <w:rsid w:val="00BB36A8"/>
    <w:rsid w:val="00BB4228"/>
    <w:rsid w:val="00BB4825"/>
    <w:rsid w:val="00BB5B0A"/>
    <w:rsid w:val="00BB5FB5"/>
    <w:rsid w:val="00BB700A"/>
    <w:rsid w:val="00BB7187"/>
    <w:rsid w:val="00BB72CF"/>
    <w:rsid w:val="00BB7B8A"/>
    <w:rsid w:val="00BC0BCB"/>
    <w:rsid w:val="00BC108B"/>
    <w:rsid w:val="00BC12B6"/>
    <w:rsid w:val="00BC2DCC"/>
    <w:rsid w:val="00BC2DF0"/>
    <w:rsid w:val="00BC321A"/>
    <w:rsid w:val="00BC3531"/>
    <w:rsid w:val="00BC3F05"/>
    <w:rsid w:val="00BC45CB"/>
    <w:rsid w:val="00BC4B60"/>
    <w:rsid w:val="00BC4B86"/>
    <w:rsid w:val="00BC5C7E"/>
    <w:rsid w:val="00BD0243"/>
    <w:rsid w:val="00BD070F"/>
    <w:rsid w:val="00BD0A7E"/>
    <w:rsid w:val="00BD1E93"/>
    <w:rsid w:val="00BD1F85"/>
    <w:rsid w:val="00BD27A4"/>
    <w:rsid w:val="00BD4208"/>
    <w:rsid w:val="00BD5454"/>
    <w:rsid w:val="00BD57BE"/>
    <w:rsid w:val="00BD67BF"/>
    <w:rsid w:val="00BD720D"/>
    <w:rsid w:val="00BD79CA"/>
    <w:rsid w:val="00BE1981"/>
    <w:rsid w:val="00BE1985"/>
    <w:rsid w:val="00BE2DFC"/>
    <w:rsid w:val="00BE37E1"/>
    <w:rsid w:val="00BE448A"/>
    <w:rsid w:val="00BE4EF6"/>
    <w:rsid w:val="00BE527D"/>
    <w:rsid w:val="00BE6B92"/>
    <w:rsid w:val="00BE6BBF"/>
    <w:rsid w:val="00BE73F0"/>
    <w:rsid w:val="00BF335C"/>
    <w:rsid w:val="00BF48C1"/>
    <w:rsid w:val="00BF5828"/>
    <w:rsid w:val="00BF6C75"/>
    <w:rsid w:val="00BF7A60"/>
    <w:rsid w:val="00C00570"/>
    <w:rsid w:val="00C00AE5"/>
    <w:rsid w:val="00C02B21"/>
    <w:rsid w:val="00C03981"/>
    <w:rsid w:val="00C04218"/>
    <w:rsid w:val="00C048A4"/>
    <w:rsid w:val="00C05103"/>
    <w:rsid w:val="00C0692B"/>
    <w:rsid w:val="00C0704F"/>
    <w:rsid w:val="00C07844"/>
    <w:rsid w:val="00C07AD3"/>
    <w:rsid w:val="00C100E8"/>
    <w:rsid w:val="00C11E65"/>
    <w:rsid w:val="00C1369E"/>
    <w:rsid w:val="00C13ED1"/>
    <w:rsid w:val="00C1408E"/>
    <w:rsid w:val="00C14801"/>
    <w:rsid w:val="00C14D24"/>
    <w:rsid w:val="00C15225"/>
    <w:rsid w:val="00C152B8"/>
    <w:rsid w:val="00C16966"/>
    <w:rsid w:val="00C16E1E"/>
    <w:rsid w:val="00C2059E"/>
    <w:rsid w:val="00C21172"/>
    <w:rsid w:val="00C25829"/>
    <w:rsid w:val="00C26422"/>
    <w:rsid w:val="00C26763"/>
    <w:rsid w:val="00C26C7C"/>
    <w:rsid w:val="00C2748A"/>
    <w:rsid w:val="00C276FE"/>
    <w:rsid w:val="00C30D06"/>
    <w:rsid w:val="00C32484"/>
    <w:rsid w:val="00C3269F"/>
    <w:rsid w:val="00C33C89"/>
    <w:rsid w:val="00C34D03"/>
    <w:rsid w:val="00C3552A"/>
    <w:rsid w:val="00C3623A"/>
    <w:rsid w:val="00C41F4A"/>
    <w:rsid w:val="00C44C77"/>
    <w:rsid w:val="00C45358"/>
    <w:rsid w:val="00C45513"/>
    <w:rsid w:val="00C4681F"/>
    <w:rsid w:val="00C51391"/>
    <w:rsid w:val="00C51DA3"/>
    <w:rsid w:val="00C5223B"/>
    <w:rsid w:val="00C568D4"/>
    <w:rsid w:val="00C56CDC"/>
    <w:rsid w:val="00C577BF"/>
    <w:rsid w:val="00C609DF"/>
    <w:rsid w:val="00C6107C"/>
    <w:rsid w:val="00C6111C"/>
    <w:rsid w:val="00C6280B"/>
    <w:rsid w:val="00C640FB"/>
    <w:rsid w:val="00C65A7D"/>
    <w:rsid w:val="00C65E9D"/>
    <w:rsid w:val="00C70497"/>
    <w:rsid w:val="00C704B8"/>
    <w:rsid w:val="00C704E5"/>
    <w:rsid w:val="00C7149A"/>
    <w:rsid w:val="00C73BFF"/>
    <w:rsid w:val="00C740BF"/>
    <w:rsid w:val="00C748AB"/>
    <w:rsid w:val="00C74E95"/>
    <w:rsid w:val="00C74F8F"/>
    <w:rsid w:val="00C74FDD"/>
    <w:rsid w:val="00C77A62"/>
    <w:rsid w:val="00C77C7E"/>
    <w:rsid w:val="00C81097"/>
    <w:rsid w:val="00C81704"/>
    <w:rsid w:val="00C822C1"/>
    <w:rsid w:val="00C848D1"/>
    <w:rsid w:val="00C869F3"/>
    <w:rsid w:val="00C86C12"/>
    <w:rsid w:val="00C86F0C"/>
    <w:rsid w:val="00C8770F"/>
    <w:rsid w:val="00C87880"/>
    <w:rsid w:val="00C90F30"/>
    <w:rsid w:val="00C918DF"/>
    <w:rsid w:val="00C9198B"/>
    <w:rsid w:val="00C93659"/>
    <w:rsid w:val="00C93939"/>
    <w:rsid w:val="00C96027"/>
    <w:rsid w:val="00C96385"/>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742"/>
    <w:rsid w:val="00CA6B73"/>
    <w:rsid w:val="00CA6BAF"/>
    <w:rsid w:val="00CB0B66"/>
    <w:rsid w:val="00CB0E16"/>
    <w:rsid w:val="00CB10AA"/>
    <w:rsid w:val="00CB10E8"/>
    <w:rsid w:val="00CB1C25"/>
    <w:rsid w:val="00CB1C89"/>
    <w:rsid w:val="00CB6336"/>
    <w:rsid w:val="00CC0402"/>
    <w:rsid w:val="00CC14C4"/>
    <w:rsid w:val="00CC199C"/>
    <w:rsid w:val="00CC3197"/>
    <w:rsid w:val="00CC3B6A"/>
    <w:rsid w:val="00CC4EB1"/>
    <w:rsid w:val="00CC54C3"/>
    <w:rsid w:val="00CC5812"/>
    <w:rsid w:val="00CC6BD1"/>
    <w:rsid w:val="00CC714E"/>
    <w:rsid w:val="00CD1C84"/>
    <w:rsid w:val="00CD24A8"/>
    <w:rsid w:val="00CD32A8"/>
    <w:rsid w:val="00CD38B6"/>
    <w:rsid w:val="00CD5D7F"/>
    <w:rsid w:val="00CD6D23"/>
    <w:rsid w:val="00CD7494"/>
    <w:rsid w:val="00CD7578"/>
    <w:rsid w:val="00CD7D3D"/>
    <w:rsid w:val="00CE1517"/>
    <w:rsid w:val="00CE186F"/>
    <w:rsid w:val="00CE1FF3"/>
    <w:rsid w:val="00CE200F"/>
    <w:rsid w:val="00CE23AA"/>
    <w:rsid w:val="00CE3041"/>
    <w:rsid w:val="00CE3475"/>
    <w:rsid w:val="00CE4799"/>
    <w:rsid w:val="00CE55DA"/>
    <w:rsid w:val="00CE62D8"/>
    <w:rsid w:val="00CE6615"/>
    <w:rsid w:val="00CE680F"/>
    <w:rsid w:val="00CE69C0"/>
    <w:rsid w:val="00CE799C"/>
    <w:rsid w:val="00CF0839"/>
    <w:rsid w:val="00CF0BAF"/>
    <w:rsid w:val="00CF1884"/>
    <w:rsid w:val="00CF1B89"/>
    <w:rsid w:val="00CF241F"/>
    <w:rsid w:val="00CF2459"/>
    <w:rsid w:val="00CF2881"/>
    <w:rsid w:val="00CF2B70"/>
    <w:rsid w:val="00CF39C9"/>
    <w:rsid w:val="00CF3DBA"/>
    <w:rsid w:val="00CF3E79"/>
    <w:rsid w:val="00CF48E3"/>
    <w:rsid w:val="00CF78BE"/>
    <w:rsid w:val="00D0077E"/>
    <w:rsid w:val="00D01033"/>
    <w:rsid w:val="00D01C1F"/>
    <w:rsid w:val="00D020A8"/>
    <w:rsid w:val="00D025A0"/>
    <w:rsid w:val="00D028B9"/>
    <w:rsid w:val="00D04F78"/>
    <w:rsid w:val="00D0539F"/>
    <w:rsid w:val="00D05704"/>
    <w:rsid w:val="00D10CE0"/>
    <w:rsid w:val="00D113F3"/>
    <w:rsid w:val="00D12493"/>
    <w:rsid w:val="00D13663"/>
    <w:rsid w:val="00D1464D"/>
    <w:rsid w:val="00D14EF9"/>
    <w:rsid w:val="00D15AE9"/>
    <w:rsid w:val="00D17574"/>
    <w:rsid w:val="00D17D89"/>
    <w:rsid w:val="00D21282"/>
    <w:rsid w:val="00D213D5"/>
    <w:rsid w:val="00D21CD0"/>
    <w:rsid w:val="00D22155"/>
    <w:rsid w:val="00D221D4"/>
    <w:rsid w:val="00D222D0"/>
    <w:rsid w:val="00D2377A"/>
    <w:rsid w:val="00D23D51"/>
    <w:rsid w:val="00D24CEA"/>
    <w:rsid w:val="00D30E85"/>
    <w:rsid w:val="00D325CD"/>
    <w:rsid w:val="00D32B20"/>
    <w:rsid w:val="00D33BAD"/>
    <w:rsid w:val="00D343B7"/>
    <w:rsid w:val="00D34B3D"/>
    <w:rsid w:val="00D3501F"/>
    <w:rsid w:val="00D352F2"/>
    <w:rsid w:val="00D354B8"/>
    <w:rsid w:val="00D36224"/>
    <w:rsid w:val="00D416AA"/>
    <w:rsid w:val="00D41FF6"/>
    <w:rsid w:val="00D42385"/>
    <w:rsid w:val="00D44A20"/>
    <w:rsid w:val="00D451BB"/>
    <w:rsid w:val="00D45FDF"/>
    <w:rsid w:val="00D50742"/>
    <w:rsid w:val="00D50EE4"/>
    <w:rsid w:val="00D51336"/>
    <w:rsid w:val="00D540B2"/>
    <w:rsid w:val="00D5532A"/>
    <w:rsid w:val="00D55558"/>
    <w:rsid w:val="00D556A2"/>
    <w:rsid w:val="00D55FDF"/>
    <w:rsid w:val="00D5616B"/>
    <w:rsid w:val="00D5672F"/>
    <w:rsid w:val="00D5673B"/>
    <w:rsid w:val="00D56769"/>
    <w:rsid w:val="00D56F3D"/>
    <w:rsid w:val="00D61398"/>
    <w:rsid w:val="00D617BB"/>
    <w:rsid w:val="00D62C0E"/>
    <w:rsid w:val="00D63483"/>
    <w:rsid w:val="00D63AA0"/>
    <w:rsid w:val="00D63FC0"/>
    <w:rsid w:val="00D65037"/>
    <w:rsid w:val="00D65179"/>
    <w:rsid w:val="00D66349"/>
    <w:rsid w:val="00D66661"/>
    <w:rsid w:val="00D66F4D"/>
    <w:rsid w:val="00D675CD"/>
    <w:rsid w:val="00D67D38"/>
    <w:rsid w:val="00D70CE9"/>
    <w:rsid w:val="00D715A5"/>
    <w:rsid w:val="00D72B28"/>
    <w:rsid w:val="00D72F6C"/>
    <w:rsid w:val="00D731BC"/>
    <w:rsid w:val="00D73BA3"/>
    <w:rsid w:val="00D74447"/>
    <w:rsid w:val="00D75111"/>
    <w:rsid w:val="00D75B68"/>
    <w:rsid w:val="00D75DD0"/>
    <w:rsid w:val="00D75FE4"/>
    <w:rsid w:val="00D76810"/>
    <w:rsid w:val="00D76EF3"/>
    <w:rsid w:val="00D806B1"/>
    <w:rsid w:val="00D80A47"/>
    <w:rsid w:val="00D81263"/>
    <w:rsid w:val="00D812C3"/>
    <w:rsid w:val="00D82992"/>
    <w:rsid w:val="00D83927"/>
    <w:rsid w:val="00D85E86"/>
    <w:rsid w:val="00D867A5"/>
    <w:rsid w:val="00D923E5"/>
    <w:rsid w:val="00D942D5"/>
    <w:rsid w:val="00D94D19"/>
    <w:rsid w:val="00D94DB6"/>
    <w:rsid w:val="00D964B5"/>
    <w:rsid w:val="00D97F50"/>
    <w:rsid w:val="00DA1938"/>
    <w:rsid w:val="00DA3675"/>
    <w:rsid w:val="00DA44E4"/>
    <w:rsid w:val="00DA4B4A"/>
    <w:rsid w:val="00DA7199"/>
    <w:rsid w:val="00DB07BF"/>
    <w:rsid w:val="00DB0D38"/>
    <w:rsid w:val="00DB4B1B"/>
    <w:rsid w:val="00DB56B4"/>
    <w:rsid w:val="00DB61A8"/>
    <w:rsid w:val="00DB65D5"/>
    <w:rsid w:val="00DC0374"/>
    <w:rsid w:val="00DC07A5"/>
    <w:rsid w:val="00DC0B14"/>
    <w:rsid w:val="00DC134F"/>
    <w:rsid w:val="00DC1490"/>
    <w:rsid w:val="00DC2DC4"/>
    <w:rsid w:val="00DC2FD3"/>
    <w:rsid w:val="00DC34E9"/>
    <w:rsid w:val="00DC3E72"/>
    <w:rsid w:val="00DC4F0E"/>
    <w:rsid w:val="00DC4F2E"/>
    <w:rsid w:val="00DC5F21"/>
    <w:rsid w:val="00DC6174"/>
    <w:rsid w:val="00DC6C80"/>
    <w:rsid w:val="00DC7085"/>
    <w:rsid w:val="00DC753B"/>
    <w:rsid w:val="00DC7D17"/>
    <w:rsid w:val="00DD009F"/>
    <w:rsid w:val="00DD0EEF"/>
    <w:rsid w:val="00DD1E0A"/>
    <w:rsid w:val="00DD3811"/>
    <w:rsid w:val="00DD461A"/>
    <w:rsid w:val="00DD479B"/>
    <w:rsid w:val="00DD4AD2"/>
    <w:rsid w:val="00DD58FD"/>
    <w:rsid w:val="00DD5FC9"/>
    <w:rsid w:val="00DD6697"/>
    <w:rsid w:val="00DD77E6"/>
    <w:rsid w:val="00DD7963"/>
    <w:rsid w:val="00DE06E8"/>
    <w:rsid w:val="00DE0BE4"/>
    <w:rsid w:val="00DE167F"/>
    <w:rsid w:val="00DE1E91"/>
    <w:rsid w:val="00DE1F57"/>
    <w:rsid w:val="00DE3207"/>
    <w:rsid w:val="00DE4352"/>
    <w:rsid w:val="00DE57F1"/>
    <w:rsid w:val="00DE5D05"/>
    <w:rsid w:val="00DE69E8"/>
    <w:rsid w:val="00DE6CE8"/>
    <w:rsid w:val="00DE6DAB"/>
    <w:rsid w:val="00DE7AB3"/>
    <w:rsid w:val="00DF0036"/>
    <w:rsid w:val="00DF0724"/>
    <w:rsid w:val="00DF0AA0"/>
    <w:rsid w:val="00DF2CA6"/>
    <w:rsid w:val="00DF3015"/>
    <w:rsid w:val="00DF4141"/>
    <w:rsid w:val="00DF41CF"/>
    <w:rsid w:val="00DF49CC"/>
    <w:rsid w:val="00DF4AA9"/>
    <w:rsid w:val="00DF4BD9"/>
    <w:rsid w:val="00DF6AC2"/>
    <w:rsid w:val="00DF7AAA"/>
    <w:rsid w:val="00E007AE"/>
    <w:rsid w:val="00E028C2"/>
    <w:rsid w:val="00E04197"/>
    <w:rsid w:val="00E04C3E"/>
    <w:rsid w:val="00E05189"/>
    <w:rsid w:val="00E05801"/>
    <w:rsid w:val="00E05C7D"/>
    <w:rsid w:val="00E06113"/>
    <w:rsid w:val="00E064FC"/>
    <w:rsid w:val="00E0717C"/>
    <w:rsid w:val="00E1053D"/>
    <w:rsid w:val="00E11C9E"/>
    <w:rsid w:val="00E12301"/>
    <w:rsid w:val="00E12922"/>
    <w:rsid w:val="00E12E16"/>
    <w:rsid w:val="00E13CEA"/>
    <w:rsid w:val="00E14272"/>
    <w:rsid w:val="00E1487A"/>
    <w:rsid w:val="00E1561C"/>
    <w:rsid w:val="00E1648B"/>
    <w:rsid w:val="00E22AF2"/>
    <w:rsid w:val="00E23ECA"/>
    <w:rsid w:val="00E240F1"/>
    <w:rsid w:val="00E24C06"/>
    <w:rsid w:val="00E25274"/>
    <w:rsid w:val="00E26111"/>
    <w:rsid w:val="00E266C1"/>
    <w:rsid w:val="00E26B29"/>
    <w:rsid w:val="00E26E0C"/>
    <w:rsid w:val="00E302B8"/>
    <w:rsid w:val="00E31C44"/>
    <w:rsid w:val="00E3397D"/>
    <w:rsid w:val="00E34401"/>
    <w:rsid w:val="00E34CCD"/>
    <w:rsid w:val="00E3553E"/>
    <w:rsid w:val="00E375A3"/>
    <w:rsid w:val="00E375EE"/>
    <w:rsid w:val="00E378D8"/>
    <w:rsid w:val="00E37A09"/>
    <w:rsid w:val="00E4082F"/>
    <w:rsid w:val="00E40E74"/>
    <w:rsid w:val="00E412C8"/>
    <w:rsid w:val="00E4139F"/>
    <w:rsid w:val="00E42464"/>
    <w:rsid w:val="00E442D3"/>
    <w:rsid w:val="00E46C3A"/>
    <w:rsid w:val="00E501E9"/>
    <w:rsid w:val="00E52BF1"/>
    <w:rsid w:val="00E535F4"/>
    <w:rsid w:val="00E53916"/>
    <w:rsid w:val="00E54B68"/>
    <w:rsid w:val="00E54F24"/>
    <w:rsid w:val="00E5737B"/>
    <w:rsid w:val="00E574E0"/>
    <w:rsid w:val="00E57997"/>
    <w:rsid w:val="00E60D4F"/>
    <w:rsid w:val="00E61016"/>
    <w:rsid w:val="00E614A7"/>
    <w:rsid w:val="00E61A27"/>
    <w:rsid w:val="00E621AB"/>
    <w:rsid w:val="00E623C1"/>
    <w:rsid w:val="00E62415"/>
    <w:rsid w:val="00E62BE3"/>
    <w:rsid w:val="00E62E03"/>
    <w:rsid w:val="00E63316"/>
    <w:rsid w:val="00E63A60"/>
    <w:rsid w:val="00E64049"/>
    <w:rsid w:val="00E6437C"/>
    <w:rsid w:val="00E64DB9"/>
    <w:rsid w:val="00E677BC"/>
    <w:rsid w:val="00E705B6"/>
    <w:rsid w:val="00E71ADA"/>
    <w:rsid w:val="00E72523"/>
    <w:rsid w:val="00E732DF"/>
    <w:rsid w:val="00E73C65"/>
    <w:rsid w:val="00E741A1"/>
    <w:rsid w:val="00E74D5E"/>
    <w:rsid w:val="00E7536D"/>
    <w:rsid w:val="00E76E58"/>
    <w:rsid w:val="00E77ADD"/>
    <w:rsid w:val="00E80BF5"/>
    <w:rsid w:val="00E81388"/>
    <w:rsid w:val="00E82266"/>
    <w:rsid w:val="00E84176"/>
    <w:rsid w:val="00E849FB"/>
    <w:rsid w:val="00E862F4"/>
    <w:rsid w:val="00E865EA"/>
    <w:rsid w:val="00E9029E"/>
    <w:rsid w:val="00E91896"/>
    <w:rsid w:val="00E9272A"/>
    <w:rsid w:val="00E92AB6"/>
    <w:rsid w:val="00E93FDD"/>
    <w:rsid w:val="00E9423B"/>
    <w:rsid w:val="00E95165"/>
    <w:rsid w:val="00E95927"/>
    <w:rsid w:val="00E9646E"/>
    <w:rsid w:val="00E966E3"/>
    <w:rsid w:val="00E968B2"/>
    <w:rsid w:val="00E97431"/>
    <w:rsid w:val="00E97BC1"/>
    <w:rsid w:val="00EA02BD"/>
    <w:rsid w:val="00EA086B"/>
    <w:rsid w:val="00EA0DA3"/>
    <w:rsid w:val="00EA1B47"/>
    <w:rsid w:val="00EA4EBA"/>
    <w:rsid w:val="00EA6E2A"/>
    <w:rsid w:val="00EA7014"/>
    <w:rsid w:val="00EB37A3"/>
    <w:rsid w:val="00EB3AE7"/>
    <w:rsid w:val="00EB3F2D"/>
    <w:rsid w:val="00EB41FD"/>
    <w:rsid w:val="00EB52D7"/>
    <w:rsid w:val="00EB5DBD"/>
    <w:rsid w:val="00EC0FE8"/>
    <w:rsid w:val="00EC29E1"/>
    <w:rsid w:val="00EC2D4C"/>
    <w:rsid w:val="00EC3530"/>
    <w:rsid w:val="00EC3ED2"/>
    <w:rsid w:val="00EC46A8"/>
    <w:rsid w:val="00EC4AB0"/>
    <w:rsid w:val="00EC4D1C"/>
    <w:rsid w:val="00EC518F"/>
    <w:rsid w:val="00EC56D6"/>
    <w:rsid w:val="00EC56DD"/>
    <w:rsid w:val="00EC5EF0"/>
    <w:rsid w:val="00EC5F13"/>
    <w:rsid w:val="00EC73B4"/>
    <w:rsid w:val="00ED01B8"/>
    <w:rsid w:val="00ED06F0"/>
    <w:rsid w:val="00ED075D"/>
    <w:rsid w:val="00ED08E4"/>
    <w:rsid w:val="00ED0F69"/>
    <w:rsid w:val="00ED114C"/>
    <w:rsid w:val="00ED23F0"/>
    <w:rsid w:val="00ED2F21"/>
    <w:rsid w:val="00ED3390"/>
    <w:rsid w:val="00ED6560"/>
    <w:rsid w:val="00ED6EB2"/>
    <w:rsid w:val="00ED785A"/>
    <w:rsid w:val="00ED7F27"/>
    <w:rsid w:val="00EE0463"/>
    <w:rsid w:val="00EE21F4"/>
    <w:rsid w:val="00EE2F68"/>
    <w:rsid w:val="00EE6CE7"/>
    <w:rsid w:val="00EF0212"/>
    <w:rsid w:val="00EF095C"/>
    <w:rsid w:val="00EF0F22"/>
    <w:rsid w:val="00EF0F4B"/>
    <w:rsid w:val="00EF1579"/>
    <w:rsid w:val="00EF2129"/>
    <w:rsid w:val="00EF3738"/>
    <w:rsid w:val="00EF782F"/>
    <w:rsid w:val="00EF7CD6"/>
    <w:rsid w:val="00F02ACE"/>
    <w:rsid w:val="00F061E4"/>
    <w:rsid w:val="00F07424"/>
    <w:rsid w:val="00F07D5F"/>
    <w:rsid w:val="00F11BDB"/>
    <w:rsid w:val="00F12185"/>
    <w:rsid w:val="00F12408"/>
    <w:rsid w:val="00F128B6"/>
    <w:rsid w:val="00F12DC2"/>
    <w:rsid w:val="00F139DD"/>
    <w:rsid w:val="00F14298"/>
    <w:rsid w:val="00F147F9"/>
    <w:rsid w:val="00F150CA"/>
    <w:rsid w:val="00F158B9"/>
    <w:rsid w:val="00F15A81"/>
    <w:rsid w:val="00F15AA1"/>
    <w:rsid w:val="00F167EB"/>
    <w:rsid w:val="00F17105"/>
    <w:rsid w:val="00F177E3"/>
    <w:rsid w:val="00F2149B"/>
    <w:rsid w:val="00F22F8D"/>
    <w:rsid w:val="00F23931"/>
    <w:rsid w:val="00F24526"/>
    <w:rsid w:val="00F24759"/>
    <w:rsid w:val="00F24C1C"/>
    <w:rsid w:val="00F266BF"/>
    <w:rsid w:val="00F3144B"/>
    <w:rsid w:val="00F321C1"/>
    <w:rsid w:val="00F3260D"/>
    <w:rsid w:val="00F32D74"/>
    <w:rsid w:val="00F332CF"/>
    <w:rsid w:val="00F3354F"/>
    <w:rsid w:val="00F33CE5"/>
    <w:rsid w:val="00F3684A"/>
    <w:rsid w:val="00F409F0"/>
    <w:rsid w:val="00F40A17"/>
    <w:rsid w:val="00F41CC2"/>
    <w:rsid w:val="00F433E1"/>
    <w:rsid w:val="00F4379E"/>
    <w:rsid w:val="00F43A84"/>
    <w:rsid w:val="00F44E4B"/>
    <w:rsid w:val="00F458CA"/>
    <w:rsid w:val="00F45B85"/>
    <w:rsid w:val="00F45C6F"/>
    <w:rsid w:val="00F45DB2"/>
    <w:rsid w:val="00F47375"/>
    <w:rsid w:val="00F47CD9"/>
    <w:rsid w:val="00F50C10"/>
    <w:rsid w:val="00F5141B"/>
    <w:rsid w:val="00F52C7E"/>
    <w:rsid w:val="00F550EA"/>
    <w:rsid w:val="00F55BED"/>
    <w:rsid w:val="00F5729E"/>
    <w:rsid w:val="00F57956"/>
    <w:rsid w:val="00F60984"/>
    <w:rsid w:val="00F643ED"/>
    <w:rsid w:val="00F64418"/>
    <w:rsid w:val="00F65036"/>
    <w:rsid w:val="00F65147"/>
    <w:rsid w:val="00F652B5"/>
    <w:rsid w:val="00F652BB"/>
    <w:rsid w:val="00F6635A"/>
    <w:rsid w:val="00F6694C"/>
    <w:rsid w:val="00F66AF2"/>
    <w:rsid w:val="00F67CA9"/>
    <w:rsid w:val="00F70645"/>
    <w:rsid w:val="00F721EE"/>
    <w:rsid w:val="00F72680"/>
    <w:rsid w:val="00F72E0C"/>
    <w:rsid w:val="00F732FB"/>
    <w:rsid w:val="00F77CB5"/>
    <w:rsid w:val="00F8097F"/>
    <w:rsid w:val="00F8178D"/>
    <w:rsid w:val="00F82D64"/>
    <w:rsid w:val="00F83B58"/>
    <w:rsid w:val="00F83BAD"/>
    <w:rsid w:val="00F849DF"/>
    <w:rsid w:val="00F86732"/>
    <w:rsid w:val="00F91648"/>
    <w:rsid w:val="00F919E8"/>
    <w:rsid w:val="00F923D8"/>
    <w:rsid w:val="00F92764"/>
    <w:rsid w:val="00F93027"/>
    <w:rsid w:val="00F945B3"/>
    <w:rsid w:val="00F95052"/>
    <w:rsid w:val="00F96208"/>
    <w:rsid w:val="00F96664"/>
    <w:rsid w:val="00F97807"/>
    <w:rsid w:val="00FA1E4A"/>
    <w:rsid w:val="00FA2C64"/>
    <w:rsid w:val="00FA4F12"/>
    <w:rsid w:val="00FA67C3"/>
    <w:rsid w:val="00FA6D98"/>
    <w:rsid w:val="00FB0722"/>
    <w:rsid w:val="00FB1312"/>
    <w:rsid w:val="00FB1D58"/>
    <w:rsid w:val="00FB22E1"/>
    <w:rsid w:val="00FB2808"/>
    <w:rsid w:val="00FB29D2"/>
    <w:rsid w:val="00FB2FA4"/>
    <w:rsid w:val="00FB37EA"/>
    <w:rsid w:val="00FB40D0"/>
    <w:rsid w:val="00FB65AC"/>
    <w:rsid w:val="00FB6C98"/>
    <w:rsid w:val="00FB6CD4"/>
    <w:rsid w:val="00FC2654"/>
    <w:rsid w:val="00FC3216"/>
    <w:rsid w:val="00FC3DD5"/>
    <w:rsid w:val="00FC4BD9"/>
    <w:rsid w:val="00FC4D9A"/>
    <w:rsid w:val="00FC501B"/>
    <w:rsid w:val="00FC5547"/>
    <w:rsid w:val="00FC71E8"/>
    <w:rsid w:val="00FD2521"/>
    <w:rsid w:val="00FD286B"/>
    <w:rsid w:val="00FD2B91"/>
    <w:rsid w:val="00FD2DF8"/>
    <w:rsid w:val="00FD3549"/>
    <w:rsid w:val="00FD3550"/>
    <w:rsid w:val="00FD38BA"/>
    <w:rsid w:val="00FD497B"/>
    <w:rsid w:val="00FD4A6C"/>
    <w:rsid w:val="00FD58C2"/>
    <w:rsid w:val="00FD5BB3"/>
    <w:rsid w:val="00FE0478"/>
    <w:rsid w:val="00FE0C89"/>
    <w:rsid w:val="00FE3446"/>
    <w:rsid w:val="00FE3C11"/>
    <w:rsid w:val="00FE4072"/>
    <w:rsid w:val="00FE479B"/>
    <w:rsid w:val="00FE539D"/>
    <w:rsid w:val="00FE54C8"/>
    <w:rsid w:val="00FE63DF"/>
    <w:rsid w:val="00FE7460"/>
    <w:rsid w:val="00FF0555"/>
    <w:rsid w:val="00FF1B7D"/>
    <w:rsid w:val="00FF296D"/>
    <w:rsid w:val="00FF4761"/>
    <w:rsid w:val="00FF4A2A"/>
    <w:rsid w:val="00FF4F7F"/>
    <w:rsid w:val="00FF6526"/>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uiPriority w:val="99"/>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uiPriority w:val="99"/>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paragraph" w:styleId="TOC1">
    <w:name w:val="toc 1"/>
    <w:basedOn w:val="Normal"/>
    <w:next w:val="Normal"/>
    <w:rsid w:val="00277604"/>
    <w:pPr>
      <w:tabs>
        <w:tab w:val="right" w:leader="dot" w:pos="9360"/>
      </w:tabs>
      <w:suppressAutoHyphens/>
      <w:spacing w:before="480"/>
      <w:ind w:left="720" w:right="720" w:hanging="720"/>
    </w:pPr>
    <w:rPr>
      <w:rFonts w:ascii="Courier" w:hAnsi="Courier"/>
      <w:szCs w:val="20"/>
    </w:rPr>
  </w:style>
  <w:style w:type="character" w:customStyle="1" w:styleId="FooterChar">
    <w:name w:val="Footer Char"/>
    <w:link w:val="Footer"/>
    <w:uiPriority w:val="99"/>
    <w:rsid w:val="00F919E8"/>
    <w:rPr>
      <w:sz w:val="24"/>
      <w:szCs w:val="24"/>
    </w:rPr>
  </w:style>
  <w:style w:type="paragraph" w:styleId="BodyTextIndent2">
    <w:name w:val="Body Text Indent 2"/>
    <w:basedOn w:val="Normal"/>
    <w:link w:val="BodyTextIndent2Char"/>
    <w:rsid w:val="00A16A4E"/>
    <w:pPr>
      <w:spacing w:after="120" w:line="480" w:lineRule="auto"/>
      <w:ind w:left="360"/>
    </w:pPr>
  </w:style>
  <w:style w:type="character" w:customStyle="1" w:styleId="BodyTextIndent2Char">
    <w:name w:val="Body Text Indent 2 Char"/>
    <w:basedOn w:val="DefaultParagraphFont"/>
    <w:link w:val="BodyTextIndent2"/>
    <w:rsid w:val="00A16A4E"/>
    <w:rPr>
      <w:sz w:val="24"/>
      <w:szCs w:val="24"/>
    </w:rPr>
  </w:style>
  <w:style w:type="paragraph" w:customStyle="1" w:styleId="Default">
    <w:name w:val="Default"/>
    <w:rsid w:val="00A6577E"/>
    <w:pPr>
      <w:autoSpaceDE w:val="0"/>
      <w:autoSpaceDN w:val="0"/>
      <w:adjustRightInd w:val="0"/>
    </w:pPr>
    <w:rPr>
      <w:color w:val="000000"/>
      <w:sz w:val="24"/>
      <w:szCs w:val="24"/>
    </w:rPr>
  </w:style>
  <w:style w:type="character" w:styleId="Strong">
    <w:name w:val="Strong"/>
    <w:basedOn w:val="DefaultParagraphFont"/>
    <w:uiPriority w:val="22"/>
    <w:qFormat/>
    <w:rsid w:val="004F09EA"/>
    <w:rPr>
      <w:b/>
      <w:bCs/>
    </w:rPr>
  </w:style>
  <w:style w:type="paragraph" w:styleId="Header">
    <w:name w:val="header"/>
    <w:basedOn w:val="Normal"/>
    <w:link w:val="HeaderChar"/>
    <w:rsid w:val="00247418"/>
    <w:pPr>
      <w:tabs>
        <w:tab w:val="center" w:pos="4680"/>
        <w:tab w:val="right" w:pos="9360"/>
      </w:tabs>
    </w:pPr>
  </w:style>
  <w:style w:type="character" w:customStyle="1" w:styleId="HeaderChar">
    <w:name w:val="Header Char"/>
    <w:basedOn w:val="DefaultParagraphFont"/>
    <w:link w:val="Header"/>
    <w:rsid w:val="002474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paragraph" w:styleId="TOC1">
    <w:name w:val="toc 1"/>
    <w:basedOn w:val="Normal"/>
    <w:next w:val="Normal"/>
    <w:rsid w:val="00277604"/>
    <w:pPr>
      <w:tabs>
        <w:tab w:val="right" w:leader="dot" w:pos="9360"/>
      </w:tabs>
      <w:suppressAutoHyphens/>
      <w:spacing w:before="480"/>
      <w:ind w:left="720" w:right="720" w:hanging="720"/>
    </w:pPr>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0316">
      <w:bodyDiv w:val="1"/>
      <w:marLeft w:val="0"/>
      <w:marRight w:val="0"/>
      <w:marTop w:val="0"/>
      <w:marBottom w:val="0"/>
      <w:divBdr>
        <w:top w:val="none" w:sz="0" w:space="0" w:color="auto"/>
        <w:left w:val="none" w:sz="0" w:space="0" w:color="auto"/>
        <w:bottom w:val="none" w:sz="0" w:space="0" w:color="auto"/>
        <w:right w:val="none" w:sz="0" w:space="0" w:color="auto"/>
      </w:divBdr>
      <w:divsChild>
        <w:div w:id="561331102">
          <w:marLeft w:val="120"/>
          <w:marRight w:val="120"/>
          <w:marTop w:val="120"/>
          <w:marBottom w:val="120"/>
          <w:divBdr>
            <w:top w:val="none" w:sz="0" w:space="0" w:color="auto"/>
            <w:left w:val="none" w:sz="0" w:space="0" w:color="auto"/>
            <w:bottom w:val="none" w:sz="0" w:space="0" w:color="auto"/>
            <w:right w:val="none" w:sz="0" w:space="0" w:color="auto"/>
          </w:divBdr>
          <w:divsChild>
            <w:div w:id="934483080">
              <w:marLeft w:val="0"/>
              <w:marRight w:val="0"/>
              <w:marTop w:val="0"/>
              <w:marBottom w:val="0"/>
              <w:divBdr>
                <w:top w:val="none" w:sz="0" w:space="0" w:color="auto"/>
                <w:left w:val="none" w:sz="0" w:space="0" w:color="auto"/>
                <w:bottom w:val="none" w:sz="0" w:space="0" w:color="auto"/>
                <w:right w:val="none" w:sz="0" w:space="0" w:color="auto"/>
              </w:divBdr>
              <w:divsChild>
                <w:div w:id="1115291883">
                  <w:marLeft w:val="0"/>
                  <w:marRight w:val="0"/>
                  <w:marTop w:val="0"/>
                  <w:marBottom w:val="0"/>
                  <w:divBdr>
                    <w:top w:val="none" w:sz="0" w:space="0" w:color="auto"/>
                    <w:left w:val="none" w:sz="0" w:space="0" w:color="auto"/>
                    <w:bottom w:val="none" w:sz="0" w:space="0" w:color="auto"/>
                    <w:right w:val="none" w:sz="0" w:space="0" w:color="auto"/>
                  </w:divBdr>
                  <w:divsChild>
                    <w:div w:id="6522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893255">
      <w:bodyDiv w:val="1"/>
      <w:marLeft w:val="0"/>
      <w:marRight w:val="0"/>
      <w:marTop w:val="0"/>
      <w:marBottom w:val="0"/>
      <w:divBdr>
        <w:top w:val="none" w:sz="0" w:space="0" w:color="auto"/>
        <w:left w:val="none" w:sz="0" w:space="0" w:color="auto"/>
        <w:bottom w:val="none" w:sz="0" w:space="0" w:color="auto"/>
        <w:right w:val="none" w:sz="0" w:space="0" w:color="auto"/>
      </w:divBdr>
      <w:divsChild>
        <w:div w:id="347416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3DC3-95FA-44F3-B1D5-21048130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12</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224</cp:revision>
  <cp:lastPrinted>2013-09-12T12:15:00Z</cp:lastPrinted>
  <dcterms:created xsi:type="dcterms:W3CDTF">2013-08-20T16:00:00Z</dcterms:created>
  <dcterms:modified xsi:type="dcterms:W3CDTF">2013-09-12T12:15:00Z</dcterms:modified>
</cp:coreProperties>
</file>