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F50" w:rsidRPr="00F514FB" w:rsidRDefault="00715F50" w:rsidP="00715F50">
      <w:pPr>
        <w:widowControl/>
        <w:tabs>
          <w:tab w:val="center" w:pos="4680"/>
        </w:tabs>
        <w:suppressAutoHyphens/>
        <w:jc w:val="center"/>
        <w:rPr>
          <w:b/>
          <w:sz w:val="26"/>
          <w:szCs w:val="26"/>
        </w:rPr>
      </w:pPr>
      <w:r w:rsidRPr="00F514FB">
        <w:rPr>
          <w:b/>
          <w:sz w:val="26"/>
          <w:szCs w:val="26"/>
        </w:rPr>
        <w:t>PENNSYLVANIA</w:t>
      </w:r>
    </w:p>
    <w:p w:rsidR="00715F50" w:rsidRPr="00F514FB" w:rsidRDefault="00715F50" w:rsidP="00715F50">
      <w:pPr>
        <w:widowControl/>
        <w:tabs>
          <w:tab w:val="center" w:pos="4680"/>
        </w:tabs>
        <w:suppressAutoHyphens/>
        <w:jc w:val="center"/>
        <w:rPr>
          <w:sz w:val="26"/>
          <w:szCs w:val="26"/>
        </w:rPr>
      </w:pPr>
      <w:r w:rsidRPr="00F514FB">
        <w:rPr>
          <w:b/>
          <w:sz w:val="26"/>
          <w:szCs w:val="26"/>
        </w:rPr>
        <w:t>PUBLIC UTILITY COMMISSION</w:t>
      </w:r>
    </w:p>
    <w:p w:rsidR="00715F50" w:rsidRPr="00F514FB" w:rsidRDefault="00715F50" w:rsidP="00715F50">
      <w:pPr>
        <w:widowControl/>
        <w:tabs>
          <w:tab w:val="center" w:pos="4680"/>
        </w:tabs>
        <w:suppressAutoHyphens/>
        <w:jc w:val="center"/>
        <w:rPr>
          <w:sz w:val="26"/>
          <w:szCs w:val="26"/>
        </w:rPr>
      </w:pPr>
      <w:r w:rsidRPr="00F514FB">
        <w:rPr>
          <w:b/>
          <w:sz w:val="26"/>
          <w:szCs w:val="26"/>
        </w:rPr>
        <w:t>Harrisburg, PA 17105-3265</w:t>
      </w:r>
    </w:p>
    <w:p w:rsidR="00715F50" w:rsidRPr="00F514FB" w:rsidRDefault="00715F50" w:rsidP="00715F50">
      <w:pPr>
        <w:widowControl/>
        <w:tabs>
          <w:tab w:val="left" w:pos="-720"/>
        </w:tabs>
        <w:suppressAutoHyphens/>
        <w:rPr>
          <w:sz w:val="26"/>
          <w:szCs w:val="26"/>
        </w:rPr>
      </w:pPr>
    </w:p>
    <w:p w:rsidR="00715F50" w:rsidRPr="00F514FB" w:rsidRDefault="00715F50" w:rsidP="00715F50">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428"/>
      </w:tblGrid>
      <w:tr w:rsidR="00715F50" w:rsidRPr="00F514FB" w:rsidTr="006C38AC">
        <w:tc>
          <w:tcPr>
            <w:tcW w:w="4788" w:type="dxa"/>
          </w:tcPr>
          <w:p w:rsidR="00715F50" w:rsidRPr="00F514FB" w:rsidRDefault="00715F50" w:rsidP="003E65FD">
            <w:pPr>
              <w:widowControl/>
              <w:rPr>
                <w:sz w:val="26"/>
                <w:szCs w:val="26"/>
              </w:rPr>
            </w:pPr>
          </w:p>
        </w:tc>
        <w:tc>
          <w:tcPr>
            <w:tcW w:w="4428" w:type="dxa"/>
          </w:tcPr>
          <w:p w:rsidR="00715F50" w:rsidRPr="00F514FB" w:rsidRDefault="004865BC" w:rsidP="006C38AC">
            <w:pPr>
              <w:widowControl/>
              <w:ind w:left="-378"/>
              <w:rPr>
                <w:sz w:val="26"/>
                <w:szCs w:val="26"/>
              </w:rPr>
            </w:pPr>
            <w:proofErr w:type="spellStart"/>
            <w:r>
              <w:rPr>
                <w:sz w:val="26"/>
                <w:szCs w:val="26"/>
              </w:rPr>
              <w:t>Pu</w:t>
            </w:r>
            <w:r w:rsidR="00D1577E">
              <w:rPr>
                <w:sz w:val="26"/>
                <w:szCs w:val="26"/>
              </w:rPr>
              <w:t>Pu</w:t>
            </w:r>
            <w:r w:rsidRPr="00F514FB">
              <w:rPr>
                <w:sz w:val="26"/>
                <w:szCs w:val="26"/>
              </w:rPr>
              <w:t>blic</w:t>
            </w:r>
            <w:proofErr w:type="spellEnd"/>
            <w:r w:rsidR="00715F50" w:rsidRPr="00F514FB">
              <w:rPr>
                <w:sz w:val="26"/>
                <w:szCs w:val="26"/>
              </w:rPr>
              <w:t xml:space="preserve"> Meeting held </w:t>
            </w:r>
            <w:r w:rsidR="006C38AC">
              <w:rPr>
                <w:sz w:val="26"/>
                <w:szCs w:val="26"/>
              </w:rPr>
              <w:t>September</w:t>
            </w:r>
            <w:r w:rsidR="00715F50">
              <w:rPr>
                <w:sz w:val="26"/>
                <w:szCs w:val="26"/>
              </w:rPr>
              <w:t xml:space="preserve"> </w:t>
            </w:r>
            <w:r w:rsidR="006C38AC">
              <w:rPr>
                <w:sz w:val="26"/>
                <w:szCs w:val="26"/>
              </w:rPr>
              <w:t>1</w:t>
            </w:r>
            <w:r w:rsidR="00715F50">
              <w:rPr>
                <w:sz w:val="26"/>
                <w:szCs w:val="26"/>
              </w:rPr>
              <w:t xml:space="preserve">2, </w:t>
            </w:r>
            <w:r w:rsidR="006C38AC">
              <w:rPr>
                <w:sz w:val="26"/>
                <w:szCs w:val="26"/>
              </w:rPr>
              <w:t>2</w:t>
            </w:r>
            <w:r w:rsidR="00715F50">
              <w:rPr>
                <w:sz w:val="26"/>
                <w:szCs w:val="26"/>
              </w:rPr>
              <w:t>013</w:t>
            </w:r>
          </w:p>
          <w:p w:rsidR="00715F50" w:rsidRPr="00F514FB" w:rsidRDefault="00715F50" w:rsidP="003E65FD">
            <w:pPr>
              <w:widowControl/>
              <w:jc w:val="right"/>
              <w:rPr>
                <w:sz w:val="26"/>
                <w:szCs w:val="26"/>
              </w:rPr>
            </w:pPr>
          </w:p>
          <w:p w:rsidR="00715F50" w:rsidRPr="00F514FB" w:rsidRDefault="00715F50" w:rsidP="003E65FD">
            <w:pPr>
              <w:widowControl/>
              <w:jc w:val="right"/>
              <w:rPr>
                <w:sz w:val="26"/>
                <w:szCs w:val="26"/>
              </w:rPr>
            </w:pPr>
          </w:p>
        </w:tc>
      </w:tr>
      <w:tr w:rsidR="00715F50" w:rsidRPr="00F514FB" w:rsidTr="006C38AC">
        <w:tc>
          <w:tcPr>
            <w:tcW w:w="4788" w:type="dxa"/>
          </w:tcPr>
          <w:p w:rsidR="00715F50" w:rsidRPr="00F514FB" w:rsidRDefault="00715F50" w:rsidP="003E65FD">
            <w:pPr>
              <w:widowControl/>
              <w:rPr>
                <w:sz w:val="26"/>
                <w:szCs w:val="26"/>
              </w:rPr>
            </w:pPr>
            <w:r w:rsidRPr="00F514FB">
              <w:rPr>
                <w:sz w:val="26"/>
                <w:szCs w:val="26"/>
              </w:rPr>
              <w:t>Commissioners Present:</w:t>
            </w:r>
          </w:p>
          <w:p w:rsidR="00715F50" w:rsidRPr="00F514FB" w:rsidRDefault="00715F50" w:rsidP="003E65FD">
            <w:pPr>
              <w:widowControl/>
              <w:rPr>
                <w:sz w:val="26"/>
                <w:szCs w:val="26"/>
              </w:rPr>
            </w:pPr>
          </w:p>
          <w:p w:rsidR="00715F50" w:rsidRPr="00F514FB" w:rsidRDefault="00715F50" w:rsidP="003E65FD">
            <w:pPr>
              <w:widowControl/>
              <w:tabs>
                <w:tab w:val="left" w:pos="705"/>
              </w:tabs>
              <w:rPr>
                <w:sz w:val="26"/>
                <w:szCs w:val="26"/>
              </w:rPr>
            </w:pPr>
            <w:r w:rsidRPr="00F514FB">
              <w:rPr>
                <w:sz w:val="26"/>
                <w:szCs w:val="26"/>
              </w:rPr>
              <w:t>Robert F. Powelson, Chairman</w:t>
            </w:r>
          </w:p>
          <w:p w:rsidR="00715F50" w:rsidRPr="00F514FB" w:rsidRDefault="00715F50" w:rsidP="003E65FD">
            <w:pPr>
              <w:widowControl/>
              <w:tabs>
                <w:tab w:val="left" w:pos="705"/>
              </w:tabs>
              <w:rPr>
                <w:sz w:val="26"/>
                <w:szCs w:val="26"/>
              </w:rPr>
            </w:pPr>
            <w:r w:rsidRPr="00F514FB">
              <w:rPr>
                <w:sz w:val="26"/>
                <w:szCs w:val="26"/>
              </w:rPr>
              <w:t>John F. Coleman, Jr., Vice Chairman</w:t>
            </w:r>
          </w:p>
          <w:p w:rsidR="00715F50" w:rsidRPr="00F514FB" w:rsidRDefault="00715F50" w:rsidP="003E65FD">
            <w:pPr>
              <w:widowControl/>
              <w:tabs>
                <w:tab w:val="left" w:pos="705"/>
              </w:tabs>
              <w:rPr>
                <w:sz w:val="26"/>
                <w:szCs w:val="26"/>
              </w:rPr>
            </w:pPr>
            <w:r w:rsidRPr="00F514FB">
              <w:rPr>
                <w:sz w:val="26"/>
                <w:szCs w:val="26"/>
              </w:rPr>
              <w:t>Wayne E. Gardner</w:t>
            </w:r>
          </w:p>
          <w:p w:rsidR="00715F50" w:rsidRPr="00F514FB" w:rsidRDefault="00715F50" w:rsidP="003E65FD">
            <w:pPr>
              <w:widowControl/>
              <w:tabs>
                <w:tab w:val="left" w:pos="705"/>
              </w:tabs>
              <w:rPr>
                <w:sz w:val="26"/>
                <w:szCs w:val="26"/>
              </w:rPr>
            </w:pPr>
            <w:r w:rsidRPr="00F514FB">
              <w:rPr>
                <w:sz w:val="26"/>
                <w:szCs w:val="26"/>
              </w:rPr>
              <w:t xml:space="preserve">James H. </w:t>
            </w:r>
            <w:proofErr w:type="spellStart"/>
            <w:r w:rsidRPr="00F514FB">
              <w:rPr>
                <w:sz w:val="26"/>
                <w:szCs w:val="26"/>
              </w:rPr>
              <w:t>Cawley</w:t>
            </w:r>
            <w:proofErr w:type="spellEnd"/>
          </w:p>
          <w:p w:rsidR="00715F50" w:rsidRPr="00F514FB" w:rsidRDefault="00715F50" w:rsidP="003E65FD">
            <w:pPr>
              <w:widowControl/>
              <w:tabs>
                <w:tab w:val="left" w:pos="705"/>
              </w:tabs>
              <w:rPr>
                <w:sz w:val="26"/>
                <w:szCs w:val="26"/>
              </w:rPr>
            </w:pPr>
            <w:r w:rsidRPr="00F514FB">
              <w:rPr>
                <w:sz w:val="26"/>
                <w:szCs w:val="26"/>
              </w:rPr>
              <w:t xml:space="preserve">Pamela A. </w:t>
            </w:r>
            <w:proofErr w:type="spellStart"/>
            <w:r w:rsidRPr="00F514FB">
              <w:rPr>
                <w:sz w:val="26"/>
                <w:szCs w:val="26"/>
              </w:rPr>
              <w:t>Witmer</w:t>
            </w:r>
            <w:proofErr w:type="spellEnd"/>
          </w:p>
          <w:p w:rsidR="00715F50" w:rsidRPr="00F514FB" w:rsidRDefault="00715F50" w:rsidP="003E65FD">
            <w:pPr>
              <w:widowControl/>
              <w:rPr>
                <w:sz w:val="26"/>
                <w:szCs w:val="26"/>
              </w:rPr>
            </w:pPr>
          </w:p>
          <w:p w:rsidR="00715F50" w:rsidRPr="00F514FB" w:rsidRDefault="00715F50" w:rsidP="003E65FD">
            <w:pPr>
              <w:widowControl/>
              <w:rPr>
                <w:sz w:val="26"/>
                <w:szCs w:val="26"/>
              </w:rPr>
            </w:pPr>
          </w:p>
        </w:tc>
        <w:tc>
          <w:tcPr>
            <w:tcW w:w="4428" w:type="dxa"/>
          </w:tcPr>
          <w:p w:rsidR="00715F50" w:rsidRPr="00F514FB" w:rsidRDefault="00715F50" w:rsidP="003E65FD">
            <w:pPr>
              <w:widowControl/>
              <w:jc w:val="right"/>
              <w:rPr>
                <w:sz w:val="26"/>
                <w:szCs w:val="26"/>
              </w:rPr>
            </w:pPr>
          </w:p>
          <w:p w:rsidR="00715F50" w:rsidRPr="00F514FB" w:rsidRDefault="00715F50" w:rsidP="003E65FD">
            <w:pPr>
              <w:widowControl/>
              <w:jc w:val="right"/>
              <w:rPr>
                <w:sz w:val="26"/>
                <w:szCs w:val="26"/>
              </w:rPr>
            </w:pPr>
          </w:p>
        </w:tc>
      </w:tr>
      <w:tr w:rsidR="00715F50" w:rsidRPr="00F514FB" w:rsidTr="006C38AC">
        <w:tc>
          <w:tcPr>
            <w:tcW w:w="4788" w:type="dxa"/>
          </w:tcPr>
          <w:p w:rsidR="00715F50" w:rsidRPr="00F514FB" w:rsidRDefault="00AE4112" w:rsidP="003E65FD">
            <w:pPr>
              <w:widowControl/>
              <w:rPr>
                <w:sz w:val="26"/>
                <w:szCs w:val="26"/>
              </w:rPr>
            </w:pPr>
            <w:r>
              <w:rPr>
                <w:sz w:val="26"/>
                <w:szCs w:val="26"/>
              </w:rPr>
              <w:t xml:space="preserve">Jack </w:t>
            </w:r>
            <w:proofErr w:type="spellStart"/>
            <w:r>
              <w:rPr>
                <w:sz w:val="26"/>
                <w:szCs w:val="26"/>
              </w:rPr>
              <w:t>Bleiman</w:t>
            </w:r>
            <w:proofErr w:type="spellEnd"/>
          </w:p>
          <w:p w:rsidR="00715F50" w:rsidRPr="00F514FB" w:rsidRDefault="00715F50" w:rsidP="003E65FD">
            <w:pPr>
              <w:widowControl/>
              <w:rPr>
                <w:sz w:val="26"/>
                <w:szCs w:val="26"/>
              </w:rPr>
            </w:pPr>
          </w:p>
        </w:tc>
        <w:tc>
          <w:tcPr>
            <w:tcW w:w="4428" w:type="dxa"/>
          </w:tcPr>
          <w:p w:rsidR="00715F50" w:rsidRPr="00F514FB" w:rsidRDefault="00715F50" w:rsidP="003E65FD">
            <w:pPr>
              <w:widowControl/>
              <w:jc w:val="right"/>
              <w:rPr>
                <w:sz w:val="26"/>
                <w:szCs w:val="26"/>
              </w:rPr>
            </w:pPr>
            <w:r>
              <w:rPr>
                <w:sz w:val="26"/>
                <w:szCs w:val="26"/>
              </w:rPr>
              <w:t xml:space="preserve">F-2012-2284038 </w:t>
            </w:r>
          </w:p>
        </w:tc>
      </w:tr>
      <w:tr w:rsidR="00715F50" w:rsidRPr="00F514FB" w:rsidTr="006C38AC">
        <w:tc>
          <w:tcPr>
            <w:tcW w:w="4788" w:type="dxa"/>
          </w:tcPr>
          <w:p w:rsidR="00715F50" w:rsidRPr="00F514FB" w:rsidRDefault="00715F50" w:rsidP="003E65FD">
            <w:pPr>
              <w:widowControl/>
              <w:rPr>
                <w:sz w:val="26"/>
                <w:szCs w:val="26"/>
              </w:rPr>
            </w:pPr>
            <w:r>
              <w:rPr>
                <w:sz w:val="26"/>
                <w:szCs w:val="26"/>
              </w:rPr>
              <w:t xml:space="preserve">            </w:t>
            </w:r>
            <w:proofErr w:type="gramStart"/>
            <w:r w:rsidRPr="00F514FB">
              <w:rPr>
                <w:sz w:val="26"/>
                <w:szCs w:val="26"/>
              </w:rPr>
              <w:t>v</w:t>
            </w:r>
            <w:proofErr w:type="gramEnd"/>
            <w:r w:rsidRPr="00F514FB">
              <w:rPr>
                <w:sz w:val="26"/>
                <w:szCs w:val="26"/>
              </w:rPr>
              <w:t>.</w:t>
            </w:r>
          </w:p>
          <w:p w:rsidR="00715F50" w:rsidRPr="00F514FB" w:rsidRDefault="00715F50" w:rsidP="003E65FD">
            <w:pPr>
              <w:widowControl/>
              <w:rPr>
                <w:sz w:val="26"/>
                <w:szCs w:val="26"/>
              </w:rPr>
            </w:pPr>
          </w:p>
        </w:tc>
        <w:tc>
          <w:tcPr>
            <w:tcW w:w="4428" w:type="dxa"/>
          </w:tcPr>
          <w:p w:rsidR="00715F50" w:rsidRPr="00F514FB" w:rsidRDefault="00715F50" w:rsidP="003E65FD">
            <w:pPr>
              <w:widowControl/>
              <w:rPr>
                <w:sz w:val="26"/>
                <w:szCs w:val="26"/>
              </w:rPr>
            </w:pPr>
          </w:p>
        </w:tc>
      </w:tr>
      <w:tr w:rsidR="00715F50" w:rsidRPr="00F514FB" w:rsidTr="006C38AC">
        <w:tc>
          <w:tcPr>
            <w:tcW w:w="4788" w:type="dxa"/>
          </w:tcPr>
          <w:p w:rsidR="00715F50" w:rsidRPr="00F514FB" w:rsidRDefault="00715F50" w:rsidP="003E65FD">
            <w:pPr>
              <w:widowControl/>
              <w:rPr>
                <w:sz w:val="26"/>
                <w:szCs w:val="26"/>
              </w:rPr>
            </w:pPr>
            <w:r>
              <w:rPr>
                <w:sz w:val="26"/>
                <w:szCs w:val="26"/>
              </w:rPr>
              <w:t xml:space="preserve">PECO Energy Company </w:t>
            </w:r>
          </w:p>
        </w:tc>
        <w:tc>
          <w:tcPr>
            <w:tcW w:w="4428" w:type="dxa"/>
          </w:tcPr>
          <w:p w:rsidR="00715F50" w:rsidRPr="00F514FB" w:rsidRDefault="00715F50" w:rsidP="003E65FD">
            <w:pPr>
              <w:widowControl/>
              <w:rPr>
                <w:sz w:val="26"/>
                <w:szCs w:val="26"/>
              </w:rPr>
            </w:pPr>
          </w:p>
        </w:tc>
      </w:tr>
    </w:tbl>
    <w:p w:rsidR="00715F50" w:rsidRPr="00F514FB" w:rsidRDefault="00715F50" w:rsidP="00715F50">
      <w:pPr>
        <w:widowControl/>
        <w:rPr>
          <w:sz w:val="26"/>
          <w:szCs w:val="26"/>
        </w:rPr>
      </w:pPr>
    </w:p>
    <w:p w:rsidR="00715F50" w:rsidRPr="00F514FB" w:rsidRDefault="00715F50" w:rsidP="00715F50">
      <w:pPr>
        <w:widowControl/>
        <w:rPr>
          <w:sz w:val="26"/>
          <w:szCs w:val="26"/>
        </w:rPr>
      </w:pPr>
    </w:p>
    <w:p w:rsidR="00715F50" w:rsidRPr="00F514FB" w:rsidRDefault="00715F50" w:rsidP="00715F50">
      <w:pPr>
        <w:widowControl/>
        <w:jc w:val="center"/>
        <w:rPr>
          <w:b/>
          <w:sz w:val="26"/>
          <w:szCs w:val="26"/>
        </w:rPr>
      </w:pPr>
      <w:r w:rsidRPr="00F514FB">
        <w:rPr>
          <w:b/>
          <w:sz w:val="26"/>
          <w:szCs w:val="26"/>
        </w:rPr>
        <w:t xml:space="preserve">OPINION </w:t>
      </w:r>
      <w:smartTag w:uri="urn:schemas-microsoft-com:office:smarttags" w:element="stockticker">
        <w:r w:rsidRPr="00F514FB">
          <w:rPr>
            <w:b/>
            <w:sz w:val="26"/>
            <w:szCs w:val="26"/>
          </w:rPr>
          <w:t>AND</w:t>
        </w:r>
      </w:smartTag>
      <w:r w:rsidRPr="00F514FB">
        <w:rPr>
          <w:b/>
          <w:sz w:val="26"/>
          <w:szCs w:val="26"/>
        </w:rPr>
        <w:t xml:space="preserve"> ORDER</w:t>
      </w:r>
    </w:p>
    <w:p w:rsidR="00715F50" w:rsidRPr="00F514FB" w:rsidRDefault="00715F50" w:rsidP="00715F50">
      <w:pPr>
        <w:widowControl/>
        <w:jc w:val="center"/>
        <w:rPr>
          <w:b/>
          <w:sz w:val="26"/>
          <w:szCs w:val="26"/>
        </w:rPr>
      </w:pPr>
    </w:p>
    <w:p w:rsidR="00715F50" w:rsidRPr="00F514FB" w:rsidRDefault="00715F50" w:rsidP="00715F50">
      <w:pPr>
        <w:widowControl/>
        <w:jc w:val="center"/>
        <w:rPr>
          <w:b/>
          <w:sz w:val="26"/>
          <w:szCs w:val="26"/>
        </w:rPr>
      </w:pPr>
    </w:p>
    <w:p w:rsidR="00715F50" w:rsidRPr="00F514FB" w:rsidRDefault="00715F50" w:rsidP="00715F50">
      <w:pPr>
        <w:widowControl/>
        <w:rPr>
          <w:b/>
          <w:sz w:val="26"/>
          <w:szCs w:val="26"/>
        </w:rPr>
      </w:pPr>
      <w:r w:rsidRPr="00F514FB">
        <w:rPr>
          <w:b/>
          <w:sz w:val="26"/>
          <w:szCs w:val="26"/>
        </w:rPr>
        <w:t>BY THE COMMISSION:</w:t>
      </w:r>
    </w:p>
    <w:p w:rsidR="00715F50" w:rsidRPr="00F514FB" w:rsidRDefault="00715F50" w:rsidP="00715F50">
      <w:pPr>
        <w:widowControl/>
        <w:rPr>
          <w:sz w:val="26"/>
          <w:szCs w:val="26"/>
        </w:rPr>
      </w:pPr>
    </w:p>
    <w:p w:rsidR="003D0640" w:rsidRDefault="00715F50" w:rsidP="003D0640">
      <w:pPr>
        <w:widowControl/>
        <w:spacing w:line="360" w:lineRule="auto"/>
        <w:ind w:firstLine="1440"/>
        <w:rPr>
          <w:sz w:val="26"/>
          <w:szCs w:val="26"/>
        </w:rPr>
      </w:pPr>
      <w:r w:rsidRPr="00CA43A5">
        <w:rPr>
          <w:sz w:val="26"/>
          <w:szCs w:val="26"/>
        </w:rPr>
        <w:t xml:space="preserve">Before the Pennsylvania Public Utility Commission (Commission) for consideration and disposition </w:t>
      </w:r>
      <w:r w:rsidR="003D0640">
        <w:rPr>
          <w:sz w:val="26"/>
          <w:szCs w:val="26"/>
        </w:rPr>
        <w:t xml:space="preserve">is </w:t>
      </w:r>
      <w:r w:rsidR="003D0640" w:rsidRPr="00D62EC8">
        <w:rPr>
          <w:color w:val="000000"/>
          <w:sz w:val="26"/>
          <w:szCs w:val="26"/>
        </w:rPr>
        <w:t xml:space="preserve">the </w:t>
      </w:r>
      <w:r w:rsidR="003D0640">
        <w:rPr>
          <w:color w:val="000000"/>
          <w:sz w:val="26"/>
          <w:szCs w:val="26"/>
        </w:rPr>
        <w:t>Petition for Reconsideration (Petition)</w:t>
      </w:r>
      <w:r w:rsidR="004223B8">
        <w:rPr>
          <w:color w:val="000000"/>
          <w:sz w:val="26"/>
          <w:szCs w:val="26"/>
        </w:rPr>
        <w:t xml:space="preserve"> filed by</w:t>
      </w:r>
      <w:r w:rsidR="003D0640" w:rsidRPr="00D62EC8">
        <w:rPr>
          <w:color w:val="000000"/>
          <w:sz w:val="26"/>
          <w:szCs w:val="26"/>
        </w:rPr>
        <w:t xml:space="preserve"> </w:t>
      </w:r>
      <w:r w:rsidR="003D0640">
        <w:rPr>
          <w:color w:val="000000"/>
          <w:sz w:val="26"/>
          <w:szCs w:val="26"/>
        </w:rPr>
        <w:t xml:space="preserve">Jack </w:t>
      </w:r>
      <w:proofErr w:type="spellStart"/>
      <w:r w:rsidR="003D0640">
        <w:rPr>
          <w:color w:val="000000"/>
          <w:sz w:val="26"/>
          <w:szCs w:val="26"/>
        </w:rPr>
        <w:t>Bleiman</w:t>
      </w:r>
      <w:proofErr w:type="spellEnd"/>
      <w:r w:rsidR="004223B8">
        <w:rPr>
          <w:color w:val="000000"/>
          <w:sz w:val="26"/>
          <w:szCs w:val="26"/>
        </w:rPr>
        <w:t xml:space="preserve"> (Complainant) </w:t>
      </w:r>
      <w:r w:rsidR="003D0640" w:rsidRPr="00D62EC8">
        <w:rPr>
          <w:color w:val="000000"/>
          <w:sz w:val="26"/>
          <w:szCs w:val="26"/>
        </w:rPr>
        <w:t xml:space="preserve">on </w:t>
      </w:r>
      <w:r w:rsidR="003D0640">
        <w:rPr>
          <w:color w:val="000000"/>
          <w:sz w:val="26"/>
          <w:szCs w:val="26"/>
        </w:rPr>
        <w:t>June 26</w:t>
      </w:r>
      <w:r w:rsidR="003D0640" w:rsidRPr="00D62EC8">
        <w:rPr>
          <w:color w:val="000000"/>
          <w:sz w:val="26"/>
          <w:szCs w:val="26"/>
        </w:rPr>
        <w:t>,</w:t>
      </w:r>
      <w:r w:rsidR="003D0640">
        <w:rPr>
          <w:color w:val="000000"/>
          <w:sz w:val="26"/>
          <w:szCs w:val="26"/>
        </w:rPr>
        <w:t xml:space="preserve"> </w:t>
      </w:r>
      <w:r w:rsidR="003D0640" w:rsidRPr="00D62EC8">
        <w:rPr>
          <w:color w:val="000000"/>
          <w:sz w:val="26"/>
          <w:szCs w:val="26"/>
        </w:rPr>
        <w:t>2013</w:t>
      </w:r>
      <w:r w:rsidR="003D0640">
        <w:rPr>
          <w:color w:val="000000"/>
          <w:sz w:val="26"/>
          <w:szCs w:val="26"/>
        </w:rPr>
        <w:t xml:space="preserve">, </w:t>
      </w:r>
      <w:r w:rsidR="003D0640" w:rsidRPr="00D62EC8">
        <w:rPr>
          <w:color w:val="000000"/>
          <w:sz w:val="26"/>
          <w:szCs w:val="26"/>
        </w:rPr>
        <w:t>in the above-captioned proceeding.</w:t>
      </w:r>
      <w:r w:rsidR="003D0640">
        <w:rPr>
          <w:color w:val="000000"/>
          <w:sz w:val="26"/>
          <w:szCs w:val="26"/>
        </w:rPr>
        <w:t xml:space="preserve">  </w:t>
      </w:r>
      <w:r w:rsidR="004223B8">
        <w:rPr>
          <w:color w:val="000000"/>
          <w:sz w:val="26"/>
          <w:szCs w:val="26"/>
        </w:rPr>
        <w:t xml:space="preserve">The Petition was filed in response to an Opinion and Order that was </w:t>
      </w:r>
      <w:r w:rsidR="0020267E">
        <w:rPr>
          <w:color w:val="000000"/>
          <w:sz w:val="26"/>
          <w:szCs w:val="26"/>
        </w:rPr>
        <w:t>entered</w:t>
      </w:r>
      <w:r w:rsidR="004223B8">
        <w:rPr>
          <w:color w:val="000000"/>
          <w:sz w:val="26"/>
          <w:szCs w:val="26"/>
        </w:rPr>
        <w:t xml:space="preserve"> on June 13, 2013 (</w:t>
      </w:r>
      <w:r w:rsidR="004223B8">
        <w:rPr>
          <w:i/>
          <w:color w:val="000000"/>
          <w:sz w:val="26"/>
          <w:szCs w:val="26"/>
        </w:rPr>
        <w:t>June 2013 Order)</w:t>
      </w:r>
      <w:r w:rsidR="004223B8">
        <w:rPr>
          <w:color w:val="000000"/>
          <w:sz w:val="26"/>
          <w:szCs w:val="26"/>
        </w:rPr>
        <w:t xml:space="preserve">, which adopted the Initial Decision of Administrative Law Judge Angela T. Jones, issued on November 12, 2012, and denied the Exceptions of the Complainant.  </w:t>
      </w:r>
      <w:r w:rsidR="006C38AC">
        <w:rPr>
          <w:color w:val="000000"/>
          <w:sz w:val="26"/>
          <w:szCs w:val="26"/>
        </w:rPr>
        <w:t>No response to the P</w:t>
      </w:r>
      <w:r w:rsidR="004223B8">
        <w:rPr>
          <w:color w:val="000000"/>
          <w:sz w:val="26"/>
          <w:szCs w:val="26"/>
        </w:rPr>
        <w:t xml:space="preserve">etition has been filed.  </w:t>
      </w:r>
      <w:r w:rsidR="004223B8">
        <w:rPr>
          <w:sz w:val="26"/>
          <w:szCs w:val="26"/>
        </w:rPr>
        <w:t>For the reasons set forth herein</w:t>
      </w:r>
      <w:r w:rsidR="003D0640" w:rsidRPr="00D62EC8">
        <w:rPr>
          <w:sz w:val="26"/>
          <w:szCs w:val="26"/>
        </w:rPr>
        <w:t xml:space="preserve">, we will </w:t>
      </w:r>
      <w:r w:rsidR="003D0640">
        <w:rPr>
          <w:sz w:val="26"/>
          <w:szCs w:val="26"/>
        </w:rPr>
        <w:t>deny the Petition</w:t>
      </w:r>
      <w:r w:rsidR="003D0640" w:rsidRPr="00D62EC8">
        <w:rPr>
          <w:sz w:val="26"/>
          <w:szCs w:val="26"/>
        </w:rPr>
        <w:t>.</w:t>
      </w:r>
    </w:p>
    <w:p w:rsidR="00031327" w:rsidRDefault="00031327" w:rsidP="003D0640">
      <w:pPr>
        <w:widowControl/>
        <w:spacing w:line="360" w:lineRule="auto"/>
        <w:ind w:firstLine="1440"/>
        <w:rPr>
          <w:sz w:val="26"/>
          <w:szCs w:val="26"/>
        </w:rPr>
      </w:pPr>
    </w:p>
    <w:p w:rsidR="003D0640" w:rsidRDefault="003D0640" w:rsidP="003D0640">
      <w:pPr>
        <w:keepNext/>
        <w:keepLines/>
        <w:widowControl/>
        <w:spacing w:line="360" w:lineRule="auto"/>
        <w:jc w:val="center"/>
        <w:rPr>
          <w:b/>
          <w:sz w:val="26"/>
          <w:szCs w:val="26"/>
        </w:rPr>
      </w:pPr>
      <w:r w:rsidRPr="00D62EC8">
        <w:rPr>
          <w:b/>
          <w:sz w:val="26"/>
          <w:szCs w:val="26"/>
        </w:rPr>
        <w:lastRenderedPageBreak/>
        <w:t>History of the Proceeding</w:t>
      </w:r>
    </w:p>
    <w:p w:rsidR="00702898" w:rsidRDefault="00702898" w:rsidP="003D0640">
      <w:pPr>
        <w:keepNext/>
        <w:keepLines/>
        <w:widowControl/>
        <w:spacing w:line="360" w:lineRule="auto"/>
        <w:jc w:val="center"/>
        <w:rPr>
          <w:b/>
          <w:sz w:val="26"/>
          <w:szCs w:val="26"/>
        </w:rPr>
      </w:pPr>
    </w:p>
    <w:p w:rsidR="00702898" w:rsidRDefault="00702898" w:rsidP="00702898">
      <w:pPr>
        <w:widowControl/>
        <w:spacing w:line="360" w:lineRule="auto"/>
        <w:ind w:firstLine="1440"/>
        <w:rPr>
          <w:sz w:val="26"/>
          <w:szCs w:val="24"/>
        </w:rPr>
      </w:pPr>
      <w:r>
        <w:rPr>
          <w:sz w:val="26"/>
          <w:szCs w:val="24"/>
        </w:rPr>
        <w:t>On January</w:t>
      </w:r>
      <w:r w:rsidRPr="0051475B">
        <w:rPr>
          <w:sz w:val="26"/>
          <w:szCs w:val="24"/>
        </w:rPr>
        <w:t xml:space="preserve"> </w:t>
      </w:r>
      <w:r>
        <w:rPr>
          <w:sz w:val="26"/>
          <w:szCs w:val="24"/>
        </w:rPr>
        <w:t>1</w:t>
      </w:r>
      <w:r w:rsidRPr="0051475B">
        <w:rPr>
          <w:sz w:val="26"/>
          <w:szCs w:val="24"/>
        </w:rPr>
        <w:t>2, 201</w:t>
      </w:r>
      <w:r>
        <w:rPr>
          <w:sz w:val="26"/>
          <w:szCs w:val="24"/>
        </w:rPr>
        <w:t>2</w:t>
      </w:r>
      <w:r w:rsidRPr="0051475B">
        <w:rPr>
          <w:sz w:val="26"/>
          <w:szCs w:val="24"/>
        </w:rPr>
        <w:t xml:space="preserve">, </w:t>
      </w:r>
      <w:r w:rsidR="00833F5C">
        <w:rPr>
          <w:sz w:val="26"/>
          <w:szCs w:val="24"/>
        </w:rPr>
        <w:t>the Complainant</w:t>
      </w:r>
      <w:r w:rsidRPr="0051475B">
        <w:rPr>
          <w:sz w:val="26"/>
          <w:szCs w:val="24"/>
        </w:rPr>
        <w:t xml:space="preserve"> filed a </w:t>
      </w:r>
      <w:r>
        <w:rPr>
          <w:sz w:val="26"/>
          <w:szCs w:val="24"/>
        </w:rPr>
        <w:t>Formal C</w:t>
      </w:r>
      <w:r w:rsidRPr="0051475B">
        <w:rPr>
          <w:sz w:val="26"/>
          <w:szCs w:val="24"/>
        </w:rPr>
        <w:t xml:space="preserve">omplaint </w:t>
      </w:r>
      <w:r>
        <w:rPr>
          <w:sz w:val="26"/>
          <w:szCs w:val="24"/>
        </w:rPr>
        <w:t>(Complaint) against PECO Energy Company (PECO, Company or Respondent)</w:t>
      </w:r>
      <w:r w:rsidRPr="0051475B">
        <w:rPr>
          <w:sz w:val="26"/>
          <w:szCs w:val="24"/>
        </w:rPr>
        <w:t xml:space="preserve">, </w:t>
      </w:r>
      <w:r w:rsidR="006C38AC">
        <w:rPr>
          <w:sz w:val="26"/>
          <w:szCs w:val="24"/>
        </w:rPr>
        <w:t>which alleged</w:t>
      </w:r>
      <w:r>
        <w:rPr>
          <w:sz w:val="26"/>
          <w:szCs w:val="24"/>
        </w:rPr>
        <w:t xml:space="preserve"> that</w:t>
      </w:r>
      <w:r w:rsidRPr="0051475B">
        <w:rPr>
          <w:sz w:val="26"/>
          <w:szCs w:val="24"/>
        </w:rPr>
        <w:t xml:space="preserve"> </w:t>
      </w:r>
      <w:r>
        <w:rPr>
          <w:sz w:val="26"/>
          <w:szCs w:val="24"/>
        </w:rPr>
        <w:t>PECO</w:t>
      </w:r>
      <w:r w:rsidRPr="0051475B">
        <w:rPr>
          <w:sz w:val="26"/>
          <w:szCs w:val="24"/>
        </w:rPr>
        <w:t xml:space="preserve"> wrongfully placed </w:t>
      </w:r>
      <w:r w:rsidR="00833F5C">
        <w:rPr>
          <w:sz w:val="26"/>
          <w:szCs w:val="24"/>
        </w:rPr>
        <w:t>the entire balance of a</w:t>
      </w:r>
      <w:r>
        <w:rPr>
          <w:sz w:val="26"/>
          <w:szCs w:val="24"/>
        </w:rPr>
        <w:t xml:space="preserve"> tenant’s </w:t>
      </w:r>
      <w:r w:rsidRPr="0051475B">
        <w:rPr>
          <w:sz w:val="26"/>
          <w:szCs w:val="24"/>
        </w:rPr>
        <w:t xml:space="preserve">bill in his name after finding </w:t>
      </w:r>
      <w:r>
        <w:rPr>
          <w:sz w:val="26"/>
          <w:szCs w:val="24"/>
        </w:rPr>
        <w:t xml:space="preserve">that </w:t>
      </w:r>
      <w:r w:rsidRPr="0051475B">
        <w:rPr>
          <w:sz w:val="26"/>
          <w:szCs w:val="24"/>
        </w:rPr>
        <w:t xml:space="preserve">a foreign load </w:t>
      </w:r>
      <w:r>
        <w:rPr>
          <w:sz w:val="26"/>
          <w:szCs w:val="24"/>
        </w:rPr>
        <w:t xml:space="preserve">situation </w:t>
      </w:r>
      <w:r w:rsidRPr="0051475B">
        <w:rPr>
          <w:sz w:val="26"/>
          <w:szCs w:val="24"/>
        </w:rPr>
        <w:t xml:space="preserve">existed at </w:t>
      </w:r>
      <w:r>
        <w:rPr>
          <w:sz w:val="26"/>
          <w:szCs w:val="24"/>
        </w:rPr>
        <w:t>his rental</w:t>
      </w:r>
      <w:r w:rsidRPr="0051475B">
        <w:rPr>
          <w:sz w:val="26"/>
          <w:szCs w:val="24"/>
        </w:rPr>
        <w:t xml:space="preserve"> property</w:t>
      </w:r>
      <w:r>
        <w:rPr>
          <w:sz w:val="26"/>
          <w:szCs w:val="24"/>
        </w:rPr>
        <w:t>.</w:t>
      </w:r>
      <w:r w:rsidRPr="0051475B">
        <w:rPr>
          <w:sz w:val="26"/>
          <w:szCs w:val="24"/>
        </w:rPr>
        <w:t xml:space="preserve">  </w:t>
      </w:r>
      <w:r w:rsidR="00833F5C">
        <w:rPr>
          <w:sz w:val="26"/>
          <w:szCs w:val="24"/>
        </w:rPr>
        <w:t>As relief, the Complainant requested that the bill be “totally cancelled” and the matter b</w:t>
      </w:r>
      <w:r w:rsidR="00BA74D2">
        <w:rPr>
          <w:sz w:val="26"/>
          <w:szCs w:val="24"/>
        </w:rPr>
        <w:t>rought to the attention of the Attorney G</w:t>
      </w:r>
      <w:r w:rsidR="00833F5C">
        <w:rPr>
          <w:sz w:val="26"/>
          <w:szCs w:val="24"/>
        </w:rPr>
        <w:t>eneral of Pennsylvania to investigate.</w:t>
      </w:r>
    </w:p>
    <w:p w:rsidR="00702898" w:rsidRDefault="00702898" w:rsidP="00702898">
      <w:pPr>
        <w:widowControl/>
        <w:spacing w:line="360" w:lineRule="auto"/>
        <w:rPr>
          <w:sz w:val="26"/>
          <w:szCs w:val="24"/>
        </w:rPr>
      </w:pPr>
    </w:p>
    <w:p w:rsidR="00702898" w:rsidRDefault="00702898" w:rsidP="00702898">
      <w:pPr>
        <w:widowControl/>
        <w:spacing w:line="360" w:lineRule="auto"/>
        <w:rPr>
          <w:sz w:val="26"/>
          <w:szCs w:val="24"/>
        </w:rPr>
      </w:pPr>
      <w:r>
        <w:rPr>
          <w:sz w:val="26"/>
          <w:szCs w:val="24"/>
        </w:rPr>
        <w:tab/>
      </w:r>
      <w:r>
        <w:rPr>
          <w:sz w:val="26"/>
          <w:szCs w:val="24"/>
        </w:rPr>
        <w:tab/>
        <w:t>PECO</w:t>
      </w:r>
      <w:r w:rsidRPr="0051475B">
        <w:rPr>
          <w:sz w:val="26"/>
          <w:szCs w:val="24"/>
        </w:rPr>
        <w:t xml:space="preserve"> </w:t>
      </w:r>
      <w:r>
        <w:rPr>
          <w:sz w:val="26"/>
          <w:szCs w:val="24"/>
        </w:rPr>
        <w:t>filed an Answer</w:t>
      </w:r>
      <w:r w:rsidRPr="0051475B">
        <w:rPr>
          <w:sz w:val="26"/>
          <w:szCs w:val="24"/>
        </w:rPr>
        <w:t xml:space="preserve"> on </w:t>
      </w:r>
      <w:r>
        <w:rPr>
          <w:sz w:val="26"/>
          <w:szCs w:val="24"/>
        </w:rPr>
        <w:t>February</w:t>
      </w:r>
      <w:r w:rsidRPr="0051475B">
        <w:rPr>
          <w:sz w:val="26"/>
          <w:szCs w:val="24"/>
        </w:rPr>
        <w:t> </w:t>
      </w:r>
      <w:r>
        <w:rPr>
          <w:sz w:val="26"/>
          <w:szCs w:val="24"/>
        </w:rPr>
        <w:t>9</w:t>
      </w:r>
      <w:r w:rsidRPr="0051475B">
        <w:rPr>
          <w:sz w:val="26"/>
          <w:szCs w:val="24"/>
        </w:rPr>
        <w:t>, 201</w:t>
      </w:r>
      <w:r>
        <w:rPr>
          <w:sz w:val="26"/>
          <w:szCs w:val="24"/>
        </w:rPr>
        <w:t>2,</w:t>
      </w:r>
      <w:r w:rsidRPr="0051475B">
        <w:rPr>
          <w:sz w:val="26"/>
          <w:szCs w:val="24"/>
        </w:rPr>
        <w:t xml:space="preserve"> </w:t>
      </w:r>
      <w:r>
        <w:rPr>
          <w:sz w:val="26"/>
          <w:szCs w:val="24"/>
        </w:rPr>
        <w:t>in which it denied that there were incorrect charges on the Complainant’s bill and asserted that it was investigating some of the allegations of the Complaint and would file a more detailed response within ten days.  A more detailed response was not submitted by PECO.</w:t>
      </w:r>
    </w:p>
    <w:p w:rsidR="00702898" w:rsidRDefault="00702898" w:rsidP="00702898">
      <w:pPr>
        <w:widowControl/>
        <w:spacing w:line="360" w:lineRule="auto"/>
        <w:rPr>
          <w:sz w:val="26"/>
          <w:szCs w:val="24"/>
        </w:rPr>
      </w:pPr>
    </w:p>
    <w:p w:rsidR="00702898" w:rsidRDefault="00702898" w:rsidP="00702898">
      <w:pPr>
        <w:widowControl/>
        <w:tabs>
          <w:tab w:val="left" w:pos="-720"/>
        </w:tabs>
        <w:suppressAutoHyphens/>
        <w:spacing w:line="360" w:lineRule="auto"/>
        <w:rPr>
          <w:sz w:val="26"/>
          <w:szCs w:val="26"/>
        </w:rPr>
      </w:pPr>
      <w:r>
        <w:rPr>
          <w:sz w:val="26"/>
          <w:szCs w:val="24"/>
        </w:rPr>
        <w:tab/>
      </w:r>
      <w:r>
        <w:rPr>
          <w:sz w:val="26"/>
          <w:szCs w:val="24"/>
        </w:rPr>
        <w:tab/>
        <w:t>ALJ Jones conducted an initial hearing on May</w:t>
      </w:r>
      <w:r w:rsidRPr="0051475B">
        <w:rPr>
          <w:sz w:val="26"/>
          <w:szCs w:val="24"/>
        </w:rPr>
        <w:t xml:space="preserve"> </w:t>
      </w:r>
      <w:r>
        <w:rPr>
          <w:sz w:val="26"/>
          <w:szCs w:val="24"/>
        </w:rPr>
        <w:t>1</w:t>
      </w:r>
      <w:r w:rsidRPr="0051475B">
        <w:rPr>
          <w:sz w:val="26"/>
          <w:szCs w:val="24"/>
        </w:rPr>
        <w:t>, 201</w:t>
      </w:r>
      <w:r>
        <w:rPr>
          <w:sz w:val="26"/>
          <w:szCs w:val="24"/>
        </w:rPr>
        <w:t>2</w:t>
      </w:r>
      <w:r w:rsidRPr="0051475B">
        <w:rPr>
          <w:sz w:val="26"/>
          <w:szCs w:val="24"/>
        </w:rPr>
        <w:t xml:space="preserve">.  </w:t>
      </w:r>
      <w:r>
        <w:rPr>
          <w:sz w:val="26"/>
          <w:szCs w:val="24"/>
        </w:rPr>
        <w:t xml:space="preserve">The </w:t>
      </w:r>
      <w:r w:rsidRPr="0051475B">
        <w:rPr>
          <w:sz w:val="26"/>
          <w:szCs w:val="24"/>
        </w:rPr>
        <w:t xml:space="preserve">Complainant appeared </w:t>
      </w:r>
      <w:r w:rsidRPr="0051475B">
        <w:rPr>
          <w:i/>
          <w:sz w:val="26"/>
          <w:szCs w:val="24"/>
        </w:rPr>
        <w:t>pro se</w:t>
      </w:r>
      <w:r w:rsidRPr="0051475B">
        <w:rPr>
          <w:sz w:val="26"/>
          <w:szCs w:val="24"/>
        </w:rPr>
        <w:t xml:space="preserve">.  </w:t>
      </w:r>
      <w:r>
        <w:rPr>
          <w:sz w:val="26"/>
          <w:szCs w:val="24"/>
        </w:rPr>
        <w:t>PECO was represented by counsel</w:t>
      </w:r>
      <w:r w:rsidRPr="0051475B">
        <w:rPr>
          <w:sz w:val="26"/>
          <w:szCs w:val="24"/>
        </w:rPr>
        <w:t xml:space="preserve"> </w:t>
      </w:r>
      <w:r>
        <w:rPr>
          <w:sz w:val="26"/>
          <w:szCs w:val="24"/>
        </w:rPr>
        <w:t>and presented one witness</w:t>
      </w:r>
      <w:r w:rsidRPr="0051475B">
        <w:rPr>
          <w:sz w:val="26"/>
          <w:szCs w:val="24"/>
        </w:rPr>
        <w:t xml:space="preserve">.  </w:t>
      </w:r>
      <w:r>
        <w:rPr>
          <w:sz w:val="26"/>
          <w:szCs w:val="24"/>
        </w:rPr>
        <w:t xml:space="preserve">After an attempt by </w:t>
      </w:r>
      <w:r>
        <w:rPr>
          <w:sz w:val="26"/>
          <w:szCs w:val="26"/>
        </w:rPr>
        <w:t xml:space="preserve">the Parties </w:t>
      </w:r>
      <w:r w:rsidRPr="00EA57C8">
        <w:rPr>
          <w:sz w:val="26"/>
          <w:szCs w:val="26"/>
        </w:rPr>
        <w:t xml:space="preserve">to negotiate </w:t>
      </w:r>
      <w:r>
        <w:rPr>
          <w:sz w:val="26"/>
          <w:szCs w:val="26"/>
        </w:rPr>
        <w:t xml:space="preserve">a </w:t>
      </w:r>
      <w:r w:rsidRPr="00EA57C8">
        <w:rPr>
          <w:sz w:val="26"/>
          <w:szCs w:val="26"/>
        </w:rPr>
        <w:t xml:space="preserve">settlement of this dispute, </w:t>
      </w:r>
      <w:r>
        <w:rPr>
          <w:sz w:val="26"/>
          <w:szCs w:val="26"/>
        </w:rPr>
        <w:t xml:space="preserve">the </w:t>
      </w:r>
      <w:r w:rsidRPr="00EA57C8">
        <w:rPr>
          <w:sz w:val="26"/>
          <w:szCs w:val="26"/>
        </w:rPr>
        <w:t xml:space="preserve">Complainant expressed </w:t>
      </w:r>
      <w:r w:rsidRPr="001A7B39">
        <w:rPr>
          <w:sz w:val="26"/>
          <w:szCs w:val="26"/>
        </w:rPr>
        <w:t>the desire to amend his Complaint.  PECO did not object to the Complainant’s request.  By Order issued May 2, 2012, the ALJ granted the Complainant’s request to file an amended Complaint.</w:t>
      </w:r>
      <w:r>
        <w:rPr>
          <w:sz w:val="26"/>
          <w:szCs w:val="26"/>
        </w:rPr>
        <w:t xml:space="preserve"> </w:t>
      </w:r>
    </w:p>
    <w:p w:rsidR="00702898" w:rsidRDefault="00702898" w:rsidP="00702898">
      <w:pPr>
        <w:widowControl/>
        <w:tabs>
          <w:tab w:val="left" w:pos="-720"/>
        </w:tabs>
        <w:suppressAutoHyphens/>
        <w:spacing w:line="360" w:lineRule="auto"/>
        <w:rPr>
          <w:sz w:val="26"/>
          <w:szCs w:val="26"/>
        </w:rPr>
      </w:pPr>
    </w:p>
    <w:p w:rsidR="00702898" w:rsidRDefault="00702898" w:rsidP="00702898">
      <w:pPr>
        <w:widowControl/>
        <w:tabs>
          <w:tab w:val="left" w:pos="-720"/>
        </w:tabs>
        <w:suppressAutoHyphens/>
        <w:spacing w:line="360" w:lineRule="auto"/>
        <w:rPr>
          <w:sz w:val="26"/>
          <w:szCs w:val="26"/>
        </w:rPr>
      </w:pPr>
      <w:r>
        <w:rPr>
          <w:sz w:val="26"/>
          <w:szCs w:val="26"/>
        </w:rPr>
        <w:tab/>
      </w:r>
      <w:r>
        <w:rPr>
          <w:sz w:val="26"/>
          <w:szCs w:val="26"/>
        </w:rPr>
        <w:tab/>
        <w:t xml:space="preserve">On May 21, 2012, the Complainant filed an </w:t>
      </w:r>
      <w:r w:rsidR="00D24A32">
        <w:rPr>
          <w:sz w:val="26"/>
          <w:szCs w:val="26"/>
        </w:rPr>
        <w:t>A</w:t>
      </w:r>
      <w:r w:rsidR="006C38AC">
        <w:rPr>
          <w:sz w:val="26"/>
          <w:szCs w:val="26"/>
        </w:rPr>
        <w:t>mended Complaint which alleged</w:t>
      </w:r>
      <w:r>
        <w:rPr>
          <w:sz w:val="26"/>
          <w:szCs w:val="26"/>
        </w:rPr>
        <w:t xml:space="preserve"> that PECO technicians trespassed into the basement of the service address without his knowledge or permission.</w:t>
      </w:r>
      <w:r w:rsidRPr="00927C96">
        <w:rPr>
          <w:sz w:val="26"/>
          <w:szCs w:val="26"/>
        </w:rPr>
        <w:t xml:space="preserve"> </w:t>
      </w:r>
      <w:r>
        <w:rPr>
          <w:sz w:val="26"/>
          <w:szCs w:val="26"/>
        </w:rPr>
        <w:t xml:space="preserve"> The Complainant requested that, since PECO was trespassing, any results they found without his permission should be disregarded.</w:t>
      </w:r>
    </w:p>
    <w:p w:rsidR="00702898" w:rsidRDefault="00702898" w:rsidP="00702898">
      <w:pPr>
        <w:widowControl/>
        <w:tabs>
          <w:tab w:val="left" w:pos="-720"/>
        </w:tabs>
        <w:suppressAutoHyphens/>
        <w:spacing w:line="360" w:lineRule="auto"/>
        <w:rPr>
          <w:sz w:val="24"/>
          <w:szCs w:val="24"/>
        </w:rPr>
      </w:pPr>
    </w:p>
    <w:p w:rsidR="00702898" w:rsidRPr="00EC1F9E" w:rsidRDefault="00702898" w:rsidP="00702898">
      <w:pPr>
        <w:widowControl/>
        <w:tabs>
          <w:tab w:val="left" w:pos="-720"/>
        </w:tabs>
        <w:suppressAutoHyphens/>
        <w:spacing w:line="360" w:lineRule="auto"/>
        <w:rPr>
          <w:sz w:val="26"/>
          <w:szCs w:val="26"/>
        </w:rPr>
      </w:pPr>
      <w:r>
        <w:rPr>
          <w:sz w:val="24"/>
          <w:szCs w:val="24"/>
        </w:rPr>
        <w:tab/>
      </w:r>
      <w:r>
        <w:rPr>
          <w:sz w:val="24"/>
          <w:szCs w:val="24"/>
        </w:rPr>
        <w:tab/>
        <w:t>O</w:t>
      </w:r>
      <w:r w:rsidRPr="00EC1F9E">
        <w:rPr>
          <w:sz w:val="26"/>
          <w:szCs w:val="26"/>
        </w:rPr>
        <w:t>n June 8, 2012,</w:t>
      </w:r>
      <w:r>
        <w:rPr>
          <w:sz w:val="26"/>
          <w:szCs w:val="26"/>
        </w:rPr>
        <w:t xml:space="preserve"> </w:t>
      </w:r>
      <w:r w:rsidR="00BA74D2">
        <w:rPr>
          <w:sz w:val="26"/>
          <w:szCs w:val="26"/>
        </w:rPr>
        <w:t xml:space="preserve">PECO filed an </w:t>
      </w:r>
      <w:r w:rsidRPr="00EC1F9E">
        <w:rPr>
          <w:sz w:val="26"/>
          <w:szCs w:val="26"/>
        </w:rPr>
        <w:t xml:space="preserve">Answer to the </w:t>
      </w:r>
      <w:r w:rsidR="00D24A32">
        <w:rPr>
          <w:sz w:val="26"/>
          <w:szCs w:val="26"/>
        </w:rPr>
        <w:t>A</w:t>
      </w:r>
      <w:r w:rsidRPr="00EC1F9E">
        <w:rPr>
          <w:sz w:val="26"/>
          <w:szCs w:val="26"/>
        </w:rPr>
        <w:t>mended Complaint.  PECO stated that Rule 10.5 of its approved electric tariff states</w:t>
      </w:r>
      <w:r>
        <w:rPr>
          <w:sz w:val="26"/>
          <w:szCs w:val="26"/>
        </w:rPr>
        <w:t xml:space="preserve"> that</w:t>
      </w:r>
      <w:r w:rsidRPr="00EC1F9E">
        <w:rPr>
          <w:sz w:val="26"/>
          <w:szCs w:val="26"/>
        </w:rPr>
        <w:t>, “</w:t>
      </w:r>
      <w:r>
        <w:rPr>
          <w:sz w:val="26"/>
          <w:szCs w:val="26"/>
        </w:rPr>
        <w:t>[t]</w:t>
      </w:r>
      <w:r w:rsidRPr="00EC1F9E">
        <w:rPr>
          <w:sz w:val="26"/>
          <w:szCs w:val="26"/>
        </w:rPr>
        <w:t xml:space="preserve">he Company’s identified employees shall have access to the premises of the customer at all reasonable </w:t>
      </w:r>
      <w:r w:rsidRPr="00EC1F9E">
        <w:rPr>
          <w:sz w:val="26"/>
          <w:szCs w:val="26"/>
        </w:rPr>
        <w:lastRenderedPageBreak/>
        <w:t>times for the purpose of reading meters, and for installing, testing, inspecting, repairing, removing or changing any or all equipment belonging to the Company.”  PECO contended that the Company was acting in accordance with its</w:t>
      </w:r>
      <w:r>
        <w:rPr>
          <w:sz w:val="26"/>
          <w:szCs w:val="26"/>
        </w:rPr>
        <w:t xml:space="preserve"> T</w:t>
      </w:r>
      <w:r w:rsidRPr="00EC1F9E">
        <w:rPr>
          <w:sz w:val="26"/>
          <w:szCs w:val="26"/>
        </w:rPr>
        <w:t>ariff Rule 10.5 when its technician accessed the meters at the service address.  Answer at 1.</w:t>
      </w:r>
    </w:p>
    <w:p w:rsidR="00702898" w:rsidRPr="002062F0" w:rsidRDefault="00702898" w:rsidP="00702898">
      <w:pPr>
        <w:widowControl/>
        <w:tabs>
          <w:tab w:val="left" w:pos="-720"/>
        </w:tabs>
        <w:suppressAutoHyphens/>
        <w:spacing w:line="360" w:lineRule="auto"/>
        <w:rPr>
          <w:sz w:val="26"/>
          <w:szCs w:val="26"/>
        </w:rPr>
      </w:pPr>
    </w:p>
    <w:p w:rsidR="00702898" w:rsidRDefault="00702898" w:rsidP="00702898">
      <w:pPr>
        <w:widowControl/>
        <w:tabs>
          <w:tab w:val="left" w:pos="-720"/>
        </w:tabs>
        <w:suppressAutoHyphens/>
        <w:spacing w:line="360" w:lineRule="auto"/>
        <w:rPr>
          <w:sz w:val="26"/>
          <w:szCs w:val="26"/>
        </w:rPr>
      </w:pPr>
      <w:r>
        <w:rPr>
          <w:sz w:val="24"/>
          <w:szCs w:val="24"/>
        </w:rPr>
        <w:tab/>
      </w:r>
      <w:r>
        <w:rPr>
          <w:sz w:val="24"/>
          <w:szCs w:val="24"/>
        </w:rPr>
        <w:tab/>
      </w:r>
      <w:r w:rsidRPr="00EC1F9E">
        <w:rPr>
          <w:sz w:val="26"/>
          <w:szCs w:val="26"/>
        </w:rPr>
        <w:t xml:space="preserve">ALJ Jones conducted a further hearing on August 9, 2012.  </w:t>
      </w:r>
      <w:r w:rsidR="006C38AC">
        <w:rPr>
          <w:sz w:val="26"/>
          <w:szCs w:val="26"/>
        </w:rPr>
        <w:t xml:space="preserve">The Complainant appeared, </w:t>
      </w:r>
      <w:r>
        <w:rPr>
          <w:i/>
          <w:sz w:val="26"/>
          <w:szCs w:val="26"/>
        </w:rPr>
        <w:t xml:space="preserve">pro se, </w:t>
      </w:r>
      <w:r>
        <w:rPr>
          <w:sz w:val="26"/>
          <w:szCs w:val="26"/>
        </w:rPr>
        <w:t>and presented two exhibits</w:t>
      </w:r>
      <w:r w:rsidRPr="00EC1F9E">
        <w:rPr>
          <w:sz w:val="26"/>
          <w:szCs w:val="26"/>
        </w:rPr>
        <w:t xml:space="preserve">.  Both exhibits were admitted into the record without objection.  </w:t>
      </w:r>
      <w:r>
        <w:rPr>
          <w:sz w:val="26"/>
          <w:szCs w:val="26"/>
        </w:rPr>
        <w:t>PECO was represented by counsel and presented two w</w:t>
      </w:r>
      <w:r w:rsidRPr="00EC1F9E">
        <w:rPr>
          <w:sz w:val="26"/>
          <w:szCs w:val="26"/>
        </w:rPr>
        <w:t>itnesses</w:t>
      </w:r>
      <w:r>
        <w:rPr>
          <w:sz w:val="26"/>
          <w:szCs w:val="26"/>
        </w:rPr>
        <w:t xml:space="preserve"> who sponsored </w:t>
      </w:r>
      <w:r w:rsidR="00833F5C">
        <w:rPr>
          <w:sz w:val="26"/>
          <w:szCs w:val="26"/>
        </w:rPr>
        <w:t>nine exhibits.</w:t>
      </w:r>
    </w:p>
    <w:p w:rsidR="00702898" w:rsidRDefault="00702898" w:rsidP="00702898">
      <w:pPr>
        <w:widowControl/>
        <w:tabs>
          <w:tab w:val="left" w:pos="-720"/>
        </w:tabs>
        <w:suppressAutoHyphens/>
        <w:spacing w:line="360" w:lineRule="auto"/>
        <w:rPr>
          <w:sz w:val="26"/>
          <w:szCs w:val="26"/>
        </w:rPr>
      </w:pPr>
    </w:p>
    <w:p w:rsidR="00702898" w:rsidRDefault="00702898" w:rsidP="00702898">
      <w:pPr>
        <w:widowControl/>
        <w:tabs>
          <w:tab w:val="left" w:pos="-720"/>
        </w:tabs>
        <w:suppressAutoHyphens/>
        <w:spacing w:line="360" w:lineRule="auto"/>
        <w:rPr>
          <w:sz w:val="26"/>
          <w:szCs w:val="26"/>
        </w:rPr>
      </w:pPr>
      <w:r>
        <w:rPr>
          <w:sz w:val="24"/>
          <w:szCs w:val="24"/>
        </w:rPr>
        <w:tab/>
      </w:r>
      <w:r>
        <w:rPr>
          <w:sz w:val="24"/>
          <w:szCs w:val="24"/>
        </w:rPr>
        <w:tab/>
      </w:r>
      <w:r w:rsidRPr="001006D8">
        <w:rPr>
          <w:sz w:val="26"/>
          <w:szCs w:val="26"/>
        </w:rPr>
        <w:t xml:space="preserve">PECO Exhibits 1, 2, 3, 4, 6, 9, and 11 were admitted with no objection.  </w:t>
      </w:r>
      <w:r>
        <w:rPr>
          <w:sz w:val="26"/>
          <w:szCs w:val="26"/>
        </w:rPr>
        <w:t xml:space="preserve">At the hearing, PECO’s witness </w:t>
      </w:r>
      <w:r w:rsidRPr="001006D8">
        <w:rPr>
          <w:sz w:val="26"/>
          <w:szCs w:val="26"/>
        </w:rPr>
        <w:t>acknowledge</w:t>
      </w:r>
      <w:r>
        <w:rPr>
          <w:sz w:val="26"/>
          <w:szCs w:val="26"/>
        </w:rPr>
        <w:t>d</w:t>
      </w:r>
      <w:r w:rsidRPr="001006D8">
        <w:rPr>
          <w:sz w:val="26"/>
          <w:szCs w:val="26"/>
        </w:rPr>
        <w:t xml:space="preserve"> that the ra</w:t>
      </w:r>
      <w:r>
        <w:rPr>
          <w:sz w:val="26"/>
          <w:szCs w:val="26"/>
        </w:rPr>
        <w:t>te used for billing</w:t>
      </w:r>
      <w:r w:rsidRPr="001006D8">
        <w:rPr>
          <w:sz w:val="26"/>
          <w:szCs w:val="26"/>
        </w:rPr>
        <w:t xml:space="preserve"> the tenant</w:t>
      </w:r>
      <w:r>
        <w:rPr>
          <w:sz w:val="26"/>
          <w:szCs w:val="26"/>
        </w:rPr>
        <w:t>’s</w:t>
      </w:r>
      <w:r w:rsidRPr="001006D8">
        <w:rPr>
          <w:sz w:val="26"/>
          <w:szCs w:val="26"/>
        </w:rPr>
        <w:t xml:space="preserve"> account in PECO Exhibit 5 and the landlord</w:t>
      </w:r>
      <w:r>
        <w:rPr>
          <w:sz w:val="26"/>
          <w:szCs w:val="26"/>
        </w:rPr>
        <w:t>’s</w:t>
      </w:r>
      <w:r w:rsidRPr="001006D8">
        <w:rPr>
          <w:sz w:val="26"/>
          <w:szCs w:val="26"/>
        </w:rPr>
        <w:t xml:space="preserve"> account in PECO Exhibit 10 was incorrect.  </w:t>
      </w:r>
      <w:r>
        <w:rPr>
          <w:sz w:val="26"/>
          <w:szCs w:val="26"/>
        </w:rPr>
        <w:t>By Order issued August 10, 2012, the ALJ directed that these E</w:t>
      </w:r>
      <w:r w:rsidRPr="001006D8">
        <w:rPr>
          <w:sz w:val="26"/>
          <w:szCs w:val="26"/>
        </w:rPr>
        <w:t xml:space="preserve">xhibits be amended </w:t>
      </w:r>
      <w:r>
        <w:rPr>
          <w:sz w:val="26"/>
          <w:szCs w:val="26"/>
        </w:rPr>
        <w:t xml:space="preserve">by PECO </w:t>
      </w:r>
      <w:r w:rsidRPr="001006D8">
        <w:rPr>
          <w:sz w:val="26"/>
          <w:szCs w:val="26"/>
        </w:rPr>
        <w:t>to show the proper rate and adjust</w:t>
      </w:r>
      <w:r>
        <w:rPr>
          <w:sz w:val="26"/>
          <w:szCs w:val="26"/>
        </w:rPr>
        <w:t>ments</w:t>
      </w:r>
      <w:r w:rsidRPr="001006D8">
        <w:rPr>
          <w:sz w:val="26"/>
          <w:szCs w:val="26"/>
        </w:rPr>
        <w:t xml:space="preserve"> </w:t>
      </w:r>
      <w:r>
        <w:rPr>
          <w:sz w:val="26"/>
          <w:szCs w:val="26"/>
        </w:rPr>
        <w:t xml:space="preserve">to </w:t>
      </w:r>
      <w:r w:rsidRPr="001006D8">
        <w:rPr>
          <w:sz w:val="26"/>
          <w:szCs w:val="26"/>
        </w:rPr>
        <w:t>the billing and b</w:t>
      </w:r>
      <w:r>
        <w:rPr>
          <w:sz w:val="26"/>
          <w:szCs w:val="26"/>
        </w:rPr>
        <w:t>alances.  I.D. at 4.</w:t>
      </w:r>
    </w:p>
    <w:p w:rsidR="00702898" w:rsidRDefault="00702898" w:rsidP="00702898">
      <w:pPr>
        <w:widowControl/>
        <w:tabs>
          <w:tab w:val="left" w:pos="-720"/>
        </w:tabs>
        <w:suppressAutoHyphens/>
        <w:spacing w:line="360" w:lineRule="auto"/>
        <w:rPr>
          <w:sz w:val="26"/>
          <w:szCs w:val="26"/>
        </w:rPr>
      </w:pPr>
    </w:p>
    <w:p w:rsidR="00702898" w:rsidRDefault="00702898" w:rsidP="00702898">
      <w:pPr>
        <w:widowControl/>
        <w:tabs>
          <w:tab w:val="left" w:pos="-720"/>
        </w:tabs>
        <w:suppressAutoHyphens/>
        <w:spacing w:line="360" w:lineRule="auto"/>
        <w:rPr>
          <w:sz w:val="26"/>
          <w:szCs w:val="26"/>
        </w:rPr>
      </w:pPr>
      <w:r>
        <w:rPr>
          <w:sz w:val="26"/>
          <w:szCs w:val="26"/>
        </w:rPr>
        <w:tab/>
      </w:r>
      <w:r>
        <w:rPr>
          <w:sz w:val="26"/>
          <w:szCs w:val="26"/>
        </w:rPr>
        <w:tab/>
        <w:t>In compliance with the ALJ’s Order</w:t>
      </w:r>
      <w:r w:rsidRPr="00190848">
        <w:rPr>
          <w:sz w:val="26"/>
          <w:szCs w:val="26"/>
        </w:rPr>
        <w:t xml:space="preserve">, </w:t>
      </w:r>
      <w:r>
        <w:rPr>
          <w:sz w:val="26"/>
          <w:szCs w:val="26"/>
        </w:rPr>
        <w:t xml:space="preserve">on August 20, 2012, </w:t>
      </w:r>
      <w:r w:rsidRPr="00190848">
        <w:rPr>
          <w:sz w:val="26"/>
          <w:szCs w:val="26"/>
        </w:rPr>
        <w:t>PECO m</w:t>
      </w:r>
      <w:r>
        <w:rPr>
          <w:sz w:val="26"/>
          <w:szCs w:val="26"/>
        </w:rPr>
        <w:t>oved for the admission of PECO a</w:t>
      </w:r>
      <w:r w:rsidRPr="00190848">
        <w:rPr>
          <w:sz w:val="26"/>
          <w:szCs w:val="26"/>
        </w:rPr>
        <w:t xml:space="preserve">mended </w:t>
      </w:r>
      <w:r>
        <w:rPr>
          <w:sz w:val="26"/>
          <w:szCs w:val="26"/>
        </w:rPr>
        <w:t>E</w:t>
      </w:r>
      <w:r w:rsidRPr="00190848">
        <w:rPr>
          <w:sz w:val="26"/>
          <w:szCs w:val="26"/>
        </w:rPr>
        <w:t>xhibits 5 and 10</w:t>
      </w:r>
      <w:r>
        <w:rPr>
          <w:sz w:val="26"/>
          <w:szCs w:val="26"/>
        </w:rPr>
        <w:t>,</w:t>
      </w:r>
      <w:r w:rsidRPr="00190848">
        <w:rPr>
          <w:sz w:val="26"/>
          <w:szCs w:val="26"/>
        </w:rPr>
        <w:t xml:space="preserve"> </w:t>
      </w:r>
      <w:r>
        <w:rPr>
          <w:sz w:val="26"/>
          <w:szCs w:val="26"/>
        </w:rPr>
        <w:t xml:space="preserve">which </w:t>
      </w:r>
      <w:r w:rsidRPr="00190848">
        <w:rPr>
          <w:sz w:val="26"/>
          <w:szCs w:val="26"/>
        </w:rPr>
        <w:t>adjust</w:t>
      </w:r>
      <w:r>
        <w:rPr>
          <w:sz w:val="26"/>
          <w:szCs w:val="26"/>
        </w:rPr>
        <w:t>ed</w:t>
      </w:r>
      <w:r w:rsidRPr="00190848">
        <w:rPr>
          <w:sz w:val="26"/>
          <w:szCs w:val="26"/>
        </w:rPr>
        <w:t xml:space="preserve"> the billed amounts and balances by the correct rate</w:t>
      </w:r>
      <w:r>
        <w:rPr>
          <w:sz w:val="26"/>
          <w:szCs w:val="26"/>
        </w:rPr>
        <w:t>,</w:t>
      </w:r>
      <w:r w:rsidRPr="00190848">
        <w:rPr>
          <w:sz w:val="26"/>
          <w:szCs w:val="26"/>
        </w:rPr>
        <w:t xml:space="preserve"> </w:t>
      </w:r>
      <w:r>
        <w:rPr>
          <w:sz w:val="26"/>
          <w:szCs w:val="26"/>
        </w:rPr>
        <w:t>and</w:t>
      </w:r>
      <w:r w:rsidRPr="00190848">
        <w:rPr>
          <w:sz w:val="26"/>
          <w:szCs w:val="26"/>
        </w:rPr>
        <w:t xml:space="preserve"> lowered the amounts from those </w:t>
      </w:r>
      <w:r w:rsidR="00BA74D2">
        <w:rPr>
          <w:sz w:val="26"/>
          <w:szCs w:val="26"/>
        </w:rPr>
        <w:t xml:space="preserve">previously </w:t>
      </w:r>
      <w:r w:rsidRPr="00190848">
        <w:rPr>
          <w:sz w:val="26"/>
          <w:szCs w:val="26"/>
        </w:rPr>
        <w:t>presented</w:t>
      </w:r>
      <w:r>
        <w:rPr>
          <w:sz w:val="26"/>
          <w:szCs w:val="26"/>
        </w:rPr>
        <w:t xml:space="preserve"> by the original Exhibits</w:t>
      </w:r>
      <w:r w:rsidRPr="00190848">
        <w:rPr>
          <w:sz w:val="26"/>
          <w:szCs w:val="26"/>
        </w:rPr>
        <w:t xml:space="preserve">.  By letter dated August 26, 2012, </w:t>
      </w:r>
      <w:r>
        <w:rPr>
          <w:sz w:val="26"/>
          <w:szCs w:val="26"/>
        </w:rPr>
        <w:t xml:space="preserve">the </w:t>
      </w:r>
      <w:r w:rsidRPr="00190848">
        <w:rPr>
          <w:sz w:val="26"/>
          <w:szCs w:val="26"/>
        </w:rPr>
        <w:t xml:space="preserve">Complainant stated that it was difficult </w:t>
      </w:r>
      <w:r>
        <w:rPr>
          <w:sz w:val="26"/>
          <w:szCs w:val="26"/>
        </w:rPr>
        <w:t xml:space="preserve">for him </w:t>
      </w:r>
      <w:r w:rsidRPr="00190848">
        <w:rPr>
          <w:sz w:val="26"/>
          <w:szCs w:val="26"/>
        </w:rPr>
        <w:t>to follow exactly wha</w:t>
      </w:r>
      <w:r>
        <w:rPr>
          <w:sz w:val="26"/>
          <w:szCs w:val="26"/>
        </w:rPr>
        <w:t>t was done through the amended E</w:t>
      </w:r>
      <w:r w:rsidRPr="00190848">
        <w:rPr>
          <w:sz w:val="26"/>
          <w:szCs w:val="26"/>
        </w:rPr>
        <w:t>xhibits</w:t>
      </w:r>
      <w:r>
        <w:rPr>
          <w:sz w:val="26"/>
          <w:szCs w:val="26"/>
        </w:rPr>
        <w:t xml:space="preserve">, but </w:t>
      </w:r>
      <w:r w:rsidRPr="00190848">
        <w:rPr>
          <w:sz w:val="26"/>
          <w:szCs w:val="26"/>
        </w:rPr>
        <w:t>suggested that</w:t>
      </w:r>
      <w:r w:rsidR="00BA74D2">
        <w:rPr>
          <w:sz w:val="26"/>
          <w:szCs w:val="26"/>
        </w:rPr>
        <w:t>,</w:t>
      </w:r>
      <w:r w:rsidRPr="00190848">
        <w:rPr>
          <w:sz w:val="26"/>
          <w:szCs w:val="26"/>
        </w:rPr>
        <w:t xml:space="preserve"> because PECO had negligently overbilled the tenant at the service address</w:t>
      </w:r>
      <w:r w:rsidR="00BA74D2">
        <w:rPr>
          <w:sz w:val="26"/>
          <w:szCs w:val="26"/>
        </w:rPr>
        <w:t>,</w:t>
      </w:r>
      <w:r w:rsidRPr="00190848">
        <w:rPr>
          <w:sz w:val="26"/>
          <w:szCs w:val="26"/>
        </w:rPr>
        <w:t xml:space="preserve"> the collection</w:t>
      </w:r>
      <w:r>
        <w:rPr>
          <w:sz w:val="26"/>
          <w:szCs w:val="26"/>
        </w:rPr>
        <w:t xml:space="preserve"> of any money by PECO should be denied.  The ALJ admitted the a</w:t>
      </w:r>
      <w:r w:rsidRPr="00190848">
        <w:rPr>
          <w:sz w:val="26"/>
          <w:szCs w:val="26"/>
        </w:rPr>
        <w:t xml:space="preserve">mended PECO Exhibits 5 and 10 </w:t>
      </w:r>
      <w:r>
        <w:rPr>
          <w:sz w:val="26"/>
          <w:szCs w:val="26"/>
        </w:rPr>
        <w:t>i</w:t>
      </w:r>
      <w:r w:rsidRPr="00190848">
        <w:rPr>
          <w:sz w:val="26"/>
          <w:szCs w:val="26"/>
        </w:rPr>
        <w:t>nto the record and the record was c</w:t>
      </w:r>
      <w:r>
        <w:rPr>
          <w:sz w:val="26"/>
          <w:szCs w:val="26"/>
        </w:rPr>
        <w:t>losed on September 11, 2012.</w:t>
      </w:r>
    </w:p>
    <w:p w:rsidR="00702898" w:rsidRDefault="00702898" w:rsidP="00702898">
      <w:pPr>
        <w:widowControl/>
        <w:tabs>
          <w:tab w:val="left" w:pos="-720"/>
        </w:tabs>
        <w:suppressAutoHyphens/>
        <w:spacing w:line="360" w:lineRule="auto"/>
        <w:rPr>
          <w:sz w:val="26"/>
          <w:szCs w:val="26"/>
        </w:rPr>
      </w:pPr>
    </w:p>
    <w:p w:rsidR="00702898" w:rsidRDefault="00702898" w:rsidP="00702898">
      <w:pPr>
        <w:widowControl/>
        <w:spacing w:line="360" w:lineRule="auto"/>
        <w:rPr>
          <w:sz w:val="26"/>
          <w:szCs w:val="24"/>
        </w:rPr>
      </w:pPr>
      <w:r>
        <w:rPr>
          <w:sz w:val="26"/>
          <w:szCs w:val="26"/>
        </w:rPr>
        <w:tab/>
      </w:r>
      <w:r>
        <w:rPr>
          <w:sz w:val="26"/>
          <w:szCs w:val="26"/>
        </w:rPr>
        <w:tab/>
      </w:r>
      <w:r>
        <w:rPr>
          <w:sz w:val="26"/>
          <w:szCs w:val="24"/>
        </w:rPr>
        <w:t xml:space="preserve">In her Initial Decision, issued on November 20, 2012, ALJ Jones found that the Complainant had sustained his burden of proof, in part, regarding incorrect billed charges, and failed to meet his burden of proof in all other respects.  The ALJ further </w:t>
      </w:r>
      <w:r>
        <w:rPr>
          <w:sz w:val="26"/>
          <w:szCs w:val="24"/>
        </w:rPr>
        <w:lastRenderedPageBreak/>
        <w:t>concluded that PECO be assessed a civil penalty in the amount of $3,680 for a violation of Secti</w:t>
      </w:r>
      <w:r w:rsidR="00BA74D2">
        <w:rPr>
          <w:sz w:val="26"/>
          <w:szCs w:val="24"/>
        </w:rPr>
        <w:t>on 1501 of the Public Utility Code (Code</w:t>
      </w:r>
      <w:r>
        <w:rPr>
          <w:sz w:val="26"/>
          <w:szCs w:val="24"/>
        </w:rPr>
        <w:t>)</w:t>
      </w:r>
      <w:r w:rsidR="00BA74D2">
        <w:rPr>
          <w:sz w:val="26"/>
          <w:szCs w:val="24"/>
        </w:rPr>
        <w:t>, 66 Pa. C.S. § 1501</w:t>
      </w:r>
      <w:r>
        <w:rPr>
          <w:sz w:val="26"/>
          <w:szCs w:val="24"/>
        </w:rPr>
        <w:t>.  Therefore, the ALJ sustained, in part, and denied, in part, the Compl</w:t>
      </w:r>
      <w:r w:rsidR="009206A9">
        <w:rPr>
          <w:sz w:val="26"/>
          <w:szCs w:val="24"/>
        </w:rPr>
        <w:t xml:space="preserve">aint.  On December 18, 2012, </w:t>
      </w:r>
      <w:r>
        <w:rPr>
          <w:sz w:val="26"/>
          <w:szCs w:val="24"/>
        </w:rPr>
        <w:t>the Complainant filed</w:t>
      </w:r>
      <w:r w:rsidR="009206A9">
        <w:rPr>
          <w:sz w:val="26"/>
          <w:szCs w:val="24"/>
        </w:rPr>
        <w:t xml:space="preserve"> Exceptions</w:t>
      </w:r>
      <w:r w:rsidR="00BA74D2">
        <w:rPr>
          <w:sz w:val="26"/>
          <w:szCs w:val="24"/>
        </w:rPr>
        <w:t xml:space="preserve"> </w:t>
      </w:r>
      <w:r w:rsidR="009206A9">
        <w:rPr>
          <w:sz w:val="26"/>
          <w:szCs w:val="24"/>
        </w:rPr>
        <w:t xml:space="preserve">without the required Certificate of Service.  That deficiency was timely corrected pursuant to a Secretarial letter dated December 21, 2012. </w:t>
      </w:r>
      <w:r>
        <w:rPr>
          <w:sz w:val="26"/>
          <w:szCs w:val="24"/>
        </w:rPr>
        <w:t xml:space="preserve"> PECO did not file Replies to Exceptions.</w:t>
      </w:r>
    </w:p>
    <w:p w:rsidR="005364F9" w:rsidRDefault="005364F9" w:rsidP="00702898">
      <w:pPr>
        <w:widowControl/>
        <w:spacing w:line="360" w:lineRule="auto"/>
        <w:rPr>
          <w:sz w:val="26"/>
          <w:szCs w:val="24"/>
        </w:rPr>
      </w:pPr>
    </w:p>
    <w:p w:rsidR="005364F9" w:rsidRDefault="005364F9" w:rsidP="00702898">
      <w:pPr>
        <w:widowControl/>
        <w:spacing w:line="360" w:lineRule="auto"/>
        <w:rPr>
          <w:sz w:val="26"/>
          <w:szCs w:val="24"/>
        </w:rPr>
      </w:pPr>
      <w:r>
        <w:rPr>
          <w:sz w:val="26"/>
          <w:szCs w:val="24"/>
        </w:rPr>
        <w:tab/>
      </w:r>
      <w:r>
        <w:rPr>
          <w:sz w:val="26"/>
          <w:szCs w:val="24"/>
        </w:rPr>
        <w:tab/>
        <w:t xml:space="preserve">On June </w:t>
      </w:r>
      <w:r w:rsidR="009B2BF6">
        <w:rPr>
          <w:sz w:val="26"/>
          <w:szCs w:val="24"/>
        </w:rPr>
        <w:t>13</w:t>
      </w:r>
      <w:r>
        <w:rPr>
          <w:sz w:val="26"/>
          <w:szCs w:val="24"/>
        </w:rPr>
        <w:t>, 2013, the Commission entered its Opinion an</w:t>
      </w:r>
      <w:r w:rsidR="00BA74D2">
        <w:rPr>
          <w:sz w:val="26"/>
          <w:szCs w:val="24"/>
        </w:rPr>
        <w:t>d Order in this proceeding that</w:t>
      </w:r>
      <w:r>
        <w:rPr>
          <w:sz w:val="26"/>
          <w:szCs w:val="24"/>
        </w:rPr>
        <w:t xml:space="preserve"> denied the Complainant’s Exceptions, adopted the Initial Decision</w:t>
      </w:r>
      <w:r w:rsidR="00BA74D2">
        <w:rPr>
          <w:sz w:val="26"/>
          <w:szCs w:val="24"/>
        </w:rPr>
        <w:t>,</w:t>
      </w:r>
      <w:r>
        <w:rPr>
          <w:sz w:val="26"/>
          <w:szCs w:val="24"/>
        </w:rPr>
        <w:t xml:space="preserve"> and sustained, in part, the </w:t>
      </w:r>
      <w:r w:rsidR="00BA74D2">
        <w:rPr>
          <w:sz w:val="26"/>
          <w:szCs w:val="24"/>
        </w:rPr>
        <w:t xml:space="preserve">Complaint.  The Commission </w:t>
      </w:r>
      <w:r>
        <w:rPr>
          <w:sz w:val="26"/>
          <w:szCs w:val="24"/>
        </w:rPr>
        <w:t>imposed a $3,680.00 civil penalty on PECO for violation of Section 1501 of the Code.</w:t>
      </w:r>
    </w:p>
    <w:p w:rsidR="005364F9" w:rsidRDefault="005364F9" w:rsidP="00702898">
      <w:pPr>
        <w:widowControl/>
        <w:spacing w:line="360" w:lineRule="auto"/>
        <w:rPr>
          <w:sz w:val="26"/>
          <w:szCs w:val="24"/>
        </w:rPr>
      </w:pPr>
    </w:p>
    <w:p w:rsidR="005364F9" w:rsidRDefault="005364F9" w:rsidP="00702898">
      <w:pPr>
        <w:widowControl/>
        <w:spacing w:line="360" w:lineRule="auto"/>
        <w:rPr>
          <w:sz w:val="26"/>
          <w:szCs w:val="24"/>
        </w:rPr>
      </w:pPr>
      <w:r>
        <w:rPr>
          <w:sz w:val="26"/>
          <w:szCs w:val="24"/>
        </w:rPr>
        <w:tab/>
      </w:r>
      <w:r>
        <w:rPr>
          <w:sz w:val="26"/>
          <w:szCs w:val="24"/>
        </w:rPr>
        <w:tab/>
        <w:t>As previously note</w:t>
      </w:r>
      <w:r w:rsidR="00437E77">
        <w:rPr>
          <w:sz w:val="26"/>
          <w:szCs w:val="24"/>
        </w:rPr>
        <w:t>d</w:t>
      </w:r>
      <w:r>
        <w:rPr>
          <w:sz w:val="26"/>
          <w:szCs w:val="24"/>
        </w:rPr>
        <w:t>, the Complainant filed his Petition on June 26, 2013.</w:t>
      </w:r>
      <w:r w:rsidR="009B2BF6">
        <w:rPr>
          <w:sz w:val="26"/>
          <w:szCs w:val="24"/>
        </w:rPr>
        <w:t xml:space="preserve">  PECO did not submit an Answer to the Petition.  The Petition is now before the Commission for review.</w:t>
      </w:r>
      <w:r w:rsidR="00D26F03">
        <w:rPr>
          <w:sz w:val="26"/>
          <w:szCs w:val="24"/>
        </w:rPr>
        <w:t xml:space="preserve">  </w:t>
      </w:r>
    </w:p>
    <w:p w:rsidR="00702898" w:rsidRDefault="00702898" w:rsidP="00C76256">
      <w:pPr>
        <w:widowControl/>
        <w:spacing w:line="360" w:lineRule="auto"/>
        <w:rPr>
          <w:b/>
          <w:sz w:val="26"/>
          <w:szCs w:val="26"/>
        </w:rPr>
      </w:pPr>
    </w:p>
    <w:p w:rsidR="00031327" w:rsidRPr="00D62EC8" w:rsidRDefault="00031327" w:rsidP="00C76256">
      <w:pPr>
        <w:keepNext/>
        <w:keepLines/>
        <w:widowControl/>
        <w:spacing w:line="360" w:lineRule="auto"/>
        <w:jc w:val="center"/>
        <w:rPr>
          <w:sz w:val="26"/>
          <w:szCs w:val="26"/>
        </w:rPr>
      </w:pPr>
      <w:r w:rsidRPr="00D62EC8">
        <w:rPr>
          <w:b/>
          <w:sz w:val="26"/>
          <w:szCs w:val="26"/>
        </w:rPr>
        <w:t>Discussion</w:t>
      </w:r>
    </w:p>
    <w:p w:rsidR="00031327" w:rsidRPr="00D62EC8" w:rsidRDefault="00031327" w:rsidP="00C76256">
      <w:pPr>
        <w:keepNext/>
        <w:keepLines/>
        <w:widowControl/>
        <w:spacing w:line="360" w:lineRule="auto"/>
        <w:ind w:firstLine="1440"/>
        <w:rPr>
          <w:sz w:val="26"/>
          <w:szCs w:val="26"/>
        </w:rPr>
      </w:pPr>
    </w:p>
    <w:p w:rsidR="00031327" w:rsidRDefault="00031327" w:rsidP="00031327">
      <w:pPr>
        <w:spacing w:line="360" w:lineRule="auto"/>
        <w:rPr>
          <w:sz w:val="26"/>
        </w:rPr>
      </w:pPr>
      <w:r>
        <w:rPr>
          <w:sz w:val="26"/>
        </w:rPr>
        <w:tab/>
      </w:r>
      <w:r>
        <w:rPr>
          <w:sz w:val="26"/>
        </w:rPr>
        <w:tab/>
        <w:t xml:space="preserve">The standards for granting a </w:t>
      </w:r>
      <w:r>
        <w:rPr>
          <w:bCs/>
          <w:sz w:val="26"/>
        </w:rPr>
        <w:t>Petition</w:t>
      </w:r>
      <w:r>
        <w:rPr>
          <w:sz w:val="26"/>
        </w:rPr>
        <w:t xml:space="preserve"> for </w:t>
      </w:r>
      <w:r>
        <w:rPr>
          <w:bCs/>
          <w:sz w:val="26"/>
        </w:rPr>
        <w:t>Reconsideration</w:t>
      </w:r>
      <w:r>
        <w:rPr>
          <w:sz w:val="26"/>
        </w:rPr>
        <w:t xml:space="preserve"> were set forth in </w:t>
      </w:r>
      <w:proofErr w:type="spellStart"/>
      <w:r>
        <w:rPr>
          <w:bCs/>
          <w:i/>
          <w:iCs/>
          <w:sz w:val="26"/>
        </w:rPr>
        <w:t>Duick</w:t>
      </w:r>
      <w:proofErr w:type="spellEnd"/>
      <w:r>
        <w:rPr>
          <w:i/>
          <w:iCs/>
          <w:sz w:val="26"/>
        </w:rPr>
        <w:t xml:space="preserve"> v. Pennsylvania Gas and Water Co.</w:t>
      </w:r>
      <w:r>
        <w:rPr>
          <w:sz w:val="26"/>
        </w:rPr>
        <w:t xml:space="preserve">, Docket No. C-R0597001 </w:t>
      </w:r>
      <w:r>
        <w:rPr>
          <w:i/>
          <w:iCs/>
          <w:sz w:val="26"/>
        </w:rPr>
        <w:t>et al.</w:t>
      </w:r>
      <w:r>
        <w:rPr>
          <w:sz w:val="26"/>
        </w:rPr>
        <w:t xml:space="preserve">, 56 Pa. P.U.C. 553, 559 (1982).  A </w:t>
      </w:r>
      <w:r>
        <w:rPr>
          <w:bCs/>
          <w:sz w:val="26"/>
        </w:rPr>
        <w:t>Petition</w:t>
      </w:r>
      <w:r>
        <w:rPr>
          <w:sz w:val="26"/>
        </w:rPr>
        <w:t xml:space="preserve"> for </w:t>
      </w:r>
      <w:r>
        <w:rPr>
          <w:bCs/>
          <w:sz w:val="26"/>
        </w:rPr>
        <w:t>Reconsideration</w:t>
      </w:r>
      <w:r>
        <w:rPr>
          <w:b/>
          <w:bCs/>
          <w:sz w:val="26"/>
        </w:rPr>
        <w:t>,</w:t>
      </w:r>
      <w:r>
        <w:rPr>
          <w:sz w:val="26"/>
        </w:rPr>
        <w:t xml:space="preserve"> under the provisions of 66 Pa. C.S. </w:t>
      </w:r>
    </w:p>
    <w:p w:rsidR="00031327" w:rsidRDefault="00031327" w:rsidP="00031327">
      <w:pPr>
        <w:spacing w:line="360" w:lineRule="auto"/>
        <w:rPr>
          <w:sz w:val="26"/>
        </w:rPr>
      </w:pPr>
      <w:r>
        <w:rPr>
          <w:sz w:val="26"/>
        </w:rPr>
        <w:t xml:space="preserve">§ 703(g), may properly raise any matters designed to convince the Commission that it should exercise its discretion to rescind or amend a prior order in whole or in part.  </w:t>
      </w:r>
      <w:r w:rsidR="00BA74D2">
        <w:rPr>
          <w:sz w:val="26"/>
        </w:rPr>
        <w:t xml:space="preserve">However, </w:t>
      </w:r>
      <w:r>
        <w:rPr>
          <w:sz w:val="26"/>
        </w:rPr>
        <w:t xml:space="preserve">Parties cannot be permitted, by a second motion to review and reconsider, to raise the same questions which were specifically decided against them.  What we expect to see raised in </w:t>
      </w:r>
      <w:r>
        <w:rPr>
          <w:bCs/>
          <w:sz w:val="26"/>
        </w:rPr>
        <w:t>petitions</w:t>
      </w:r>
      <w:r>
        <w:rPr>
          <w:sz w:val="26"/>
        </w:rPr>
        <w:t xml:space="preserve"> for </w:t>
      </w:r>
      <w:r>
        <w:rPr>
          <w:bCs/>
          <w:sz w:val="26"/>
        </w:rPr>
        <w:t>reconsideration</w:t>
      </w:r>
      <w:r>
        <w:rPr>
          <w:sz w:val="26"/>
        </w:rPr>
        <w:t xml:space="preserve"> are new and novel arguments, not previously heard</w:t>
      </w:r>
      <w:r w:rsidR="00BA74D2">
        <w:rPr>
          <w:sz w:val="26"/>
        </w:rPr>
        <w:t>, or considerations that</w:t>
      </w:r>
      <w:r>
        <w:rPr>
          <w:sz w:val="26"/>
        </w:rPr>
        <w:t xml:space="preserve"> appear to have been overlooked by the Commission.  Additionally, a </w:t>
      </w:r>
      <w:r w:rsidR="00BA74D2">
        <w:rPr>
          <w:bCs/>
          <w:sz w:val="26"/>
        </w:rPr>
        <w:t>p</w:t>
      </w:r>
      <w:r>
        <w:rPr>
          <w:bCs/>
          <w:sz w:val="26"/>
        </w:rPr>
        <w:t>etition</w:t>
      </w:r>
      <w:r>
        <w:rPr>
          <w:sz w:val="26"/>
        </w:rPr>
        <w:t xml:space="preserve"> for </w:t>
      </w:r>
      <w:r w:rsidR="00BA74D2">
        <w:rPr>
          <w:bCs/>
          <w:sz w:val="26"/>
        </w:rPr>
        <w:t>r</w:t>
      </w:r>
      <w:r>
        <w:rPr>
          <w:bCs/>
          <w:sz w:val="26"/>
        </w:rPr>
        <w:t>econsideration</w:t>
      </w:r>
      <w:r>
        <w:rPr>
          <w:sz w:val="26"/>
        </w:rPr>
        <w:t xml:space="preserve"> is properly before the Commission where it pleads newly discovered evidence, alleges errors of law, or a change in circumstances.</w:t>
      </w:r>
    </w:p>
    <w:p w:rsidR="00031327" w:rsidRDefault="00031327" w:rsidP="00031327">
      <w:pPr>
        <w:spacing w:line="360" w:lineRule="auto"/>
        <w:rPr>
          <w:sz w:val="26"/>
        </w:rPr>
      </w:pPr>
      <w:r>
        <w:rPr>
          <w:sz w:val="26"/>
        </w:rPr>
        <w:lastRenderedPageBreak/>
        <w:tab/>
      </w:r>
      <w:r>
        <w:rPr>
          <w:sz w:val="26"/>
        </w:rPr>
        <w:tab/>
      </w:r>
      <w:r w:rsidR="00BA74D2">
        <w:rPr>
          <w:sz w:val="26"/>
        </w:rPr>
        <w:t xml:space="preserve">It </w:t>
      </w:r>
      <w:r>
        <w:rPr>
          <w:sz w:val="26"/>
        </w:rPr>
        <w:t xml:space="preserve">also </w:t>
      </w:r>
      <w:r w:rsidR="00BA74D2">
        <w:rPr>
          <w:sz w:val="26"/>
        </w:rPr>
        <w:t xml:space="preserve">has </w:t>
      </w:r>
      <w:r>
        <w:rPr>
          <w:sz w:val="26"/>
        </w:rPr>
        <w:t>been held that</w:t>
      </w:r>
      <w:r w:rsidR="00BA74D2">
        <w:rPr>
          <w:sz w:val="26"/>
        </w:rPr>
        <w:t>,</w:t>
      </w:r>
      <w:r>
        <w:rPr>
          <w:sz w:val="26"/>
        </w:rPr>
        <w:t xml:space="preserve"> </w:t>
      </w:r>
      <w:r w:rsidR="00BA74D2">
        <w:rPr>
          <w:sz w:val="26"/>
        </w:rPr>
        <w:t xml:space="preserve">because </w:t>
      </w:r>
      <w:r>
        <w:rPr>
          <w:sz w:val="26"/>
        </w:rPr>
        <w:t>a grant of reconsideration may result in the disturbanc</w:t>
      </w:r>
      <w:r w:rsidR="00BA74D2">
        <w:rPr>
          <w:sz w:val="26"/>
        </w:rPr>
        <w:t>e of a final order</w:t>
      </w:r>
      <w:r>
        <w:rPr>
          <w:sz w:val="26"/>
        </w:rPr>
        <w:t xml:space="preserve">, such relief should be granted judiciously and only under appropriate circumstances.  </w:t>
      </w:r>
      <w:r w:rsidRPr="00497899">
        <w:rPr>
          <w:i/>
          <w:sz w:val="26"/>
        </w:rPr>
        <w:t>West Penn Power Co. v. Pa. PUC</w:t>
      </w:r>
      <w:r>
        <w:rPr>
          <w:sz w:val="26"/>
        </w:rPr>
        <w:t xml:space="preserve">, 659 A.2d 1055 (Pa. </w:t>
      </w:r>
      <w:proofErr w:type="spellStart"/>
      <w:r>
        <w:rPr>
          <w:sz w:val="26"/>
        </w:rPr>
        <w:t>Cmwlth</w:t>
      </w:r>
      <w:proofErr w:type="spellEnd"/>
      <w:r>
        <w:rPr>
          <w:sz w:val="26"/>
        </w:rPr>
        <w:t xml:space="preserve">. 1995).  </w:t>
      </w:r>
    </w:p>
    <w:p w:rsidR="00031327" w:rsidRDefault="00031327" w:rsidP="00031327">
      <w:pPr>
        <w:widowControl/>
        <w:spacing w:line="360" w:lineRule="auto"/>
        <w:rPr>
          <w:sz w:val="26"/>
        </w:rPr>
      </w:pPr>
    </w:p>
    <w:p w:rsidR="00031327" w:rsidRDefault="00031327" w:rsidP="00031327">
      <w:pPr>
        <w:widowControl/>
        <w:spacing w:line="360" w:lineRule="auto"/>
        <w:rPr>
          <w:sz w:val="26"/>
        </w:rPr>
      </w:pPr>
      <w:r>
        <w:rPr>
          <w:sz w:val="26"/>
        </w:rPr>
        <w:tab/>
      </w:r>
      <w:r>
        <w:rPr>
          <w:sz w:val="26"/>
        </w:rPr>
        <w:tab/>
        <w:t xml:space="preserve">We note that any issue, which we do not specifically address herein, has been duly considered and will be denied without further discussion.  It is well settled that we are not required to consider expressly or at length each contention or argument raised by the Parties.  </w:t>
      </w:r>
      <w:r>
        <w:rPr>
          <w:i/>
          <w:sz w:val="26"/>
        </w:rPr>
        <w:t>Consolidated Rail Corp. v. Pa. PUC</w:t>
      </w:r>
      <w:r>
        <w:rPr>
          <w:sz w:val="26"/>
        </w:rPr>
        <w:t xml:space="preserve">, 625 A.2d 741 (Pa. </w:t>
      </w:r>
      <w:proofErr w:type="spellStart"/>
      <w:r>
        <w:rPr>
          <w:sz w:val="26"/>
        </w:rPr>
        <w:t>Cmwlth</w:t>
      </w:r>
      <w:proofErr w:type="spellEnd"/>
      <w:r>
        <w:rPr>
          <w:sz w:val="26"/>
        </w:rPr>
        <w:t xml:space="preserve">. 1993); </w:t>
      </w:r>
      <w:r w:rsidRPr="002909E8">
        <w:rPr>
          <w:i/>
          <w:sz w:val="26"/>
        </w:rPr>
        <w:t>also</w:t>
      </w:r>
      <w:r>
        <w:rPr>
          <w:sz w:val="26"/>
        </w:rPr>
        <w:t xml:space="preserve"> </w:t>
      </w:r>
      <w:r>
        <w:rPr>
          <w:i/>
          <w:sz w:val="26"/>
        </w:rPr>
        <w:t>see, generally, University of Pennsylvania v. Pa. PUC</w:t>
      </w:r>
      <w:r>
        <w:rPr>
          <w:sz w:val="26"/>
        </w:rPr>
        <w:t xml:space="preserve">, 485 A.2d 1217 (Pa. </w:t>
      </w:r>
      <w:proofErr w:type="spellStart"/>
      <w:r>
        <w:rPr>
          <w:sz w:val="26"/>
        </w:rPr>
        <w:t>Cmwlth</w:t>
      </w:r>
      <w:proofErr w:type="spellEnd"/>
      <w:r>
        <w:rPr>
          <w:sz w:val="26"/>
        </w:rPr>
        <w:t>. 1984).</w:t>
      </w:r>
    </w:p>
    <w:p w:rsidR="002F2103" w:rsidRDefault="002F2103" w:rsidP="00031327">
      <w:pPr>
        <w:widowControl/>
        <w:spacing w:line="360" w:lineRule="auto"/>
        <w:rPr>
          <w:sz w:val="26"/>
        </w:rPr>
      </w:pPr>
    </w:p>
    <w:p w:rsidR="002F2103" w:rsidRDefault="002F2103" w:rsidP="002F2103">
      <w:pPr>
        <w:widowControl/>
        <w:spacing w:line="360" w:lineRule="auto"/>
        <w:rPr>
          <w:b/>
          <w:sz w:val="26"/>
        </w:rPr>
      </w:pPr>
      <w:r>
        <w:rPr>
          <w:b/>
          <w:sz w:val="26"/>
        </w:rPr>
        <w:t>The Petition</w:t>
      </w:r>
    </w:p>
    <w:p w:rsidR="002F2103" w:rsidRDefault="002F2103" w:rsidP="00031327">
      <w:pPr>
        <w:widowControl/>
        <w:spacing w:line="360" w:lineRule="auto"/>
        <w:rPr>
          <w:b/>
          <w:sz w:val="26"/>
        </w:rPr>
      </w:pPr>
    </w:p>
    <w:p w:rsidR="002F2103" w:rsidRDefault="002F2103" w:rsidP="00765D3D">
      <w:pPr>
        <w:widowControl/>
        <w:spacing w:line="360" w:lineRule="auto"/>
        <w:rPr>
          <w:sz w:val="26"/>
        </w:rPr>
      </w:pPr>
      <w:r>
        <w:rPr>
          <w:b/>
          <w:sz w:val="26"/>
        </w:rPr>
        <w:tab/>
      </w:r>
      <w:r>
        <w:rPr>
          <w:b/>
          <w:sz w:val="26"/>
        </w:rPr>
        <w:tab/>
      </w:r>
      <w:r>
        <w:rPr>
          <w:sz w:val="26"/>
        </w:rPr>
        <w:t xml:space="preserve">In his Petition, the Complainant </w:t>
      </w:r>
      <w:r w:rsidR="00765D3D">
        <w:rPr>
          <w:sz w:val="26"/>
        </w:rPr>
        <w:t xml:space="preserve">first </w:t>
      </w:r>
      <w:r>
        <w:rPr>
          <w:sz w:val="26"/>
        </w:rPr>
        <w:t>avers that</w:t>
      </w:r>
      <w:r w:rsidR="00765D3D">
        <w:rPr>
          <w:sz w:val="26"/>
        </w:rPr>
        <w:t xml:space="preserve"> the statement on page seven of the </w:t>
      </w:r>
      <w:r w:rsidR="00765D3D">
        <w:rPr>
          <w:i/>
          <w:sz w:val="26"/>
        </w:rPr>
        <w:t>June 2013 Order</w:t>
      </w:r>
      <w:r w:rsidR="00765D3D">
        <w:rPr>
          <w:sz w:val="26"/>
        </w:rPr>
        <w:t xml:space="preserve"> nullifies the second case of foreign wiri</w:t>
      </w:r>
      <w:r w:rsidR="00BA74D2">
        <w:rPr>
          <w:sz w:val="26"/>
        </w:rPr>
        <w:t>ng for the first floor tenant because</w:t>
      </w:r>
      <w:r w:rsidR="00765D3D">
        <w:rPr>
          <w:sz w:val="26"/>
        </w:rPr>
        <w:t xml:space="preserve"> it states that “the third floor refrigerator was actually wired to the house meter, which was determined to constitute foreign load.”</w:t>
      </w:r>
      <w:r w:rsidR="008C6AC5">
        <w:rPr>
          <w:sz w:val="26"/>
        </w:rPr>
        <w:t xml:space="preserve"> </w:t>
      </w:r>
      <w:r w:rsidR="00765D3D">
        <w:rPr>
          <w:sz w:val="26"/>
        </w:rPr>
        <w:t xml:space="preserve"> According to the Complainant, the house meter is in his name, not the first floor </w:t>
      </w:r>
      <w:r w:rsidR="004865BC">
        <w:rPr>
          <w:sz w:val="26"/>
        </w:rPr>
        <w:t>tenant’s</w:t>
      </w:r>
      <w:r w:rsidR="00765D3D">
        <w:rPr>
          <w:sz w:val="26"/>
        </w:rPr>
        <w:t xml:space="preserve"> name, so the second instance is not foreign wiring and that bill should not have been transferred to him.  Petition at 1.</w:t>
      </w:r>
    </w:p>
    <w:p w:rsidR="00765D3D" w:rsidRDefault="00765D3D" w:rsidP="00765D3D">
      <w:pPr>
        <w:widowControl/>
        <w:spacing w:line="360" w:lineRule="auto"/>
        <w:rPr>
          <w:sz w:val="26"/>
        </w:rPr>
      </w:pPr>
    </w:p>
    <w:p w:rsidR="00765D3D" w:rsidRDefault="00765D3D" w:rsidP="00765D3D">
      <w:pPr>
        <w:widowControl/>
        <w:spacing w:line="360" w:lineRule="auto"/>
        <w:rPr>
          <w:sz w:val="26"/>
        </w:rPr>
      </w:pPr>
      <w:r>
        <w:rPr>
          <w:sz w:val="26"/>
        </w:rPr>
        <w:tab/>
      </w:r>
      <w:r>
        <w:rPr>
          <w:sz w:val="26"/>
        </w:rPr>
        <w:tab/>
        <w:t xml:space="preserve">Next, the Complainant </w:t>
      </w:r>
      <w:r w:rsidR="00FF4727">
        <w:rPr>
          <w:sz w:val="26"/>
        </w:rPr>
        <w:t>reiterates his argument in his E</w:t>
      </w:r>
      <w:r>
        <w:rPr>
          <w:sz w:val="26"/>
        </w:rPr>
        <w:t>xceptions that PECO trespassed on his property</w:t>
      </w:r>
      <w:r w:rsidR="00BA74D2">
        <w:rPr>
          <w:sz w:val="26"/>
        </w:rPr>
        <w:t xml:space="preserve"> because</w:t>
      </w:r>
      <w:r w:rsidR="00FF4727">
        <w:rPr>
          <w:sz w:val="26"/>
        </w:rPr>
        <w:t xml:space="preserve"> the C</w:t>
      </w:r>
      <w:r>
        <w:rPr>
          <w:sz w:val="26"/>
        </w:rPr>
        <w:t xml:space="preserve">ompany is not allowed to enter private property without the permission of the owner.  The </w:t>
      </w:r>
      <w:r w:rsidR="00FF4727">
        <w:rPr>
          <w:sz w:val="26"/>
        </w:rPr>
        <w:t>C</w:t>
      </w:r>
      <w:r>
        <w:rPr>
          <w:sz w:val="26"/>
        </w:rPr>
        <w:t>omplainant avers that the tenant did not have permission to access the basement as it was not part of her premises</w:t>
      </w:r>
      <w:r w:rsidR="00BA74D2">
        <w:rPr>
          <w:sz w:val="26"/>
        </w:rPr>
        <w:t>,</w:t>
      </w:r>
      <w:r>
        <w:rPr>
          <w:sz w:val="26"/>
        </w:rPr>
        <w:t xml:space="preserve"> and that PECO needed permission of the owner to enter</w:t>
      </w:r>
      <w:r w:rsidR="00FF4727">
        <w:rPr>
          <w:sz w:val="26"/>
        </w:rPr>
        <w:t>.  According to the Complainant, PE</w:t>
      </w:r>
      <w:r w:rsidR="00BA74D2">
        <w:rPr>
          <w:sz w:val="26"/>
        </w:rPr>
        <w:t>CO has the right to access its</w:t>
      </w:r>
      <w:r w:rsidR="00FF4727">
        <w:rPr>
          <w:sz w:val="26"/>
        </w:rPr>
        <w:t xml:space="preserve"> equipm</w:t>
      </w:r>
      <w:r w:rsidR="00BA74D2">
        <w:rPr>
          <w:sz w:val="26"/>
        </w:rPr>
        <w:t>ent, but that does not mean PECO</w:t>
      </w:r>
      <w:r w:rsidR="00FF4727">
        <w:rPr>
          <w:sz w:val="26"/>
        </w:rPr>
        <w:t xml:space="preserve"> can enter private property without permission.  </w:t>
      </w:r>
      <w:r w:rsidR="00FF4727">
        <w:rPr>
          <w:i/>
          <w:sz w:val="26"/>
        </w:rPr>
        <w:t>Id.</w:t>
      </w:r>
    </w:p>
    <w:p w:rsidR="00614E5E" w:rsidRDefault="00614E5E" w:rsidP="00765D3D">
      <w:pPr>
        <w:widowControl/>
        <w:spacing w:line="360" w:lineRule="auto"/>
        <w:rPr>
          <w:sz w:val="26"/>
        </w:rPr>
      </w:pPr>
    </w:p>
    <w:p w:rsidR="00614E5E" w:rsidRDefault="00614E5E" w:rsidP="00765D3D">
      <w:pPr>
        <w:widowControl/>
        <w:spacing w:line="360" w:lineRule="auto"/>
        <w:rPr>
          <w:sz w:val="26"/>
        </w:rPr>
      </w:pPr>
      <w:r>
        <w:rPr>
          <w:sz w:val="26"/>
        </w:rPr>
        <w:lastRenderedPageBreak/>
        <w:tab/>
      </w:r>
      <w:r>
        <w:rPr>
          <w:sz w:val="26"/>
        </w:rPr>
        <w:tab/>
        <w:t>Lastly, the Complainant avers that he should not have been held responsible for the tenant</w:t>
      </w:r>
      <w:r w:rsidR="00236E7E">
        <w:rPr>
          <w:sz w:val="26"/>
        </w:rPr>
        <w:t>’</w:t>
      </w:r>
      <w:r>
        <w:rPr>
          <w:sz w:val="26"/>
        </w:rPr>
        <w:t xml:space="preserve">s entire bill as a result of the foreign wiring, only that portion of the </w:t>
      </w:r>
      <w:r w:rsidR="004865BC">
        <w:rPr>
          <w:sz w:val="26"/>
        </w:rPr>
        <w:t>tenant’s</w:t>
      </w:r>
      <w:r>
        <w:rPr>
          <w:sz w:val="26"/>
        </w:rPr>
        <w:t xml:space="preserve"> bill tha</w:t>
      </w:r>
      <w:r w:rsidR="002102D2">
        <w:rPr>
          <w:sz w:val="26"/>
        </w:rPr>
        <w:t xml:space="preserve">t was attributable to the </w:t>
      </w:r>
      <w:r>
        <w:rPr>
          <w:sz w:val="26"/>
        </w:rPr>
        <w:t>foreign wiring.  The Complainant requests that</w:t>
      </w:r>
      <w:r w:rsidR="002102D2">
        <w:rPr>
          <w:sz w:val="26"/>
        </w:rPr>
        <w:t>,</w:t>
      </w:r>
      <w:r>
        <w:rPr>
          <w:sz w:val="26"/>
        </w:rPr>
        <w:t xml:space="preserve"> since PECO made so many negligent mistakes concerning this whole matter</w:t>
      </w:r>
      <w:r w:rsidR="002102D2">
        <w:rPr>
          <w:sz w:val="26"/>
        </w:rPr>
        <w:t>,</w:t>
      </w:r>
      <w:r>
        <w:rPr>
          <w:sz w:val="26"/>
        </w:rPr>
        <w:t xml:space="preserve"> “this bill should be taken out of my name.”  </w:t>
      </w:r>
      <w:r>
        <w:rPr>
          <w:i/>
          <w:sz w:val="26"/>
        </w:rPr>
        <w:t>Id.</w:t>
      </w:r>
      <w:r>
        <w:rPr>
          <w:sz w:val="26"/>
        </w:rPr>
        <w:t xml:space="preserve"> </w:t>
      </w:r>
    </w:p>
    <w:p w:rsidR="00236E7E" w:rsidRDefault="00236E7E" w:rsidP="00765D3D">
      <w:pPr>
        <w:widowControl/>
        <w:spacing w:line="360" w:lineRule="auto"/>
        <w:rPr>
          <w:sz w:val="26"/>
        </w:rPr>
      </w:pPr>
    </w:p>
    <w:p w:rsidR="00236E7E" w:rsidRDefault="00236E7E" w:rsidP="00590BD4">
      <w:pPr>
        <w:keepNext/>
        <w:widowControl/>
        <w:spacing w:line="360" w:lineRule="auto"/>
        <w:rPr>
          <w:b/>
          <w:sz w:val="26"/>
        </w:rPr>
      </w:pPr>
      <w:r>
        <w:rPr>
          <w:b/>
          <w:sz w:val="26"/>
        </w:rPr>
        <w:t>Disposition</w:t>
      </w:r>
    </w:p>
    <w:p w:rsidR="00236E7E" w:rsidRDefault="00236E7E" w:rsidP="00590BD4">
      <w:pPr>
        <w:keepNext/>
        <w:widowControl/>
        <w:spacing w:line="360" w:lineRule="auto"/>
        <w:rPr>
          <w:b/>
          <w:sz w:val="26"/>
        </w:rPr>
      </w:pPr>
    </w:p>
    <w:p w:rsidR="00236E7E" w:rsidRPr="00DB4EFA" w:rsidRDefault="00236E7E" w:rsidP="00765D3D">
      <w:pPr>
        <w:widowControl/>
        <w:spacing w:line="360" w:lineRule="auto"/>
        <w:rPr>
          <w:sz w:val="26"/>
        </w:rPr>
      </w:pPr>
      <w:r>
        <w:rPr>
          <w:sz w:val="26"/>
        </w:rPr>
        <w:tab/>
      </w:r>
      <w:r>
        <w:rPr>
          <w:sz w:val="26"/>
        </w:rPr>
        <w:tab/>
        <w:t>Upon review, we conclude that the Complainant has failed to meet the standard applicable to reconsideration.  The standard for granting a petition fo</w:t>
      </w:r>
      <w:r w:rsidR="002102D2">
        <w:rPr>
          <w:sz w:val="26"/>
        </w:rPr>
        <w:t xml:space="preserve">r reconsideration </w:t>
      </w:r>
      <w:r>
        <w:rPr>
          <w:sz w:val="26"/>
        </w:rPr>
        <w:t>requires that a petitioner advance new or novel arguments not previously considered or raise issues overlooked by the Commission.  In addition, parties may file a petition for reconsideration in order to raise errors of law, provide newly discovered evidence or argue that a change in circumstances has occurred sufficient to warrant reconsideration.  The Complainant’s arguments o</w:t>
      </w:r>
      <w:r w:rsidR="00F1477B">
        <w:rPr>
          <w:sz w:val="26"/>
        </w:rPr>
        <w:t>n reconsideration simply repeat</w:t>
      </w:r>
      <w:r>
        <w:rPr>
          <w:sz w:val="26"/>
        </w:rPr>
        <w:t xml:space="preserve"> his assertions that he should not be responsible for the entire bill of his tenant due to the foreign wiring discovered at h</w:t>
      </w:r>
      <w:r w:rsidR="00DB4EFA">
        <w:rPr>
          <w:sz w:val="26"/>
        </w:rPr>
        <w:t>is rental property</w:t>
      </w:r>
      <w:r w:rsidR="002102D2">
        <w:rPr>
          <w:sz w:val="26"/>
        </w:rPr>
        <w:t>,</w:t>
      </w:r>
      <w:r w:rsidR="00DB4EFA">
        <w:rPr>
          <w:sz w:val="26"/>
        </w:rPr>
        <w:t xml:space="preserve"> and that PECO trespassed on his property.  Each of tho</w:t>
      </w:r>
      <w:r>
        <w:rPr>
          <w:sz w:val="26"/>
        </w:rPr>
        <w:t xml:space="preserve">se arguments was considered and disposed of </w:t>
      </w:r>
      <w:r w:rsidR="00DB4EFA">
        <w:rPr>
          <w:sz w:val="26"/>
        </w:rPr>
        <w:t xml:space="preserve">in our </w:t>
      </w:r>
      <w:r w:rsidR="00DB4EFA">
        <w:rPr>
          <w:i/>
          <w:sz w:val="26"/>
        </w:rPr>
        <w:t>June 2013 Order.</w:t>
      </w:r>
      <w:r w:rsidR="00DB4EFA">
        <w:rPr>
          <w:sz w:val="26"/>
        </w:rPr>
        <w:t xml:space="preserve">  </w:t>
      </w:r>
      <w:r w:rsidR="00F1477B">
        <w:rPr>
          <w:sz w:val="26"/>
        </w:rPr>
        <w:t xml:space="preserve">Also, the Complainant’s allegation concerning the second case of foreign wiring is irrelevant as that issue was not part of his </w:t>
      </w:r>
      <w:r w:rsidR="00590BD4">
        <w:rPr>
          <w:sz w:val="26"/>
        </w:rPr>
        <w:t>F</w:t>
      </w:r>
      <w:r w:rsidR="00F1477B">
        <w:rPr>
          <w:sz w:val="26"/>
        </w:rPr>
        <w:t xml:space="preserve">ormal Complaint and the finding of fact he references (FOF No. 31) refers to a follow-up to the second high bill investigation when the foreign wiring was verified as corrected.  </w:t>
      </w:r>
      <w:r w:rsidR="00DB4EFA">
        <w:rPr>
          <w:sz w:val="26"/>
        </w:rPr>
        <w:t xml:space="preserve">Accordingly, </w:t>
      </w:r>
      <w:r w:rsidR="00590BD4">
        <w:rPr>
          <w:sz w:val="26"/>
        </w:rPr>
        <w:t xml:space="preserve">the </w:t>
      </w:r>
      <w:r w:rsidR="00DB4EFA">
        <w:rPr>
          <w:sz w:val="26"/>
        </w:rPr>
        <w:t>Petition</w:t>
      </w:r>
      <w:r w:rsidR="00590BD4">
        <w:rPr>
          <w:sz w:val="26"/>
        </w:rPr>
        <w:t xml:space="preserve"> shall be denied.</w:t>
      </w:r>
    </w:p>
    <w:p w:rsidR="00DB4EFA" w:rsidRDefault="00DB4EFA">
      <w:pPr>
        <w:widowControl/>
        <w:spacing w:after="200" w:line="276" w:lineRule="auto"/>
        <w:rPr>
          <w:sz w:val="26"/>
        </w:rPr>
      </w:pPr>
    </w:p>
    <w:p w:rsidR="00031327" w:rsidRDefault="00031327" w:rsidP="00590BD4">
      <w:pPr>
        <w:keepNext/>
        <w:widowControl/>
        <w:spacing w:line="360" w:lineRule="auto"/>
        <w:jc w:val="center"/>
        <w:rPr>
          <w:b/>
          <w:sz w:val="26"/>
          <w:szCs w:val="26"/>
        </w:rPr>
      </w:pPr>
      <w:r w:rsidRPr="00D62EC8">
        <w:rPr>
          <w:b/>
          <w:sz w:val="26"/>
          <w:szCs w:val="26"/>
        </w:rPr>
        <w:t>Conclusion</w:t>
      </w:r>
    </w:p>
    <w:p w:rsidR="00DB4EFA" w:rsidRPr="00D62EC8" w:rsidRDefault="00DB4EFA" w:rsidP="00590BD4">
      <w:pPr>
        <w:keepNext/>
        <w:widowControl/>
        <w:spacing w:line="360" w:lineRule="auto"/>
        <w:jc w:val="center"/>
        <w:rPr>
          <w:b/>
          <w:sz w:val="26"/>
          <w:szCs w:val="26"/>
        </w:rPr>
      </w:pPr>
    </w:p>
    <w:p w:rsidR="00031327" w:rsidRDefault="00031327" w:rsidP="00031327">
      <w:pPr>
        <w:widowControl/>
        <w:spacing w:line="360" w:lineRule="auto"/>
        <w:ind w:firstLine="1440"/>
        <w:rPr>
          <w:sz w:val="26"/>
          <w:szCs w:val="26"/>
        </w:rPr>
      </w:pPr>
      <w:r w:rsidRPr="00D62EC8">
        <w:rPr>
          <w:sz w:val="26"/>
          <w:szCs w:val="26"/>
        </w:rPr>
        <w:t xml:space="preserve">Based upon the foregoing discussion, we shall </w:t>
      </w:r>
      <w:r>
        <w:rPr>
          <w:sz w:val="26"/>
          <w:szCs w:val="26"/>
        </w:rPr>
        <w:t>deny the Complainant’s Petition for Reconsideration</w:t>
      </w:r>
      <w:r w:rsidRPr="00D62EC8">
        <w:rPr>
          <w:sz w:val="26"/>
          <w:szCs w:val="26"/>
        </w:rPr>
        <w:t xml:space="preserve">; </w:t>
      </w:r>
      <w:r w:rsidRPr="00D62EC8">
        <w:rPr>
          <w:b/>
          <w:sz w:val="26"/>
          <w:szCs w:val="26"/>
        </w:rPr>
        <w:t>THEREFORE,</w:t>
      </w:r>
      <w:r w:rsidRPr="00D62EC8">
        <w:rPr>
          <w:sz w:val="26"/>
          <w:szCs w:val="26"/>
        </w:rPr>
        <w:t xml:space="preserve"> </w:t>
      </w:r>
    </w:p>
    <w:p w:rsidR="00702898" w:rsidRPr="00D62EC8" w:rsidRDefault="00702898" w:rsidP="00031327">
      <w:pPr>
        <w:widowControl/>
        <w:spacing w:line="360" w:lineRule="auto"/>
        <w:ind w:firstLine="1440"/>
        <w:rPr>
          <w:sz w:val="26"/>
          <w:szCs w:val="26"/>
        </w:rPr>
      </w:pPr>
    </w:p>
    <w:p w:rsidR="00031327" w:rsidRPr="00D62EC8" w:rsidRDefault="00031327" w:rsidP="00EE176D">
      <w:pPr>
        <w:keepNext/>
        <w:widowControl/>
        <w:spacing w:line="360" w:lineRule="auto"/>
        <w:rPr>
          <w:b/>
          <w:sz w:val="26"/>
          <w:szCs w:val="26"/>
        </w:rPr>
      </w:pPr>
      <w:r>
        <w:rPr>
          <w:b/>
          <w:sz w:val="26"/>
          <w:szCs w:val="26"/>
        </w:rPr>
        <w:lastRenderedPageBreak/>
        <w:tab/>
      </w:r>
      <w:r>
        <w:rPr>
          <w:b/>
          <w:sz w:val="26"/>
          <w:szCs w:val="26"/>
        </w:rPr>
        <w:tab/>
      </w:r>
      <w:r w:rsidRPr="00D62EC8">
        <w:rPr>
          <w:b/>
          <w:sz w:val="26"/>
          <w:szCs w:val="26"/>
        </w:rPr>
        <w:t>IT IS ORDERED:</w:t>
      </w:r>
    </w:p>
    <w:p w:rsidR="00031327" w:rsidRPr="00D62EC8" w:rsidRDefault="00031327" w:rsidP="00031327">
      <w:pPr>
        <w:widowControl/>
        <w:spacing w:line="360" w:lineRule="auto"/>
        <w:rPr>
          <w:sz w:val="26"/>
          <w:szCs w:val="26"/>
        </w:rPr>
      </w:pPr>
    </w:p>
    <w:p w:rsidR="00031327" w:rsidRDefault="00031327" w:rsidP="002102D2">
      <w:pPr>
        <w:widowControl/>
        <w:numPr>
          <w:ilvl w:val="0"/>
          <w:numId w:val="1"/>
        </w:numPr>
        <w:tabs>
          <w:tab w:val="clear" w:pos="2160"/>
          <w:tab w:val="num" w:pos="0"/>
        </w:tabs>
        <w:spacing w:line="360" w:lineRule="auto"/>
        <w:ind w:left="0" w:firstLine="1440"/>
        <w:rPr>
          <w:sz w:val="26"/>
          <w:szCs w:val="26"/>
        </w:rPr>
      </w:pPr>
      <w:r w:rsidRPr="00D62EC8">
        <w:rPr>
          <w:sz w:val="26"/>
          <w:szCs w:val="26"/>
        </w:rPr>
        <w:t xml:space="preserve">That the </w:t>
      </w:r>
      <w:r>
        <w:rPr>
          <w:sz w:val="26"/>
          <w:szCs w:val="26"/>
        </w:rPr>
        <w:t>Petition for Reconsideration</w:t>
      </w:r>
      <w:r w:rsidR="0020267E">
        <w:rPr>
          <w:sz w:val="26"/>
          <w:szCs w:val="26"/>
        </w:rPr>
        <w:t xml:space="preserve"> that was filed by</w:t>
      </w:r>
      <w:r w:rsidR="0020267E" w:rsidRPr="00D62EC8">
        <w:rPr>
          <w:sz w:val="26"/>
          <w:szCs w:val="26"/>
        </w:rPr>
        <w:t xml:space="preserve"> </w:t>
      </w:r>
      <w:r w:rsidR="0020267E">
        <w:rPr>
          <w:sz w:val="26"/>
          <w:szCs w:val="26"/>
        </w:rPr>
        <w:t xml:space="preserve">Jack </w:t>
      </w:r>
      <w:proofErr w:type="spellStart"/>
      <w:r w:rsidR="0020267E">
        <w:rPr>
          <w:sz w:val="26"/>
          <w:szCs w:val="26"/>
        </w:rPr>
        <w:t>Bleiman</w:t>
      </w:r>
      <w:proofErr w:type="spellEnd"/>
      <w:r w:rsidR="0020267E" w:rsidRPr="00D62EC8">
        <w:rPr>
          <w:sz w:val="26"/>
          <w:szCs w:val="26"/>
        </w:rPr>
        <w:t xml:space="preserve"> </w:t>
      </w:r>
      <w:r w:rsidR="0020267E" w:rsidRPr="0020267E">
        <w:rPr>
          <w:sz w:val="26"/>
          <w:szCs w:val="26"/>
        </w:rPr>
        <w:t>on June 26, 2013</w:t>
      </w:r>
      <w:r w:rsidR="00987335">
        <w:rPr>
          <w:sz w:val="26"/>
          <w:szCs w:val="26"/>
        </w:rPr>
        <w:t>, with respect to the</w:t>
      </w:r>
      <w:r w:rsidR="0020267E">
        <w:rPr>
          <w:sz w:val="26"/>
          <w:szCs w:val="26"/>
        </w:rPr>
        <w:t xml:space="preserve"> Opinion and Order, entered June 13, 2013, at Docket No. </w:t>
      </w:r>
      <w:r w:rsidR="0020267E" w:rsidRPr="0020267E">
        <w:rPr>
          <w:sz w:val="26"/>
          <w:szCs w:val="26"/>
        </w:rPr>
        <w:t>F-2012-2284038</w:t>
      </w:r>
      <w:r w:rsidR="0020267E">
        <w:rPr>
          <w:sz w:val="26"/>
          <w:szCs w:val="26"/>
        </w:rPr>
        <w:t>,</w:t>
      </w:r>
      <w:r w:rsidR="0020267E" w:rsidRPr="0020267E">
        <w:rPr>
          <w:sz w:val="26"/>
          <w:szCs w:val="26"/>
        </w:rPr>
        <w:t xml:space="preserve"> </w:t>
      </w:r>
      <w:r>
        <w:rPr>
          <w:sz w:val="26"/>
          <w:szCs w:val="26"/>
        </w:rPr>
        <w:t>is</w:t>
      </w:r>
      <w:r w:rsidRPr="00D62EC8">
        <w:rPr>
          <w:sz w:val="26"/>
          <w:szCs w:val="26"/>
        </w:rPr>
        <w:t xml:space="preserve"> </w:t>
      </w:r>
      <w:r>
        <w:rPr>
          <w:sz w:val="26"/>
          <w:szCs w:val="26"/>
        </w:rPr>
        <w:t xml:space="preserve">denied. </w:t>
      </w:r>
    </w:p>
    <w:p w:rsidR="00031327" w:rsidRDefault="00031327" w:rsidP="00031327">
      <w:pPr>
        <w:widowControl/>
        <w:spacing w:line="360" w:lineRule="auto"/>
        <w:ind w:left="1440"/>
        <w:rPr>
          <w:sz w:val="26"/>
          <w:szCs w:val="26"/>
        </w:rPr>
      </w:pPr>
    </w:p>
    <w:p w:rsidR="00031327" w:rsidRPr="00D62EC8" w:rsidRDefault="00031327" w:rsidP="00031327">
      <w:pPr>
        <w:keepNext/>
        <w:keepLines/>
        <w:widowControl/>
        <w:numPr>
          <w:ilvl w:val="0"/>
          <w:numId w:val="1"/>
        </w:numPr>
        <w:tabs>
          <w:tab w:val="clear" w:pos="2160"/>
          <w:tab w:val="num" w:pos="0"/>
        </w:tabs>
        <w:spacing w:line="360" w:lineRule="auto"/>
        <w:ind w:left="0" w:firstLine="1440"/>
        <w:rPr>
          <w:sz w:val="26"/>
          <w:szCs w:val="26"/>
        </w:rPr>
      </w:pPr>
      <w:r>
        <w:rPr>
          <w:sz w:val="26"/>
          <w:szCs w:val="26"/>
        </w:rPr>
        <w:t>That this proceeding be marked closed.</w:t>
      </w:r>
    </w:p>
    <w:p w:rsidR="00031327" w:rsidRPr="00D62EC8" w:rsidRDefault="00031327" w:rsidP="00031327">
      <w:pPr>
        <w:keepNext/>
        <w:keepLines/>
        <w:widowControl/>
        <w:rPr>
          <w:sz w:val="26"/>
          <w:szCs w:val="26"/>
        </w:rPr>
      </w:pPr>
    </w:p>
    <w:p w:rsidR="00031327" w:rsidRPr="00D62EC8" w:rsidRDefault="00031327" w:rsidP="00031327">
      <w:pPr>
        <w:keepNext/>
        <w:keepLines/>
        <w:widowControl/>
        <w:rPr>
          <w:sz w:val="26"/>
          <w:szCs w:val="26"/>
        </w:rPr>
      </w:pPr>
    </w:p>
    <w:p w:rsidR="00031327" w:rsidRPr="00D62EC8" w:rsidRDefault="002419A7" w:rsidP="00031327">
      <w:pPr>
        <w:keepNext/>
        <w:keepLines/>
        <w:widowControl/>
        <w:tabs>
          <w:tab w:val="left" w:pos="-720"/>
        </w:tabs>
        <w:ind w:firstLine="5040"/>
        <w:rPr>
          <w:sz w:val="26"/>
          <w:szCs w:val="26"/>
        </w:rPr>
      </w:pPr>
      <w:bookmarkStart w:id="0" w:name="_GoBack"/>
      <w:r>
        <w:rPr>
          <w:noProof/>
          <w:sz w:val="24"/>
          <w:szCs w:val="24"/>
        </w:rPr>
        <w:drawing>
          <wp:anchor distT="0" distB="0" distL="114300" distR="114300" simplePos="0" relativeHeight="251659264" behindDoc="1" locked="0" layoutInCell="1" allowOverlap="1" wp14:anchorId="00F23B78" wp14:editId="67E013CD">
            <wp:simplePos x="0" y="0"/>
            <wp:positionH relativeFrom="column">
              <wp:posOffset>3136900</wp:posOffset>
            </wp:positionH>
            <wp:positionV relativeFrom="paragraph">
              <wp:posOffset>36830</wp:posOffset>
            </wp:positionV>
            <wp:extent cx="219392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31327" w:rsidRPr="00D62EC8">
        <w:rPr>
          <w:b/>
          <w:sz w:val="26"/>
          <w:szCs w:val="26"/>
        </w:rPr>
        <w:t>BY THE COMMISSION,</w:t>
      </w:r>
    </w:p>
    <w:p w:rsidR="00031327" w:rsidRPr="00D62EC8" w:rsidRDefault="00031327" w:rsidP="00031327">
      <w:pPr>
        <w:keepNext/>
        <w:keepLines/>
        <w:widowControl/>
        <w:tabs>
          <w:tab w:val="left" w:pos="-720"/>
        </w:tabs>
        <w:rPr>
          <w:sz w:val="26"/>
          <w:szCs w:val="26"/>
        </w:rPr>
      </w:pPr>
    </w:p>
    <w:p w:rsidR="00031327" w:rsidRDefault="00031327" w:rsidP="00031327">
      <w:pPr>
        <w:keepNext/>
        <w:keepLines/>
        <w:widowControl/>
        <w:tabs>
          <w:tab w:val="left" w:pos="-720"/>
        </w:tabs>
        <w:ind w:firstLine="5040"/>
        <w:rPr>
          <w:sz w:val="26"/>
          <w:szCs w:val="26"/>
        </w:rPr>
      </w:pPr>
    </w:p>
    <w:p w:rsidR="00031327" w:rsidRDefault="00031327" w:rsidP="00031327">
      <w:pPr>
        <w:keepNext/>
        <w:keepLines/>
        <w:widowControl/>
        <w:tabs>
          <w:tab w:val="left" w:pos="-720"/>
        </w:tabs>
        <w:ind w:firstLine="5040"/>
        <w:rPr>
          <w:sz w:val="26"/>
          <w:szCs w:val="26"/>
        </w:rPr>
      </w:pPr>
    </w:p>
    <w:p w:rsidR="00031327" w:rsidRPr="00D62EC8" w:rsidRDefault="00031327" w:rsidP="00031327">
      <w:pPr>
        <w:keepNext/>
        <w:keepLines/>
        <w:widowControl/>
        <w:tabs>
          <w:tab w:val="left" w:pos="-720"/>
        </w:tabs>
        <w:ind w:firstLine="5040"/>
        <w:rPr>
          <w:b/>
          <w:sz w:val="26"/>
          <w:szCs w:val="26"/>
        </w:rPr>
      </w:pPr>
      <w:r w:rsidRPr="00D62EC8">
        <w:rPr>
          <w:sz w:val="26"/>
          <w:szCs w:val="26"/>
        </w:rPr>
        <w:t>Rosemary Chiavetta</w:t>
      </w:r>
    </w:p>
    <w:p w:rsidR="00031327" w:rsidRPr="00D62EC8" w:rsidRDefault="00031327" w:rsidP="00031327">
      <w:pPr>
        <w:keepNext/>
        <w:keepLines/>
        <w:widowControl/>
        <w:tabs>
          <w:tab w:val="left" w:pos="-720"/>
        </w:tabs>
        <w:ind w:firstLine="5040"/>
        <w:rPr>
          <w:sz w:val="26"/>
          <w:szCs w:val="26"/>
        </w:rPr>
      </w:pPr>
      <w:r w:rsidRPr="00D62EC8">
        <w:rPr>
          <w:sz w:val="26"/>
          <w:szCs w:val="26"/>
        </w:rPr>
        <w:t>Secretary</w:t>
      </w:r>
    </w:p>
    <w:p w:rsidR="00031327" w:rsidRDefault="00031327" w:rsidP="00031327">
      <w:pPr>
        <w:keepNext/>
        <w:keepLines/>
        <w:widowControl/>
        <w:tabs>
          <w:tab w:val="left" w:pos="-720"/>
        </w:tabs>
        <w:rPr>
          <w:sz w:val="26"/>
          <w:szCs w:val="26"/>
        </w:rPr>
      </w:pPr>
    </w:p>
    <w:p w:rsidR="0020267E" w:rsidRPr="00D62EC8" w:rsidRDefault="0020267E" w:rsidP="00031327">
      <w:pPr>
        <w:keepNext/>
        <w:keepLines/>
        <w:widowControl/>
        <w:tabs>
          <w:tab w:val="left" w:pos="-720"/>
        </w:tabs>
        <w:rPr>
          <w:sz w:val="26"/>
          <w:szCs w:val="26"/>
        </w:rPr>
      </w:pPr>
    </w:p>
    <w:p w:rsidR="00031327" w:rsidRPr="00D62EC8" w:rsidRDefault="00031327" w:rsidP="00031327">
      <w:pPr>
        <w:keepNext/>
        <w:keepLines/>
        <w:widowControl/>
        <w:tabs>
          <w:tab w:val="left" w:pos="-720"/>
        </w:tabs>
        <w:rPr>
          <w:sz w:val="26"/>
          <w:szCs w:val="26"/>
        </w:rPr>
      </w:pPr>
      <w:r w:rsidRPr="00D62EC8">
        <w:rPr>
          <w:sz w:val="26"/>
          <w:szCs w:val="26"/>
        </w:rPr>
        <w:t>(SEAL)</w:t>
      </w:r>
    </w:p>
    <w:p w:rsidR="00031327" w:rsidRPr="00D62EC8" w:rsidRDefault="00031327" w:rsidP="00031327">
      <w:pPr>
        <w:keepNext/>
        <w:keepLines/>
        <w:widowControl/>
        <w:tabs>
          <w:tab w:val="left" w:pos="-720"/>
        </w:tabs>
        <w:rPr>
          <w:sz w:val="26"/>
          <w:szCs w:val="26"/>
        </w:rPr>
      </w:pPr>
    </w:p>
    <w:p w:rsidR="00031327" w:rsidRDefault="00031327" w:rsidP="00031327">
      <w:pPr>
        <w:keepNext/>
        <w:keepLines/>
        <w:widowControl/>
        <w:tabs>
          <w:tab w:val="left" w:pos="-720"/>
        </w:tabs>
        <w:rPr>
          <w:sz w:val="26"/>
          <w:szCs w:val="26"/>
        </w:rPr>
      </w:pPr>
      <w:r w:rsidRPr="00D62EC8">
        <w:rPr>
          <w:sz w:val="26"/>
          <w:szCs w:val="26"/>
        </w:rPr>
        <w:t>ORDER ADOPTED:</w:t>
      </w:r>
      <w:r w:rsidR="00DB4EFA">
        <w:rPr>
          <w:sz w:val="26"/>
          <w:szCs w:val="26"/>
        </w:rPr>
        <w:t xml:space="preserve">  September 12</w:t>
      </w:r>
      <w:r>
        <w:rPr>
          <w:sz w:val="26"/>
          <w:szCs w:val="26"/>
        </w:rPr>
        <w:t>, 2013</w:t>
      </w:r>
      <w:r w:rsidRPr="00D62EC8">
        <w:rPr>
          <w:sz w:val="26"/>
          <w:szCs w:val="26"/>
        </w:rPr>
        <w:t xml:space="preserve"> </w:t>
      </w:r>
    </w:p>
    <w:p w:rsidR="00031327" w:rsidRPr="00D62EC8" w:rsidRDefault="00031327" w:rsidP="00031327">
      <w:pPr>
        <w:keepNext/>
        <w:keepLines/>
        <w:widowControl/>
        <w:tabs>
          <w:tab w:val="left" w:pos="-720"/>
        </w:tabs>
        <w:rPr>
          <w:sz w:val="26"/>
          <w:szCs w:val="26"/>
        </w:rPr>
      </w:pPr>
    </w:p>
    <w:p w:rsidR="004B7158" w:rsidRPr="0020267E" w:rsidRDefault="00031327" w:rsidP="0020267E">
      <w:pPr>
        <w:keepNext/>
        <w:keepLines/>
        <w:widowControl/>
        <w:tabs>
          <w:tab w:val="left" w:pos="-720"/>
        </w:tabs>
        <w:rPr>
          <w:sz w:val="26"/>
          <w:szCs w:val="26"/>
        </w:rPr>
      </w:pPr>
      <w:r w:rsidRPr="00D62EC8">
        <w:rPr>
          <w:sz w:val="26"/>
          <w:szCs w:val="26"/>
        </w:rPr>
        <w:t xml:space="preserve">ORDER ENTERED:  </w:t>
      </w:r>
      <w:r w:rsidR="002419A7">
        <w:rPr>
          <w:sz w:val="26"/>
          <w:szCs w:val="26"/>
        </w:rPr>
        <w:t>September 12, 2013</w:t>
      </w:r>
    </w:p>
    <w:sectPr w:rsidR="004B7158" w:rsidRPr="0020267E" w:rsidSect="00EC1651">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FDA" w:rsidRDefault="005A5FDA" w:rsidP="003D0640">
      <w:r>
        <w:separator/>
      </w:r>
    </w:p>
  </w:endnote>
  <w:endnote w:type="continuationSeparator" w:id="0">
    <w:p w:rsidR="005A5FDA" w:rsidRDefault="005A5FDA" w:rsidP="003D0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1946175"/>
      <w:docPartObj>
        <w:docPartGallery w:val="Page Numbers (Bottom of Page)"/>
        <w:docPartUnique/>
      </w:docPartObj>
    </w:sdtPr>
    <w:sdtEndPr>
      <w:rPr>
        <w:noProof/>
        <w:sz w:val="26"/>
        <w:szCs w:val="26"/>
      </w:rPr>
    </w:sdtEndPr>
    <w:sdtContent>
      <w:p w:rsidR="0063632B" w:rsidRPr="003E13D1" w:rsidRDefault="0063632B">
        <w:pPr>
          <w:pStyle w:val="Footer"/>
          <w:jc w:val="center"/>
          <w:rPr>
            <w:sz w:val="26"/>
            <w:szCs w:val="26"/>
          </w:rPr>
        </w:pPr>
        <w:r w:rsidRPr="003E13D1">
          <w:rPr>
            <w:sz w:val="26"/>
            <w:szCs w:val="26"/>
          </w:rPr>
          <w:fldChar w:fldCharType="begin"/>
        </w:r>
        <w:r w:rsidRPr="003E13D1">
          <w:rPr>
            <w:sz w:val="26"/>
            <w:szCs w:val="26"/>
          </w:rPr>
          <w:instrText xml:space="preserve"> PAGE   \* MERGEFORMAT </w:instrText>
        </w:r>
        <w:r w:rsidRPr="003E13D1">
          <w:rPr>
            <w:sz w:val="26"/>
            <w:szCs w:val="26"/>
          </w:rPr>
          <w:fldChar w:fldCharType="separate"/>
        </w:r>
        <w:r w:rsidR="002419A7">
          <w:rPr>
            <w:noProof/>
            <w:sz w:val="26"/>
            <w:szCs w:val="26"/>
          </w:rPr>
          <w:t>7</w:t>
        </w:r>
        <w:r w:rsidRPr="003E13D1">
          <w:rPr>
            <w:noProof/>
            <w:sz w:val="26"/>
            <w:szCs w:val="26"/>
          </w:rPr>
          <w:fldChar w:fldCharType="end"/>
        </w:r>
      </w:p>
    </w:sdtContent>
  </w:sdt>
  <w:p w:rsidR="0063632B" w:rsidRDefault="006363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FDA" w:rsidRDefault="005A5FDA" w:rsidP="003D0640">
      <w:r>
        <w:separator/>
      </w:r>
    </w:p>
  </w:footnote>
  <w:footnote w:type="continuationSeparator" w:id="0">
    <w:p w:rsidR="005A5FDA" w:rsidRDefault="005A5FDA" w:rsidP="003D06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5E064B1E"/>
    <w:multiLevelType w:val="hybridMultilevel"/>
    <w:tmpl w:val="06705FE8"/>
    <w:lvl w:ilvl="0" w:tplc="D84088F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F50"/>
    <w:rsid w:val="00031327"/>
    <w:rsid w:val="00097436"/>
    <w:rsid w:val="0020267E"/>
    <w:rsid w:val="002102D2"/>
    <w:rsid w:val="00236E7E"/>
    <w:rsid w:val="002419A7"/>
    <w:rsid w:val="00263BEF"/>
    <w:rsid w:val="00290273"/>
    <w:rsid w:val="002F2103"/>
    <w:rsid w:val="00356F57"/>
    <w:rsid w:val="00361E50"/>
    <w:rsid w:val="003D0640"/>
    <w:rsid w:val="003E13D1"/>
    <w:rsid w:val="004223B8"/>
    <w:rsid w:val="00437E77"/>
    <w:rsid w:val="004865BC"/>
    <w:rsid w:val="004A5777"/>
    <w:rsid w:val="0052577E"/>
    <w:rsid w:val="005364F9"/>
    <w:rsid w:val="005376F9"/>
    <w:rsid w:val="00582538"/>
    <w:rsid w:val="00590BD4"/>
    <w:rsid w:val="005A5FDA"/>
    <w:rsid w:val="00614E5E"/>
    <w:rsid w:val="0063632B"/>
    <w:rsid w:val="00644476"/>
    <w:rsid w:val="006C38AC"/>
    <w:rsid w:val="006D4303"/>
    <w:rsid w:val="006D6C44"/>
    <w:rsid w:val="00702898"/>
    <w:rsid w:val="00715F50"/>
    <w:rsid w:val="00765D3D"/>
    <w:rsid w:val="00816A1B"/>
    <w:rsid w:val="00833F5C"/>
    <w:rsid w:val="008C6AC5"/>
    <w:rsid w:val="009206A9"/>
    <w:rsid w:val="00987335"/>
    <w:rsid w:val="009B2BF6"/>
    <w:rsid w:val="009D1540"/>
    <w:rsid w:val="00AE4112"/>
    <w:rsid w:val="00BA74D2"/>
    <w:rsid w:val="00C76256"/>
    <w:rsid w:val="00C92CBD"/>
    <w:rsid w:val="00D1577E"/>
    <w:rsid w:val="00D24A32"/>
    <w:rsid w:val="00D26F03"/>
    <w:rsid w:val="00D90E86"/>
    <w:rsid w:val="00DB4EFA"/>
    <w:rsid w:val="00E26B82"/>
    <w:rsid w:val="00E95E5E"/>
    <w:rsid w:val="00EC1651"/>
    <w:rsid w:val="00EE176D"/>
    <w:rsid w:val="00F1477B"/>
    <w:rsid w:val="00FF4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F50"/>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5F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3D0640"/>
    <w:rPr>
      <w:vertAlign w:val="superscript"/>
    </w:rPr>
  </w:style>
  <w:style w:type="paragraph" w:styleId="FootnoteText">
    <w:name w:val="footnote text"/>
    <w:basedOn w:val="Normal"/>
    <w:link w:val="FootnoteTextChar"/>
    <w:uiPriority w:val="99"/>
    <w:semiHidden/>
    <w:unhideWhenUsed/>
    <w:rsid w:val="003D0640"/>
  </w:style>
  <w:style w:type="character" w:customStyle="1" w:styleId="FootnoteTextChar">
    <w:name w:val="Footnote Text Char"/>
    <w:basedOn w:val="DefaultParagraphFont"/>
    <w:link w:val="FootnoteText"/>
    <w:uiPriority w:val="99"/>
    <w:semiHidden/>
    <w:rsid w:val="003D0640"/>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63632B"/>
    <w:pPr>
      <w:tabs>
        <w:tab w:val="center" w:pos="4680"/>
        <w:tab w:val="right" w:pos="9360"/>
      </w:tabs>
    </w:pPr>
  </w:style>
  <w:style w:type="character" w:customStyle="1" w:styleId="HeaderChar">
    <w:name w:val="Header Char"/>
    <w:basedOn w:val="DefaultParagraphFont"/>
    <w:link w:val="Header"/>
    <w:uiPriority w:val="99"/>
    <w:rsid w:val="0063632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632B"/>
    <w:pPr>
      <w:tabs>
        <w:tab w:val="center" w:pos="4680"/>
        <w:tab w:val="right" w:pos="9360"/>
      </w:tabs>
    </w:pPr>
  </w:style>
  <w:style w:type="character" w:customStyle="1" w:styleId="FooterChar">
    <w:name w:val="Footer Char"/>
    <w:basedOn w:val="DefaultParagraphFont"/>
    <w:link w:val="Footer"/>
    <w:uiPriority w:val="99"/>
    <w:rsid w:val="0063632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1577E"/>
    <w:rPr>
      <w:rFonts w:ascii="Tahoma" w:hAnsi="Tahoma" w:cs="Tahoma"/>
      <w:sz w:val="16"/>
      <w:szCs w:val="16"/>
    </w:rPr>
  </w:style>
  <w:style w:type="character" w:customStyle="1" w:styleId="BalloonTextChar">
    <w:name w:val="Balloon Text Char"/>
    <w:basedOn w:val="DefaultParagraphFont"/>
    <w:link w:val="BalloonText"/>
    <w:uiPriority w:val="99"/>
    <w:semiHidden/>
    <w:rsid w:val="00D1577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F50"/>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5F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3D0640"/>
    <w:rPr>
      <w:vertAlign w:val="superscript"/>
    </w:rPr>
  </w:style>
  <w:style w:type="paragraph" w:styleId="FootnoteText">
    <w:name w:val="footnote text"/>
    <w:basedOn w:val="Normal"/>
    <w:link w:val="FootnoteTextChar"/>
    <w:uiPriority w:val="99"/>
    <w:semiHidden/>
    <w:unhideWhenUsed/>
    <w:rsid w:val="003D0640"/>
  </w:style>
  <w:style w:type="character" w:customStyle="1" w:styleId="FootnoteTextChar">
    <w:name w:val="Footnote Text Char"/>
    <w:basedOn w:val="DefaultParagraphFont"/>
    <w:link w:val="FootnoteText"/>
    <w:uiPriority w:val="99"/>
    <w:semiHidden/>
    <w:rsid w:val="003D0640"/>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63632B"/>
    <w:pPr>
      <w:tabs>
        <w:tab w:val="center" w:pos="4680"/>
        <w:tab w:val="right" w:pos="9360"/>
      </w:tabs>
    </w:pPr>
  </w:style>
  <w:style w:type="character" w:customStyle="1" w:styleId="HeaderChar">
    <w:name w:val="Header Char"/>
    <w:basedOn w:val="DefaultParagraphFont"/>
    <w:link w:val="Header"/>
    <w:uiPriority w:val="99"/>
    <w:rsid w:val="0063632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632B"/>
    <w:pPr>
      <w:tabs>
        <w:tab w:val="center" w:pos="4680"/>
        <w:tab w:val="right" w:pos="9360"/>
      </w:tabs>
    </w:pPr>
  </w:style>
  <w:style w:type="character" w:customStyle="1" w:styleId="FooterChar">
    <w:name w:val="Footer Char"/>
    <w:basedOn w:val="DefaultParagraphFont"/>
    <w:link w:val="Footer"/>
    <w:uiPriority w:val="99"/>
    <w:rsid w:val="0063632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1577E"/>
    <w:rPr>
      <w:rFonts w:ascii="Tahoma" w:hAnsi="Tahoma" w:cs="Tahoma"/>
      <w:sz w:val="16"/>
      <w:szCs w:val="16"/>
    </w:rPr>
  </w:style>
  <w:style w:type="character" w:customStyle="1" w:styleId="BalloonTextChar">
    <w:name w:val="Balloon Text Char"/>
    <w:basedOn w:val="DefaultParagraphFont"/>
    <w:link w:val="BalloonText"/>
    <w:uiPriority w:val="99"/>
    <w:semiHidden/>
    <w:rsid w:val="00D1577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1576</Words>
  <Characters>8986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rocarran</dc:creator>
  <cp:lastModifiedBy>Farner, Joyce</cp:lastModifiedBy>
  <cp:revision>3</cp:revision>
  <cp:lastPrinted>2013-09-12T12:20:00Z</cp:lastPrinted>
  <dcterms:created xsi:type="dcterms:W3CDTF">2013-09-04T13:41:00Z</dcterms:created>
  <dcterms:modified xsi:type="dcterms:W3CDTF">2013-09-12T12:20:00Z</dcterms:modified>
</cp:coreProperties>
</file>