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AD9" w:rsidRPr="0054232D" w:rsidRDefault="00CF0AD9" w:rsidP="00CF0AD9">
      <w:pPr>
        <w:jc w:val="center"/>
        <w:rPr>
          <w:rFonts w:eastAsia="Calibri" w:cs="Times New Roman"/>
          <w:b/>
        </w:rPr>
      </w:pPr>
      <w:r w:rsidRPr="0054232D">
        <w:rPr>
          <w:rFonts w:eastAsia="Calibri" w:cs="Times New Roman"/>
          <w:b/>
        </w:rPr>
        <w:t>BEFORE THE</w:t>
      </w:r>
    </w:p>
    <w:p w:rsidR="00CF0AD9" w:rsidRPr="0054232D" w:rsidRDefault="00CF0AD9" w:rsidP="00CF0AD9">
      <w:pPr>
        <w:jc w:val="center"/>
        <w:rPr>
          <w:rFonts w:eastAsia="Calibri" w:cs="Times New Roman"/>
        </w:rPr>
      </w:pPr>
      <w:r w:rsidRPr="0054232D">
        <w:rPr>
          <w:rFonts w:eastAsia="Calibri" w:cs="Times New Roman"/>
          <w:b/>
        </w:rPr>
        <w:t>PENNSYLVANIA PUBLIC UTILITY COMMISSION</w:t>
      </w:r>
    </w:p>
    <w:p w:rsidR="00CF0AD9" w:rsidRPr="0054232D" w:rsidRDefault="00CF0AD9" w:rsidP="00CF0AD9">
      <w:pPr>
        <w:jc w:val="center"/>
        <w:rPr>
          <w:rFonts w:eastAsia="Calibri" w:cs="Times New Roman"/>
          <w:sz w:val="32"/>
        </w:rPr>
      </w:pPr>
    </w:p>
    <w:tbl>
      <w:tblPr>
        <w:tblStyle w:val="TableGrid"/>
        <w:tblW w:w="0" w:type="auto"/>
        <w:tblLook w:val="01E0" w:firstRow="1" w:lastRow="1" w:firstColumn="1" w:lastColumn="1" w:noHBand="0" w:noVBand="0"/>
      </w:tblPr>
      <w:tblGrid>
        <w:gridCol w:w="4428"/>
        <w:gridCol w:w="540"/>
        <w:gridCol w:w="4608"/>
      </w:tblGrid>
      <w:tr w:rsidR="00CF0AD9" w:rsidRPr="0054232D" w:rsidTr="00DC61AB">
        <w:tc>
          <w:tcPr>
            <w:tcW w:w="4428" w:type="dxa"/>
            <w:tcBorders>
              <w:top w:val="nil"/>
              <w:left w:val="nil"/>
              <w:bottom w:val="nil"/>
              <w:right w:val="nil"/>
            </w:tcBorders>
            <w:hideMark/>
          </w:tcPr>
          <w:p w:rsidR="00CF0AD9" w:rsidRPr="0054232D" w:rsidRDefault="00CF0AD9" w:rsidP="001F144B">
            <w:pPr>
              <w:jc w:val="both"/>
              <w:rPr>
                <w:rFonts w:eastAsia="Calibri"/>
                <w:sz w:val="24"/>
              </w:rPr>
            </w:pPr>
            <w:r w:rsidRPr="0054232D">
              <w:rPr>
                <w:rFonts w:eastAsia="Calibri"/>
                <w:sz w:val="24"/>
              </w:rPr>
              <w:t>Joint Application of Peoples Natural Gas Company LLC, Peoples TWP LLC, and Equitable Gas Company, LLC for All of the Authority and the Necessary Certificates of Public Convenience (1) to Transfer All of the Issued and Outstanding Limited Liability Company Membership Interest of Equitable Gas Company, LLC to PNG Companies LLC, (2) to Merge Equitable Gas Company, LLC with Peoples Natural Gas Company LLC, (3) to Transfer Certain Storage and Transmission Assets of Peoples Natural Gas Company LLC to Affiliates of EQT Corporation, (4)</w:t>
            </w:r>
            <w:r w:rsidR="001F144B">
              <w:rPr>
                <w:rFonts w:eastAsia="Calibri"/>
                <w:sz w:val="24"/>
              </w:rPr>
              <w:t> </w:t>
            </w:r>
            <w:r w:rsidRPr="0054232D">
              <w:rPr>
                <w:rFonts w:eastAsia="Calibri"/>
                <w:sz w:val="24"/>
              </w:rPr>
              <w:t>to Transfer Certain Assets between Equitable Gas Company, LLC and Affiliates of EQT Corporation, (5) for Approval of Certain Ownership Changes Associated with the Transaction, (6) for Approval of Certain Associated Gas Capacity and Supply Agreements, and (7) for Approval of Certain Changes in the Tariff of Peoples Natural Gas Company LLC.</w:t>
            </w:r>
          </w:p>
        </w:tc>
        <w:tc>
          <w:tcPr>
            <w:tcW w:w="540" w:type="dxa"/>
            <w:tcBorders>
              <w:top w:val="nil"/>
              <w:left w:val="nil"/>
              <w:bottom w:val="nil"/>
              <w:right w:val="nil"/>
            </w:tcBorders>
            <w:hideMark/>
          </w:tcPr>
          <w:p w:rsidR="00CF0AD9" w:rsidRPr="0054232D" w:rsidRDefault="00CF0AD9" w:rsidP="00DC61AB">
            <w:pPr>
              <w:jc w:val="center"/>
              <w:rPr>
                <w:rFonts w:eastAsia="Calibri"/>
                <w:b/>
                <w:sz w:val="24"/>
              </w:rPr>
            </w:pPr>
            <w:r w:rsidRPr="0054232D">
              <w:rPr>
                <w:rFonts w:eastAsia="Calibri"/>
                <w:b/>
                <w:sz w:val="24"/>
              </w:rPr>
              <w:t>:</w:t>
            </w:r>
            <w:r w:rsidRPr="0054232D">
              <w:rPr>
                <w:rFonts w:eastAsia="Calibri"/>
                <w:b/>
                <w:sz w:val="24"/>
              </w:rPr>
              <w:br/>
              <w:t>:</w:t>
            </w:r>
            <w:r w:rsidRPr="0054232D">
              <w:rPr>
                <w:rFonts w:eastAsia="Calibri"/>
                <w:b/>
                <w:sz w:val="24"/>
              </w:rPr>
              <w:br/>
              <w:t>:</w:t>
            </w:r>
            <w:r w:rsidRPr="0054232D">
              <w:rPr>
                <w:rFonts w:eastAsia="Calibri"/>
                <w:b/>
                <w:sz w:val="24"/>
              </w:rPr>
              <w:br/>
              <w:t>:</w:t>
            </w:r>
            <w:r w:rsidRPr="0054232D">
              <w:rPr>
                <w:rFonts w:eastAsia="Calibri"/>
                <w:b/>
                <w:sz w:val="24"/>
              </w:rPr>
              <w:br/>
              <w:t>:</w:t>
            </w:r>
            <w:r w:rsidRPr="0054232D">
              <w:rPr>
                <w:rFonts w:eastAsia="Calibri"/>
                <w:b/>
                <w:sz w:val="24"/>
              </w:rPr>
              <w:br/>
              <w:t>:</w:t>
            </w:r>
            <w:r w:rsidRPr="0054232D">
              <w:rPr>
                <w:rFonts w:eastAsia="Calibri"/>
                <w:b/>
                <w:sz w:val="24"/>
              </w:rPr>
              <w:br/>
              <w:t>:</w:t>
            </w:r>
            <w:r w:rsidRPr="0054232D">
              <w:rPr>
                <w:rFonts w:eastAsia="Calibri"/>
                <w:b/>
                <w:sz w:val="24"/>
              </w:rPr>
              <w:br/>
              <w:t>:</w:t>
            </w:r>
            <w:r w:rsidRPr="0054232D">
              <w:rPr>
                <w:rFonts w:eastAsia="Calibri"/>
                <w:b/>
                <w:sz w:val="24"/>
              </w:rPr>
              <w:br/>
              <w:t>:</w:t>
            </w:r>
            <w:r w:rsidRPr="0054232D">
              <w:rPr>
                <w:rFonts w:eastAsia="Calibri"/>
                <w:b/>
                <w:sz w:val="24"/>
              </w:rPr>
              <w:b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r w:rsidRPr="0054232D">
              <w:rPr>
                <w:rFonts w:eastAsia="Calibri"/>
                <w:b/>
                <w:sz w:val="24"/>
              </w:rPr>
              <w:b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p w:rsidR="00CF0AD9" w:rsidRPr="0054232D" w:rsidRDefault="00CF0AD9" w:rsidP="00DC61AB">
            <w:pPr>
              <w:jc w:val="center"/>
              <w:rPr>
                <w:rFonts w:eastAsia="Calibri"/>
                <w:b/>
                <w:sz w:val="24"/>
              </w:rPr>
            </w:pPr>
            <w:r w:rsidRPr="0054232D">
              <w:rPr>
                <w:rFonts w:eastAsia="Calibri"/>
                <w:b/>
                <w:sz w:val="24"/>
              </w:rPr>
              <w:t>:</w:t>
            </w:r>
          </w:p>
        </w:tc>
        <w:tc>
          <w:tcPr>
            <w:tcW w:w="4608" w:type="dxa"/>
            <w:tcBorders>
              <w:top w:val="nil"/>
              <w:left w:val="nil"/>
              <w:bottom w:val="nil"/>
              <w:right w:val="nil"/>
            </w:tcBorders>
          </w:tcPr>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r w:rsidRPr="0054232D">
              <w:rPr>
                <w:rFonts w:eastAsia="Calibri"/>
                <w:sz w:val="24"/>
              </w:rPr>
              <w:t>Docket Nos. A-2013-2353647</w:t>
            </w:r>
          </w:p>
          <w:p w:rsidR="00CF0AD9" w:rsidRPr="0054232D" w:rsidRDefault="00CF0AD9" w:rsidP="00DC61AB">
            <w:pPr>
              <w:rPr>
                <w:rFonts w:eastAsia="Calibri"/>
                <w:sz w:val="24"/>
              </w:rPr>
            </w:pPr>
            <w:r w:rsidRPr="0054232D">
              <w:rPr>
                <w:rFonts w:eastAsia="Calibri"/>
                <w:sz w:val="24"/>
              </w:rPr>
              <w:t xml:space="preserve">                     A-2013-2353649</w:t>
            </w:r>
          </w:p>
          <w:p w:rsidR="00CF0AD9" w:rsidRPr="0054232D" w:rsidRDefault="00CF0AD9" w:rsidP="00DC61AB">
            <w:pPr>
              <w:rPr>
                <w:rFonts w:eastAsia="Calibri"/>
                <w:sz w:val="24"/>
              </w:rPr>
            </w:pPr>
            <w:r w:rsidRPr="0054232D">
              <w:rPr>
                <w:rFonts w:eastAsia="Calibri"/>
                <w:sz w:val="24"/>
              </w:rPr>
              <w:t xml:space="preserve">                     A-2013-2353651</w:t>
            </w:r>
          </w:p>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p>
          <w:p w:rsidR="00CF0AD9" w:rsidRPr="0054232D" w:rsidRDefault="00CF0AD9" w:rsidP="00DC61AB">
            <w:pPr>
              <w:rPr>
                <w:rFonts w:eastAsia="Calibri"/>
                <w:sz w:val="24"/>
              </w:rPr>
            </w:pPr>
          </w:p>
        </w:tc>
      </w:tr>
    </w:tbl>
    <w:p w:rsidR="004B6977" w:rsidRDefault="004B6977" w:rsidP="004B6977">
      <w:pPr>
        <w:jc w:val="center"/>
      </w:pPr>
    </w:p>
    <w:p w:rsidR="00FC56F9" w:rsidRDefault="00FC56F9" w:rsidP="0061357E">
      <w:pPr>
        <w:spacing w:before="240" w:after="240"/>
        <w:jc w:val="center"/>
        <w:rPr>
          <w:b/>
        </w:rPr>
      </w:pPr>
    </w:p>
    <w:p w:rsidR="00FC56F9" w:rsidRDefault="00FC56F9" w:rsidP="00FC56F9">
      <w:pPr>
        <w:jc w:val="center"/>
      </w:pPr>
      <w:r>
        <w:rPr>
          <w:b/>
          <w:u w:val="single"/>
        </w:rPr>
        <w:t>PROTECTIVE ORDER</w:t>
      </w:r>
    </w:p>
    <w:p w:rsidR="00FC56F9" w:rsidRDefault="00FC56F9" w:rsidP="00FC56F9"/>
    <w:p w:rsidR="00FC56F9" w:rsidRDefault="00FC56F9" w:rsidP="00FC56F9"/>
    <w:p w:rsidR="00E72BFD" w:rsidRDefault="00FC56F9" w:rsidP="00FC56F9">
      <w:pPr>
        <w:spacing w:line="360" w:lineRule="auto"/>
      </w:pPr>
      <w:r>
        <w:tab/>
      </w:r>
      <w:r>
        <w:tab/>
        <w:t xml:space="preserve">On September 10, 2013, </w:t>
      </w:r>
      <w:r w:rsidRPr="0054232D">
        <w:t>Peoples Natural Gas Company LLC (“Peoples”), Peoples TWP LLC (“Peoples TWP”), and Equitable Gas Company, LLC (“Equitable”) (hereinafter, collectively the “</w:t>
      </w:r>
      <w:r w:rsidR="005635C1">
        <w:t xml:space="preserve">Joint </w:t>
      </w:r>
      <w:r w:rsidRPr="0054232D">
        <w:t xml:space="preserve">Applicants”) </w:t>
      </w:r>
      <w:r>
        <w:t xml:space="preserve">filed a Motion for Protective Order in this proceeding pursuant to the provisions of 52 Pa. Code § 5.423(a).  In the Motion, the </w:t>
      </w:r>
      <w:r w:rsidR="00020BE8">
        <w:t xml:space="preserve">Joint </w:t>
      </w:r>
      <w:r>
        <w:t xml:space="preserve">Applicants represented that they consulted with all other active parties to this proceeding, and none of them objected to the granting of this Motion.  </w:t>
      </w:r>
    </w:p>
    <w:p w:rsidR="00E72BFD" w:rsidRDefault="00E72BFD" w:rsidP="00FC56F9">
      <w:pPr>
        <w:spacing w:line="360" w:lineRule="auto"/>
      </w:pPr>
    </w:p>
    <w:p w:rsidR="00FC56F9" w:rsidRDefault="00E72BFD" w:rsidP="00FC56F9">
      <w:pPr>
        <w:spacing w:line="360" w:lineRule="auto"/>
      </w:pPr>
      <w:r>
        <w:lastRenderedPageBreak/>
        <w:tab/>
      </w:r>
      <w:r>
        <w:tab/>
        <w:t xml:space="preserve">The initial hearing in this proceeding began as scheduled on September 11, 2013.  At the outset of the hearing, I asked the parties in attendance if there were any objections to the Motion for Protective Order.  No parties objected.  I orally granted the Motion for Protective Order on the hearing record and directed the parties to submit a complete list of all the evidence to be protected as proprietary or confidential </w:t>
      </w:r>
      <w:r w:rsidR="00120C1D">
        <w:t xml:space="preserve">in the records of the Commission </w:t>
      </w:r>
      <w:r>
        <w:t xml:space="preserve">by the Commission’s Secretary’s Bureau.  </w:t>
      </w:r>
      <w:r w:rsidR="00120C1D">
        <w:t>There was no cross-examination in the hearing record of any witness regarding evidence subject to this Protective Order.  All of the evidence subject to this Protective Order was entered into the hearing record pursuant to a stipulation of all parties in attendance.</w:t>
      </w:r>
      <w:r w:rsidR="00103291">
        <w:t xml:space="preserve">  As each party’s</w:t>
      </w:r>
      <w:r w:rsidR="00120C1D">
        <w:t xml:space="preserve"> evidence was admitted into the hearing record, I designated specifically which evidence was subject to the Protective Order and not to be placed in the public file in the Commission’s records.  </w:t>
      </w:r>
      <w:r>
        <w:t>The list of evidence subject to Protective Order is attached hereto as Appendix A and made a part hereof.</w:t>
      </w:r>
      <w:r w:rsidR="005635C1">
        <w:t xml:space="preserve">  This Protective Order memorializes my ruling</w:t>
      </w:r>
      <w:r w:rsidR="00103291">
        <w:t>s</w:t>
      </w:r>
      <w:r w:rsidR="005635C1">
        <w:t xml:space="preserve"> at t</w:t>
      </w:r>
      <w:r w:rsidR="00120C1D">
        <w:t xml:space="preserve">he hearing on September 11, 2013.  </w:t>
      </w:r>
      <w:r w:rsidR="005635C1">
        <w:t xml:space="preserve">   </w:t>
      </w:r>
      <w:r>
        <w:t xml:space="preserve">  </w:t>
      </w:r>
      <w:r w:rsidR="00FC56F9">
        <w:t xml:space="preserve">   </w:t>
      </w:r>
    </w:p>
    <w:p w:rsidR="00FC56F9" w:rsidRDefault="00FC56F9" w:rsidP="00FC56F9">
      <w:pPr>
        <w:spacing w:line="360" w:lineRule="auto"/>
      </w:pPr>
    </w:p>
    <w:p w:rsidR="00FC56F9" w:rsidRDefault="00FC56F9" w:rsidP="00103291">
      <w:pPr>
        <w:spacing w:line="360" w:lineRule="auto"/>
        <w:ind w:firstLine="1440"/>
      </w:pPr>
      <w:r>
        <w:t xml:space="preserve">AND NOW, to wit, this </w:t>
      </w:r>
      <w:r w:rsidR="00E72BFD">
        <w:t>13</w:t>
      </w:r>
      <w:r w:rsidRPr="00B049FE">
        <w:rPr>
          <w:vertAlign w:val="superscript"/>
        </w:rPr>
        <w:t>th</w:t>
      </w:r>
      <w:r>
        <w:t xml:space="preserve"> day of </w:t>
      </w:r>
      <w:r w:rsidR="00E72BFD">
        <w:t xml:space="preserve">September, 2013, </w:t>
      </w:r>
      <w:r w:rsidRPr="0085368A">
        <w:t xml:space="preserve">upon consideration of the </w:t>
      </w:r>
      <w:r>
        <w:t xml:space="preserve">Motion </w:t>
      </w:r>
      <w:r w:rsidR="00DD0C5E">
        <w:t xml:space="preserve">for Protective Order </w:t>
      </w:r>
      <w:r w:rsidRPr="0085368A">
        <w:t>pursuant to Section</w:t>
      </w:r>
      <w:r>
        <w:t xml:space="preserve"> 5.423</w:t>
      </w:r>
      <w:r w:rsidRPr="0085368A">
        <w:t xml:space="preserve"> of the Commission’s Rules of Administrative Practice and P</w:t>
      </w:r>
      <w:r>
        <w:t>rocedure, 52 Pa. Code § 5.423(a)</w:t>
      </w:r>
      <w:r w:rsidRPr="0085368A">
        <w:t xml:space="preserve">, requesting restrictions on the disclosure of </w:t>
      </w:r>
      <w:r>
        <w:t xml:space="preserve">sensitive and/or proprietary materials, </w:t>
      </w:r>
      <w:r w:rsidRPr="0085368A">
        <w:t>and</w:t>
      </w:r>
      <w:r>
        <w:t>/or</w:t>
      </w:r>
      <w:r w:rsidRPr="0085368A">
        <w:t xml:space="preserve"> confidential information </w:t>
      </w:r>
      <w:r>
        <w:t>filed or otherwise disclosed in this case</w:t>
      </w:r>
      <w:r w:rsidRPr="0085368A">
        <w:t xml:space="preserve"> and having received no objection thereto from any party in</w:t>
      </w:r>
      <w:r>
        <w:t xml:space="preserve"> interest, IT IS HEREBY ORDERED:</w:t>
      </w:r>
    </w:p>
    <w:p w:rsidR="00103291" w:rsidRPr="0061357E" w:rsidRDefault="00103291" w:rsidP="00103291">
      <w:pPr>
        <w:spacing w:line="360" w:lineRule="auto"/>
        <w:ind w:firstLine="1440"/>
        <w:rPr>
          <w:b/>
        </w:rPr>
      </w:pPr>
    </w:p>
    <w:p w:rsidR="004B6977" w:rsidRDefault="004B6977" w:rsidP="00963684">
      <w:pPr>
        <w:pStyle w:val="ListNumber"/>
        <w:numPr>
          <w:ilvl w:val="0"/>
          <w:numId w:val="5"/>
        </w:numPr>
        <w:tabs>
          <w:tab w:val="clear" w:pos="1440"/>
          <w:tab w:val="num" w:pos="720"/>
        </w:tabs>
        <w:spacing w:line="360" w:lineRule="auto"/>
        <w:ind w:left="0" w:firstLine="1440"/>
        <w:jc w:val="left"/>
      </w:pPr>
      <w:r>
        <w:t>Th</w:t>
      </w:r>
      <w:r w:rsidR="00750C09">
        <w:t>at th</w:t>
      </w:r>
      <w:r>
        <w:t>e Motion</w:t>
      </w:r>
      <w:r w:rsidR="004E636E">
        <w:t xml:space="preserve"> for Protective Order </w:t>
      </w:r>
      <w:r>
        <w:t xml:space="preserve">is hereby granted with respect to all materials and information identified in </w:t>
      </w:r>
      <w:r w:rsidR="00205135">
        <w:t>Appendix A attached hereto and made a part hereof.</w:t>
      </w:r>
    </w:p>
    <w:p w:rsidR="00205135" w:rsidRDefault="00205135" w:rsidP="009136CE">
      <w:pPr>
        <w:pStyle w:val="ListNumber"/>
        <w:numPr>
          <w:ilvl w:val="0"/>
          <w:numId w:val="0"/>
        </w:numPr>
        <w:spacing w:line="240" w:lineRule="auto"/>
        <w:ind w:left="1440"/>
        <w:jc w:val="left"/>
      </w:pPr>
    </w:p>
    <w:p w:rsidR="000A496D" w:rsidRDefault="00205135" w:rsidP="00205135">
      <w:pPr>
        <w:pStyle w:val="ListNumber"/>
        <w:numPr>
          <w:ilvl w:val="0"/>
          <w:numId w:val="0"/>
        </w:numPr>
        <w:spacing w:line="360" w:lineRule="auto"/>
        <w:ind w:firstLine="1440"/>
        <w:jc w:val="left"/>
      </w:pPr>
      <w:r>
        <w:t>2.</w:t>
      </w:r>
      <w:r>
        <w:tab/>
      </w:r>
      <w:r w:rsidR="00303763">
        <w:t xml:space="preserve">That </w:t>
      </w:r>
      <w:r>
        <w:t>the evidence listed in Appendix A</w:t>
      </w:r>
      <w:r w:rsidR="002D7062">
        <w:t xml:space="preserve"> shall be made available </w:t>
      </w:r>
      <w:r w:rsidR="001B0819">
        <w:t xml:space="preserve">to </w:t>
      </w:r>
      <w:r w:rsidR="002D7062">
        <w:t xml:space="preserve">counsel for the non-producing </w:t>
      </w:r>
      <w:r w:rsidR="001B0819">
        <w:t>party</w:t>
      </w:r>
      <w:r w:rsidR="002D7062">
        <w:t xml:space="preserve">, subject to the terms of this Protective </w:t>
      </w:r>
      <w:r w:rsidR="00226CE6">
        <w:t>Order</w:t>
      </w:r>
      <w:r w:rsidR="00930943">
        <w:t xml:space="preserve"> and the Confidentiality and Non-Disclosure Agreements </w:t>
      </w:r>
      <w:r w:rsidR="00F62B5D">
        <w:t xml:space="preserve">previously </w:t>
      </w:r>
      <w:r w:rsidR="00930943">
        <w:t>entered by the parties</w:t>
      </w:r>
      <w:r w:rsidR="002D7062">
        <w:t xml:space="preserve">.  Such counsel shall use or disclose the </w:t>
      </w:r>
      <w:r>
        <w:t>proprietary i</w:t>
      </w:r>
      <w:r w:rsidR="002D7062">
        <w:t>nformation</w:t>
      </w:r>
      <w:r>
        <w:t xml:space="preserve"> (Appendix A)</w:t>
      </w:r>
      <w:r w:rsidR="002D7062">
        <w:t xml:space="preserve"> only for purposes of preparing or presenting evidence, cross examination</w:t>
      </w:r>
      <w:r w:rsidR="001B0819">
        <w:t>,</w:t>
      </w:r>
      <w:r w:rsidR="002D7062">
        <w:t xml:space="preserve"> argument </w:t>
      </w:r>
      <w:r w:rsidR="001B0819">
        <w:t xml:space="preserve">or for settlement discussions </w:t>
      </w:r>
      <w:r w:rsidR="002D7062">
        <w:t xml:space="preserve">in this proceeding.  To the extent required for participation in this proceeding, counsel for a non-producing </w:t>
      </w:r>
      <w:r w:rsidR="001B0819">
        <w:t>party</w:t>
      </w:r>
      <w:r w:rsidR="002D7062">
        <w:t xml:space="preserve"> may afford access to Proprietary Information subject to t</w:t>
      </w:r>
      <w:r w:rsidR="000A496D">
        <w:t>he conditions set forth herein.</w:t>
      </w:r>
    </w:p>
    <w:p w:rsidR="00905B10" w:rsidRDefault="00205135" w:rsidP="00205135">
      <w:pPr>
        <w:pStyle w:val="ListNumber"/>
        <w:numPr>
          <w:ilvl w:val="0"/>
          <w:numId w:val="0"/>
        </w:numPr>
        <w:spacing w:line="360" w:lineRule="auto"/>
        <w:ind w:firstLine="1440"/>
        <w:jc w:val="left"/>
      </w:pPr>
      <w:r>
        <w:lastRenderedPageBreak/>
        <w:t>3.</w:t>
      </w:r>
      <w:r>
        <w:tab/>
      </w:r>
      <w:r w:rsidR="00CC18D4">
        <w:t xml:space="preserve">That </w:t>
      </w:r>
      <w:r w:rsidR="00FB5DEE" w:rsidRPr="00FB5DEE">
        <w:t>Proprietary Information</w:t>
      </w:r>
      <w:r w:rsidR="00814FE2">
        <w:t xml:space="preserve"> (Evidence listed in Appendix A)</w:t>
      </w:r>
      <w:r w:rsidR="00FB5DEE" w:rsidRPr="00FB5DEE">
        <w:t xml:space="preserve"> produced in this proceeding shall be made available to the</w:t>
      </w:r>
      <w:r w:rsidR="007D26AF">
        <w:t xml:space="preserve"> Pennsylvania Public Utility Commission (“</w:t>
      </w:r>
      <w:r w:rsidR="00FB5DEE" w:rsidRPr="00FB5DEE">
        <w:t>Commission</w:t>
      </w:r>
      <w:r w:rsidR="007D26AF">
        <w:t>”)</w:t>
      </w:r>
      <w:r w:rsidR="00FB5DEE" w:rsidRPr="00FB5DEE">
        <w:t xml:space="preserve"> and </w:t>
      </w:r>
      <w:r w:rsidR="004E636E">
        <w:t>Commission</w:t>
      </w:r>
      <w:r w:rsidR="00FB5DEE" w:rsidRPr="00FB5DEE">
        <w:t xml:space="preserve"> Staff.  For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is placed in the Commission’s testimony or document folders, such information shall be separately bound, conspicuously marked, and accompanied by a copy of this Protective Order.  Public inspection of Protected Information shall be permitted only in accordance with this Protective Order.</w:t>
      </w:r>
    </w:p>
    <w:p w:rsidR="004E636E" w:rsidRDefault="004E636E" w:rsidP="002D2641">
      <w:pPr>
        <w:pStyle w:val="ListNumber"/>
        <w:numPr>
          <w:ilvl w:val="0"/>
          <w:numId w:val="0"/>
        </w:numPr>
        <w:spacing w:line="240" w:lineRule="auto"/>
        <w:ind w:firstLine="1440"/>
        <w:jc w:val="left"/>
      </w:pPr>
    </w:p>
    <w:p w:rsidR="00901A78" w:rsidRDefault="004E636E" w:rsidP="00814FE2">
      <w:pPr>
        <w:pStyle w:val="ListNumber"/>
        <w:numPr>
          <w:ilvl w:val="0"/>
          <w:numId w:val="0"/>
        </w:numPr>
        <w:spacing w:line="360" w:lineRule="auto"/>
        <w:ind w:firstLine="1440"/>
        <w:jc w:val="left"/>
      </w:pPr>
      <w:r>
        <w:t>4.</w:t>
      </w:r>
      <w:r>
        <w:tab/>
      </w:r>
      <w:r w:rsidR="002D7062">
        <w:t xml:space="preserve">That no other persons may have access to the </w:t>
      </w:r>
      <w:r w:rsidR="00814FE2">
        <w:t>evidence listed in Appendix</w:t>
      </w:r>
      <w:r w:rsidR="002A5F51">
        <w:t> </w:t>
      </w:r>
      <w:r w:rsidR="00814FE2">
        <w:t xml:space="preserve">A </w:t>
      </w:r>
      <w:r w:rsidR="002D7062">
        <w:t>except as authorized by order of the Commission or the Presiding Administrative Law Judge.</w:t>
      </w:r>
    </w:p>
    <w:p w:rsidR="00814FE2" w:rsidRDefault="00814FE2" w:rsidP="002D2641">
      <w:pPr>
        <w:pStyle w:val="ListNumber"/>
        <w:numPr>
          <w:ilvl w:val="0"/>
          <w:numId w:val="0"/>
        </w:numPr>
        <w:spacing w:line="240" w:lineRule="auto"/>
        <w:ind w:firstLine="1440"/>
        <w:jc w:val="left"/>
      </w:pPr>
    </w:p>
    <w:p w:rsidR="002D7062" w:rsidRDefault="00814FE2" w:rsidP="00814FE2">
      <w:pPr>
        <w:pStyle w:val="ListNumber"/>
        <w:numPr>
          <w:ilvl w:val="0"/>
          <w:numId w:val="0"/>
        </w:numPr>
        <w:spacing w:line="360" w:lineRule="auto"/>
        <w:ind w:firstLine="1440"/>
        <w:jc w:val="left"/>
      </w:pPr>
      <w:r>
        <w:t>5.</w:t>
      </w:r>
      <w:r>
        <w:tab/>
      </w:r>
      <w:r w:rsidR="001247C2">
        <w:t>That i</w:t>
      </w:r>
      <w:r w:rsidR="002D7062">
        <w:t>nformation deemed Proprietary Information</w:t>
      </w:r>
      <w:r>
        <w:t xml:space="preserve"> (Appendix A)</w:t>
      </w:r>
      <w:r w:rsidR="002D7062">
        <w:t xml:space="preserve"> shall not be used except as necessary for the conduct of this proceeding, nor shall it be disclosed in any manner to any person except a Reviewing Representative who is engaged in the conduct of this proceeding and who needs to know the information in order to carry out that person</w:t>
      </w:r>
      <w:r w:rsidR="00556AB2">
        <w:t>’</w:t>
      </w:r>
      <w:r w:rsidR="002D7062">
        <w:t>s responsibilities in this proceeding.</w:t>
      </w:r>
    </w:p>
    <w:p w:rsidR="00814FE2" w:rsidRDefault="00814FE2" w:rsidP="002D2641">
      <w:pPr>
        <w:pStyle w:val="ListNumber"/>
        <w:numPr>
          <w:ilvl w:val="0"/>
          <w:numId w:val="0"/>
        </w:numPr>
        <w:spacing w:line="240" w:lineRule="auto"/>
        <w:ind w:firstLine="1440"/>
        <w:jc w:val="left"/>
      </w:pPr>
    </w:p>
    <w:p w:rsidR="002D7062" w:rsidRDefault="00814FE2" w:rsidP="00814FE2">
      <w:pPr>
        <w:pStyle w:val="ListNumber"/>
        <w:numPr>
          <w:ilvl w:val="0"/>
          <w:numId w:val="0"/>
        </w:numPr>
        <w:spacing w:line="360" w:lineRule="auto"/>
        <w:ind w:firstLine="1440"/>
        <w:jc w:val="left"/>
      </w:pPr>
      <w:r>
        <w:t>6.</w:t>
      </w:r>
      <w:r>
        <w:tab/>
      </w:r>
      <w:r w:rsidR="002D7062">
        <w:t>That any public reference to Proprietary Information</w:t>
      </w:r>
      <w:r>
        <w:t xml:space="preserve"> (</w:t>
      </w:r>
      <w:r w:rsidR="003D7B0D">
        <w:t xml:space="preserve">evidence listed in </w:t>
      </w:r>
      <w:r>
        <w:t>Appendix A)</w:t>
      </w:r>
      <w:r w:rsidR="002D7062">
        <w:t xml:space="preserve"> by a </w:t>
      </w:r>
      <w:r w:rsidR="001B0819">
        <w:t>party</w:t>
      </w:r>
      <w:r w:rsidR="002D7062">
        <w:t xml:space="preserve">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w:t>
      </w:r>
    </w:p>
    <w:p w:rsidR="00814FE2" w:rsidRDefault="00814FE2" w:rsidP="002D2641">
      <w:pPr>
        <w:pStyle w:val="ListNumber"/>
        <w:numPr>
          <w:ilvl w:val="0"/>
          <w:numId w:val="0"/>
        </w:numPr>
        <w:spacing w:line="240" w:lineRule="auto"/>
        <w:ind w:firstLine="1440"/>
        <w:jc w:val="left"/>
      </w:pPr>
    </w:p>
    <w:p w:rsidR="00814FE2" w:rsidRDefault="003D7B0D" w:rsidP="00814FE2">
      <w:pPr>
        <w:pStyle w:val="ListNumber"/>
        <w:numPr>
          <w:ilvl w:val="0"/>
          <w:numId w:val="0"/>
        </w:numPr>
        <w:spacing w:line="360" w:lineRule="auto"/>
        <w:ind w:firstLine="1440"/>
        <w:jc w:val="left"/>
      </w:pPr>
      <w:r>
        <w:t>7</w:t>
      </w:r>
      <w:r w:rsidR="00814FE2">
        <w:t>.</w:t>
      </w:r>
      <w:r w:rsidR="00814FE2">
        <w:tab/>
      </w:r>
      <w:r w:rsidR="002D7062">
        <w:t>That any part of the record of this proceeding containing Proprietary Information</w:t>
      </w:r>
      <w:r w:rsidR="00814FE2">
        <w:t xml:space="preserve"> (evidence listed in Appendix A)</w:t>
      </w:r>
      <w:r w:rsidR="002D7062">
        <w:t xml:space="preserve">, including but not limited to all exhibits, writings, testimony, cross examination and argument, shall be sealed for all purposes, including administrative and judicial review, unless such Proprietary Information is released from the restrictions of this Protective </w:t>
      </w:r>
      <w:r w:rsidR="005E68FF">
        <w:t>Order</w:t>
      </w:r>
      <w:r w:rsidR="002D7062">
        <w:t xml:space="preserve">, either through the agreement of the </w:t>
      </w:r>
      <w:r w:rsidR="001B0819">
        <w:t>parties</w:t>
      </w:r>
      <w:r w:rsidR="002D7062">
        <w:t xml:space="preserve"> to this Protective </w:t>
      </w:r>
      <w:r w:rsidR="005E68FF">
        <w:t>Order</w:t>
      </w:r>
      <w:r w:rsidR="002D7062">
        <w:t xml:space="preserve"> or pursuant to an order of the</w:t>
      </w:r>
      <w:r w:rsidR="004E636E">
        <w:t xml:space="preserve"> presiding officer or</w:t>
      </w:r>
      <w:r w:rsidR="002D7062">
        <w:t xml:space="preserve"> Commission.</w:t>
      </w:r>
    </w:p>
    <w:p w:rsidR="002D7062" w:rsidRDefault="00AF3EEA" w:rsidP="00814FE2">
      <w:pPr>
        <w:pStyle w:val="ListNumber"/>
        <w:numPr>
          <w:ilvl w:val="0"/>
          <w:numId w:val="0"/>
        </w:numPr>
        <w:spacing w:line="360" w:lineRule="auto"/>
        <w:ind w:firstLine="1440"/>
        <w:jc w:val="left"/>
      </w:pPr>
      <w:r>
        <w:lastRenderedPageBreak/>
        <w:t>8</w:t>
      </w:r>
      <w:r w:rsidR="00814FE2">
        <w:t>.</w:t>
      </w:r>
      <w:r w:rsidR="00814FE2">
        <w:tab/>
      </w:r>
      <w:r w:rsidR="002D7062">
        <w:t xml:space="preserve">That the </w:t>
      </w:r>
      <w:r w:rsidR="001B0819">
        <w:t>parties</w:t>
      </w:r>
      <w:r w:rsidR="002D7062">
        <w:t xml:space="preserve"> shall retain the right to question or challenge the confidential or proprietary nature of Proprietary Information</w:t>
      </w:r>
      <w:r w:rsidR="00814FE2">
        <w:t xml:space="preserve">.  </w:t>
      </w:r>
      <w:r w:rsidR="002D7062">
        <w:t xml:space="preserve">If a </w:t>
      </w:r>
      <w:r w:rsidR="001B0819">
        <w:t>party</w:t>
      </w:r>
      <w:r w:rsidR="002D7062">
        <w:t xml:space="preserve"> challenges the designation of a document or information as proprietary, the </w:t>
      </w:r>
      <w:r w:rsidR="001B0819">
        <w:t>party</w:t>
      </w:r>
      <w:r w:rsidR="002D7062">
        <w:t xml:space="preserve"> providing the information retains the burden of demonstrating that the designation is appropriate.</w:t>
      </w:r>
    </w:p>
    <w:p w:rsidR="00814FE2" w:rsidRDefault="00814FE2" w:rsidP="002D2641">
      <w:pPr>
        <w:pStyle w:val="ListNumber"/>
        <w:numPr>
          <w:ilvl w:val="0"/>
          <w:numId w:val="0"/>
        </w:numPr>
        <w:spacing w:line="240" w:lineRule="auto"/>
        <w:ind w:firstLine="1440"/>
        <w:jc w:val="left"/>
      </w:pPr>
    </w:p>
    <w:p w:rsidR="002D7062" w:rsidRDefault="00AF3EEA" w:rsidP="00814FE2">
      <w:pPr>
        <w:pStyle w:val="ListNumber"/>
        <w:numPr>
          <w:ilvl w:val="0"/>
          <w:numId w:val="0"/>
        </w:numPr>
        <w:spacing w:line="360" w:lineRule="auto"/>
        <w:ind w:firstLine="1440"/>
        <w:jc w:val="left"/>
      </w:pPr>
      <w:r>
        <w:t>9</w:t>
      </w:r>
      <w:r w:rsidR="00814FE2">
        <w:t>.</w:t>
      </w:r>
      <w:r w:rsidR="00814FE2">
        <w:tab/>
      </w:r>
      <w:r w:rsidR="002D7062">
        <w:t xml:space="preserve">That within 30 days after a Commission final order is entered in the above-captioned proceeding, or in the event of appeals, within thirty days after appeals are finally decided, the non-producing </w:t>
      </w:r>
      <w:r w:rsidR="001B0819">
        <w:t>party</w:t>
      </w:r>
      <w:r w:rsidR="002D7062">
        <w:t xml:space="preserve">, upon request, shall either destroy or return to the producing </w:t>
      </w:r>
      <w:r w:rsidR="001B0819">
        <w:t>party</w:t>
      </w:r>
      <w:r w:rsidR="002D7062">
        <w:t xml:space="preserve"> all copies of all documents and other materials not entered into the record, including notes, which contain any Proprietary Information.  In the event that the non-producing </w:t>
      </w:r>
      <w:r w:rsidR="001B0819">
        <w:t>party</w:t>
      </w:r>
      <w:r w:rsidR="002D7062">
        <w:t xml:space="preserve"> elects to destroy all copies of documents and other materials containing Proprietary Information instead of returning the copies of documents and other materials containing Proprietary Information to the producing </w:t>
      </w:r>
      <w:r w:rsidR="001B0819">
        <w:t>party</w:t>
      </w:r>
      <w:r w:rsidR="002D7062">
        <w:t xml:space="preserve">, the non-producing </w:t>
      </w:r>
      <w:r w:rsidR="001B0819">
        <w:t>party</w:t>
      </w:r>
      <w:r w:rsidR="002D7062">
        <w:t xml:space="preserve"> shall certify in writing to the other </w:t>
      </w:r>
      <w:r w:rsidR="001B0819">
        <w:t>party</w:t>
      </w:r>
      <w:r w:rsidR="002D7062">
        <w:t xml:space="preserve"> that the Proprietary Information has been destroyed.</w:t>
      </w:r>
    </w:p>
    <w:p w:rsidR="00C94A89" w:rsidRDefault="00C94A89" w:rsidP="002D2641">
      <w:pPr>
        <w:pStyle w:val="ListNumber"/>
        <w:numPr>
          <w:ilvl w:val="0"/>
          <w:numId w:val="0"/>
        </w:numPr>
        <w:spacing w:line="240" w:lineRule="auto"/>
        <w:ind w:firstLine="1440"/>
        <w:jc w:val="left"/>
      </w:pPr>
    </w:p>
    <w:p w:rsidR="00C94A89" w:rsidRPr="004E30B9" w:rsidRDefault="00C94A89" w:rsidP="00C94A89">
      <w:pPr>
        <w:spacing w:line="360" w:lineRule="auto"/>
        <w:ind w:firstLine="1440"/>
      </w:pPr>
      <w:r>
        <w:t>1</w:t>
      </w:r>
      <w:r w:rsidR="00AF3EEA">
        <w:t>0</w:t>
      </w:r>
      <w:r>
        <w:t>.</w:t>
      </w:r>
      <w:r>
        <w:tab/>
      </w:r>
      <w:r w:rsidRPr="00C94A89">
        <w:rPr>
          <w:b/>
          <w:u w:val="single"/>
        </w:rPr>
        <w:t>That when filing the evidence listed in Appendix A with the Secretary’s Bureau, the sponsoring party of any such evidence shall submit said Confidential and/or Proprietary Information on a separate Compact Disc (CD) pursuant to the Commission’s Implementation Order entered at Docket No. M-2012-2331973 governing electronic access to testimony and exhibits, specifically ordering paragraph no. 5</w:t>
      </w:r>
      <w:r>
        <w:rPr>
          <w:b/>
          <w:u w:val="single"/>
        </w:rPr>
        <w:t xml:space="preserve"> </w:t>
      </w:r>
      <w:r w:rsidR="00802EF6">
        <w:rPr>
          <w:b/>
          <w:u w:val="single"/>
        </w:rPr>
        <w:t>on or before October 4, 2013</w:t>
      </w:r>
      <w:bookmarkStart w:id="0" w:name="_GoBack"/>
      <w:bookmarkEnd w:id="0"/>
      <w:r w:rsidRPr="00C94A89">
        <w:rPr>
          <w:b/>
          <w:u w:val="single"/>
        </w:rPr>
        <w:t>.</w:t>
      </w:r>
      <w:r w:rsidRPr="004E30B9">
        <w:t xml:space="preserve">  </w:t>
      </w:r>
      <w:r w:rsidRPr="00C94A89">
        <w:rPr>
          <w:b/>
          <w:u w:val="single"/>
        </w:rPr>
        <w:t>Each sponsoring party of evidence listed in Appendix A shall store, transmit and file said evidence separate and apart from the remaining testimony, evidence and exhibits to be filed electronically.</w:t>
      </w:r>
      <w:r w:rsidRPr="004E30B9">
        <w:t xml:space="preserve">  All hard copies of </w:t>
      </w:r>
      <w:r>
        <w:t xml:space="preserve">evidence listed in Appendix A </w:t>
      </w:r>
      <w:r w:rsidRPr="004E30B9">
        <w:t xml:space="preserve">shall be marked as Confidential and sealed in accordance with the terms of this </w:t>
      </w:r>
      <w:r>
        <w:t xml:space="preserve">Protective </w:t>
      </w:r>
      <w:r w:rsidRPr="004E30B9">
        <w:t xml:space="preserve">Order and the Commission’s Rules of Administrative Practice and Procedure, relating to restrictions on the disclosure of sensitive, confidential and/or proprietary materials, and shall not be subject to public disclosure, subject to the terms of this </w:t>
      </w:r>
      <w:r>
        <w:t>Protective Order</w:t>
      </w:r>
      <w:r w:rsidRPr="004E30B9">
        <w:t>.</w:t>
      </w:r>
    </w:p>
    <w:p w:rsidR="00C94A89" w:rsidRDefault="00C94A89" w:rsidP="00814FE2">
      <w:pPr>
        <w:pStyle w:val="ListNumber"/>
        <w:numPr>
          <w:ilvl w:val="0"/>
          <w:numId w:val="0"/>
        </w:numPr>
        <w:tabs>
          <w:tab w:val="num" w:pos="720"/>
        </w:tabs>
        <w:spacing w:line="360" w:lineRule="auto"/>
        <w:ind w:firstLine="1440"/>
        <w:jc w:val="left"/>
      </w:pPr>
    </w:p>
    <w:p w:rsidR="002D2641" w:rsidRDefault="002D2641" w:rsidP="00814FE2">
      <w:pPr>
        <w:pStyle w:val="ListNumber"/>
        <w:numPr>
          <w:ilvl w:val="0"/>
          <w:numId w:val="0"/>
        </w:numPr>
        <w:tabs>
          <w:tab w:val="num" w:pos="720"/>
        </w:tabs>
        <w:spacing w:line="360" w:lineRule="auto"/>
        <w:ind w:firstLine="1440"/>
        <w:jc w:val="left"/>
      </w:pPr>
    </w:p>
    <w:p w:rsidR="00617105" w:rsidRDefault="007914A0" w:rsidP="00C94A89">
      <w:r>
        <w:tab/>
      </w:r>
      <w:r>
        <w:tab/>
      </w:r>
      <w:r>
        <w:tab/>
      </w:r>
      <w:r w:rsidR="00617105">
        <w:tab/>
      </w:r>
      <w:r w:rsidR="00617105">
        <w:tab/>
      </w:r>
      <w:r w:rsidR="00617105">
        <w:tab/>
      </w:r>
      <w:r w:rsidR="002D2641">
        <w:tab/>
      </w:r>
      <w:r w:rsidR="00617105">
        <w:t xml:space="preserve">___________________________________ </w:t>
      </w:r>
    </w:p>
    <w:p w:rsidR="00617105" w:rsidRDefault="00617105" w:rsidP="00C94A89">
      <w:r>
        <w:tab/>
      </w:r>
      <w:r>
        <w:tab/>
      </w:r>
      <w:r>
        <w:tab/>
      </w:r>
      <w:r>
        <w:tab/>
      </w:r>
      <w:r>
        <w:tab/>
      </w:r>
      <w:r>
        <w:tab/>
      </w:r>
      <w:r>
        <w:tab/>
      </w:r>
      <w:r w:rsidR="00281E75">
        <w:t>Mark A</w:t>
      </w:r>
      <w:r w:rsidR="001D1723">
        <w:t>.</w:t>
      </w:r>
      <w:r w:rsidR="00281E75">
        <w:t xml:space="preserve"> Hoyer</w:t>
      </w:r>
    </w:p>
    <w:p w:rsidR="005635C1" w:rsidRDefault="00C94A89" w:rsidP="00617105">
      <w:r>
        <w:tab/>
      </w:r>
      <w:r>
        <w:tab/>
      </w:r>
      <w:r>
        <w:tab/>
      </w:r>
      <w:r>
        <w:tab/>
      </w:r>
      <w:r>
        <w:tab/>
      </w:r>
      <w:r>
        <w:tab/>
      </w:r>
      <w:r>
        <w:tab/>
        <w:t>Administrative Law Judge</w:t>
      </w:r>
    </w:p>
    <w:p w:rsidR="005635C1" w:rsidRDefault="005635C1" w:rsidP="005635C1">
      <w:pPr>
        <w:jc w:val="center"/>
        <w:rPr>
          <w:b/>
          <w:u w:val="single"/>
        </w:rPr>
      </w:pPr>
    </w:p>
    <w:p w:rsidR="002014E7" w:rsidRDefault="002014E7" w:rsidP="005635C1">
      <w:pPr>
        <w:jc w:val="center"/>
        <w:rPr>
          <w:b/>
          <w:u w:val="single"/>
        </w:rPr>
        <w:sectPr w:rsidR="002014E7" w:rsidSect="00281E75">
          <w:footerReference w:type="even" r:id="rId9"/>
          <w:footerReference w:type="default" r:id="rId10"/>
          <w:pgSz w:w="12240" w:h="15840" w:code="1"/>
          <w:pgMar w:top="1440" w:right="1440" w:bottom="1440" w:left="1440" w:header="720" w:footer="720" w:gutter="0"/>
          <w:paperSrc w:first="261" w:other="261"/>
          <w:pgNumType w:start="1"/>
          <w:cols w:space="720"/>
          <w:titlePg/>
          <w:docGrid w:linePitch="360"/>
        </w:sectPr>
      </w:pPr>
    </w:p>
    <w:p w:rsidR="00AA2331" w:rsidRDefault="00AA2331" w:rsidP="005635C1">
      <w:pPr>
        <w:jc w:val="center"/>
        <w:rPr>
          <w:b/>
          <w:u w:val="single"/>
        </w:rPr>
        <w:sectPr w:rsidR="00AA2331" w:rsidSect="00281E75">
          <w:pgSz w:w="12240" w:h="15840" w:code="1"/>
          <w:pgMar w:top="1440" w:right="1440" w:bottom="1440" w:left="1440" w:header="720" w:footer="720" w:gutter="0"/>
          <w:paperSrc w:first="261" w:other="261"/>
          <w:pgNumType w:start="1"/>
          <w:cols w:space="720"/>
          <w:titlePg/>
          <w:docGrid w:linePitch="360"/>
        </w:sectPr>
      </w:pPr>
    </w:p>
    <w:p w:rsidR="005635C1" w:rsidRPr="005635C1" w:rsidRDefault="005635C1" w:rsidP="005635C1">
      <w:pPr>
        <w:jc w:val="center"/>
      </w:pPr>
      <w:r>
        <w:rPr>
          <w:b/>
          <w:u w:val="single"/>
        </w:rPr>
        <w:lastRenderedPageBreak/>
        <w:t>APPENDIX A</w:t>
      </w:r>
    </w:p>
    <w:p w:rsidR="00281E75" w:rsidRDefault="00281E75" w:rsidP="00617105"/>
    <w:p w:rsidR="005635C1" w:rsidRDefault="005635C1" w:rsidP="005635C1">
      <w:pPr>
        <w:pStyle w:val="PSNormal"/>
        <w:jc w:val="center"/>
        <w:rPr>
          <w:i/>
        </w:rPr>
      </w:pPr>
      <w:r>
        <w:rPr>
          <w:i/>
        </w:rPr>
        <w:t>Joint Application of Peoples Natural Gas Company LLC,</w:t>
      </w:r>
    </w:p>
    <w:p w:rsidR="005635C1" w:rsidRDefault="005635C1" w:rsidP="005635C1">
      <w:pPr>
        <w:pStyle w:val="PSNormal"/>
        <w:jc w:val="center"/>
      </w:pPr>
      <w:r>
        <w:rPr>
          <w:i/>
        </w:rPr>
        <w:t>Peoples TWP LLC and Equitable Gas Company</w:t>
      </w:r>
      <w:r w:rsidR="00E525A7">
        <w:rPr>
          <w:i/>
        </w:rPr>
        <w:t>,</w:t>
      </w:r>
      <w:r>
        <w:rPr>
          <w:i/>
        </w:rPr>
        <w:t xml:space="preserve"> LLC</w:t>
      </w:r>
    </w:p>
    <w:p w:rsidR="005635C1" w:rsidRDefault="005635C1" w:rsidP="005635C1">
      <w:pPr>
        <w:pStyle w:val="PSNormal"/>
        <w:jc w:val="center"/>
      </w:pPr>
      <w:r>
        <w:t xml:space="preserve">Docket Nos. </w:t>
      </w:r>
      <w:proofErr w:type="gramStart"/>
      <w:r>
        <w:t>A-2013-2353647, et al.</w:t>
      </w:r>
      <w:proofErr w:type="gramEnd"/>
    </w:p>
    <w:p w:rsidR="005635C1" w:rsidRDefault="005635C1" w:rsidP="005635C1">
      <w:pPr>
        <w:pStyle w:val="PSNormal"/>
        <w:jc w:val="center"/>
      </w:pPr>
    </w:p>
    <w:p w:rsidR="005635C1" w:rsidRDefault="005635C1" w:rsidP="005635C1">
      <w:pPr>
        <w:pStyle w:val="PSNormal"/>
        <w:jc w:val="center"/>
      </w:pPr>
    </w:p>
    <w:p w:rsidR="005635C1" w:rsidRPr="008868AC" w:rsidRDefault="005635C1" w:rsidP="005635C1">
      <w:pPr>
        <w:pStyle w:val="PSNormal"/>
        <w:jc w:val="center"/>
        <w:rPr>
          <w:b/>
          <w:u w:val="single"/>
        </w:rPr>
      </w:pPr>
      <w:r>
        <w:rPr>
          <w:b/>
          <w:u w:val="single"/>
        </w:rPr>
        <w:t>CONFIDENTIAL MATERIALS ENTERED INTO RECORD</w:t>
      </w:r>
    </w:p>
    <w:p w:rsidR="005635C1" w:rsidRDefault="005635C1" w:rsidP="005635C1">
      <w:pPr>
        <w:pStyle w:val="PSNormal"/>
      </w:pPr>
    </w:p>
    <w:p w:rsidR="005635C1" w:rsidRDefault="005635C1" w:rsidP="005635C1">
      <w:pPr>
        <w:pStyle w:val="PSNormal"/>
      </w:pPr>
    </w:p>
    <w:p w:rsidR="005635C1" w:rsidRDefault="005635C1" w:rsidP="005635C1">
      <w:pPr>
        <w:pStyle w:val="PSNormal"/>
      </w:pPr>
      <w:r>
        <w:rPr>
          <w:b/>
          <w:u w:val="single"/>
        </w:rPr>
        <w:t>Joint Applicants</w:t>
      </w:r>
    </w:p>
    <w:p w:rsidR="005635C1" w:rsidRDefault="005635C1" w:rsidP="005635C1">
      <w:pPr>
        <w:pStyle w:val="PSNormal"/>
      </w:pPr>
    </w:p>
    <w:p w:rsidR="005635C1" w:rsidRDefault="005635C1" w:rsidP="005635C1">
      <w:pPr>
        <w:pStyle w:val="PSNormal"/>
      </w:pPr>
      <w:r>
        <w:t>1.</w:t>
      </w:r>
      <w:r>
        <w:tab/>
        <w:t>The following Exhibits attached to Joint Applicants Exhibit MKO-1:</w:t>
      </w:r>
    </w:p>
    <w:p w:rsidR="005635C1" w:rsidRDefault="005635C1" w:rsidP="005635C1">
      <w:pPr>
        <w:pStyle w:val="PSNormal"/>
      </w:pPr>
    </w:p>
    <w:p w:rsidR="005635C1" w:rsidRDefault="005635C1" w:rsidP="00103291">
      <w:pPr>
        <w:pStyle w:val="PSNormal"/>
      </w:pPr>
      <w:r>
        <w:tab/>
      </w:r>
      <w:r>
        <w:tab/>
        <w:t xml:space="preserve">Schedules 1.1(a) through 5.12 </w:t>
      </w:r>
    </w:p>
    <w:p w:rsidR="005635C1" w:rsidRDefault="005635C1" w:rsidP="00103291">
      <w:pPr>
        <w:pStyle w:val="PSNormal"/>
      </w:pPr>
    </w:p>
    <w:p w:rsidR="005635C1" w:rsidRDefault="005635C1" w:rsidP="00103291">
      <w:pPr>
        <w:pStyle w:val="PSNormal"/>
        <w:spacing w:after="240"/>
        <w:ind w:left="1440" w:hanging="720"/>
      </w:pPr>
      <w:r>
        <w:tab/>
        <w:t xml:space="preserve">Exhibit A - Asset Exchange Agreement </w:t>
      </w:r>
    </w:p>
    <w:p w:rsidR="005635C1" w:rsidRDefault="005635C1" w:rsidP="00103291">
      <w:pPr>
        <w:pStyle w:val="PSNormal"/>
        <w:spacing w:after="240"/>
        <w:ind w:left="1440" w:hanging="720"/>
      </w:pPr>
      <w:r>
        <w:tab/>
        <w:t xml:space="preserve">Exhibit B - Sunrise Transportation Agreement </w:t>
      </w:r>
    </w:p>
    <w:p w:rsidR="005635C1" w:rsidRDefault="005635C1" w:rsidP="00103291">
      <w:pPr>
        <w:pStyle w:val="PSNormal"/>
        <w:spacing w:after="240"/>
        <w:ind w:left="1440" w:hanging="720"/>
      </w:pPr>
      <w:r>
        <w:tab/>
        <w:t xml:space="preserve">Exhibit C - Sunrise Transportation and Storage Agreement </w:t>
      </w:r>
    </w:p>
    <w:p w:rsidR="005635C1" w:rsidRDefault="005635C1" w:rsidP="00103291">
      <w:pPr>
        <w:pStyle w:val="PSNormal"/>
        <w:spacing w:after="240"/>
        <w:ind w:left="1440" w:hanging="720"/>
      </w:pPr>
      <w:r>
        <w:tab/>
        <w:t xml:space="preserve">Exhibit D - Peoples NAESB </w:t>
      </w:r>
    </w:p>
    <w:p w:rsidR="005635C1" w:rsidRDefault="005635C1" w:rsidP="00103291">
      <w:pPr>
        <w:pStyle w:val="PSNormal"/>
        <w:spacing w:after="240"/>
        <w:ind w:left="1440" w:hanging="720"/>
      </w:pPr>
      <w:r>
        <w:tab/>
        <w:t xml:space="preserve">Exhibit E - Derry Interconnect Agreement </w:t>
      </w:r>
    </w:p>
    <w:p w:rsidR="005635C1" w:rsidRDefault="005635C1" w:rsidP="00103291">
      <w:pPr>
        <w:pStyle w:val="PSNormal"/>
        <w:spacing w:after="240"/>
        <w:ind w:left="1440" w:hanging="720"/>
      </w:pPr>
      <w:r>
        <w:tab/>
        <w:t xml:space="preserve">Exhibit F - Ginger Hill Interconnect </w:t>
      </w:r>
    </w:p>
    <w:p w:rsidR="005635C1" w:rsidRDefault="005635C1" w:rsidP="00103291">
      <w:pPr>
        <w:pStyle w:val="PSNormal"/>
        <w:spacing w:after="240"/>
        <w:ind w:left="1440" w:hanging="720"/>
      </w:pPr>
      <w:r>
        <w:tab/>
        <w:t xml:space="preserve">Exhibit G - Derry Transportation Agreement </w:t>
      </w:r>
    </w:p>
    <w:p w:rsidR="005635C1" w:rsidRDefault="005635C1" w:rsidP="00103291">
      <w:pPr>
        <w:pStyle w:val="PSNormal"/>
        <w:spacing w:after="240"/>
        <w:ind w:left="1440" w:hanging="720"/>
      </w:pPr>
      <w:r>
        <w:tab/>
        <w:t xml:space="preserve">Exhibit H - PTWP Northern Lateral Capacity Lease </w:t>
      </w:r>
    </w:p>
    <w:p w:rsidR="005635C1" w:rsidRDefault="005635C1" w:rsidP="00103291">
      <w:pPr>
        <w:pStyle w:val="PSNormal"/>
        <w:spacing w:after="240"/>
        <w:ind w:left="1440" w:hanging="720"/>
      </w:pPr>
      <w:r>
        <w:tab/>
        <w:t xml:space="preserve">Exhibit I - PTWP Northern Lateral Transportation Agreement </w:t>
      </w:r>
    </w:p>
    <w:p w:rsidR="005635C1" w:rsidRDefault="005635C1" w:rsidP="00103291">
      <w:pPr>
        <w:pStyle w:val="PSNormal"/>
        <w:spacing w:after="240"/>
        <w:ind w:left="1440" w:hanging="720"/>
      </w:pPr>
      <w:r>
        <w:tab/>
        <w:t xml:space="preserve">Exhibit J - Armstrong Interconnect Agreement </w:t>
      </w:r>
    </w:p>
    <w:p w:rsidR="005635C1" w:rsidRDefault="005635C1" w:rsidP="00103291">
      <w:pPr>
        <w:pStyle w:val="PSNormal"/>
        <w:spacing w:after="240"/>
        <w:ind w:left="1440" w:hanging="720"/>
      </w:pPr>
      <w:r>
        <w:tab/>
        <w:t xml:space="preserve">Exhibit K - Peoples Asset Transportation and Storage Agreement </w:t>
      </w:r>
    </w:p>
    <w:p w:rsidR="005635C1" w:rsidRDefault="005635C1" w:rsidP="00103291">
      <w:pPr>
        <w:pStyle w:val="PSNormal"/>
        <w:spacing w:after="240"/>
        <w:ind w:left="1440" w:hanging="720"/>
      </w:pPr>
      <w:r>
        <w:tab/>
        <w:t xml:space="preserve">Exhibit L - EQT Exchange Agreement </w:t>
      </w:r>
    </w:p>
    <w:p w:rsidR="005635C1" w:rsidRDefault="005635C1" w:rsidP="00103291">
      <w:pPr>
        <w:pStyle w:val="PSNormal"/>
        <w:spacing w:after="240"/>
        <w:ind w:left="1440" w:hanging="720"/>
      </w:pPr>
      <w:r>
        <w:tab/>
        <w:t xml:space="preserve">Exhibit M - Equitable NAESB </w:t>
      </w:r>
    </w:p>
    <w:p w:rsidR="005635C1" w:rsidRDefault="005635C1" w:rsidP="00103291">
      <w:pPr>
        <w:pStyle w:val="PSNormal"/>
        <w:spacing w:after="240"/>
        <w:ind w:left="1440" w:hanging="720"/>
      </w:pPr>
      <w:r>
        <w:tab/>
        <w:t xml:space="preserve">Exhibit N - Extension Agreement </w:t>
      </w:r>
    </w:p>
    <w:p w:rsidR="005635C1" w:rsidRDefault="005635C1" w:rsidP="00103291">
      <w:pPr>
        <w:pStyle w:val="PSNormal"/>
        <w:spacing w:after="240"/>
        <w:ind w:left="1440" w:hanging="720"/>
      </w:pPr>
      <w:r>
        <w:tab/>
        <w:t xml:space="preserve">Exhibit O - Interim Operational Balancing Agreement </w:t>
      </w:r>
    </w:p>
    <w:p w:rsidR="005635C1" w:rsidRDefault="005635C1" w:rsidP="00103291">
      <w:pPr>
        <w:pStyle w:val="PSNormal"/>
        <w:spacing w:after="240"/>
        <w:ind w:left="1440" w:hanging="720"/>
      </w:pPr>
      <w:r>
        <w:tab/>
        <w:t xml:space="preserve">Exhibit P - Master Tower Lease and Sublease Agreement </w:t>
      </w:r>
    </w:p>
    <w:p w:rsidR="005635C1" w:rsidRDefault="005635C1" w:rsidP="00103291">
      <w:pPr>
        <w:pStyle w:val="PSNormal"/>
        <w:spacing w:after="240"/>
        <w:ind w:left="1440" w:hanging="720"/>
      </w:pPr>
      <w:r>
        <w:tab/>
        <w:t xml:space="preserve">Exhibit Q - Transition Services Agreement </w:t>
      </w:r>
    </w:p>
    <w:p w:rsidR="005635C1" w:rsidRDefault="005635C1" w:rsidP="005635C1">
      <w:pPr>
        <w:pStyle w:val="PSNormal"/>
      </w:pPr>
      <w:r>
        <w:lastRenderedPageBreak/>
        <w:t>2.</w:t>
      </w:r>
      <w:r>
        <w:tab/>
        <w:t>The following Appendices attached to Joint Applicants Exhibit MKO-1:</w:t>
      </w:r>
    </w:p>
    <w:p w:rsidR="002014E7" w:rsidRDefault="002014E7" w:rsidP="005635C1">
      <w:pPr>
        <w:pStyle w:val="PSNormal"/>
      </w:pPr>
    </w:p>
    <w:p w:rsidR="005635C1" w:rsidRDefault="005635C1" w:rsidP="002014E7">
      <w:pPr>
        <w:pStyle w:val="PSNormal"/>
        <w:jc w:val="left"/>
      </w:pPr>
      <w:r>
        <w:tab/>
      </w:r>
      <w:r>
        <w:tab/>
        <w:t xml:space="preserve">Appendix F:  The present ownership structure of the SRIFNA-related entities.  </w:t>
      </w:r>
    </w:p>
    <w:p w:rsidR="005635C1" w:rsidRDefault="005635C1" w:rsidP="005635C1">
      <w:pPr>
        <w:pStyle w:val="PSNormal"/>
      </w:pPr>
    </w:p>
    <w:p w:rsidR="005635C1" w:rsidRDefault="005635C1" w:rsidP="002014E7">
      <w:pPr>
        <w:pStyle w:val="PSNormal"/>
        <w:ind w:left="1440"/>
        <w:jc w:val="left"/>
      </w:pPr>
      <w:r>
        <w:t>Appendix G:</w:t>
      </w:r>
      <w:r w:rsidR="002014E7">
        <w:t xml:space="preserve">  </w:t>
      </w:r>
      <w:r>
        <w:t xml:space="preserve">The ownership structure of the SRIFNA-related entities as contemplated by the Proposed Transaction.  </w:t>
      </w:r>
    </w:p>
    <w:p w:rsidR="005635C1" w:rsidRDefault="005635C1" w:rsidP="005635C1">
      <w:pPr>
        <w:pStyle w:val="PSNormal"/>
        <w:ind w:left="1440"/>
      </w:pPr>
    </w:p>
    <w:p w:rsidR="005635C1" w:rsidRDefault="005635C1" w:rsidP="002014E7">
      <w:pPr>
        <w:pStyle w:val="PSNormal"/>
        <w:jc w:val="left"/>
      </w:pPr>
      <w:r>
        <w:tab/>
      </w:r>
      <w:r>
        <w:tab/>
        <w:t xml:space="preserve">Appendix H:  The present corporate structure of EQT and its subsidiaries.  </w:t>
      </w:r>
    </w:p>
    <w:p w:rsidR="005635C1" w:rsidRDefault="005635C1" w:rsidP="005635C1">
      <w:pPr>
        <w:pStyle w:val="PSNormal"/>
      </w:pPr>
    </w:p>
    <w:p w:rsidR="005635C1" w:rsidRDefault="005635C1" w:rsidP="002014E7">
      <w:pPr>
        <w:pStyle w:val="PSNormal"/>
        <w:ind w:left="1440"/>
        <w:jc w:val="left"/>
      </w:pPr>
      <w:r>
        <w:t xml:space="preserve">Appendix I:  The corporate structure of EQT and its subsidiaries as contemplated by the Proposed Transaction.  </w:t>
      </w:r>
    </w:p>
    <w:p w:rsidR="005635C1" w:rsidRDefault="005635C1" w:rsidP="005635C1">
      <w:pPr>
        <w:pStyle w:val="PSNormal"/>
      </w:pPr>
    </w:p>
    <w:p w:rsidR="005635C1" w:rsidRDefault="005635C1" w:rsidP="005635C1">
      <w:pPr>
        <w:pStyle w:val="PSNormal"/>
      </w:pPr>
      <w:r>
        <w:t>3.</w:t>
      </w:r>
      <w:r>
        <w:tab/>
        <w:t>Joint Applicants Exhibit CPK-2</w:t>
      </w:r>
    </w:p>
    <w:p w:rsidR="005635C1" w:rsidRDefault="005635C1" w:rsidP="005635C1">
      <w:pPr>
        <w:pStyle w:val="PSNormal"/>
      </w:pPr>
    </w:p>
    <w:p w:rsidR="005635C1" w:rsidRDefault="005635C1" w:rsidP="005635C1">
      <w:pPr>
        <w:pStyle w:val="PSNormal"/>
      </w:pPr>
      <w:r>
        <w:t>4.</w:t>
      </w:r>
      <w:r>
        <w:tab/>
        <w:t>Joint Applicants Exhibit JSN-5</w:t>
      </w:r>
    </w:p>
    <w:p w:rsidR="005635C1" w:rsidRDefault="005635C1" w:rsidP="005635C1">
      <w:pPr>
        <w:pStyle w:val="PSNormal"/>
      </w:pPr>
    </w:p>
    <w:p w:rsidR="005635C1" w:rsidRDefault="005635C1" w:rsidP="005635C1">
      <w:pPr>
        <w:pStyle w:val="PSNormal"/>
      </w:pPr>
      <w:r>
        <w:t>5.</w:t>
      </w:r>
      <w:r>
        <w:tab/>
        <w:t>Joint Applicants Exhibit MKO-1, Updated Appendix G</w:t>
      </w:r>
    </w:p>
    <w:p w:rsidR="005635C1" w:rsidRDefault="005635C1" w:rsidP="005635C1">
      <w:pPr>
        <w:pStyle w:val="PSNormal"/>
      </w:pPr>
    </w:p>
    <w:p w:rsidR="005635C1" w:rsidRDefault="005635C1" w:rsidP="005635C1">
      <w:pPr>
        <w:pStyle w:val="PSNormal"/>
      </w:pPr>
    </w:p>
    <w:p w:rsidR="005635C1" w:rsidRPr="002F30C1" w:rsidRDefault="005635C1" w:rsidP="005635C1">
      <w:pPr>
        <w:pStyle w:val="PSNormal"/>
        <w:jc w:val="left"/>
        <w:rPr>
          <w:b/>
          <w:u w:val="single"/>
        </w:rPr>
      </w:pPr>
      <w:r>
        <w:rPr>
          <w:b/>
          <w:u w:val="single"/>
        </w:rPr>
        <w:t>Office of Consumer Advocate</w:t>
      </w:r>
      <w:r w:rsidR="001A2632">
        <w:rPr>
          <w:b/>
          <w:u w:val="single"/>
        </w:rPr>
        <w:t xml:space="preserve"> (OCA)</w:t>
      </w:r>
    </w:p>
    <w:p w:rsidR="005635C1" w:rsidRDefault="005635C1" w:rsidP="005635C1">
      <w:pPr>
        <w:pStyle w:val="PSNormal"/>
      </w:pPr>
    </w:p>
    <w:p w:rsidR="005635C1" w:rsidRDefault="005635C1" w:rsidP="002014E7">
      <w:pPr>
        <w:pStyle w:val="PSNormal"/>
        <w:jc w:val="left"/>
      </w:pPr>
      <w:r>
        <w:t>1.</w:t>
      </w:r>
      <w:r>
        <w:tab/>
        <w:t>Direct Testimony of Richard Hahn, OCA Statement No. 1, Highly Confidential Version</w:t>
      </w:r>
    </w:p>
    <w:p w:rsidR="005635C1" w:rsidRDefault="005635C1" w:rsidP="005635C1">
      <w:pPr>
        <w:pStyle w:val="PSNormal"/>
      </w:pPr>
    </w:p>
    <w:p w:rsidR="005635C1" w:rsidRDefault="005635C1" w:rsidP="005635C1">
      <w:pPr>
        <w:pStyle w:val="PSNormal"/>
        <w:jc w:val="center"/>
        <w:rPr>
          <w:b/>
          <w:u w:val="single"/>
        </w:rPr>
      </w:pPr>
    </w:p>
    <w:p w:rsidR="005635C1" w:rsidRPr="002F30C1" w:rsidRDefault="005635C1" w:rsidP="005635C1">
      <w:pPr>
        <w:pStyle w:val="PSNormal"/>
        <w:jc w:val="left"/>
        <w:rPr>
          <w:b/>
          <w:u w:val="single"/>
        </w:rPr>
      </w:pPr>
      <w:r>
        <w:rPr>
          <w:b/>
          <w:u w:val="single"/>
        </w:rPr>
        <w:t>Snyder Brothers</w:t>
      </w:r>
      <w:r w:rsidR="001A2632">
        <w:rPr>
          <w:b/>
          <w:u w:val="single"/>
        </w:rPr>
        <w:t>, Inc.</w:t>
      </w:r>
    </w:p>
    <w:p w:rsidR="005635C1" w:rsidRDefault="005635C1" w:rsidP="005635C1">
      <w:pPr>
        <w:pStyle w:val="PSNormal"/>
      </w:pPr>
    </w:p>
    <w:p w:rsidR="005635C1" w:rsidRDefault="005635C1" w:rsidP="002C4089">
      <w:pPr>
        <w:pStyle w:val="PSNormal"/>
        <w:jc w:val="left"/>
      </w:pPr>
      <w:r>
        <w:t>1.</w:t>
      </w:r>
      <w:r>
        <w:tab/>
        <w:t>Direct Testimony of Benjamin Snyder, Snyder Brothers Statement No. 1, Highly Confidential Version</w:t>
      </w:r>
    </w:p>
    <w:p w:rsidR="005635C1" w:rsidRDefault="005635C1" w:rsidP="005635C1">
      <w:pPr>
        <w:pStyle w:val="PSNormal"/>
      </w:pPr>
    </w:p>
    <w:p w:rsidR="005635C1" w:rsidRDefault="005635C1" w:rsidP="002C4089">
      <w:pPr>
        <w:pStyle w:val="PSNormal"/>
        <w:jc w:val="left"/>
      </w:pPr>
      <w:r>
        <w:t>2.</w:t>
      </w:r>
      <w:r>
        <w:tab/>
        <w:t>Snyder Brothers Exhibit No. BTS-5 (which is attached to Snyder Brothers Statement No.</w:t>
      </w:r>
      <w:r w:rsidR="002014E7">
        <w:t> </w:t>
      </w:r>
      <w:r>
        <w:t>1, Highly Confidential Version)</w:t>
      </w:r>
    </w:p>
    <w:p w:rsidR="005635C1" w:rsidRDefault="005635C1" w:rsidP="005635C1">
      <w:pPr>
        <w:pStyle w:val="PSNormal"/>
      </w:pPr>
    </w:p>
    <w:p w:rsidR="005635C1" w:rsidRDefault="005635C1" w:rsidP="005635C1">
      <w:pPr>
        <w:pStyle w:val="PSNormal"/>
      </w:pPr>
    </w:p>
    <w:p w:rsidR="005635C1" w:rsidRPr="003D783E" w:rsidRDefault="001A2632" w:rsidP="005635C1">
      <w:pPr>
        <w:pStyle w:val="PSNormal"/>
        <w:rPr>
          <w:b/>
          <w:u w:val="single"/>
        </w:rPr>
      </w:pPr>
      <w:r>
        <w:rPr>
          <w:b/>
          <w:u w:val="single"/>
        </w:rPr>
        <w:t>PA Independent Oil &amp; Gas Association (</w:t>
      </w:r>
      <w:r w:rsidR="005635C1" w:rsidRPr="003D783E">
        <w:rPr>
          <w:b/>
          <w:u w:val="single"/>
        </w:rPr>
        <w:t>PIOGA</w:t>
      </w:r>
      <w:r>
        <w:rPr>
          <w:b/>
          <w:u w:val="single"/>
        </w:rPr>
        <w:t>)</w:t>
      </w:r>
    </w:p>
    <w:p w:rsidR="005635C1" w:rsidRDefault="005635C1" w:rsidP="005635C1">
      <w:pPr>
        <w:pStyle w:val="PSNormal"/>
      </w:pPr>
    </w:p>
    <w:p w:rsidR="005635C1" w:rsidRDefault="005635C1" w:rsidP="002014E7">
      <w:pPr>
        <w:pStyle w:val="PSNormal"/>
        <w:jc w:val="left"/>
      </w:pPr>
      <w:r>
        <w:t>1.</w:t>
      </w:r>
      <w:r>
        <w:tab/>
        <w:t>Direct Testimony of Louis D. D’Amico, PIOGA Statement No. 1, Highly Confidential Version</w:t>
      </w:r>
    </w:p>
    <w:p w:rsidR="005635C1" w:rsidRDefault="005635C1" w:rsidP="005635C1">
      <w:pPr>
        <w:pStyle w:val="PSNormal"/>
      </w:pPr>
    </w:p>
    <w:p w:rsidR="005635C1" w:rsidRDefault="005635C1" w:rsidP="002014E7">
      <w:pPr>
        <w:pStyle w:val="PSNormal"/>
        <w:jc w:val="left"/>
      </w:pPr>
      <w:r>
        <w:t>2.</w:t>
      </w:r>
      <w:r>
        <w:tab/>
        <w:t>PIOGA Exhibit No. LDD-16 (which is attached to PIOGA Statement No. 1, Highly Confidential Version)</w:t>
      </w:r>
    </w:p>
    <w:p w:rsidR="005635C1" w:rsidRDefault="005635C1" w:rsidP="005635C1">
      <w:pPr>
        <w:pStyle w:val="PSNormal"/>
      </w:pPr>
    </w:p>
    <w:p w:rsidR="005635C1" w:rsidRDefault="005635C1" w:rsidP="002014E7">
      <w:pPr>
        <w:pStyle w:val="PSNormal"/>
        <w:jc w:val="left"/>
      </w:pPr>
      <w:r>
        <w:t>3.</w:t>
      </w:r>
      <w:r>
        <w:tab/>
        <w:t>PIOGA Exhibit No. LDD-17 (which is attached to PIOGA Statement No. 1, Highly Confidential Version)</w:t>
      </w:r>
    </w:p>
    <w:p w:rsidR="001F4B8A" w:rsidRDefault="001F4B8A" w:rsidP="00617105"/>
    <w:p w:rsidR="005635C1" w:rsidRDefault="005635C1" w:rsidP="00617105"/>
    <w:sectPr w:rsidR="005635C1" w:rsidSect="00281E75">
      <w:pgSz w:w="12240" w:h="15840" w:code="1"/>
      <w:pgMar w:top="1440" w:right="1440" w:bottom="1440" w:left="1440" w:header="720" w:footer="720" w:gutter="0"/>
      <w:paperSrc w:first="261" w:other="261"/>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820" w:rsidRDefault="00857820" w:rsidP="00856A80">
      <w:r>
        <w:separator/>
      </w:r>
    </w:p>
  </w:endnote>
  <w:endnote w:type="continuationSeparator" w:id="0">
    <w:p w:rsidR="00857820" w:rsidRDefault="00857820" w:rsidP="0085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4D" w:rsidRDefault="0071334D">
    <w:pPr>
      <w:pStyle w:val="Footer"/>
    </w:pPr>
    <w:r>
      <w:tab/>
    </w:r>
    <w:r>
      <w:rPr>
        <w:rStyle w:val="PageNumber"/>
      </w:rPr>
      <w:fldChar w:fldCharType="begin"/>
    </w:r>
    <w:r>
      <w:rPr>
        <w:rStyle w:val="PageNumber"/>
      </w:rPr>
      <w:instrText xml:space="preserve"> PAGE  \* MERGEFORMAT </w:instrText>
    </w:r>
    <w:r>
      <w:rPr>
        <w:rStyle w:val="PageNumber"/>
      </w:rPr>
      <w:fldChar w:fldCharType="separate"/>
    </w:r>
    <w:r>
      <w:rPr>
        <w:rStyle w:val="PageNumber"/>
      </w:rPr>
      <w:t>9</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4D" w:rsidRDefault="0071334D">
    <w:pPr>
      <w:pStyle w:val="Footer"/>
      <w:rPr>
        <w:rStyle w:val="PageNumber"/>
      </w:rPr>
    </w:pPr>
    <w:r>
      <w:tab/>
    </w:r>
    <w:r>
      <w:rPr>
        <w:rStyle w:val="PageNumber"/>
      </w:rPr>
      <w:fldChar w:fldCharType="begin"/>
    </w:r>
    <w:r>
      <w:rPr>
        <w:rStyle w:val="PageNumber"/>
      </w:rPr>
      <w:instrText xml:space="preserve"> PAGE  \* MERGEFORMAT </w:instrText>
    </w:r>
    <w:r>
      <w:rPr>
        <w:rStyle w:val="PageNumber"/>
      </w:rPr>
      <w:fldChar w:fldCharType="separate"/>
    </w:r>
    <w:r w:rsidR="00802EF6">
      <w:rPr>
        <w:rStyle w:val="PageNumber"/>
        <w:noProof/>
      </w:rPr>
      <w:t>4</w:t>
    </w:r>
    <w:r>
      <w:rPr>
        <w:rStyle w:val="PageNumber"/>
      </w:rPr>
      <w:fldChar w:fldCharType="end"/>
    </w:r>
    <w:r>
      <w:rPr>
        <w:rStyle w:val="PageNumber"/>
      </w:rPr>
      <w:tab/>
    </w:r>
  </w:p>
  <w:p w:rsidR="00AA2331" w:rsidRDefault="00AA2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820" w:rsidRDefault="00857820" w:rsidP="00856A80">
      <w:r>
        <w:separator/>
      </w:r>
    </w:p>
  </w:footnote>
  <w:footnote w:type="continuationSeparator" w:id="0">
    <w:p w:rsidR="00857820" w:rsidRDefault="00857820" w:rsidP="00856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6D0D25C"/>
    <w:lvl w:ilvl="0">
      <w:start w:val="1"/>
      <w:numFmt w:val="decimal"/>
      <w:lvlText w:val="%1."/>
      <w:lvlJc w:val="left"/>
      <w:pPr>
        <w:tabs>
          <w:tab w:val="num" w:pos="1440"/>
        </w:tabs>
        <w:ind w:left="1440" w:hanging="720"/>
      </w:pPr>
      <w:rPr>
        <w:rFonts w:hint="default"/>
      </w:rPr>
    </w:lvl>
  </w:abstractNum>
  <w:abstractNum w:abstractNumId="1">
    <w:nsid w:val="04D337CC"/>
    <w:multiLevelType w:val="multilevel"/>
    <w:tmpl w:val="F614F2A8"/>
    <w:styleLink w:val="ListNumbers"/>
    <w:lvl w:ilvl="0">
      <w:start w:val="1"/>
      <w:numFmt w:val="decimal"/>
      <w:lvlText w:val="%1."/>
      <w:lvlJc w:val="left"/>
      <w:pPr>
        <w:tabs>
          <w:tab w:val="num" w:pos="1152"/>
        </w:tabs>
        <w:ind w:left="1152" w:hanging="432"/>
      </w:pPr>
      <w:rPr>
        <w:rFonts w:hint="default"/>
      </w:rPr>
    </w:lvl>
    <w:lvl w:ilvl="1">
      <w:start w:val="2"/>
      <w:numFmt w:val="decimal"/>
      <w:lvlText w:val="%2."/>
      <w:lvlJc w:val="left"/>
      <w:pPr>
        <w:tabs>
          <w:tab w:val="num" w:pos="1152"/>
        </w:tabs>
        <w:ind w:left="1152" w:hanging="432"/>
      </w:pPr>
      <w:rPr>
        <w:rFonts w:hint="default"/>
      </w:rPr>
    </w:lvl>
    <w:lvl w:ilvl="2">
      <w:start w:val="1"/>
      <w:numFmt w:val="lowerRoman"/>
      <w:lvlText w:val="%3)"/>
      <w:lvlJc w:val="left"/>
      <w:pPr>
        <w:tabs>
          <w:tab w:val="num" w:pos="1152"/>
        </w:tabs>
        <w:ind w:left="1152" w:hanging="432"/>
      </w:pPr>
      <w:rPr>
        <w:rFonts w:hint="default"/>
      </w:rPr>
    </w:lvl>
    <w:lvl w:ilvl="3">
      <w:start w:val="1"/>
      <w:numFmt w:val="decimal"/>
      <w:lvlText w:val="(%4)"/>
      <w:lvlJc w:val="left"/>
      <w:pPr>
        <w:tabs>
          <w:tab w:val="num" w:pos="1152"/>
        </w:tabs>
        <w:ind w:left="1152" w:hanging="432"/>
      </w:pPr>
      <w:rPr>
        <w:rFonts w:hint="default"/>
      </w:rPr>
    </w:lvl>
    <w:lvl w:ilvl="4">
      <w:start w:val="1"/>
      <w:numFmt w:val="lowerLetter"/>
      <w:lvlText w:val="(%5)"/>
      <w:lvlJc w:val="left"/>
      <w:pPr>
        <w:tabs>
          <w:tab w:val="num" w:pos="1152"/>
        </w:tabs>
        <w:ind w:left="1152" w:hanging="432"/>
      </w:pPr>
      <w:rPr>
        <w:rFonts w:hint="default"/>
      </w:rPr>
    </w:lvl>
    <w:lvl w:ilvl="5">
      <w:start w:val="1"/>
      <w:numFmt w:val="lowerRoman"/>
      <w:lvlText w:val="(%6)"/>
      <w:lvlJc w:val="left"/>
      <w:pPr>
        <w:tabs>
          <w:tab w:val="num" w:pos="1152"/>
        </w:tabs>
        <w:ind w:left="1152" w:hanging="432"/>
      </w:pPr>
      <w:rPr>
        <w:rFonts w:hint="default"/>
      </w:rPr>
    </w:lvl>
    <w:lvl w:ilvl="6">
      <w:start w:val="1"/>
      <w:numFmt w:val="decimal"/>
      <w:lvlText w:val="%7."/>
      <w:lvlJc w:val="left"/>
      <w:pPr>
        <w:tabs>
          <w:tab w:val="num" w:pos="1152"/>
        </w:tabs>
        <w:ind w:left="1152" w:hanging="432"/>
      </w:pPr>
      <w:rPr>
        <w:rFonts w:hint="default"/>
      </w:rPr>
    </w:lvl>
    <w:lvl w:ilvl="7">
      <w:start w:val="1"/>
      <w:numFmt w:val="lowerLetter"/>
      <w:lvlText w:val="%8."/>
      <w:lvlJc w:val="left"/>
      <w:pPr>
        <w:tabs>
          <w:tab w:val="num" w:pos="1152"/>
        </w:tabs>
        <w:ind w:left="1152" w:hanging="432"/>
      </w:pPr>
      <w:rPr>
        <w:rFonts w:hint="default"/>
      </w:rPr>
    </w:lvl>
    <w:lvl w:ilvl="8">
      <w:start w:val="1"/>
      <w:numFmt w:val="lowerRoman"/>
      <w:lvlText w:val="%9."/>
      <w:lvlJc w:val="left"/>
      <w:pPr>
        <w:tabs>
          <w:tab w:val="num" w:pos="1152"/>
        </w:tabs>
        <w:ind w:left="1152" w:hanging="432"/>
      </w:pPr>
      <w:rPr>
        <w:rFonts w:hint="default"/>
      </w:rPr>
    </w:lvl>
  </w:abstractNum>
  <w:abstractNum w:abstractNumId="2">
    <w:nsid w:val="12EF7D7D"/>
    <w:multiLevelType w:val="multilevel"/>
    <w:tmpl w:val="CBB2FD42"/>
    <w:styleLink w:val="ListBullets"/>
    <w:lvl w:ilvl="0">
      <w:start w:val="1"/>
      <w:numFmt w:val="bullet"/>
      <w:pStyle w:val="ListBullet"/>
      <w:lvlText w:val=""/>
      <w:lvlJc w:val="left"/>
      <w:pPr>
        <w:tabs>
          <w:tab w:val="num" w:pos="1080"/>
        </w:tabs>
        <w:ind w:left="1080" w:hanging="360"/>
      </w:pPr>
      <w:rPr>
        <w:rFonts w:ascii="Symbol" w:hAnsi="Symbol" w:hint="default"/>
      </w:rPr>
    </w:lvl>
    <w:lvl w:ilvl="1">
      <w:start w:val="1"/>
      <w:numFmt w:val="bullet"/>
      <w:pStyle w:val="ListBullet2"/>
      <w:lvlText w:val=""/>
      <w:lvlJc w:val="left"/>
      <w:pPr>
        <w:tabs>
          <w:tab w:val="num" w:pos="1080"/>
        </w:tabs>
        <w:ind w:left="1080" w:hanging="360"/>
      </w:pPr>
      <w:rPr>
        <w:rFonts w:ascii="Symbol" w:hAnsi="Symbol" w:hint="default"/>
      </w:rPr>
    </w:lvl>
    <w:lvl w:ilvl="2">
      <w:start w:val="1"/>
      <w:numFmt w:val="bullet"/>
      <w:pStyle w:val="ListBullet3"/>
      <w:lvlText w:val=""/>
      <w:lvlJc w:val="left"/>
      <w:pPr>
        <w:tabs>
          <w:tab w:val="num" w:pos="1080"/>
        </w:tabs>
        <w:ind w:left="1080" w:hanging="360"/>
      </w:pPr>
      <w:rPr>
        <w:rFonts w:ascii="Symbol" w:hAnsi="Symbol" w:hint="default"/>
      </w:rPr>
    </w:lvl>
    <w:lvl w:ilvl="3">
      <w:start w:val="1"/>
      <w:numFmt w:val="bullet"/>
      <w:pStyle w:val="ListBullet4"/>
      <w:lvlText w:val=""/>
      <w:lvlJc w:val="left"/>
      <w:pPr>
        <w:tabs>
          <w:tab w:val="num" w:pos="1080"/>
        </w:tabs>
        <w:ind w:left="1080" w:hanging="360"/>
      </w:pPr>
      <w:rPr>
        <w:rFonts w:ascii="Symbol" w:hAnsi="Symbol" w:hint="default"/>
      </w:rPr>
    </w:lvl>
    <w:lvl w:ilvl="4">
      <w:start w:val="1"/>
      <w:numFmt w:val="bullet"/>
      <w:pStyle w:val="ListBullet5"/>
      <w:lvlText w:val=""/>
      <w:lvlJc w:val="left"/>
      <w:pPr>
        <w:tabs>
          <w:tab w:val="num" w:pos="1080"/>
        </w:tabs>
        <w:ind w:left="1080" w:hanging="360"/>
      </w:pPr>
      <w:rPr>
        <w:rFonts w:ascii="Symbol" w:hAnsi="Symbol"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8"/>
      <w:lvlJc w:val="left"/>
      <w:pPr>
        <w:tabs>
          <w:tab w:val="num" w:pos="1080"/>
        </w:tabs>
        <w:ind w:left="1080" w:hanging="360"/>
      </w:pPr>
      <w:rPr>
        <w:rFonts w:hint="default"/>
      </w:rPr>
    </w:lvl>
    <w:lvl w:ilvl="8">
      <w:start w:val="1"/>
      <w:numFmt w:val="none"/>
      <w:lvlText w:val="%9"/>
      <w:lvlJc w:val="left"/>
      <w:pPr>
        <w:tabs>
          <w:tab w:val="num" w:pos="1080"/>
        </w:tabs>
        <w:ind w:left="1080" w:hanging="360"/>
      </w:pPr>
      <w:rPr>
        <w:rFonts w:hint="default"/>
      </w:rPr>
    </w:lvl>
  </w:abstractNum>
  <w:abstractNum w:abstractNumId="3">
    <w:nsid w:val="7608686F"/>
    <w:multiLevelType w:val="multilevel"/>
    <w:tmpl w:val="34D65300"/>
    <w:lvl w:ilvl="0">
      <w:start w:val="1"/>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2"/>
  </w:num>
  <w:num w:numId="2">
    <w:abstractNumId w:val="1"/>
  </w:num>
  <w:num w:numId="3">
    <w:abstractNumId w:val="2"/>
  </w:num>
  <w:num w:numId="4">
    <w:abstractNumId w:val="3"/>
  </w:num>
  <w:num w:numId="5">
    <w:abstractNumId w:val="0"/>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82B"/>
    <w:rsid w:val="0000301A"/>
    <w:rsid w:val="000072D2"/>
    <w:rsid w:val="00020BE8"/>
    <w:rsid w:val="00054CBC"/>
    <w:rsid w:val="000A496D"/>
    <w:rsid w:val="000B2E2A"/>
    <w:rsid w:val="000C52EF"/>
    <w:rsid w:val="000E662A"/>
    <w:rsid w:val="00103291"/>
    <w:rsid w:val="00110EEE"/>
    <w:rsid w:val="001143C0"/>
    <w:rsid w:val="00120C1D"/>
    <w:rsid w:val="001247C2"/>
    <w:rsid w:val="001A2632"/>
    <w:rsid w:val="001B0819"/>
    <w:rsid w:val="001D1723"/>
    <w:rsid w:val="001E6754"/>
    <w:rsid w:val="001F144B"/>
    <w:rsid w:val="001F2F73"/>
    <w:rsid w:val="001F4B8A"/>
    <w:rsid w:val="002014E7"/>
    <w:rsid w:val="00205135"/>
    <w:rsid w:val="00213376"/>
    <w:rsid w:val="002171ED"/>
    <w:rsid w:val="00226CE6"/>
    <w:rsid w:val="00244E3F"/>
    <w:rsid w:val="00281E75"/>
    <w:rsid w:val="002A5F51"/>
    <w:rsid w:val="002C4089"/>
    <w:rsid w:val="002D2641"/>
    <w:rsid w:val="002D7062"/>
    <w:rsid w:val="002F08EC"/>
    <w:rsid w:val="00303763"/>
    <w:rsid w:val="00325F3B"/>
    <w:rsid w:val="0035532A"/>
    <w:rsid w:val="00356EA6"/>
    <w:rsid w:val="00391A9E"/>
    <w:rsid w:val="003A3057"/>
    <w:rsid w:val="003D7B0D"/>
    <w:rsid w:val="00436F02"/>
    <w:rsid w:val="004660BE"/>
    <w:rsid w:val="0047182B"/>
    <w:rsid w:val="004759AE"/>
    <w:rsid w:val="0049429D"/>
    <w:rsid w:val="004B6977"/>
    <w:rsid w:val="004D2D3F"/>
    <w:rsid w:val="004E636E"/>
    <w:rsid w:val="00513859"/>
    <w:rsid w:val="0052603E"/>
    <w:rsid w:val="0054232D"/>
    <w:rsid w:val="00556AB2"/>
    <w:rsid w:val="005635C1"/>
    <w:rsid w:val="005B2A9D"/>
    <w:rsid w:val="005E491C"/>
    <w:rsid w:val="005E68FF"/>
    <w:rsid w:val="00604955"/>
    <w:rsid w:val="0061357E"/>
    <w:rsid w:val="00617105"/>
    <w:rsid w:val="00621FF0"/>
    <w:rsid w:val="00671947"/>
    <w:rsid w:val="00676C40"/>
    <w:rsid w:val="00695CB6"/>
    <w:rsid w:val="006C55D4"/>
    <w:rsid w:val="006C6FA2"/>
    <w:rsid w:val="006D328C"/>
    <w:rsid w:val="006F754D"/>
    <w:rsid w:val="0071334D"/>
    <w:rsid w:val="00714AAC"/>
    <w:rsid w:val="00716AA0"/>
    <w:rsid w:val="00727020"/>
    <w:rsid w:val="007300D8"/>
    <w:rsid w:val="00733885"/>
    <w:rsid w:val="00750C09"/>
    <w:rsid w:val="00754778"/>
    <w:rsid w:val="00776B54"/>
    <w:rsid w:val="0077781D"/>
    <w:rsid w:val="007914A0"/>
    <w:rsid w:val="007D26AF"/>
    <w:rsid w:val="007D5B93"/>
    <w:rsid w:val="007E2C29"/>
    <w:rsid w:val="00802EF6"/>
    <w:rsid w:val="00814FE2"/>
    <w:rsid w:val="00856A80"/>
    <w:rsid w:val="00857820"/>
    <w:rsid w:val="00870C62"/>
    <w:rsid w:val="008937D2"/>
    <w:rsid w:val="008E4D3B"/>
    <w:rsid w:val="008F43A4"/>
    <w:rsid w:val="00901A78"/>
    <w:rsid w:val="00905B10"/>
    <w:rsid w:val="00905BBB"/>
    <w:rsid w:val="009136CE"/>
    <w:rsid w:val="00930943"/>
    <w:rsid w:val="00931034"/>
    <w:rsid w:val="009379C8"/>
    <w:rsid w:val="00963684"/>
    <w:rsid w:val="0097172D"/>
    <w:rsid w:val="00976143"/>
    <w:rsid w:val="00982DCA"/>
    <w:rsid w:val="009D4144"/>
    <w:rsid w:val="009D4C21"/>
    <w:rsid w:val="009F3405"/>
    <w:rsid w:val="00A11864"/>
    <w:rsid w:val="00A20F7D"/>
    <w:rsid w:val="00A60519"/>
    <w:rsid w:val="00AA2331"/>
    <w:rsid w:val="00AB5851"/>
    <w:rsid w:val="00AB68FD"/>
    <w:rsid w:val="00AC0749"/>
    <w:rsid w:val="00AF3EEA"/>
    <w:rsid w:val="00AF46A7"/>
    <w:rsid w:val="00B1776E"/>
    <w:rsid w:val="00B2338B"/>
    <w:rsid w:val="00B30DAF"/>
    <w:rsid w:val="00B9195D"/>
    <w:rsid w:val="00BB19FE"/>
    <w:rsid w:val="00BC3592"/>
    <w:rsid w:val="00BC68F2"/>
    <w:rsid w:val="00C84D92"/>
    <w:rsid w:val="00C9099A"/>
    <w:rsid w:val="00C94A89"/>
    <w:rsid w:val="00CC18D4"/>
    <w:rsid w:val="00CC573A"/>
    <w:rsid w:val="00CF0AD9"/>
    <w:rsid w:val="00D440D7"/>
    <w:rsid w:val="00D50AA3"/>
    <w:rsid w:val="00D9521C"/>
    <w:rsid w:val="00D96D51"/>
    <w:rsid w:val="00DB1B82"/>
    <w:rsid w:val="00DD0C5E"/>
    <w:rsid w:val="00DE5199"/>
    <w:rsid w:val="00DF7F9C"/>
    <w:rsid w:val="00E00D15"/>
    <w:rsid w:val="00E525A7"/>
    <w:rsid w:val="00E54292"/>
    <w:rsid w:val="00E72BFD"/>
    <w:rsid w:val="00E81210"/>
    <w:rsid w:val="00F42A77"/>
    <w:rsid w:val="00F45D02"/>
    <w:rsid w:val="00F62B5D"/>
    <w:rsid w:val="00F8234A"/>
    <w:rsid w:val="00FA1D20"/>
    <w:rsid w:val="00FB5DEE"/>
    <w:rsid w:val="00FC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0"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C573A"/>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DF7F9C"/>
    <w:pPr>
      <w:numPr>
        <w:numId w:val="4"/>
      </w:numPr>
      <w:spacing w:line="480" w:lineRule="auto"/>
      <w:ind w:left="0" w:firstLine="72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3"/>
      </w:numPr>
      <w:spacing w:after="240"/>
      <w:jc w:val="both"/>
    </w:pPr>
  </w:style>
  <w:style w:type="paragraph" w:styleId="ListBullet2">
    <w:name w:val="List Bullet 2"/>
    <w:aliases w:val="b2"/>
    <w:basedOn w:val="Normal"/>
    <w:rsid w:val="00776B54"/>
    <w:pPr>
      <w:numPr>
        <w:ilvl w:val="1"/>
        <w:numId w:val="3"/>
      </w:numPr>
      <w:spacing w:after="240"/>
      <w:jc w:val="both"/>
    </w:pPr>
  </w:style>
  <w:style w:type="paragraph" w:styleId="ListBullet3">
    <w:name w:val="List Bullet 3"/>
    <w:basedOn w:val="Normal"/>
    <w:uiPriority w:val="2"/>
    <w:rsid w:val="00776B54"/>
    <w:pPr>
      <w:numPr>
        <w:ilvl w:val="2"/>
        <w:numId w:val="3"/>
      </w:numPr>
      <w:spacing w:after="240"/>
      <w:jc w:val="both"/>
    </w:pPr>
  </w:style>
  <w:style w:type="paragraph" w:styleId="ListBullet4">
    <w:name w:val="List Bullet 4"/>
    <w:basedOn w:val="Normal"/>
    <w:uiPriority w:val="2"/>
    <w:rsid w:val="00776B54"/>
    <w:pPr>
      <w:numPr>
        <w:ilvl w:val="3"/>
        <w:numId w:val="3"/>
      </w:numPr>
      <w:spacing w:after="240"/>
      <w:jc w:val="both"/>
    </w:pPr>
  </w:style>
  <w:style w:type="paragraph" w:styleId="ListBullet5">
    <w:name w:val="List Bullet 5"/>
    <w:basedOn w:val="Normal"/>
    <w:uiPriority w:val="2"/>
    <w:rsid w:val="00776B54"/>
    <w:pPr>
      <w:numPr>
        <w:ilvl w:val="4"/>
        <w:numId w:val="3"/>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
      </w:numPr>
    </w:pPr>
  </w:style>
  <w:style w:type="numbering" w:customStyle="1" w:styleId="ListNumbers">
    <w:name w:val="List Numbers"/>
    <w:uiPriority w:val="99"/>
    <w:rsid w:val="00776B54"/>
    <w:pPr>
      <w:numPr>
        <w:numId w:val="2"/>
      </w:numPr>
    </w:pPr>
  </w:style>
  <w:style w:type="paragraph" w:styleId="BalloonText">
    <w:name w:val="Balloon Text"/>
    <w:basedOn w:val="Normal"/>
    <w:link w:val="BalloonTextChar"/>
    <w:semiHidden/>
    <w:unhideWhenUsed/>
    <w:rsid w:val="002171ED"/>
    <w:rPr>
      <w:rFonts w:ascii="Tahoma" w:hAnsi="Tahoma" w:cs="Tahoma"/>
      <w:sz w:val="20"/>
      <w:szCs w:val="16"/>
    </w:rPr>
  </w:style>
  <w:style w:type="character" w:customStyle="1" w:styleId="BalloonTextChar">
    <w:name w:val="Balloon Text Char"/>
    <w:basedOn w:val="DefaultParagraphFont"/>
    <w:link w:val="BalloonText"/>
    <w:uiPriority w:val="99"/>
    <w:semiHidden/>
    <w:rsid w:val="002171ED"/>
    <w:rPr>
      <w:rFonts w:ascii="Tahoma" w:hAnsi="Tahoma" w:cs="Tahoma"/>
      <w:sz w:val="20"/>
      <w:szCs w:val="16"/>
    </w:rPr>
  </w:style>
  <w:style w:type="table" w:styleId="TableGrid">
    <w:name w:val="Table Grid"/>
    <w:basedOn w:val="TableNormal"/>
    <w:rsid w:val="0047182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6C6FA2"/>
    <w:rPr>
      <w:vertAlign w:val="superscript"/>
    </w:rPr>
  </w:style>
  <w:style w:type="character" w:styleId="Hyperlink">
    <w:name w:val="Hyperlink"/>
    <w:basedOn w:val="DefaultParagraphFont"/>
    <w:rsid w:val="00436F02"/>
    <w:rPr>
      <w:color w:val="0000FF"/>
      <w:u w:val="single"/>
    </w:rPr>
  </w:style>
  <w:style w:type="character" w:styleId="PageNumber">
    <w:name w:val="page number"/>
    <w:rsid w:val="00617105"/>
    <w:rPr>
      <w:rFonts w:ascii="Times New Roman" w:hAnsi="Times New Roman" w:cs="Times New Roman"/>
      <w:b w:val="0"/>
      <w:sz w:val="24"/>
    </w:rPr>
  </w:style>
  <w:style w:type="paragraph" w:styleId="ListParagraph">
    <w:name w:val="List Paragraph"/>
    <w:basedOn w:val="Normal"/>
    <w:uiPriority w:val="34"/>
    <w:rsid w:val="00617105"/>
    <w:pPr>
      <w:ind w:left="720"/>
      <w:contextualSpacing/>
    </w:pPr>
  </w:style>
  <w:style w:type="character" w:styleId="CommentReference">
    <w:name w:val="annotation reference"/>
    <w:basedOn w:val="DefaultParagraphFont"/>
    <w:uiPriority w:val="99"/>
    <w:semiHidden/>
    <w:unhideWhenUsed/>
    <w:rsid w:val="00356EA6"/>
    <w:rPr>
      <w:sz w:val="16"/>
      <w:szCs w:val="16"/>
    </w:rPr>
  </w:style>
  <w:style w:type="paragraph" w:styleId="CommentText">
    <w:name w:val="annotation text"/>
    <w:basedOn w:val="Normal"/>
    <w:link w:val="CommentTextChar"/>
    <w:uiPriority w:val="99"/>
    <w:semiHidden/>
    <w:unhideWhenUsed/>
    <w:rsid w:val="00356EA6"/>
    <w:rPr>
      <w:sz w:val="20"/>
      <w:szCs w:val="20"/>
    </w:rPr>
  </w:style>
  <w:style w:type="character" w:customStyle="1" w:styleId="CommentTextChar">
    <w:name w:val="Comment Text Char"/>
    <w:basedOn w:val="DefaultParagraphFont"/>
    <w:link w:val="CommentText"/>
    <w:uiPriority w:val="99"/>
    <w:semiHidden/>
    <w:rsid w:val="00356EA6"/>
    <w:rPr>
      <w:sz w:val="20"/>
      <w:szCs w:val="20"/>
    </w:rPr>
  </w:style>
  <w:style w:type="paragraph" w:styleId="CommentSubject">
    <w:name w:val="annotation subject"/>
    <w:basedOn w:val="CommentText"/>
    <w:next w:val="CommentText"/>
    <w:link w:val="CommentSubjectChar"/>
    <w:uiPriority w:val="99"/>
    <w:semiHidden/>
    <w:unhideWhenUsed/>
    <w:rsid w:val="00356EA6"/>
    <w:rPr>
      <w:b/>
      <w:bCs/>
    </w:rPr>
  </w:style>
  <w:style w:type="character" w:customStyle="1" w:styleId="CommentSubjectChar">
    <w:name w:val="Comment Subject Char"/>
    <w:basedOn w:val="CommentTextChar"/>
    <w:link w:val="CommentSubject"/>
    <w:uiPriority w:val="99"/>
    <w:semiHidden/>
    <w:rsid w:val="00356EA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semiHidden="0" w:uiPriority="0" w:unhideWhenUsed="0" w:qFormat="1"/>
    <w:lsdException w:name="List Number" w:semiHidden="0" w:uiPriority="0" w:unhideWhenUsed="0" w:qFormat="1"/>
    <w:lsdException w:name="List Bullet 2" w:semiHidden="0" w:uiPriority="0" w:unhideWhenUsed="0"/>
    <w:lsdException w:name="List Bullet 3" w:semiHidden="0" w:uiPriority="2" w:unhideWhenUsed="0"/>
    <w:lsdException w:name="List Bullet 4" w:semiHidden="0" w:uiPriority="2" w:unhideWhenUsed="0"/>
    <w:lsdException w:name="List Bullet 5" w:semiHidden="0" w:uiPriority="2"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Body Text 2" w:semiHidden="0" w:uiPriority="1" w:unhideWhenUsed="0" w:qFormat="1"/>
    <w:lsdException w:name="Body Text 3" w:semiHidden="0" w:uiPriority="0" w:unhideWhenUsed="0" w:qFormat="1"/>
    <w:lsdException w:name="Block Text" w:semiHidden="0" w:uiPriority="0" w:unhideWhenUsed="0" w:qFormat="1"/>
    <w:lsdException w:name="Hyperlink" w:uiPriority="0"/>
    <w:lsdException w:name="Strong" w:semiHidden="0" w:uiPriority="22" w:unhideWhenUsed="0"/>
    <w:lsdException w:name="Emphasis" w:semiHidden="0" w:uiPriority="20" w:unhideWhenUsed="0"/>
    <w:lsdException w:name="Balloon Text" w:uiPriority="0"/>
    <w:lsdException w:name="Table Grid" w:semiHidden="0" w:uiPriority="0" w:unhideWhenUsed="0"/>
    <w:lsdException w:name="Placeholder Text" w:unhideWhenUsed="0"/>
    <w:lsdException w:name="No Spacing" w:semiHidden="0" w:uiPriority="2"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C573A"/>
  </w:style>
  <w:style w:type="paragraph" w:styleId="Heading1">
    <w:name w:val="heading 1"/>
    <w:basedOn w:val="Normal"/>
    <w:next w:val="BodyText"/>
    <w:link w:val="Heading1Char"/>
    <w:uiPriority w:val="2"/>
    <w:qFormat/>
    <w:rsid w:val="00733885"/>
    <w:pPr>
      <w:keepNext/>
      <w:spacing w:after="240"/>
      <w:outlineLvl w:val="0"/>
    </w:pPr>
    <w:rPr>
      <w:rFonts w:eastAsia="Times New Roman" w:cs="Arial"/>
      <w:b/>
      <w:bCs/>
      <w:kern w:val="32"/>
      <w:szCs w:val="32"/>
    </w:rPr>
  </w:style>
  <w:style w:type="paragraph" w:styleId="Heading2">
    <w:name w:val="heading 2"/>
    <w:basedOn w:val="Normal"/>
    <w:next w:val="BodyText"/>
    <w:link w:val="Heading2Char"/>
    <w:uiPriority w:val="2"/>
    <w:qFormat/>
    <w:rsid w:val="00733885"/>
    <w:pPr>
      <w:keepNext/>
      <w:spacing w:after="240"/>
      <w:outlineLvl w:val="1"/>
    </w:pPr>
    <w:rPr>
      <w:rFonts w:eastAsia="Times New Roman" w:cs="Arial"/>
      <w:b/>
      <w:bCs/>
      <w:iCs/>
      <w:szCs w:val="28"/>
    </w:rPr>
  </w:style>
  <w:style w:type="paragraph" w:styleId="Heading3">
    <w:name w:val="heading 3"/>
    <w:basedOn w:val="Normal"/>
    <w:next w:val="BodyText"/>
    <w:link w:val="Heading3Char"/>
    <w:uiPriority w:val="2"/>
    <w:unhideWhenUsed/>
    <w:qFormat/>
    <w:rsid w:val="00733885"/>
    <w:pPr>
      <w:spacing w:after="240"/>
      <w:outlineLvl w:val="2"/>
    </w:pPr>
    <w:rPr>
      <w:rFonts w:eastAsia="Times New Roman" w:cs="Arial"/>
      <w:b/>
      <w:bCs/>
      <w:szCs w:val="26"/>
    </w:rPr>
  </w:style>
  <w:style w:type="paragraph" w:styleId="Heading4">
    <w:name w:val="heading 4"/>
    <w:basedOn w:val="Normal"/>
    <w:next w:val="BodyText"/>
    <w:link w:val="Heading4Char"/>
    <w:uiPriority w:val="2"/>
    <w:unhideWhenUsed/>
    <w:qFormat/>
    <w:rsid w:val="00733885"/>
    <w:pPr>
      <w:spacing w:after="240"/>
      <w:outlineLvl w:val="3"/>
    </w:pPr>
    <w:rPr>
      <w:rFonts w:eastAsia="Times New Roman" w:cs="Times New Roman"/>
      <w:bCs/>
      <w:szCs w:val="28"/>
    </w:rPr>
  </w:style>
  <w:style w:type="paragraph" w:styleId="Heading5">
    <w:name w:val="heading 5"/>
    <w:basedOn w:val="Normal"/>
    <w:next w:val="BodyText"/>
    <w:link w:val="Heading5Char"/>
    <w:uiPriority w:val="2"/>
    <w:unhideWhenUsed/>
    <w:qFormat/>
    <w:rsid w:val="00733885"/>
    <w:pPr>
      <w:spacing w:after="240"/>
      <w:outlineLvl w:val="4"/>
    </w:pPr>
    <w:rPr>
      <w:rFonts w:eastAsia="Times New Roman" w:cs="Times New Roman"/>
      <w:bCs/>
      <w:iCs/>
      <w:szCs w:val="26"/>
    </w:rPr>
  </w:style>
  <w:style w:type="paragraph" w:styleId="Heading6">
    <w:name w:val="heading 6"/>
    <w:basedOn w:val="Normal"/>
    <w:next w:val="BodyText"/>
    <w:link w:val="Heading6Char"/>
    <w:uiPriority w:val="2"/>
    <w:unhideWhenUsed/>
    <w:qFormat/>
    <w:rsid w:val="00733885"/>
    <w:pPr>
      <w:spacing w:after="240"/>
      <w:outlineLvl w:val="5"/>
    </w:pPr>
    <w:rPr>
      <w:rFonts w:eastAsia="Times New Roman" w:cs="Times New Roman"/>
      <w:bCs/>
      <w:szCs w:val="22"/>
    </w:rPr>
  </w:style>
  <w:style w:type="paragraph" w:styleId="Heading7">
    <w:name w:val="heading 7"/>
    <w:basedOn w:val="Normal"/>
    <w:next w:val="BodyText"/>
    <w:link w:val="Heading7Char"/>
    <w:uiPriority w:val="2"/>
    <w:unhideWhenUsed/>
    <w:qFormat/>
    <w:rsid w:val="00733885"/>
    <w:pPr>
      <w:spacing w:after="240"/>
      <w:outlineLvl w:val="6"/>
    </w:pPr>
    <w:rPr>
      <w:rFonts w:eastAsia="Times New Roman" w:cs="Times New Roman"/>
    </w:rPr>
  </w:style>
  <w:style w:type="paragraph" w:styleId="Heading8">
    <w:name w:val="heading 8"/>
    <w:basedOn w:val="Normal"/>
    <w:next w:val="BodyText"/>
    <w:link w:val="Heading8Char"/>
    <w:uiPriority w:val="2"/>
    <w:unhideWhenUsed/>
    <w:qFormat/>
    <w:rsid w:val="00733885"/>
    <w:pPr>
      <w:spacing w:after="240"/>
      <w:outlineLvl w:val="7"/>
    </w:pPr>
    <w:rPr>
      <w:rFonts w:eastAsia="Times New Roman" w:cs="Times New Roman"/>
      <w:iCs/>
    </w:rPr>
  </w:style>
  <w:style w:type="paragraph" w:styleId="Heading9">
    <w:name w:val="heading 9"/>
    <w:basedOn w:val="Normal"/>
    <w:next w:val="BodyText"/>
    <w:link w:val="Heading9Char"/>
    <w:uiPriority w:val="2"/>
    <w:unhideWhenUsed/>
    <w:qFormat/>
    <w:rsid w:val="00733885"/>
    <w:pPr>
      <w:spacing w:after="24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76B54"/>
    <w:rPr>
      <w:rFonts w:eastAsia="Times New Roman" w:cs="Arial"/>
      <w:b/>
      <w:bCs/>
      <w:kern w:val="32"/>
      <w:szCs w:val="32"/>
    </w:rPr>
  </w:style>
  <w:style w:type="character" w:customStyle="1" w:styleId="Heading2Char">
    <w:name w:val="Heading 2 Char"/>
    <w:basedOn w:val="DefaultParagraphFont"/>
    <w:link w:val="Heading2"/>
    <w:uiPriority w:val="2"/>
    <w:rsid w:val="00776B54"/>
    <w:rPr>
      <w:rFonts w:eastAsia="Times New Roman" w:cs="Arial"/>
      <w:b/>
      <w:bCs/>
      <w:iCs/>
      <w:szCs w:val="28"/>
    </w:rPr>
  </w:style>
  <w:style w:type="character" w:customStyle="1" w:styleId="Heading3Char">
    <w:name w:val="Heading 3 Char"/>
    <w:basedOn w:val="DefaultParagraphFont"/>
    <w:link w:val="Heading3"/>
    <w:uiPriority w:val="2"/>
    <w:rsid w:val="00776B54"/>
    <w:rPr>
      <w:rFonts w:eastAsia="Times New Roman" w:cs="Arial"/>
      <w:b/>
      <w:bCs/>
      <w:szCs w:val="26"/>
    </w:rPr>
  </w:style>
  <w:style w:type="character" w:customStyle="1" w:styleId="Heading4Char">
    <w:name w:val="Heading 4 Char"/>
    <w:basedOn w:val="DefaultParagraphFont"/>
    <w:link w:val="Heading4"/>
    <w:uiPriority w:val="2"/>
    <w:rsid w:val="00776B54"/>
    <w:rPr>
      <w:rFonts w:eastAsia="Times New Roman" w:cs="Times New Roman"/>
      <w:bCs/>
      <w:szCs w:val="28"/>
    </w:rPr>
  </w:style>
  <w:style w:type="character" w:customStyle="1" w:styleId="Heading5Char">
    <w:name w:val="Heading 5 Char"/>
    <w:basedOn w:val="DefaultParagraphFont"/>
    <w:link w:val="Heading5"/>
    <w:uiPriority w:val="2"/>
    <w:rsid w:val="00776B54"/>
    <w:rPr>
      <w:rFonts w:eastAsia="Times New Roman" w:cs="Times New Roman"/>
      <w:bCs/>
      <w:iCs/>
      <w:szCs w:val="26"/>
    </w:rPr>
  </w:style>
  <w:style w:type="character" w:customStyle="1" w:styleId="Heading6Char">
    <w:name w:val="Heading 6 Char"/>
    <w:basedOn w:val="DefaultParagraphFont"/>
    <w:link w:val="Heading6"/>
    <w:uiPriority w:val="2"/>
    <w:rsid w:val="00776B54"/>
    <w:rPr>
      <w:rFonts w:eastAsia="Times New Roman" w:cs="Times New Roman"/>
      <w:bCs/>
      <w:szCs w:val="22"/>
    </w:rPr>
  </w:style>
  <w:style w:type="character" w:customStyle="1" w:styleId="Heading7Char">
    <w:name w:val="Heading 7 Char"/>
    <w:basedOn w:val="DefaultParagraphFont"/>
    <w:link w:val="Heading7"/>
    <w:uiPriority w:val="2"/>
    <w:rsid w:val="00776B54"/>
    <w:rPr>
      <w:rFonts w:eastAsia="Times New Roman" w:cs="Times New Roman"/>
    </w:rPr>
  </w:style>
  <w:style w:type="character" w:customStyle="1" w:styleId="Heading8Char">
    <w:name w:val="Heading 8 Char"/>
    <w:basedOn w:val="DefaultParagraphFont"/>
    <w:link w:val="Heading8"/>
    <w:uiPriority w:val="2"/>
    <w:rsid w:val="00776B54"/>
    <w:rPr>
      <w:rFonts w:eastAsia="Times New Roman" w:cs="Times New Roman"/>
      <w:iCs/>
    </w:rPr>
  </w:style>
  <w:style w:type="character" w:customStyle="1" w:styleId="Heading9Char">
    <w:name w:val="Heading 9 Char"/>
    <w:basedOn w:val="DefaultParagraphFont"/>
    <w:link w:val="Heading9"/>
    <w:uiPriority w:val="2"/>
    <w:rsid w:val="00776B54"/>
    <w:rPr>
      <w:rFonts w:eastAsia="Times New Roman" w:cs="Arial"/>
      <w:szCs w:val="22"/>
    </w:rPr>
  </w:style>
  <w:style w:type="character" w:customStyle="1" w:styleId="DocID">
    <w:name w:val="DocID"/>
    <w:basedOn w:val="DefaultParagraphFont"/>
    <w:rsid w:val="00733885"/>
    <w:rPr>
      <w:sz w:val="16"/>
    </w:rPr>
  </w:style>
  <w:style w:type="paragraph" w:styleId="BodyText">
    <w:name w:val="Body Text"/>
    <w:basedOn w:val="Normal"/>
    <w:link w:val="BodyTextChar"/>
    <w:qFormat/>
    <w:rsid w:val="00733885"/>
    <w:pPr>
      <w:spacing w:after="240"/>
      <w:ind w:firstLine="720"/>
      <w:jc w:val="both"/>
    </w:pPr>
  </w:style>
  <w:style w:type="character" w:customStyle="1" w:styleId="BodyTextChar">
    <w:name w:val="Body Text Char"/>
    <w:basedOn w:val="DefaultParagraphFont"/>
    <w:link w:val="BodyText"/>
    <w:rsid w:val="00733885"/>
  </w:style>
  <w:style w:type="paragraph" w:styleId="BodyText2">
    <w:name w:val="Body Text 2"/>
    <w:basedOn w:val="Normal"/>
    <w:link w:val="BodyText2Char"/>
    <w:uiPriority w:val="1"/>
    <w:qFormat/>
    <w:rsid w:val="00733885"/>
    <w:pPr>
      <w:spacing w:line="480" w:lineRule="auto"/>
      <w:ind w:firstLine="720"/>
      <w:jc w:val="both"/>
    </w:pPr>
  </w:style>
  <w:style w:type="character" w:customStyle="1" w:styleId="BodyText2Char">
    <w:name w:val="Body Text 2 Char"/>
    <w:basedOn w:val="DefaultParagraphFont"/>
    <w:link w:val="BodyText2"/>
    <w:rsid w:val="00776B54"/>
  </w:style>
  <w:style w:type="paragraph" w:styleId="BodyText3">
    <w:name w:val="Body Text 3"/>
    <w:basedOn w:val="Normal"/>
    <w:link w:val="BodyText3Char"/>
    <w:uiPriority w:val="1"/>
    <w:qFormat/>
    <w:rsid w:val="00733885"/>
    <w:pPr>
      <w:spacing w:line="480" w:lineRule="auto"/>
      <w:ind w:firstLine="1440"/>
      <w:jc w:val="both"/>
    </w:pPr>
    <w:rPr>
      <w:szCs w:val="16"/>
    </w:rPr>
  </w:style>
  <w:style w:type="character" w:customStyle="1" w:styleId="BodyText3Char">
    <w:name w:val="Body Text 3 Char"/>
    <w:basedOn w:val="DefaultParagraphFont"/>
    <w:link w:val="BodyText3"/>
    <w:uiPriority w:val="1"/>
    <w:rsid w:val="00776B54"/>
    <w:rPr>
      <w:szCs w:val="16"/>
    </w:rPr>
  </w:style>
  <w:style w:type="paragraph" w:styleId="BlockText">
    <w:name w:val="Block Text"/>
    <w:basedOn w:val="Normal"/>
    <w:uiPriority w:val="1"/>
    <w:qFormat/>
    <w:rsid w:val="00733885"/>
    <w:pPr>
      <w:spacing w:after="240"/>
      <w:ind w:left="1440" w:right="1440"/>
      <w:jc w:val="both"/>
    </w:pPr>
    <w:rPr>
      <w:rFonts w:eastAsiaTheme="minorEastAsia"/>
      <w:iCs/>
    </w:rPr>
  </w:style>
  <w:style w:type="paragraph" w:customStyle="1" w:styleId="IndentSingle">
    <w:name w:val="Indent Single"/>
    <w:basedOn w:val="Normal"/>
    <w:next w:val="BodyText"/>
    <w:uiPriority w:val="2"/>
    <w:qFormat/>
    <w:rsid w:val="0052603E"/>
    <w:pPr>
      <w:spacing w:after="240"/>
      <w:ind w:left="1440" w:right="1440"/>
      <w:jc w:val="both"/>
    </w:pPr>
  </w:style>
  <w:style w:type="paragraph" w:customStyle="1" w:styleId="IndentDouble">
    <w:name w:val="Indent Double"/>
    <w:basedOn w:val="Normal"/>
    <w:next w:val="BodyText"/>
    <w:uiPriority w:val="2"/>
    <w:qFormat/>
    <w:rsid w:val="0052603E"/>
    <w:pPr>
      <w:spacing w:after="240"/>
      <w:ind w:left="2160" w:right="2160"/>
      <w:jc w:val="both"/>
    </w:pPr>
  </w:style>
  <w:style w:type="paragraph" w:customStyle="1" w:styleId="IndentTriple">
    <w:name w:val="Indent Triple"/>
    <w:basedOn w:val="Normal"/>
    <w:uiPriority w:val="99"/>
    <w:qFormat/>
    <w:rsid w:val="0052603E"/>
    <w:pPr>
      <w:spacing w:after="240"/>
      <w:ind w:left="2880" w:right="2880"/>
      <w:jc w:val="both"/>
    </w:pPr>
  </w:style>
  <w:style w:type="paragraph" w:styleId="Quote">
    <w:name w:val="Quote"/>
    <w:basedOn w:val="Normal"/>
    <w:link w:val="QuoteChar"/>
    <w:uiPriority w:val="29"/>
    <w:qFormat/>
    <w:rsid w:val="0052603E"/>
    <w:pPr>
      <w:spacing w:after="240"/>
      <w:ind w:left="2160" w:right="720" w:hanging="720"/>
      <w:jc w:val="both"/>
    </w:pPr>
    <w:rPr>
      <w:iCs/>
    </w:rPr>
  </w:style>
  <w:style w:type="character" w:customStyle="1" w:styleId="QuoteChar">
    <w:name w:val="Quote Char"/>
    <w:basedOn w:val="DefaultParagraphFont"/>
    <w:link w:val="Quote"/>
    <w:uiPriority w:val="29"/>
    <w:rsid w:val="0052603E"/>
    <w:rPr>
      <w:iCs/>
    </w:rPr>
  </w:style>
  <w:style w:type="paragraph" w:styleId="Title">
    <w:name w:val="Title"/>
    <w:basedOn w:val="Normal"/>
    <w:next w:val="BodyText2"/>
    <w:link w:val="TitleChar"/>
    <w:uiPriority w:val="2"/>
    <w:qFormat/>
    <w:rsid w:val="00325F3B"/>
    <w:pPr>
      <w:spacing w:after="240"/>
      <w:jc w:val="center"/>
    </w:pPr>
    <w:rPr>
      <w:rFonts w:eastAsiaTheme="majorEastAsia" w:cstheme="majorBidi"/>
      <w:b/>
      <w:caps/>
      <w:szCs w:val="52"/>
    </w:rPr>
  </w:style>
  <w:style w:type="character" w:customStyle="1" w:styleId="TitleChar">
    <w:name w:val="Title Char"/>
    <w:basedOn w:val="DefaultParagraphFont"/>
    <w:link w:val="Title"/>
    <w:uiPriority w:val="2"/>
    <w:rsid w:val="00325F3B"/>
    <w:rPr>
      <w:rFonts w:eastAsiaTheme="majorEastAsia" w:cstheme="majorBidi"/>
      <w:b/>
      <w:caps/>
      <w:szCs w:val="52"/>
    </w:rPr>
  </w:style>
  <w:style w:type="paragraph" w:customStyle="1" w:styleId="Title2">
    <w:name w:val="Title2"/>
    <w:basedOn w:val="Normal"/>
    <w:next w:val="BodyText2"/>
    <w:uiPriority w:val="2"/>
    <w:qFormat/>
    <w:rsid w:val="0052603E"/>
    <w:pPr>
      <w:spacing w:after="240"/>
    </w:pPr>
    <w:rPr>
      <w:b/>
      <w:u w:val="single"/>
    </w:rPr>
  </w:style>
  <w:style w:type="paragraph" w:customStyle="1" w:styleId="PSNormal">
    <w:name w:val="PSNormal"/>
    <w:basedOn w:val="Normal"/>
    <w:uiPriority w:val="1"/>
    <w:qFormat/>
    <w:rsid w:val="0052603E"/>
    <w:pPr>
      <w:jc w:val="both"/>
    </w:pPr>
  </w:style>
  <w:style w:type="paragraph" w:customStyle="1" w:styleId="BodyText2USDE">
    <w:name w:val="Body Text 2 USDE"/>
    <w:basedOn w:val="Normal"/>
    <w:uiPriority w:val="1"/>
    <w:qFormat/>
    <w:rsid w:val="00733885"/>
    <w:pPr>
      <w:spacing w:after="240" w:line="480" w:lineRule="auto"/>
      <w:ind w:firstLine="720"/>
    </w:pPr>
  </w:style>
  <w:style w:type="paragraph" w:styleId="ListNumber">
    <w:name w:val="List Number"/>
    <w:basedOn w:val="Normal"/>
    <w:qFormat/>
    <w:rsid w:val="00DF7F9C"/>
    <w:pPr>
      <w:numPr>
        <w:numId w:val="4"/>
      </w:numPr>
      <w:spacing w:line="480" w:lineRule="auto"/>
      <w:ind w:left="0" w:firstLine="720"/>
      <w:jc w:val="both"/>
    </w:pPr>
  </w:style>
  <w:style w:type="paragraph" w:styleId="FootnoteText">
    <w:name w:val="footnote text"/>
    <w:basedOn w:val="Normal"/>
    <w:link w:val="FootnoteTextChar"/>
    <w:semiHidden/>
    <w:unhideWhenUsed/>
    <w:rsid w:val="00733885"/>
    <w:pPr>
      <w:ind w:firstLine="720"/>
    </w:pPr>
    <w:rPr>
      <w:sz w:val="20"/>
      <w:szCs w:val="20"/>
    </w:rPr>
  </w:style>
  <w:style w:type="character" w:customStyle="1" w:styleId="FootnoteTextChar">
    <w:name w:val="Footnote Text Char"/>
    <w:basedOn w:val="DefaultParagraphFont"/>
    <w:link w:val="FootnoteText"/>
    <w:uiPriority w:val="99"/>
    <w:semiHidden/>
    <w:rsid w:val="00733885"/>
    <w:rPr>
      <w:sz w:val="20"/>
      <w:szCs w:val="20"/>
    </w:rPr>
  </w:style>
  <w:style w:type="paragraph" w:styleId="ListBullet">
    <w:name w:val="List Bullet"/>
    <w:basedOn w:val="Normal"/>
    <w:qFormat/>
    <w:rsid w:val="00776B54"/>
    <w:pPr>
      <w:numPr>
        <w:numId w:val="3"/>
      </w:numPr>
      <w:spacing w:after="240"/>
      <w:jc w:val="both"/>
    </w:pPr>
  </w:style>
  <w:style w:type="paragraph" w:styleId="ListBullet2">
    <w:name w:val="List Bullet 2"/>
    <w:aliases w:val="b2"/>
    <w:basedOn w:val="Normal"/>
    <w:rsid w:val="00776B54"/>
    <w:pPr>
      <w:numPr>
        <w:ilvl w:val="1"/>
        <w:numId w:val="3"/>
      </w:numPr>
      <w:spacing w:after="240"/>
      <w:jc w:val="both"/>
    </w:pPr>
  </w:style>
  <w:style w:type="paragraph" w:styleId="ListBullet3">
    <w:name w:val="List Bullet 3"/>
    <w:basedOn w:val="Normal"/>
    <w:uiPriority w:val="2"/>
    <w:rsid w:val="00776B54"/>
    <w:pPr>
      <w:numPr>
        <w:ilvl w:val="2"/>
        <w:numId w:val="3"/>
      </w:numPr>
      <w:spacing w:after="240"/>
      <w:jc w:val="both"/>
    </w:pPr>
  </w:style>
  <w:style w:type="paragraph" w:styleId="ListBullet4">
    <w:name w:val="List Bullet 4"/>
    <w:basedOn w:val="Normal"/>
    <w:uiPriority w:val="2"/>
    <w:rsid w:val="00776B54"/>
    <w:pPr>
      <w:numPr>
        <w:ilvl w:val="3"/>
        <w:numId w:val="3"/>
      </w:numPr>
      <w:spacing w:after="240"/>
      <w:jc w:val="both"/>
    </w:pPr>
  </w:style>
  <w:style w:type="paragraph" w:styleId="ListBullet5">
    <w:name w:val="List Bullet 5"/>
    <w:basedOn w:val="Normal"/>
    <w:uiPriority w:val="2"/>
    <w:rsid w:val="00776B54"/>
    <w:pPr>
      <w:numPr>
        <w:ilvl w:val="4"/>
        <w:numId w:val="3"/>
      </w:numPr>
      <w:spacing w:after="240"/>
      <w:jc w:val="both"/>
    </w:pPr>
  </w:style>
  <w:style w:type="paragraph" w:styleId="Header">
    <w:name w:val="header"/>
    <w:basedOn w:val="Normal"/>
    <w:link w:val="HeaderChar"/>
    <w:unhideWhenUsed/>
    <w:rsid w:val="00856A80"/>
    <w:pPr>
      <w:tabs>
        <w:tab w:val="center" w:pos="4680"/>
        <w:tab w:val="right" w:pos="9360"/>
      </w:tabs>
    </w:pPr>
  </w:style>
  <w:style w:type="character" w:customStyle="1" w:styleId="HeaderChar">
    <w:name w:val="Header Char"/>
    <w:basedOn w:val="DefaultParagraphFont"/>
    <w:link w:val="Header"/>
    <w:uiPriority w:val="99"/>
    <w:rsid w:val="00856A80"/>
  </w:style>
  <w:style w:type="paragraph" w:styleId="Footer">
    <w:name w:val="footer"/>
    <w:basedOn w:val="Normal"/>
    <w:link w:val="FooterChar"/>
    <w:unhideWhenUsed/>
    <w:rsid w:val="00856A80"/>
    <w:pPr>
      <w:tabs>
        <w:tab w:val="center" w:pos="4680"/>
        <w:tab w:val="right" w:pos="9360"/>
      </w:tabs>
    </w:pPr>
  </w:style>
  <w:style w:type="character" w:customStyle="1" w:styleId="FooterChar">
    <w:name w:val="Footer Char"/>
    <w:basedOn w:val="DefaultParagraphFont"/>
    <w:link w:val="Footer"/>
    <w:uiPriority w:val="99"/>
    <w:rsid w:val="00856A80"/>
  </w:style>
  <w:style w:type="paragraph" w:styleId="EnvelopeAddress">
    <w:name w:val="envelope address"/>
    <w:basedOn w:val="Normal"/>
    <w:uiPriority w:val="99"/>
    <w:semiHidden/>
    <w:unhideWhenUsed/>
    <w:rsid w:val="0097172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97172D"/>
    <w:rPr>
      <w:rFonts w:eastAsiaTheme="majorEastAsia" w:cstheme="majorBidi"/>
      <w:sz w:val="20"/>
      <w:szCs w:val="20"/>
    </w:rPr>
  </w:style>
  <w:style w:type="paragraph" w:styleId="Index1">
    <w:name w:val="index 1"/>
    <w:basedOn w:val="Normal"/>
    <w:next w:val="Normal"/>
    <w:autoRedefine/>
    <w:uiPriority w:val="99"/>
    <w:semiHidden/>
    <w:unhideWhenUsed/>
    <w:rsid w:val="0097172D"/>
    <w:pPr>
      <w:ind w:left="240" w:hanging="240"/>
    </w:pPr>
  </w:style>
  <w:style w:type="paragraph" w:styleId="IndexHeading">
    <w:name w:val="index heading"/>
    <w:basedOn w:val="Normal"/>
    <w:next w:val="Index1"/>
    <w:uiPriority w:val="99"/>
    <w:semiHidden/>
    <w:unhideWhenUsed/>
    <w:rsid w:val="0097172D"/>
    <w:rPr>
      <w:rFonts w:eastAsiaTheme="majorEastAsia" w:cstheme="majorBidi"/>
      <w:b/>
      <w:bCs/>
    </w:rPr>
  </w:style>
  <w:style w:type="paragraph" w:styleId="Subtitle">
    <w:name w:val="Subtitle"/>
    <w:basedOn w:val="Normal"/>
    <w:next w:val="Normal"/>
    <w:link w:val="SubtitleChar"/>
    <w:uiPriority w:val="11"/>
    <w:rsid w:val="0097172D"/>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97172D"/>
    <w:rPr>
      <w:rFonts w:eastAsiaTheme="majorEastAsia" w:cstheme="majorBidi"/>
      <w:iCs/>
      <w:spacing w:val="15"/>
    </w:rPr>
  </w:style>
  <w:style w:type="paragraph" w:styleId="TOAHeading">
    <w:name w:val="toa heading"/>
    <w:basedOn w:val="Normal"/>
    <w:next w:val="Normal"/>
    <w:uiPriority w:val="99"/>
    <w:semiHidden/>
    <w:unhideWhenUsed/>
    <w:rsid w:val="0097172D"/>
    <w:pPr>
      <w:spacing w:before="120"/>
    </w:pPr>
    <w:rPr>
      <w:rFonts w:eastAsiaTheme="majorEastAsia" w:cstheme="majorBidi"/>
      <w:b/>
      <w:bCs/>
    </w:rPr>
  </w:style>
  <w:style w:type="paragraph" w:styleId="TOCHeading">
    <w:name w:val="TOC Heading"/>
    <w:basedOn w:val="Normal"/>
    <w:next w:val="Normal"/>
    <w:uiPriority w:val="39"/>
    <w:semiHidden/>
    <w:qFormat/>
    <w:rsid w:val="00AB68FD"/>
    <w:pPr>
      <w:spacing w:after="240"/>
      <w:jc w:val="center"/>
    </w:pPr>
    <w:rPr>
      <w:rFonts w:eastAsia="SimSun" w:cs="Times New Roman"/>
      <w:b/>
    </w:rPr>
  </w:style>
  <w:style w:type="paragraph" w:styleId="TOC1">
    <w:name w:val="toc 1"/>
    <w:basedOn w:val="Normal"/>
    <w:next w:val="Normal"/>
    <w:autoRedefine/>
    <w:uiPriority w:val="39"/>
    <w:semiHidden/>
    <w:rsid w:val="00AB68FD"/>
    <w:pPr>
      <w:tabs>
        <w:tab w:val="left" w:pos="720"/>
        <w:tab w:val="right" w:leader="dot" w:pos="9360"/>
      </w:tabs>
      <w:spacing w:after="240"/>
      <w:ind w:left="720" w:right="432" w:hanging="720"/>
    </w:pPr>
    <w:rPr>
      <w:rFonts w:eastAsia="SimSun" w:cs="Times New Roman"/>
    </w:rPr>
  </w:style>
  <w:style w:type="paragraph" w:styleId="TOC2">
    <w:name w:val="toc 2"/>
    <w:basedOn w:val="Normal"/>
    <w:next w:val="Normal"/>
    <w:autoRedefine/>
    <w:uiPriority w:val="39"/>
    <w:semiHidden/>
    <w:rsid w:val="00AB68FD"/>
    <w:pPr>
      <w:tabs>
        <w:tab w:val="left" w:pos="1440"/>
        <w:tab w:val="right" w:leader="dot" w:pos="9360"/>
      </w:tabs>
      <w:spacing w:after="240"/>
      <w:ind w:left="1440" w:right="432" w:hanging="720"/>
    </w:pPr>
    <w:rPr>
      <w:rFonts w:eastAsia="SimSun" w:cs="Times New Roman"/>
    </w:rPr>
  </w:style>
  <w:style w:type="paragraph" w:styleId="TOC3">
    <w:name w:val="toc 3"/>
    <w:basedOn w:val="Normal"/>
    <w:next w:val="Normal"/>
    <w:autoRedefine/>
    <w:uiPriority w:val="39"/>
    <w:semiHidden/>
    <w:rsid w:val="00AB68FD"/>
    <w:pPr>
      <w:tabs>
        <w:tab w:val="left" w:pos="2160"/>
        <w:tab w:val="right" w:leader="dot" w:pos="9360"/>
      </w:tabs>
      <w:spacing w:after="240"/>
      <w:ind w:left="2160" w:right="432" w:hanging="720"/>
    </w:pPr>
    <w:rPr>
      <w:rFonts w:eastAsia="SimSun" w:cs="Times New Roman"/>
    </w:rPr>
  </w:style>
  <w:style w:type="paragraph" w:styleId="TOC4">
    <w:name w:val="toc 4"/>
    <w:basedOn w:val="Normal"/>
    <w:next w:val="Normal"/>
    <w:autoRedefine/>
    <w:uiPriority w:val="39"/>
    <w:semiHidden/>
    <w:rsid w:val="00AB68FD"/>
    <w:pPr>
      <w:tabs>
        <w:tab w:val="left" w:pos="2880"/>
        <w:tab w:val="right" w:leader="dot" w:pos="9360"/>
      </w:tabs>
      <w:spacing w:after="240"/>
      <w:ind w:left="2880" w:right="432" w:hanging="720"/>
    </w:pPr>
    <w:rPr>
      <w:rFonts w:eastAsia="SimSun" w:cs="Times New Roman"/>
    </w:rPr>
  </w:style>
  <w:style w:type="paragraph" w:styleId="TOC5">
    <w:name w:val="toc 5"/>
    <w:basedOn w:val="TOC4"/>
    <w:next w:val="Normal"/>
    <w:autoRedefine/>
    <w:uiPriority w:val="39"/>
    <w:semiHidden/>
    <w:rsid w:val="00AB68FD"/>
    <w:pPr>
      <w:tabs>
        <w:tab w:val="clear" w:pos="2880"/>
        <w:tab w:val="left" w:pos="3600"/>
      </w:tabs>
      <w:ind w:left="3600"/>
    </w:pPr>
  </w:style>
  <w:style w:type="paragraph" w:styleId="TOC6">
    <w:name w:val="toc 6"/>
    <w:basedOn w:val="Normal"/>
    <w:next w:val="Normal"/>
    <w:autoRedefine/>
    <w:uiPriority w:val="39"/>
    <w:semiHidden/>
    <w:rsid w:val="00AB68FD"/>
    <w:pPr>
      <w:tabs>
        <w:tab w:val="left" w:pos="4320"/>
        <w:tab w:val="right" w:leader="dot" w:pos="9360"/>
      </w:tabs>
      <w:spacing w:after="240"/>
      <w:ind w:left="4320" w:right="432" w:hanging="720"/>
    </w:pPr>
    <w:rPr>
      <w:rFonts w:eastAsia="SimSun" w:cs="Times New Roman"/>
    </w:rPr>
  </w:style>
  <w:style w:type="paragraph" w:styleId="TOC7">
    <w:name w:val="toc 7"/>
    <w:basedOn w:val="Normal"/>
    <w:next w:val="Normal"/>
    <w:autoRedefine/>
    <w:uiPriority w:val="39"/>
    <w:semiHidden/>
    <w:rsid w:val="00AB68FD"/>
    <w:pPr>
      <w:tabs>
        <w:tab w:val="left" w:pos="5040"/>
        <w:tab w:val="right" w:leader="dot" w:pos="9360"/>
      </w:tabs>
      <w:spacing w:after="240"/>
      <w:ind w:left="5040" w:hanging="720"/>
    </w:pPr>
    <w:rPr>
      <w:rFonts w:eastAsia="SimSun" w:cs="Times New Roman"/>
    </w:rPr>
  </w:style>
  <w:style w:type="paragraph" w:styleId="TOC8">
    <w:name w:val="toc 8"/>
    <w:basedOn w:val="TOC7"/>
    <w:next w:val="Normal"/>
    <w:autoRedefine/>
    <w:uiPriority w:val="39"/>
    <w:semiHidden/>
    <w:rsid w:val="00AB68FD"/>
    <w:pPr>
      <w:tabs>
        <w:tab w:val="clear" w:pos="5040"/>
        <w:tab w:val="left" w:pos="5760"/>
      </w:tabs>
      <w:ind w:left="5760" w:right="432"/>
    </w:pPr>
  </w:style>
  <w:style w:type="paragraph" w:styleId="TOC9">
    <w:name w:val="toc 9"/>
    <w:basedOn w:val="Normal"/>
    <w:next w:val="Normal"/>
    <w:autoRedefine/>
    <w:uiPriority w:val="39"/>
    <w:semiHidden/>
    <w:rsid w:val="00AB68FD"/>
    <w:pPr>
      <w:tabs>
        <w:tab w:val="left" w:pos="6480"/>
        <w:tab w:val="right" w:leader="dot" w:pos="9360"/>
      </w:tabs>
      <w:spacing w:after="240"/>
      <w:ind w:left="6480" w:right="432" w:hanging="720"/>
    </w:pPr>
    <w:rPr>
      <w:rFonts w:eastAsia="SimSun" w:cs="Times New Roman"/>
    </w:rPr>
  </w:style>
  <w:style w:type="paragraph" w:customStyle="1" w:styleId="TOCPage">
    <w:name w:val="TOC Page"/>
    <w:basedOn w:val="Normal"/>
    <w:next w:val="Normal"/>
    <w:uiPriority w:val="2"/>
    <w:semiHidden/>
    <w:rsid w:val="00AB68FD"/>
    <w:pPr>
      <w:spacing w:after="240"/>
      <w:jc w:val="right"/>
    </w:pPr>
    <w:rPr>
      <w:rFonts w:eastAsia="SimSun" w:cs="Times New Roman"/>
      <w:b/>
    </w:rPr>
  </w:style>
  <w:style w:type="numbering" w:customStyle="1" w:styleId="ListBullets">
    <w:name w:val="List Bullets"/>
    <w:uiPriority w:val="99"/>
    <w:rsid w:val="00776B54"/>
    <w:pPr>
      <w:numPr>
        <w:numId w:val="1"/>
      </w:numPr>
    </w:pPr>
  </w:style>
  <w:style w:type="numbering" w:customStyle="1" w:styleId="ListNumbers">
    <w:name w:val="List Numbers"/>
    <w:uiPriority w:val="99"/>
    <w:rsid w:val="00776B54"/>
    <w:pPr>
      <w:numPr>
        <w:numId w:val="2"/>
      </w:numPr>
    </w:pPr>
  </w:style>
  <w:style w:type="paragraph" w:styleId="BalloonText">
    <w:name w:val="Balloon Text"/>
    <w:basedOn w:val="Normal"/>
    <w:link w:val="BalloonTextChar"/>
    <w:semiHidden/>
    <w:unhideWhenUsed/>
    <w:rsid w:val="002171ED"/>
    <w:rPr>
      <w:rFonts w:ascii="Tahoma" w:hAnsi="Tahoma" w:cs="Tahoma"/>
      <w:sz w:val="20"/>
      <w:szCs w:val="16"/>
    </w:rPr>
  </w:style>
  <w:style w:type="character" w:customStyle="1" w:styleId="BalloonTextChar">
    <w:name w:val="Balloon Text Char"/>
    <w:basedOn w:val="DefaultParagraphFont"/>
    <w:link w:val="BalloonText"/>
    <w:uiPriority w:val="99"/>
    <w:semiHidden/>
    <w:rsid w:val="002171ED"/>
    <w:rPr>
      <w:rFonts w:ascii="Tahoma" w:hAnsi="Tahoma" w:cs="Tahoma"/>
      <w:sz w:val="20"/>
      <w:szCs w:val="16"/>
    </w:rPr>
  </w:style>
  <w:style w:type="table" w:styleId="TableGrid">
    <w:name w:val="Table Grid"/>
    <w:basedOn w:val="TableNormal"/>
    <w:rsid w:val="0047182B"/>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6C6FA2"/>
    <w:rPr>
      <w:vertAlign w:val="superscript"/>
    </w:rPr>
  </w:style>
  <w:style w:type="character" w:styleId="Hyperlink">
    <w:name w:val="Hyperlink"/>
    <w:basedOn w:val="DefaultParagraphFont"/>
    <w:rsid w:val="00436F02"/>
    <w:rPr>
      <w:color w:val="0000FF"/>
      <w:u w:val="single"/>
    </w:rPr>
  </w:style>
  <w:style w:type="character" w:styleId="PageNumber">
    <w:name w:val="page number"/>
    <w:rsid w:val="00617105"/>
    <w:rPr>
      <w:rFonts w:ascii="Times New Roman" w:hAnsi="Times New Roman" w:cs="Times New Roman"/>
      <w:b w:val="0"/>
      <w:sz w:val="24"/>
    </w:rPr>
  </w:style>
  <w:style w:type="paragraph" w:styleId="ListParagraph">
    <w:name w:val="List Paragraph"/>
    <w:basedOn w:val="Normal"/>
    <w:uiPriority w:val="34"/>
    <w:rsid w:val="00617105"/>
    <w:pPr>
      <w:ind w:left="720"/>
      <w:contextualSpacing/>
    </w:pPr>
  </w:style>
  <w:style w:type="character" w:styleId="CommentReference">
    <w:name w:val="annotation reference"/>
    <w:basedOn w:val="DefaultParagraphFont"/>
    <w:uiPriority w:val="99"/>
    <w:semiHidden/>
    <w:unhideWhenUsed/>
    <w:rsid w:val="00356EA6"/>
    <w:rPr>
      <w:sz w:val="16"/>
      <w:szCs w:val="16"/>
    </w:rPr>
  </w:style>
  <w:style w:type="paragraph" w:styleId="CommentText">
    <w:name w:val="annotation text"/>
    <w:basedOn w:val="Normal"/>
    <w:link w:val="CommentTextChar"/>
    <w:uiPriority w:val="99"/>
    <w:semiHidden/>
    <w:unhideWhenUsed/>
    <w:rsid w:val="00356EA6"/>
    <w:rPr>
      <w:sz w:val="20"/>
      <w:szCs w:val="20"/>
    </w:rPr>
  </w:style>
  <w:style w:type="character" w:customStyle="1" w:styleId="CommentTextChar">
    <w:name w:val="Comment Text Char"/>
    <w:basedOn w:val="DefaultParagraphFont"/>
    <w:link w:val="CommentText"/>
    <w:uiPriority w:val="99"/>
    <w:semiHidden/>
    <w:rsid w:val="00356EA6"/>
    <w:rPr>
      <w:sz w:val="20"/>
      <w:szCs w:val="20"/>
    </w:rPr>
  </w:style>
  <w:style w:type="paragraph" w:styleId="CommentSubject">
    <w:name w:val="annotation subject"/>
    <w:basedOn w:val="CommentText"/>
    <w:next w:val="CommentText"/>
    <w:link w:val="CommentSubjectChar"/>
    <w:uiPriority w:val="99"/>
    <w:semiHidden/>
    <w:unhideWhenUsed/>
    <w:rsid w:val="00356EA6"/>
    <w:rPr>
      <w:b/>
      <w:bCs/>
    </w:rPr>
  </w:style>
  <w:style w:type="character" w:customStyle="1" w:styleId="CommentSubjectChar">
    <w:name w:val="Comment Subject Char"/>
    <w:basedOn w:val="CommentTextChar"/>
    <w:link w:val="CommentSubject"/>
    <w:uiPriority w:val="99"/>
    <w:semiHidden/>
    <w:rsid w:val="00356E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PS%20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BD0CC-F16C-42FA-BD63-614A7C07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7</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2013-09-10T14:19:00Z</cp:lastPrinted>
  <dcterms:created xsi:type="dcterms:W3CDTF">2013-09-13T17:05:00Z</dcterms:created>
  <dcterms:modified xsi:type="dcterms:W3CDTF">2013-09-13T18:07:00Z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11079727v1</vt:lpwstr>
  </property>
</Properties>
</file>