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CB7C08">
      <w:pPr>
        <w:jc w:val="right"/>
        <w:rPr>
          <w:sz w:val="26"/>
          <w:szCs w:val="26"/>
        </w:rPr>
      </w:pPr>
      <w:r>
        <w:rPr>
          <w:sz w:val="26"/>
          <w:szCs w:val="26"/>
        </w:rPr>
        <w:t xml:space="preserve"> </w:t>
      </w:r>
      <w:r>
        <w:rPr>
          <w:sz w:val="26"/>
          <w:szCs w:val="26"/>
        </w:rPr>
        <w:tab/>
        <w:t xml:space="preserve">       </w:t>
      </w:r>
      <w:r w:rsidR="00012A95">
        <w:rPr>
          <w:sz w:val="26"/>
          <w:szCs w:val="26"/>
        </w:rPr>
        <w:t xml:space="preserve">  </w:t>
      </w:r>
      <w:r w:rsidR="00CB7C08">
        <w:rPr>
          <w:sz w:val="26"/>
          <w:szCs w:val="26"/>
        </w:rPr>
        <w:t xml:space="preserve">    </w:t>
      </w:r>
      <w:r w:rsidR="003428C1">
        <w:rPr>
          <w:sz w:val="26"/>
          <w:szCs w:val="26"/>
        </w:rPr>
        <w:t xml:space="preserve">  </w:t>
      </w:r>
      <w:r w:rsidR="0081411E">
        <w:rPr>
          <w:sz w:val="26"/>
          <w:szCs w:val="26"/>
        </w:rPr>
        <w:t xml:space="preserve">  </w:t>
      </w:r>
      <w:r w:rsidR="009304FE">
        <w:rPr>
          <w:sz w:val="26"/>
          <w:szCs w:val="26"/>
        </w:rPr>
        <w:t>P</w:t>
      </w:r>
      <w:r w:rsidR="009304FE" w:rsidRPr="002A5D4B">
        <w:rPr>
          <w:sz w:val="26"/>
          <w:szCs w:val="26"/>
        </w:rPr>
        <w:t xml:space="preserve">ublic Meeting held </w:t>
      </w:r>
      <w:r w:rsidR="0081411E">
        <w:rPr>
          <w:sz w:val="26"/>
          <w:szCs w:val="26"/>
        </w:rPr>
        <w:t>August 15, 2013</w:t>
      </w:r>
      <w:r>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847CD0">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847CD0">
        <w:rPr>
          <w:sz w:val="26"/>
          <w:szCs w:val="26"/>
        </w:rPr>
        <w:t>John F. Coleman, Jr.</w:t>
      </w:r>
      <w:r w:rsidRPr="002A5D4B">
        <w:rPr>
          <w:sz w:val="26"/>
          <w:szCs w:val="26"/>
        </w:rPr>
        <w:t>, Vice Chairman</w:t>
      </w:r>
    </w:p>
    <w:p w:rsidR="009304FE" w:rsidRPr="002A5D4B" w:rsidRDefault="001C7F88" w:rsidP="009304FE">
      <w:pPr>
        <w:rPr>
          <w:sz w:val="26"/>
          <w:szCs w:val="26"/>
        </w:rPr>
      </w:pPr>
      <w:r>
        <w:rPr>
          <w:sz w:val="26"/>
          <w:szCs w:val="26"/>
        </w:rPr>
        <w:tab/>
      </w:r>
      <w:r w:rsidR="009304FE">
        <w:rPr>
          <w:sz w:val="26"/>
          <w:szCs w:val="26"/>
        </w:rPr>
        <w:t>Wayne E. Gardner</w:t>
      </w:r>
    </w:p>
    <w:p w:rsidR="009304FE" w:rsidRDefault="009304FE" w:rsidP="009304FE">
      <w:pPr>
        <w:rPr>
          <w:sz w:val="26"/>
          <w:szCs w:val="26"/>
        </w:rPr>
      </w:pPr>
      <w:r w:rsidRPr="002A5D4B">
        <w:rPr>
          <w:sz w:val="26"/>
          <w:szCs w:val="26"/>
        </w:rPr>
        <w:tab/>
      </w:r>
      <w:r w:rsidR="00847CD0">
        <w:rPr>
          <w:sz w:val="26"/>
          <w:szCs w:val="26"/>
        </w:rPr>
        <w:t xml:space="preserve">James H. Cawley </w:t>
      </w:r>
    </w:p>
    <w:p w:rsidR="009304FE" w:rsidRDefault="00AB0F2F" w:rsidP="009304FE">
      <w:r>
        <w:tab/>
      </w:r>
      <w:r>
        <w:rPr>
          <w:sz w:val="26"/>
        </w:rPr>
        <w:t xml:space="preserve">Pamela A. Witmer </w:t>
      </w:r>
      <w:r>
        <w:tab/>
      </w:r>
    </w:p>
    <w:p w:rsidR="00AB0F2F" w:rsidRDefault="00AB0F2F" w:rsidP="009304FE"/>
    <w:p w:rsidR="009304FE" w:rsidRDefault="009304FE" w:rsidP="009304FE"/>
    <w:p w:rsidR="00E050C0" w:rsidRPr="00E050C0" w:rsidRDefault="0081411E" w:rsidP="00E050C0">
      <w:pPr>
        <w:tabs>
          <w:tab w:val="left" w:pos="-720"/>
          <w:tab w:val="left" w:pos="0"/>
        </w:tabs>
        <w:suppressAutoHyphens/>
        <w:rPr>
          <w:sz w:val="26"/>
          <w:szCs w:val="26"/>
        </w:rPr>
      </w:pPr>
      <w:r>
        <w:rPr>
          <w:sz w:val="26"/>
          <w:szCs w:val="26"/>
        </w:rPr>
        <w:t>Marcia Shapiro</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w:t>
      </w:r>
      <w:r w:rsidR="00C2391E">
        <w:rPr>
          <w:sz w:val="26"/>
          <w:szCs w:val="26"/>
        </w:rPr>
        <w:t xml:space="preserve">           </w:t>
      </w:r>
      <w:r>
        <w:rPr>
          <w:sz w:val="26"/>
          <w:szCs w:val="26"/>
        </w:rPr>
        <w:t xml:space="preserve"> F</w:t>
      </w:r>
      <w:r w:rsidR="009E1660">
        <w:rPr>
          <w:sz w:val="26"/>
          <w:szCs w:val="26"/>
        </w:rPr>
        <w:t>-201</w:t>
      </w:r>
      <w:r>
        <w:rPr>
          <w:sz w:val="26"/>
          <w:szCs w:val="26"/>
        </w:rPr>
        <w:t>2</w:t>
      </w:r>
      <w:r w:rsidR="009E1660">
        <w:rPr>
          <w:sz w:val="26"/>
          <w:szCs w:val="26"/>
        </w:rPr>
        <w:t>-</w:t>
      </w:r>
      <w:r w:rsidR="005E3735">
        <w:rPr>
          <w:sz w:val="26"/>
          <w:szCs w:val="26"/>
        </w:rPr>
        <w:t>2</w:t>
      </w:r>
      <w:r>
        <w:rPr>
          <w:sz w:val="26"/>
          <w:szCs w:val="26"/>
        </w:rPr>
        <w:t>318535</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EF79C5" w:rsidP="00E050C0">
      <w:pPr>
        <w:tabs>
          <w:tab w:val="left" w:pos="-720"/>
          <w:tab w:val="left" w:pos="0"/>
        </w:tabs>
        <w:suppressAutoHyphens/>
        <w:rPr>
          <w:sz w:val="26"/>
          <w:szCs w:val="26"/>
        </w:rPr>
      </w:pPr>
      <w:r>
        <w:rPr>
          <w:sz w:val="26"/>
          <w:szCs w:val="26"/>
        </w:rPr>
        <w:t>P</w:t>
      </w:r>
      <w:r w:rsidR="0081411E">
        <w:rPr>
          <w:sz w:val="26"/>
          <w:szCs w:val="26"/>
        </w:rPr>
        <w:t xml:space="preserve">hiladelphia Gas Works </w:t>
      </w:r>
      <w:r w:rsidR="00C2391E">
        <w:rPr>
          <w:sz w:val="26"/>
          <w:szCs w:val="26"/>
        </w:rPr>
        <w:t xml:space="preserve"> </w:t>
      </w:r>
      <w:r w:rsidR="003428C1">
        <w:rPr>
          <w:sz w:val="26"/>
          <w:szCs w:val="26"/>
        </w:rPr>
        <w:t xml:space="preserve"> </w:t>
      </w:r>
      <w:r>
        <w:rPr>
          <w:sz w:val="26"/>
          <w:szCs w:val="26"/>
        </w:rPr>
        <w:t xml:space="preserve"> </w:t>
      </w:r>
      <w:r w:rsidR="00E050C0">
        <w:rPr>
          <w:sz w:val="26"/>
          <w:szCs w:val="26"/>
        </w:rPr>
        <w:t xml:space="preserve">   </w:t>
      </w:r>
      <w:r w:rsidR="00E050C0" w:rsidRPr="00E050C0">
        <w:rPr>
          <w:sz w:val="26"/>
          <w:szCs w:val="26"/>
        </w:rPr>
        <w:t xml:space="preserve"> </w:t>
      </w:r>
      <w:r w:rsidR="009304FE" w:rsidRPr="00E050C0">
        <w:rPr>
          <w:sz w:val="26"/>
          <w:szCs w:val="26"/>
        </w:rPr>
        <w:tab/>
      </w:r>
      <w:r w:rsidR="009304FE" w:rsidRPr="00E050C0">
        <w:rPr>
          <w:sz w:val="26"/>
          <w:szCs w:val="26"/>
        </w:rPr>
        <w:tab/>
      </w:r>
      <w:r w:rsidR="009304FE" w:rsidRPr="00E050C0">
        <w:rPr>
          <w:sz w:val="26"/>
          <w:szCs w:val="26"/>
        </w:rPr>
        <w:tab/>
      </w:r>
      <w:r w:rsidR="009304FE" w:rsidRPr="00E050C0">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A50430"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 xml:space="preserve">is the Initial Decision (I.D.) of Administrative Law Judge (ALJ) </w:t>
      </w:r>
      <w:r w:rsidR="0081411E">
        <w:rPr>
          <w:sz w:val="26"/>
          <w:szCs w:val="26"/>
        </w:rPr>
        <w:t>Susan D. Colwell</w:t>
      </w:r>
      <w:r w:rsidR="00AA3F68">
        <w:rPr>
          <w:sz w:val="26"/>
          <w:szCs w:val="26"/>
        </w:rPr>
        <w:t xml:space="preserve">, issued on </w:t>
      </w:r>
      <w:r w:rsidR="005E3735">
        <w:rPr>
          <w:sz w:val="26"/>
          <w:szCs w:val="26"/>
        </w:rPr>
        <w:t xml:space="preserve">May </w:t>
      </w:r>
      <w:r w:rsidR="0081411E">
        <w:rPr>
          <w:sz w:val="26"/>
          <w:szCs w:val="26"/>
        </w:rPr>
        <w:t>10</w:t>
      </w:r>
      <w:r w:rsidR="00B206E5">
        <w:rPr>
          <w:sz w:val="26"/>
          <w:szCs w:val="26"/>
        </w:rPr>
        <w:t>,</w:t>
      </w:r>
      <w:r w:rsidR="00A50430">
        <w:rPr>
          <w:sz w:val="26"/>
          <w:szCs w:val="26"/>
        </w:rPr>
        <w:t xml:space="preserve"> 201</w:t>
      </w:r>
      <w:r w:rsidR="0081411E">
        <w:rPr>
          <w:sz w:val="26"/>
          <w:szCs w:val="26"/>
        </w:rPr>
        <w:t>3</w:t>
      </w:r>
      <w:r w:rsidR="00A50430">
        <w:rPr>
          <w:sz w:val="26"/>
          <w:szCs w:val="26"/>
        </w:rPr>
        <w:t>,</w:t>
      </w:r>
      <w:r w:rsidR="00B206E5">
        <w:rPr>
          <w:sz w:val="26"/>
          <w:szCs w:val="26"/>
        </w:rPr>
        <w:t xml:space="preserve"> in the above-captioned proceeding.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66 Pa. C.S. </w:t>
      </w:r>
    </w:p>
    <w:p w:rsidR="0067105F" w:rsidRDefault="008B24E5" w:rsidP="0019214E">
      <w:pPr>
        <w:spacing w:line="360" w:lineRule="auto"/>
        <w:rPr>
          <w:sz w:val="26"/>
          <w:szCs w:val="26"/>
        </w:rPr>
      </w:pPr>
      <w:r>
        <w:rPr>
          <w:sz w:val="26"/>
          <w:szCs w:val="26"/>
        </w:rPr>
        <w:t xml:space="preserve">§ 332(h).  For the reasons stated below, we </w:t>
      </w:r>
      <w:r w:rsidR="009C1908">
        <w:rPr>
          <w:sz w:val="26"/>
          <w:szCs w:val="26"/>
        </w:rPr>
        <w:t xml:space="preserve">shall </w:t>
      </w:r>
      <w:r w:rsidR="0081411E">
        <w:rPr>
          <w:sz w:val="26"/>
          <w:szCs w:val="26"/>
        </w:rPr>
        <w:t>modify</w:t>
      </w:r>
      <w:r w:rsidR="00306310">
        <w:rPr>
          <w:sz w:val="26"/>
          <w:szCs w:val="26"/>
        </w:rPr>
        <w:t xml:space="preserve"> the ALJ’s Initial Decision</w:t>
      </w:r>
      <w:r w:rsidR="0081411E">
        <w:rPr>
          <w:sz w:val="26"/>
          <w:szCs w:val="26"/>
        </w:rPr>
        <w:t>,</w:t>
      </w:r>
      <w:r w:rsidR="005C1345">
        <w:rPr>
          <w:sz w:val="26"/>
          <w:szCs w:val="26"/>
        </w:rPr>
        <w:t xml:space="preserve"> consistent with this Opinion and Order.  </w:t>
      </w:r>
      <w:r w:rsidR="00306310">
        <w:rPr>
          <w:sz w:val="26"/>
          <w:szCs w:val="26"/>
        </w:rPr>
        <w:t xml:space="preserve"> </w:t>
      </w:r>
    </w:p>
    <w:p w:rsidR="00B32735" w:rsidRDefault="00B32735" w:rsidP="00B32735">
      <w:pPr>
        <w:spacing w:line="360" w:lineRule="auto"/>
        <w:jc w:val="center"/>
        <w:rPr>
          <w:b/>
          <w:sz w:val="26"/>
          <w:szCs w:val="26"/>
        </w:rPr>
      </w:pPr>
    </w:p>
    <w:p w:rsidR="005C1345" w:rsidRDefault="005C1345" w:rsidP="00B32735">
      <w:pPr>
        <w:spacing w:line="360" w:lineRule="auto"/>
        <w:jc w:val="center"/>
        <w:rPr>
          <w:b/>
          <w:sz w:val="26"/>
          <w:szCs w:val="26"/>
        </w:rPr>
      </w:pPr>
    </w:p>
    <w:p w:rsidR="005C1345" w:rsidRDefault="005C1345" w:rsidP="00B32735">
      <w:pPr>
        <w:spacing w:line="360" w:lineRule="auto"/>
        <w:jc w:val="center"/>
        <w:rPr>
          <w:b/>
          <w:sz w:val="26"/>
          <w:szCs w:val="26"/>
        </w:rPr>
      </w:pPr>
    </w:p>
    <w:p w:rsidR="009304FE" w:rsidRDefault="00F55BED" w:rsidP="00B32735">
      <w:pPr>
        <w:spacing w:line="360" w:lineRule="auto"/>
        <w:jc w:val="center"/>
        <w:rPr>
          <w:b/>
          <w:sz w:val="26"/>
          <w:szCs w:val="26"/>
        </w:rPr>
      </w:pPr>
      <w:r w:rsidRPr="00CA1972">
        <w:rPr>
          <w:b/>
          <w:sz w:val="26"/>
          <w:szCs w:val="26"/>
        </w:rPr>
        <w:lastRenderedPageBreak/>
        <w:t>History of the Proceeding</w:t>
      </w:r>
    </w:p>
    <w:p w:rsidR="00B32735" w:rsidRDefault="00B32735" w:rsidP="00B32735">
      <w:pPr>
        <w:spacing w:line="360" w:lineRule="auto"/>
        <w:jc w:val="center"/>
        <w:rPr>
          <w:b/>
          <w:sz w:val="26"/>
          <w:szCs w:val="26"/>
        </w:rPr>
      </w:pPr>
    </w:p>
    <w:p w:rsidR="0081411E" w:rsidRPr="0081411E" w:rsidRDefault="0081411E" w:rsidP="0081411E">
      <w:pPr>
        <w:spacing w:line="360" w:lineRule="auto"/>
        <w:ind w:firstLine="1440"/>
        <w:rPr>
          <w:rFonts w:eastAsiaTheme="minorHAnsi"/>
          <w:sz w:val="26"/>
        </w:rPr>
      </w:pPr>
      <w:r w:rsidRPr="0081411E">
        <w:rPr>
          <w:rFonts w:eastAsiaTheme="minorHAnsi"/>
          <w:sz w:val="26"/>
        </w:rPr>
        <w:t xml:space="preserve">On July 30, 2012, Marcia Shapiro (Complainant) filed a </w:t>
      </w:r>
      <w:r w:rsidR="00D14D79">
        <w:rPr>
          <w:rFonts w:eastAsiaTheme="minorHAnsi"/>
          <w:sz w:val="26"/>
        </w:rPr>
        <w:t>F</w:t>
      </w:r>
      <w:r w:rsidRPr="0081411E">
        <w:rPr>
          <w:rFonts w:eastAsiaTheme="minorHAnsi"/>
          <w:sz w:val="26"/>
        </w:rPr>
        <w:t>ormal Complaint</w:t>
      </w:r>
      <w:r w:rsidR="00D14D79">
        <w:rPr>
          <w:rFonts w:eastAsiaTheme="minorHAnsi"/>
          <w:sz w:val="26"/>
        </w:rPr>
        <w:t xml:space="preserve"> (Complaint)</w:t>
      </w:r>
      <w:r w:rsidRPr="0081411E">
        <w:rPr>
          <w:rFonts w:eastAsiaTheme="minorHAnsi"/>
          <w:sz w:val="26"/>
        </w:rPr>
        <w:t xml:space="preserve"> against Philadelphia Gas Works (PGW)</w:t>
      </w:r>
      <w:r w:rsidR="00D14D79">
        <w:rPr>
          <w:rFonts w:eastAsiaTheme="minorHAnsi"/>
          <w:sz w:val="26"/>
        </w:rPr>
        <w:t>,</w:t>
      </w:r>
      <w:r w:rsidRPr="0081411E">
        <w:rPr>
          <w:rFonts w:eastAsiaTheme="minorHAnsi"/>
          <w:sz w:val="26"/>
        </w:rPr>
        <w:t xml:space="preserve"> alleging that she should not be responsible for paying for gas from January 2, 2012 to January 22, 2012, </w:t>
      </w:r>
      <w:r w:rsidR="00D14D79">
        <w:rPr>
          <w:rFonts w:eastAsiaTheme="minorHAnsi"/>
          <w:sz w:val="26"/>
        </w:rPr>
        <w:t xml:space="preserve">because </w:t>
      </w:r>
      <w:r w:rsidRPr="0081411E">
        <w:rPr>
          <w:rFonts w:eastAsiaTheme="minorHAnsi"/>
          <w:sz w:val="26"/>
        </w:rPr>
        <w:t xml:space="preserve">she reported a gas smell and the PGW investigator failed to tag the water heater until January 22, 2012.  </w:t>
      </w:r>
      <w:r w:rsidR="00D14D79">
        <w:rPr>
          <w:rFonts w:eastAsiaTheme="minorHAnsi"/>
          <w:sz w:val="26"/>
        </w:rPr>
        <w:t>The Complainant averred that s</w:t>
      </w:r>
      <w:r w:rsidRPr="0081411E">
        <w:rPr>
          <w:rFonts w:eastAsiaTheme="minorHAnsi"/>
          <w:sz w:val="26"/>
        </w:rPr>
        <w:t xml:space="preserve">he </w:t>
      </w:r>
      <w:r w:rsidR="00D14D79">
        <w:rPr>
          <w:rFonts w:eastAsiaTheme="minorHAnsi"/>
          <w:sz w:val="26"/>
        </w:rPr>
        <w:t>did not</w:t>
      </w:r>
      <w:r w:rsidRPr="0081411E">
        <w:rPr>
          <w:rFonts w:eastAsiaTheme="minorHAnsi"/>
          <w:sz w:val="26"/>
        </w:rPr>
        <w:t xml:space="preserve"> turn on the heat, </w:t>
      </w:r>
      <w:r w:rsidR="00D14D79">
        <w:rPr>
          <w:rFonts w:eastAsiaTheme="minorHAnsi"/>
          <w:sz w:val="26"/>
        </w:rPr>
        <w:t>because</w:t>
      </w:r>
      <w:r w:rsidRPr="0081411E">
        <w:rPr>
          <w:rFonts w:eastAsiaTheme="minorHAnsi"/>
          <w:sz w:val="26"/>
        </w:rPr>
        <w:t xml:space="preserve"> she was worried about the gas smell, and it was an unusually warm winter.</w:t>
      </w:r>
      <w:r w:rsidR="001D5472">
        <w:rPr>
          <w:rFonts w:eastAsiaTheme="minorHAnsi"/>
          <w:sz w:val="26"/>
        </w:rPr>
        <w:t xml:space="preserve">  Complaint at 5.</w:t>
      </w:r>
      <w:r w:rsidR="001D5472">
        <w:rPr>
          <w:rStyle w:val="FootnoteReference"/>
          <w:rFonts w:eastAsiaTheme="minorHAnsi"/>
        </w:rPr>
        <w:footnoteReference w:id="1"/>
      </w:r>
      <w:r w:rsidR="001D5472">
        <w:rPr>
          <w:rFonts w:eastAsiaTheme="minorHAnsi"/>
          <w:sz w:val="26"/>
        </w:rPr>
        <w:t xml:space="preserve">  </w:t>
      </w:r>
      <w:r w:rsidRPr="0081411E">
        <w:rPr>
          <w:rFonts w:eastAsiaTheme="minorHAnsi"/>
          <w:sz w:val="26"/>
        </w:rPr>
        <w:t xml:space="preserve">  </w:t>
      </w:r>
    </w:p>
    <w:p w:rsidR="0081411E" w:rsidRPr="0081411E" w:rsidRDefault="0081411E" w:rsidP="0081411E">
      <w:pPr>
        <w:spacing w:line="360" w:lineRule="auto"/>
        <w:rPr>
          <w:rFonts w:eastAsiaTheme="minorHAnsi"/>
          <w:sz w:val="26"/>
        </w:rPr>
      </w:pPr>
    </w:p>
    <w:p w:rsidR="0081411E" w:rsidRPr="0081411E" w:rsidRDefault="0081411E" w:rsidP="0081411E">
      <w:pPr>
        <w:spacing w:line="360" w:lineRule="auto"/>
        <w:rPr>
          <w:rFonts w:eastAsiaTheme="minorHAnsi"/>
          <w:sz w:val="26"/>
        </w:rPr>
      </w:pPr>
      <w:r w:rsidRPr="0081411E">
        <w:rPr>
          <w:rFonts w:eastAsiaTheme="minorHAnsi"/>
          <w:sz w:val="26"/>
        </w:rPr>
        <w:tab/>
      </w:r>
      <w:r w:rsidRPr="0081411E">
        <w:rPr>
          <w:rFonts w:eastAsiaTheme="minorHAnsi"/>
          <w:sz w:val="26"/>
        </w:rPr>
        <w:tab/>
        <w:t xml:space="preserve">On September 4, 2012, PGW filed </w:t>
      </w:r>
      <w:r w:rsidR="001D5472">
        <w:rPr>
          <w:rFonts w:eastAsiaTheme="minorHAnsi"/>
          <w:sz w:val="26"/>
        </w:rPr>
        <w:t>an</w:t>
      </w:r>
      <w:r w:rsidRPr="0081411E">
        <w:rPr>
          <w:rFonts w:eastAsiaTheme="minorHAnsi"/>
          <w:sz w:val="26"/>
        </w:rPr>
        <w:t xml:space="preserve"> Answer, den</w:t>
      </w:r>
      <w:r w:rsidR="001D5472">
        <w:rPr>
          <w:rFonts w:eastAsiaTheme="minorHAnsi"/>
          <w:sz w:val="26"/>
        </w:rPr>
        <w:t>ying</w:t>
      </w:r>
      <w:r w:rsidRPr="0081411E">
        <w:rPr>
          <w:rFonts w:eastAsiaTheme="minorHAnsi"/>
          <w:sz w:val="26"/>
        </w:rPr>
        <w:t xml:space="preserve"> the material allegations of the Complaint.  </w:t>
      </w:r>
      <w:r w:rsidR="00883F04">
        <w:rPr>
          <w:rFonts w:eastAsiaTheme="minorHAnsi"/>
          <w:sz w:val="26"/>
        </w:rPr>
        <w:t xml:space="preserve">PGW admitted that it </w:t>
      </w:r>
      <w:r w:rsidR="00ED17B1">
        <w:rPr>
          <w:rFonts w:eastAsiaTheme="minorHAnsi"/>
          <w:sz w:val="26"/>
        </w:rPr>
        <w:t xml:space="preserve">inspected the Complainant’s residence on January 2, 2012, but did not find a leak.  PGW admitted that, on January 22, 2012, it </w:t>
      </w:r>
      <w:r w:rsidR="00883F04">
        <w:rPr>
          <w:rFonts w:eastAsiaTheme="minorHAnsi"/>
          <w:sz w:val="26"/>
        </w:rPr>
        <w:t xml:space="preserve">found </w:t>
      </w:r>
      <w:r w:rsidRPr="0081411E">
        <w:rPr>
          <w:rFonts w:eastAsiaTheme="minorHAnsi"/>
          <w:sz w:val="26"/>
        </w:rPr>
        <w:t xml:space="preserve">a leaking gas valve on the automatic water heater and a fuel line leak after </w:t>
      </w:r>
      <w:r w:rsidR="002C7CB2">
        <w:rPr>
          <w:rFonts w:eastAsiaTheme="minorHAnsi"/>
          <w:sz w:val="26"/>
        </w:rPr>
        <w:t xml:space="preserve">the </w:t>
      </w:r>
      <w:r w:rsidRPr="0081411E">
        <w:rPr>
          <w:rFonts w:eastAsiaTheme="minorHAnsi"/>
          <w:sz w:val="26"/>
        </w:rPr>
        <w:t>shut off valve for the automatic water</w:t>
      </w:r>
      <w:r w:rsidR="00883F04">
        <w:rPr>
          <w:rFonts w:eastAsiaTheme="minorHAnsi"/>
          <w:sz w:val="26"/>
        </w:rPr>
        <w:t xml:space="preserve"> </w:t>
      </w:r>
      <w:r w:rsidRPr="0081411E">
        <w:rPr>
          <w:rFonts w:eastAsiaTheme="minorHAnsi"/>
          <w:sz w:val="26"/>
        </w:rPr>
        <w:t xml:space="preserve">heater.  PGW </w:t>
      </w:r>
      <w:r w:rsidR="00883F04">
        <w:rPr>
          <w:rFonts w:eastAsiaTheme="minorHAnsi"/>
          <w:sz w:val="26"/>
        </w:rPr>
        <w:t xml:space="preserve">stated that it </w:t>
      </w:r>
      <w:r w:rsidRPr="0081411E">
        <w:rPr>
          <w:rFonts w:eastAsiaTheme="minorHAnsi"/>
          <w:sz w:val="26"/>
        </w:rPr>
        <w:t>turned off the gas to the water heater at the valve and instructed the Complainant to contact a contractor.</w:t>
      </w:r>
      <w:r w:rsidR="00883F04">
        <w:rPr>
          <w:rFonts w:eastAsiaTheme="minorHAnsi"/>
          <w:sz w:val="26"/>
        </w:rPr>
        <w:t xml:space="preserve">  Answer at </w:t>
      </w:r>
      <w:r w:rsidR="007A35C4">
        <w:rPr>
          <w:rFonts w:eastAsiaTheme="minorHAnsi"/>
          <w:sz w:val="26"/>
        </w:rPr>
        <w:t>1.</w:t>
      </w:r>
      <w:r w:rsidR="00D27568">
        <w:rPr>
          <w:rFonts w:eastAsiaTheme="minorHAnsi"/>
          <w:sz w:val="26"/>
        </w:rPr>
        <w:t xml:space="preserve">  </w:t>
      </w:r>
      <w:r w:rsidRPr="0081411E">
        <w:rPr>
          <w:rFonts w:eastAsiaTheme="minorHAnsi"/>
          <w:sz w:val="26"/>
        </w:rPr>
        <w:t xml:space="preserve">PGW </w:t>
      </w:r>
      <w:r w:rsidR="00D27568">
        <w:rPr>
          <w:rFonts w:eastAsiaTheme="minorHAnsi"/>
          <w:sz w:val="26"/>
        </w:rPr>
        <w:t xml:space="preserve">also stated that it </w:t>
      </w:r>
      <w:r w:rsidRPr="0081411E">
        <w:rPr>
          <w:rFonts w:eastAsiaTheme="minorHAnsi"/>
          <w:sz w:val="26"/>
        </w:rPr>
        <w:t xml:space="preserve">cancelled the </w:t>
      </w:r>
      <w:r w:rsidR="00D27568">
        <w:rPr>
          <w:rFonts w:eastAsiaTheme="minorHAnsi"/>
          <w:sz w:val="26"/>
        </w:rPr>
        <w:t xml:space="preserve">original </w:t>
      </w:r>
      <w:r w:rsidRPr="0081411E">
        <w:rPr>
          <w:rFonts w:eastAsiaTheme="minorHAnsi"/>
          <w:sz w:val="26"/>
        </w:rPr>
        <w:t xml:space="preserve">bill for $314.74 and issued an adjusted bill </w:t>
      </w:r>
      <w:r w:rsidR="00D27568">
        <w:rPr>
          <w:rFonts w:eastAsiaTheme="minorHAnsi"/>
          <w:sz w:val="26"/>
        </w:rPr>
        <w:t xml:space="preserve">to the Complainant </w:t>
      </w:r>
      <w:r w:rsidRPr="0081411E">
        <w:rPr>
          <w:rFonts w:eastAsiaTheme="minorHAnsi"/>
          <w:sz w:val="26"/>
        </w:rPr>
        <w:t>for $181.58 for usage from December 12, 2011</w:t>
      </w:r>
      <w:r w:rsidR="00D27568">
        <w:rPr>
          <w:rFonts w:eastAsiaTheme="minorHAnsi"/>
          <w:sz w:val="26"/>
        </w:rPr>
        <w:t>,</w:t>
      </w:r>
      <w:r w:rsidRPr="0081411E">
        <w:rPr>
          <w:rFonts w:eastAsiaTheme="minorHAnsi"/>
          <w:sz w:val="26"/>
        </w:rPr>
        <w:t xml:space="preserve"> to February 13, 2012.</w:t>
      </w:r>
      <w:r w:rsidR="00D27568">
        <w:rPr>
          <w:rFonts w:eastAsiaTheme="minorHAnsi"/>
          <w:sz w:val="26"/>
        </w:rPr>
        <w:t xml:space="preserve">  </w:t>
      </w:r>
      <w:r w:rsidR="00D27568" w:rsidRPr="00D27568">
        <w:rPr>
          <w:rFonts w:eastAsiaTheme="minorHAnsi"/>
          <w:i/>
          <w:sz w:val="26"/>
        </w:rPr>
        <w:t>Id</w:t>
      </w:r>
      <w:r w:rsidR="00D27568">
        <w:rPr>
          <w:rFonts w:eastAsiaTheme="minorHAnsi"/>
          <w:sz w:val="26"/>
        </w:rPr>
        <w:t xml:space="preserve">. at 2.  </w:t>
      </w:r>
    </w:p>
    <w:p w:rsidR="0081411E" w:rsidRPr="0081411E" w:rsidRDefault="0081411E" w:rsidP="0081411E">
      <w:pPr>
        <w:spacing w:line="360" w:lineRule="auto"/>
        <w:rPr>
          <w:rFonts w:eastAsiaTheme="minorHAnsi"/>
          <w:sz w:val="26"/>
        </w:rPr>
      </w:pPr>
    </w:p>
    <w:p w:rsidR="003309FF" w:rsidRDefault="0081411E" w:rsidP="00976E8C">
      <w:pPr>
        <w:spacing w:line="360" w:lineRule="auto"/>
        <w:rPr>
          <w:rFonts w:eastAsiaTheme="minorHAnsi"/>
          <w:sz w:val="26"/>
        </w:rPr>
      </w:pPr>
      <w:r w:rsidRPr="0081411E">
        <w:rPr>
          <w:rFonts w:eastAsiaTheme="minorHAnsi"/>
          <w:sz w:val="26"/>
        </w:rPr>
        <w:tab/>
      </w:r>
      <w:r w:rsidRPr="0081411E">
        <w:rPr>
          <w:rFonts w:eastAsiaTheme="minorHAnsi"/>
          <w:sz w:val="26"/>
        </w:rPr>
        <w:tab/>
      </w:r>
      <w:r w:rsidR="00BC061A">
        <w:rPr>
          <w:rFonts w:eastAsiaTheme="minorHAnsi"/>
          <w:sz w:val="26"/>
        </w:rPr>
        <w:t>A</w:t>
      </w:r>
      <w:r w:rsidRPr="0081411E">
        <w:rPr>
          <w:rFonts w:eastAsiaTheme="minorHAnsi"/>
          <w:sz w:val="26"/>
        </w:rPr>
        <w:t xml:space="preserve"> hearing was held on March 6, 2013.  PGW was represented by </w:t>
      </w:r>
      <w:r w:rsidR="00BC061A">
        <w:rPr>
          <w:rFonts w:eastAsiaTheme="minorHAnsi"/>
          <w:sz w:val="26"/>
        </w:rPr>
        <w:t>counsel</w:t>
      </w:r>
      <w:r w:rsidRPr="0081411E">
        <w:rPr>
          <w:rFonts w:eastAsiaTheme="minorHAnsi"/>
          <w:sz w:val="26"/>
        </w:rPr>
        <w:t xml:space="preserve">, who presented the testimony of one witness who sponsored five exhibits.  </w:t>
      </w:r>
      <w:r w:rsidR="00BC061A">
        <w:rPr>
          <w:rFonts w:eastAsiaTheme="minorHAnsi"/>
          <w:sz w:val="26"/>
        </w:rPr>
        <w:t xml:space="preserve">The </w:t>
      </w:r>
      <w:r w:rsidRPr="0081411E">
        <w:rPr>
          <w:rFonts w:eastAsiaTheme="minorHAnsi"/>
          <w:sz w:val="26"/>
        </w:rPr>
        <w:t xml:space="preserve">Complainant appeared </w:t>
      </w:r>
      <w:r w:rsidR="00BC061A" w:rsidRPr="00BC061A">
        <w:rPr>
          <w:rFonts w:eastAsiaTheme="minorHAnsi"/>
          <w:i/>
          <w:sz w:val="26"/>
        </w:rPr>
        <w:t>pro se</w:t>
      </w:r>
      <w:r w:rsidRPr="0081411E">
        <w:rPr>
          <w:rFonts w:eastAsiaTheme="minorHAnsi"/>
          <w:sz w:val="26"/>
        </w:rPr>
        <w:t xml:space="preserve"> and presented four exhibits.</w:t>
      </w:r>
      <w:r w:rsidR="00976E8C">
        <w:rPr>
          <w:rFonts w:eastAsiaTheme="minorHAnsi"/>
          <w:sz w:val="26"/>
        </w:rPr>
        <w:t xml:space="preserve">  </w:t>
      </w:r>
      <w:r w:rsidRPr="0081411E">
        <w:rPr>
          <w:rFonts w:eastAsiaTheme="minorHAnsi"/>
          <w:sz w:val="26"/>
        </w:rPr>
        <w:t xml:space="preserve">The hearing generated a transcript of </w:t>
      </w:r>
      <w:r w:rsidR="00976E8C">
        <w:rPr>
          <w:rFonts w:eastAsiaTheme="minorHAnsi"/>
          <w:sz w:val="26"/>
        </w:rPr>
        <w:t>fifty-eight</w:t>
      </w:r>
      <w:r w:rsidRPr="0081411E">
        <w:rPr>
          <w:rFonts w:eastAsiaTheme="minorHAnsi"/>
          <w:sz w:val="26"/>
        </w:rPr>
        <w:t xml:space="preserve"> pages</w:t>
      </w:r>
      <w:r w:rsidR="00976E8C">
        <w:rPr>
          <w:rFonts w:eastAsiaTheme="minorHAnsi"/>
          <w:sz w:val="26"/>
        </w:rPr>
        <w:t>.</w:t>
      </w:r>
      <w:r w:rsidRPr="0081411E">
        <w:rPr>
          <w:rFonts w:eastAsiaTheme="minorHAnsi"/>
          <w:sz w:val="26"/>
        </w:rPr>
        <w:t xml:space="preserve"> </w:t>
      </w:r>
      <w:r w:rsidR="00976E8C">
        <w:rPr>
          <w:rFonts w:eastAsiaTheme="minorHAnsi"/>
          <w:sz w:val="26"/>
        </w:rPr>
        <w:t xml:space="preserve"> T</w:t>
      </w:r>
      <w:r w:rsidRPr="0081411E">
        <w:rPr>
          <w:rFonts w:eastAsiaTheme="minorHAnsi"/>
          <w:sz w:val="26"/>
        </w:rPr>
        <w:t xml:space="preserve">he record closed on April 25, 2013.  </w:t>
      </w:r>
    </w:p>
    <w:p w:rsidR="00976E8C" w:rsidRPr="0081411E" w:rsidRDefault="00976E8C" w:rsidP="00976E8C">
      <w:pPr>
        <w:spacing w:line="360" w:lineRule="auto"/>
        <w:rPr>
          <w:sz w:val="26"/>
        </w:rPr>
      </w:pPr>
    </w:p>
    <w:p w:rsidR="001A06F7" w:rsidRPr="0081411E" w:rsidRDefault="00D54954" w:rsidP="00D54954">
      <w:pPr>
        <w:spacing w:line="360" w:lineRule="auto"/>
        <w:ind w:firstLine="1440"/>
        <w:rPr>
          <w:sz w:val="26"/>
        </w:rPr>
      </w:pPr>
      <w:r w:rsidRPr="0081411E">
        <w:rPr>
          <w:sz w:val="26"/>
        </w:rPr>
        <w:lastRenderedPageBreak/>
        <w:t>In t</w:t>
      </w:r>
      <w:r w:rsidR="00426953" w:rsidRPr="0081411E">
        <w:rPr>
          <w:sz w:val="26"/>
        </w:rPr>
        <w:t>he Initial Decision</w:t>
      </w:r>
      <w:r w:rsidRPr="0081411E">
        <w:rPr>
          <w:sz w:val="26"/>
        </w:rPr>
        <w:t>,</w:t>
      </w:r>
      <w:r w:rsidR="00426953" w:rsidRPr="0081411E">
        <w:rPr>
          <w:sz w:val="26"/>
        </w:rPr>
        <w:t xml:space="preserve"> issued on </w:t>
      </w:r>
      <w:r w:rsidR="00D37800" w:rsidRPr="0081411E">
        <w:rPr>
          <w:sz w:val="26"/>
        </w:rPr>
        <w:t xml:space="preserve">May </w:t>
      </w:r>
      <w:r w:rsidR="00333EEC">
        <w:rPr>
          <w:sz w:val="26"/>
        </w:rPr>
        <w:t>10</w:t>
      </w:r>
      <w:r w:rsidR="002074D3" w:rsidRPr="0081411E">
        <w:rPr>
          <w:sz w:val="26"/>
        </w:rPr>
        <w:t>,</w:t>
      </w:r>
      <w:r w:rsidRPr="0081411E">
        <w:rPr>
          <w:sz w:val="26"/>
        </w:rPr>
        <w:t xml:space="preserve"> 201</w:t>
      </w:r>
      <w:r w:rsidR="00333EEC">
        <w:rPr>
          <w:sz w:val="26"/>
        </w:rPr>
        <w:t>3</w:t>
      </w:r>
      <w:r w:rsidRPr="0081411E">
        <w:rPr>
          <w:sz w:val="26"/>
        </w:rPr>
        <w:t xml:space="preserve">, the ALJ </w:t>
      </w:r>
      <w:r w:rsidR="00333EEC">
        <w:rPr>
          <w:sz w:val="26"/>
        </w:rPr>
        <w:t>sustained the Complaint insofar a</w:t>
      </w:r>
      <w:r w:rsidR="0070213C">
        <w:rPr>
          <w:sz w:val="26"/>
        </w:rPr>
        <w:t>s</w:t>
      </w:r>
      <w:r w:rsidR="00333EEC">
        <w:rPr>
          <w:sz w:val="26"/>
        </w:rPr>
        <w:t xml:space="preserve"> the Complaint sought removal of the $181.58 from the balance of the Complainant’s account.</w:t>
      </w:r>
      <w:r w:rsidR="00014826" w:rsidRPr="0081411E">
        <w:rPr>
          <w:sz w:val="26"/>
        </w:rPr>
        <w:t xml:space="preserve">  I.D. at </w:t>
      </w:r>
      <w:r w:rsidR="00333EEC">
        <w:rPr>
          <w:sz w:val="26"/>
        </w:rPr>
        <w:t>1</w:t>
      </w:r>
      <w:r w:rsidR="00014826" w:rsidRPr="0081411E">
        <w:rPr>
          <w:sz w:val="26"/>
        </w:rPr>
        <w:t xml:space="preserve">8.  </w:t>
      </w:r>
      <w:r w:rsidR="002C5DB6" w:rsidRPr="0081411E">
        <w:rPr>
          <w:sz w:val="26"/>
        </w:rPr>
        <w:t xml:space="preserve"> </w:t>
      </w:r>
    </w:p>
    <w:p w:rsidR="001A06F7" w:rsidRPr="0081411E" w:rsidRDefault="001A06F7" w:rsidP="00D54954">
      <w:pPr>
        <w:spacing w:line="360" w:lineRule="auto"/>
        <w:ind w:firstLine="1440"/>
        <w:rPr>
          <w:sz w:val="26"/>
        </w:rPr>
      </w:pPr>
    </w:p>
    <w:p w:rsidR="001A1AD3" w:rsidRDefault="004419DA" w:rsidP="00791EEE">
      <w:pPr>
        <w:jc w:val="center"/>
        <w:rPr>
          <w:b/>
          <w:sz w:val="26"/>
          <w:szCs w:val="26"/>
        </w:rPr>
      </w:pPr>
      <w:r>
        <w:rPr>
          <w:b/>
          <w:sz w:val="26"/>
          <w:szCs w:val="26"/>
        </w:rPr>
        <w:t>Discussion</w:t>
      </w:r>
    </w:p>
    <w:p w:rsidR="00D5673B" w:rsidRDefault="00D5673B" w:rsidP="001A1AD3">
      <w:pPr>
        <w:spacing w:line="360" w:lineRule="auto"/>
        <w:jc w:val="center"/>
        <w:rPr>
          <w:sz w:val="26"/>
          <w:szCs w:val="26"/>
        </w:rPr>
      </w:pPr>
    </w:p>
    <w:p w:rsidR="00FB0336" w:rsidRDefault="001448EA" w:rsidP="001448EA">
      <w:pPr>
        <w:spacing w:line="360" w:lineRule="auto"/>
        <w:ind w:firstLine="1440"/>
        <w:rPr>
          <w:rFonts w:ascii="Times New (W1)" w:hAnsi="Times New (W1)"/>
          <w:sz w:val="26"/>
        </w:rPr>
      </w:pPr>
      <w:r w:rsidRPr="009C2700">
        <w:rPr>
          <w:rFonts w:ascii="Times New (W1)" w:hAnsi="Times New (W1)"/>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sidR="00BB63AF">
        <w:rPr>
          <w:rFonts w:ascii="Times New (W1)" w:hAnsi="Times New (W1)"/>
          <w:sz w:val="26"/>
          <w:szCs w:val="26"/>
        </w:rPr>
        <w:t>Respondent</w:t>
      </w:r>
      <w:r w:rsidRPr="009C2700">
        <w:rPr>
          <w:rFonts w:ascii="Times New (W1)" w:hAnsi="Times New (W1)"/>
          <w:sz w:val="26"/>
          <w:szCs w:val="26"/>
        </w:rPr>
        <w:t xml:space="preserve"> is responsible or accountable for the problem described in the Complaint.  </w:t>
      </w:r>
      <w:r w:rsidRPr="009C2700">
        <w:rPr>
          <w:rFonts w:ascii="Times New (W1)" w:hAnsi="Times New (W1)"/>
          <w:i/>
          <w:sz w:val="26"/>
          <w:szCs w:val="26"/>
        </w:rPr>
        <w:t>Patterson v. Bell Telephone Company of Pennsylvania</w:t>
      </w:r>
      <w:r w:rsidRPr="009C2700">
        <w:rPr>
          <w:rFonts w:ascii="Times New (W1)" w:hAnsi="Times New (W1)"/>
          <w:sz w:val="26"/>
          <w:szCs w:val="26"/>
        </w:rPr>
        <w:t xml:space="preserve">, 72 Pa. P.U.C. 196 (1990).  Such a showing must be by a preponderance of the evidence.  </w:t>
      </w:r>
      <w:r w:rsidRPr="009C2700">
        <w:rPr>
          <w:rFonts w:ascii="Times New (W1)" w:hAnsi="Times New (W1)"/>
          <w:i/>
          <w:iCs/>
          <w:sz w:val="26"/>
          <w:szCs w:val="26"/>
        </w:rPr>
        <w:t>Samuel J. Lansberry, Inc. v. Pa. PUC</w:t>
      </w:r>
      <w:r w:rsidRPr="009C2700">
        <w:rPr>
          <w:rFonts w:ascii="Times New (W1)" w:hAnsi="Times New (W1)"/>
          <w:sz w:val="26"/>
          <w:szCs w:val="26"/>
        </w:rPr>
        <w:t xml:space="preserve">, 578 A.2d 600 (Pa. Cmwlth. 1990), </w:t>
      </w:r>
      <w:r w:rsidRPr="009C2700">
        <w:rPr>
          <w:rFonts w:ascii="Times New (W1)" w:hAnsi="Times New (W1)"/>
          <w:i/>
          <w:sz w:val="26"/>
          <w:szCs w:val="26"/>
        </w:rPr>
        <w:t>alloc. denied,</w:t>
      </w:r>
      <w:r w:rsidRPr="009C2700">
        <w:rPr>
          <w:rFonts w:ascii="Times New (W1)" w:hAnsi="Times New (W1)"/>
          <w:sz w:val="26"/>
          <w:szCs w:val="26"/>
        </w:rPr>
        <w:t xml:space="preserve"> 529 Pa. 654, 602 A.2d 863 (1992).  That is, the Complainant’s evidence must be more convincing, by even the smallest amount, than that presented by the </w:t>
      </w:r>
      <w:r w:rsidR="00BB63AF">
        <w:rPr>
          <w:rFonts w:ascii="Times New (W1)" w:hAnsi="Times New (W1)"/>
          <w:sz w:val="26"/>
          <w:szCs w:val="26"/>
        </w:rPr>
        <w:t>Respondent</w:t>
      </w:r>
      <w:r w:rsidRPr="009C2700">
        <w:rPr>
          <w:rFonts w:ascii="Times New (W1)" w:hAnsi="Times New (W1)"/>
          <w:sz w:val="26"/>
          <w:szCs w:val="26"/>
        </w:rPr>
        <w:t xml:space="preserve">.  </w:t>
      </w:r>
      <w:r w:rsidRPr="009C2700">
        <w:rPr>
          <w:rFonts w:ascii="Times New (W1)" w:hAnsi="Times New (W1)"/>
          <w:i/>
          <w:sz w:val="26"/>
          <w:szCs w:val="26"/>
        </w:rPr>
        <w:t>Se-Ling Hosiery</w:t>
      </w:r>
      <w:r w:rsidR="00180E89">
        <w:rPr>
          <w:rFonts w:ascii="Times New (W1)" w:hAnsi="Times New (W1)"/>
          <w:i/>
          <w:sz w:val="26"/>
          <w:szCs w:val="26"/>
        </w:rPr>
        <w:t>, Inc.</w:t>
      </w:r>
      <w:r w:rsidRPr="009C2700">
        <w:rPr>
          <w:rFonts w:ascii="Times New (W1)" w:hAnsi="Times New (W1)"/>
          <w:i/>
          <w:sz w:val="26"/>
          <w:szCs w:val="26"/>
        </w:rPr>
        <w:t xml:space="preserve"> v. Margulies</w:t>
      </w:r>
      <w:r w:rsidRPr="009C2700">
        <w:rPr>
          <w:rFonts w:ascii="Times New (W1)" w:hAnsi="Times New (W1)"/>
          <w:sz w:val="26"/>
          <w:szCs w:val="26"/>
        </w:rPr>
        <w:t xml:space="preserve">, 364 Pa. 45, 70 A.2d 854 (1950).  Additionally, this Commission’s </w:t>
      </w:r>
      <w:r w:rsidRPr="009C2700">
        <w:rPr>
          <w:rFonts w:ascii="Times New (W1)" w:hAnsi="Times New (W1)"/>
          <w:sz w:val="26"/>
        </w:rPr>
        <w:t xml:space="preserve">decision must be supported by substantial evidence in the record.  More is required than a mere trace of evidence or a suspicion of the existence of a fact sought to be established.  </w:t>
      </w:r>
      <w:r w:rsidRPr="009C2700">
        <w:rPr>
          <w:rFonts w:ascii="Times New (W1)" w:hAnsi="Times New (W1)"/>
          <w:i/>
          <w:sz w:val="26"/>
        </w:rPr>
        <w:t xml:space="preserve">Norfolk &amp; Western Ry. Co. v. Pa. PUC, </w:t>
      </w:r>
      <w:r w:rsidRPr="009C2700">
        <w:rPr>
          <w:rFonts w:ascii="Times New (W1)" w:hAnsi="Times New (W1)"/>
          <w:sz w:val="26"/>
        </w:rPr>
        <w:t>489 Pa. 109, 413 A.2d 1037 (1980).</w:t>
      </w:r>
      <w:r w:rsidR="00F00E17">
        <w:rPr>
          <w:rFonts w:ascii="Times New (W1)" w:hAnsi="Times New (W1)"/>
          <w:sz w:val="26"/>
        </w:rPr>
        <w:t xml:space="preserve">  </w:t>
      </w:r>
    </w:p>
    <w:p w:rsidR="00FB0336" w:rsidRDefault="00FB0336" w:rsidP="001448EA">
      <w:pPr>
        <w:spacing w:line="360" w:lineRule="auto"/>
        <w:ind w:firstLine="1440"/>
        <w:rPr>
          <w:rFonts w:ascii="Times New (W1)" w:hAnsi="Times New (W1)"/>
          <w:sz w:val="26"/>
        </w:rPr>
      </w:pPr>
    </w:p>
    <w:p w:rsidR="00FB0336" w:rsidRPr="00FB0336" w:rsidRDefault="00FB0336" w:rsidP="00FB0336">
      <w:pPr>
        <w:spacing w:line="360" w:lineRule="auto"/>
        <w:ind w:firstLine="1440"/>
        <w:rPr>
          <w:sz w:val="26"/>
        </w:rPr>
      </w:pPr>
      <w:r w:rsidRPr="00FB0336">
        <w:rPr>
          <w:sz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w:t>
      </w:r>
      <w:r>
        <w:rPr>
          <w:sz w:val="26"/>
        </w:rPr>
        <w:t>satisfied t</w:t>
      </w:r>
      <w:r w:rsidRPr="00FB0336">
        <w:rPr>
          <w:sz w:val="26"/>
        </w:rPr>
        <w:t>h</w:t>
      </w:r>
      <w:r>
        <w:rPr>
          <w:sz w:val="26"/>
        </w:rPr>
        <w:t>e</w:t>
      </w:r>
      <w:r w:rsidRPr="00FB0336">
        <w:rPr>
          <w:sz w:val="26"/>
        </w:rPr>
        <w:t xml:space="preserve"> burden of proof.  The Complainant now has to provide some additional evidence to rebut the evidence of the Respondent. </w:t>
      </w:r>
      <w:r w:rsidRPr="00FB0336">
        <w:rPr>
          <w:iCs/>
          <w:sz w:val="26"/>
        </w:rPr>
        <w:t xml:space="preserve"> </w:t>
      </w:r>
      <w:hyperlink r:id="rId9" w:history="1">
        <w:r w:rsidRPr="00FB0336">
          <w:rPr>
            <w:rFonts w:eastAsiaTheme="majorEastAsia"/>
            <w:i/>
            <w:iCs/>
            <w:sz w:val="26"/>
          </w:rPr>
          <w:t>Burleson v. Pa. PUC</w:t>
        </w:r>
        <w:r w:rsidRPr="00FB0336">
          <w:rPr>
            <w:rFonts w:eastAsiaTheme="majorEastAsia"/>
            <w:iCs/>
            <w:sz w:val="26"/>
          </w:rPr>
          <w:t xml:space="preserve">, 443 A.2d 1373 (Pa. Cmwlth. 1982), </w:t>
        </w:r>
        <w:r w:rsidRPr="00CD2881">
          <w:rPr>
            <w:rFonts w:eastAsiaTheme="majorEastAsia"/>
            <w:i/>
            <w:iCs/>
            <w:sz w:val="26"/>
          </w:rPr>
          <w:t>aff’d</w:t>
        </w:r>
        <w:r w:rsidRPr="00FB0336">
          <w:rPr>
            <w:rFonts w:eastAsiaTheme="majorEastAsia"/>
            <w:iCs/>
            <w:sz w:val="26"/>
          </w:rPr>
          <w:t>, 501 Pa. 433, 461 A.2d 1234 (1983).</w:t>
        </w:r>
      </w:hyperlink>
      <w:r>
        <w:rPr>
          <w:rFonts w:eastAsiaTheme="majorEastAsia"/>
          <w:iCs/>
          <w:sz w:val="26"/>
        </w:rPr>
        <w:t xml:space="preserve">  </w:t>
      </w:r>
      <w:r w:rsidRPr="00FB0336">
        <w:rPr>
          <w:sz w:val="26"/>
        </w:rPr>
        <w:t xml:space="preserve">While the burden of </w:t>
      </w:r>
      <w:r w:rsidR="005618BC">
        <w:rPr>
          <w:sz w:val="26"/>
        </w:rPr>
        <w:t>going forward with the evidence</w:t>
      </w:r>
      <w:r w:rsidRPr="00FB0336">
        <w:rPr>
          <w:sz w:val="26"/>
        </w:rPr>
        <w:t xml:space="preserve"> may </w:t>
      </w:r>
      <w:r w:rsidRPr="00FB0336">
        <w:rPr>
          <w:rFonts w:eastAsiaTheme="majorEastAsia"/>
          <w:sz w:val="26"/>
        </w:rPr>
        <w:t>shift</w:t>
      </w:r>
      <w:r w:rsidRPr="00FB0336">
        <w:rPr>
          <w:sz w:val="26"/>
        </w:rPr>
        <w:t xml:space="preserve"> back and forth during a proceeding, the </w:t>
      </w:r>
      <w:r w:rsidRPr="00FB0336">
        <w:rPr>
          <w:rFonts w:eastAsiaTheme="majorEastAsia"/>
          <w:sz w:val="26"/>
        </w:rPr>
        <w:t>burden of proof</w:t>
      </w:r>
      <w:r w:rsidRPr="00FB0336">
        <w:rPr>
          <w:sz w:val="26"/>
        </w:rPr>
        <w:t xml:space="preserve"> never </w:t>
      </w:r>
      <w:r w:rsidRPr="00FB0336">
        <w:rPr>
          <w:rFonts w:eastAsiaTheme="majorEastAsia"/>
          <w:sz w:val="26"/>
        </w:rPr>
        <w:t xml:space="preserve">shifts.  The burden of </w:t>
      </w:r>
      <w:r w:rsidRPr="00FB0336">
        <w:rPr>
          <w:rFonts w:eastAsiaTheme="majorEastAsia"/>
          <w:sz w:val="26"/>
        </w:rPr>
        <w:lastRenderedPageBreak/>
        <w:t>proof</w:t>
      </w:r>
      <w:r w:rsidRPr="00FB0336">
        <w:rPr>
          <w:sz w:val="26"/>
        </w:rPr>
        <w:t xml:space="preserve"> always remains on the party seeking affirmative relief from the Commission.  </w:t>
      </w:r>
      <w:r w:rsidRPr="00FB0336">
        <w:rPr>
          <w:i/>
          <w:sz w:val="26"/>
        </w:rPr>
        <w:t xml:space="preserve">Milkie v. Pa. PUC, </w:t>
      </w:r>
      <w:r w:rsidRPr="00FB0336">
        <w:rPr>
          <w:sz w:val="26"/>
        </w:rPr>
        <w:t>768 A.2d 1217 (Pa. Cmwlth. 2001).</w:t>
      </w:r>
    </w:p>
    <w:p w:rsidR="001448EA" w:rsidRPr="009C2700" w:rsidRDefault="001448EA" w:rsidP="001448EA">
      <w:pPr>
        <w:spacing w:line="360" w:lineRule="auto"/>
        <w:rPr>
          <w:rFonts w:ascii="Times New (W1)" w:hAnsi="Times New (W1)"/>
          <w:sz w:val="26"/>
        </w:rPr>
      </w:pPr>
    </w:p>
    <w:p w:rsidR="0027458E" w:rsidRDefault="009542EE" w:rsidP="00DA2CEC">
      <w:pPr>
        <w:spacing w:line="360" w:lineRule="auto"/>
        <w:ind w:firstLine="1440"/>
        <w:rPr>
          <w:sz w:val="26"/>
          <w:szCs w:val="26"/>
        </w:rPr>
      </w:pPr>
      <w:r>
        <w:rPr>
          <w:sz w:val="26"/>
          <w:szCs w:val="26"/>
        </w:rPr>
        <w:t xml:space="preserve">The ALJ </w:t>
      </w:r>
      <w:r w:rsidR="003440BD" w:rsidRPr="002E740E">
        <w:rPr>
          <w:sz w:val="26"/>
          <w:szCs w:val="26"/>
        </w:rPr>
        <w:t xml:space="preserve">made </w:t>
      </w:r>
      <w:r w:rsidR="00333EEC">
        <w:rPr>
          <w:sz w:val="26"/>
          <w:szCs w:val="26"/>
        </w:rPr>
        <w:t>twenty-seven</w:t>
      </w:r>
      <w:r w:rsidR="003440BD">
        <w:rPr>
          <w:sz w:val="26"/>
          <w:szCs w:val="26"/>
        </w:rPr>
        <w:t xml:space="preserve"> Findings of Fact</w:t>
      </w:r>
      <w:r w:rsidR="003440BD" w:rsidRPr="002E740E">
        <w:rPr>
          <w:sz w:val="26"/>
          <w:szCs w:val="26"/>
        </w:rPr>
        <w:t xml:space="preserve"> and </w:t>
      </w:r>
      <w:r w:rsidR="00400A4D">
        <w:rPr>
          <w:sz w:val="26"/>
          <w:szCs w:val="26"/>
        </w:rPr>
        <w:t xml:space="preserve">reached </w:t>
      </w:r>
      <w:r w:rsidR="00333EEC">
        <w:rPr>
          <w:sz w:val="26"/>
          <w:szCs w:val="26"/>
        </w:rPr>
        <w:t>thirteen</w:t>
      </w:r>
      <w:r w:rsidR="003440BD" w:rsidRPr="002E740E">
        <w:rPr>
          <w:sz w:val="26"/>
          <w:szCs w:val="26"/>
        </w:rPr>
        <w:t xml:space="preserve"> Conclusion</w:t>
      </w:r>
      <w:r w:rsidR="00A1387B">
        <w:rPr>
          <w:sz w:val="26"/>
          <w:szCs w:val="26"/>
        </w:rPr>
        <w:t>s</w:t>
      </w:r>
      <w:r w:rsidR="003440BD" w:rsidRPr="002E740E">
        <w:rPr>
          <w:sz w:val="26"/>
          <w:szCs w:val="26"/>
        </w:rPr>
        <w:t xml:space="preserve"> of Law</w:t>
      </w:r>
      <w:r w:rsidR="003440BD">
        <w:rPr>
          <w:sz w:val="26"/>
          <w:szCs w:val="26"/>
        </w:rPr>
        <w:t xml:space="preserve">.  </w:t>
      </w:r>
      <w:r w:rsidR="003440BD" w:rsidRPr="002E740E">
        <w:rPr>
          <w:sz w:val="26"/>
          <w:szCs w:val="26"/>
        </w:rPr>
        <w:t xml:space="preserve">I.D. at </w:t>
      </w:r>
      <w:r w:rsidR="00666E21">
        <w:rPr>
          <w:sz w:val="26"/>
          <w:szCs w:val="26"/>
        </w:rPr>
        <w:t>2</w:t>
      </w:r>
      <w:r w:rsidR="00002615">
        <w:rPr>
          <w:sz w:val="26"/>
          <w:szCs w:val="26"/>
        </w:rPr>
        <w:t>-</w:t>
      </w:r>
      <w:r w:rsidR="00333EEC">
        <w:rPr>
          <w:sz w:val="26"/>
          <w:szCs w:val="26"/>
        </w:rPr>
        <w:t>6</w:t>
      </w:r>
      <w:r w:rsidR="003440BD">
        <w:rPr>
          <w:sz w:val="26"/>
          <w:szCs w:val="26"/>
        </w:rPr>
        <w:t xml:space="preserve">, </w:t>
      </w:r>
      <w:r w:rsidR="00333EEC">
        <w:rPr>
          <w:sz w:val="26"/>
          <w:szCs w:val="26"/>
        </w:rPr>
        <w:t>16-18</w:t>
      </w:r>
      <w:r w:rsidR="003440BD">
        <w:rPr>
          <w:sz w:val="26"/>
          <w:szCs w:val="26"/>
        </w:rPr>
        <w:t xml:space="preserve">.  </w:t>
      </w:r>
      <w:r w:rsidR="003440BD" w:rsidRPr="002E740E">
        <w:rPr>
          <w:sz w:val="26"/>
          <w:szCs w:val="26"/>
        </w:rPr>
        <w:t>We shall adopt and incorporate herein by reference the ALJ’s Findings of Fact and Conclusion</w:t>
      </w:r>
      <w:r w:rsidR="00A1387B">
        <w:rPr>
          <w:sz w:val="26"/>
          <w:szCs w:val="26"/>
        </w:rPr>
        <w:t>s</w:t>
      </w:r>
      <w:r w:rsidR="003440BD" w:rsidRPr="002E740E">
        <w:rPr>
          <w:sz w:val="26"/>
          <w:szCs w:val="26"/>
        </w:rPr>
        <w:t xml:space="preserve"> of Law, unless they are reversed or modified by this Opinion and Order</w:t>
      </w:r>
      <w:r w:rsidR="003440BD">
        <w:rPr>
          <w:sz w:val="26"/>
          <w:szCs w:val="26"/>
        </w:rPr>
        <w:t>,</w:t>
      </w:r>
      <w:r w:rsidR="003440BD" w:rsidRPr="002E740E">
        <w:rPr>
          <w:sz w:val="26"/>
          <w:szCs w:val="26"/>
        </w:rPr>
        <w:t xml:space="preserve"> </w:t>
      </w:r>
      <w:r w:rsidR="003440BD">
        <w:rPr>
          <w:sz w:val="26"/>
          <w:szCs w:val="26"/>
        </w:rPr>
        <w:t xml:space="preserve">either </w:t>
      </w:r>
      <w:r w:rsidR="003440BD" w:rsidRPr="002E740E">
        <w:rPr>
          <w:sz w:val="26"/>
          <w:szCs w:val="26"/>
        </w:rPr>
        <w:t>expressly or by necessary implication</w:t>
      </w:r>
      <w:r w:rsidR="003440BD">
        <w:rPr>
          <w:sz w:val="26"/>
          <w:szCs w:val="26"/>
        </w:rPr>
        <w:t>.</w:t>
      </w:r>
      <w:r w:rsidR="003440BD" w:rsidRPr="002E740E">
        <w:rPr>
          <w:sz w:val="26"/>
          <w:szCs w:val="26"/>
        </w:rPr>
        <w:t> </w:t>
      </w:r>
    </w:p>
    <w:p w:rsidR="00DD3E1A" w:rsidRDefault="00DD3E1A" w:rsidP="003440BD">
      <w:pPr>
        <w:spacing w:line="360" w:lineRule="auto"/>
        <w:ind w:firstLine="1440"/>
        <w:rPr>
          <w:sz w:val="26"/>
          <w:szCs w:val="26"/>
        </w:rPr>
      </w:pPr>
    </w:p>
    <w:p w:rsidR="00333EEC" w:rsidRDefault="0021126F" w:rsidP="0021126F">
      <w:pPr>
        <w:spacing w:line="360" w:lineRule="auto"/>
        <w:ind w:firstLine="720"/>
        <w:rPr>
          <w:sz w:val="26"/>
          <w:szCs w:val="26"/>
        </w:rPr>
      </w:pPr>
      <w:r>
        <w:rPr>
          <w:b/>
          <w:sz w:val="26"/>
          <w:szCs w:val="26"/>
        </w:rPr>
        <w:tab/>
      </w:r>
      <w:r w:rsidR="00BB63AF">
        <w:rPr>
          <w:sz w:val="26"/>
          <w:szCs w:val="26"/>
        </w:rPr>
        <w:t xml:space="preserve">Additionally, we note that any issue or argument that we do not specifically delineate shall be deemed to have been duly considered and denied without further discussion.  The Commission is not required to consider expressly or at length each contention or argument raised by the Parties.  </w:t>
      </w:r>
      <w:r w:rsidR="00BB63AF" w:rsidRPr="00BB63AF">
        <w:rPr>
          <w:i/>
          <w:sz w:val="26"/>
          <w:szCs w:val="26"/>
        </w:rPr>
        <w:t>Consolidated Rail Corp. v. Pa. PUC</w:t>
      </w:r>
      <w:r w:rsidR="00BB63AF">
        <w:rPr>
          <w:sz w:val="26"/>
          <w:szCs w:val="26"/>
        </w:rPr>
        <w:t xml:space="preserve">, 625 A.2d 741 (Pa. Cmwlth. 1993); </w:t>
      </w:r>
      <w:r w:rsidR="00BB63AF" w:rsidRPr="00BB63AF">
        <w:rPr>
          <w:i/>
          <w:sz w:val="26"/>
          <w:szCs w:val="26"/>
        </w:rPr>
        <w:t>also see, generally</w:t>
      </w:r>
      <w:r w:rsidR="00BB63AF">
        <w:rPr>
          <w:sz w:val="26"/>
          <w:szCs w:val="26"/>
        </w:rPr>
        <w:t xml:space="preserve">, </w:t>
      </w:r>
      <w:r w:rsidR="00BB63AF" w:rsidRPr="00BB63AF">
        <w:rPr>
          <w:i/>
          <w:sz w:val="26"/>
          <w:szCs w:val="26"/>
        </w:rPr>
        <w:t>University of Pennsylvania v. Pa. PUC</w:t>
      </w:r>
      <w:r w:rsidR="00BB63AF">
        <w:rPr>
          <w:sz w:val="26"/>
          <w:szCs w:val="26"/>
        </w:rPr>
        <w:t xml:space="preserve">, 485 A.2d 1217 (Pa. Cmwlth. 1984).  </w:t>
      </w:r>
    </w:p>
    <w:p w:rsidR="00333EEC" w:rsidRDefault="00333EEC" w:rsidP="0021126F">
      <w:pPr>
        <w:spacing w:line="360" w:lineRule="auto"/>
        <w:ind w:firstLine="720"/>
        <w:rPr>
          <w:sz w:val="26"/>
          <w:szCs w:val="26"/>
        </w:rPr>
      </w:pPr>
    </w:p>
    <w:p w:rsidR="005A6E7C" w:rsidRDefault="00333EEC" w:rsidP="00C975B8">
      <w:pPr>
        <w:spacing w:line="360" w:lineRule="auto"/>
        <w:rPr>
          <w:sz w:val="26"/>
        </w:rPr>
      </w:pPr>
      <w:r>
        <w:rPr>
          <w:sz w:val="26"/>
          <w:szCs w:val="26"/>
        </w:rPr>
        <w:tab/>
      </w:r>
      <w:r w:rsidR="00C975B8">
        <w:rPr>
          <w:sz w:val="26"/>
          <w:szCs w:val="26"/>
        </w:rPr>
        <w:tab/>
        <w:t xml:space="preserve">In the Initial Decision, </w:t>
      </w:r>
      <w:r w:rsidR="00C975B8" w:rsidRPr="00C975B8">
        <w:rPr>
          <w:sz w:val="26"/>
        </w:rPr>
        <w:t xml:space="preserve">ALJ Colwell sustained the Complaint insofar as it sought to have $181.58 removed from the </w:t>
      </w:r>
      <w:r w:rsidR="00C975B8">
        <w:rPr>
          <w:sz w:val="26"/>
        </w:rPr>
        <w:t xml:space="preserve">Complainant’s </w:t>
      </w:r>
      <w:r w:rsidR="00C975B8" w:rsidRPr="00C975B8">
        <w:rPr>
          <w:sz w:val="26"/>
        </w:rPr>
        <w:t xml:space="preserve">account.  The </w:t>
      </w:r>
      <w:r w:rsidR="00C975B8">
        <w:rPr>
          <w:sz w:val="26"/>
        </w:rPr>
        <w:t>ALJ stated that,</w:t>
      </w:r>
      <w:r w:rsidR="00C975B8" w:rsidRPr="00C975B8">
        <w:rPr>
          <w:sz w:val="26"/>
        </w:rPr>
        <w:t xml:space="preserve"> in addition to incorrect billing during the disputed time period, the bills issued during the latter half of 2011 were inaccurate due to what PGW described as a “system problem.”</w:t>
      </w:r>
      <w:r w:rsidR="00C975B8">
        <w:rPr>
          <w:sz w:val="26"/>
        </w:rPr>
        <w:t xml:space="preserve">  I.D. at 10.</w:t>
      </w:r>
      <w:r w:rsidR="00C975B8" w:rsidRPr="00C975B8">
        <w:rPr>
          <w:sz w:val="26"/>
        </w:rPr>
        <w:t xml:space="preserve">  </w:t>
      </w:r>
      <w:r w:rsidR="00C975B8">
        <w:rPr>
          <w:sz w:val="26"/>
        </w:rPr>
        <w:t xml:space="preserve">The ALJ also stated that PGW was </w:t>
      </w:r>
      <w:r w:rsidR="00505241">
        <w:rPr>
          <w:sz w:val="26"/>
        </w:rPr>
        <w:t xml:space="preserve">unable to explain </w:t>
      </w:r>
      <w:r w:rsidR="00C975B8" w:rsidRPr="00C975B8">
        <w:rPr>
          <w:sz w:val="26"/>
        </w:rPr>
        <w:t>the system problem</w:t>
      </w:r>
      <w:r w:rsidR="00505241">
        <w:rPr>
          <w:sz w:val="26"/>
        </w:rPr>
        <w:t xml:space="preserve"> or to provide evidence to support a finding that its billing of $181.58 was accurate.  The ALJ determined that the customer could not be expected to pay the unsubstantiated bill.  </w:t>
      </w:r>
      <w:proofErr w:type="gramStart"/>
      <w:r w:rsidR="005A05BB" w:rsidRPr="005A05BB">
        <w:rPr>
          <w:i/>
          <w:sz w:val="26"/>
        </w:rPr>
        <w:t>Id</w:t>
      </w:r>
      <w:r w:rsidR="005A05BB">
        <w:rPr>
          <w:sz w:val="26"/>
        </w:rPr>
        <w:t>.</w:t>
      </w:r>
      <w:r w:rsidR="00505241">
        <w:rPr>
          <w:sz w:val="26"/>
        </w:rPr>
        <w:t xml:space="preserve"> at 12.</w:t>
      </w:r>
      <w:proofErr w:type="gramEnd"/>
      <w:r w:rsidR="00505241">
        <w:rPr>
          <w:sz w:val="26"/>
        </w:rPr>
        <w:t xml:space="preserve">   </w:t>
      </w:r>
    </w:p>
    <w:p w:rsidR="005A6E7C" w:rsidRDefault="005A6E7C" w:rsidP="00C975B8">
      <w:pPr>
        <w:spacing w:line="360" w:lineRule="auto"/>
        <w:rPr>
          <w:sz w:val="26"/>
        </w:rPr>
      </w:pPr>
    </w:p>
    <w:p w:rsidR="00C975B8" w:rsidRDefault="00043DF0" w:rsidP="00043DF0">
      <w:pPr>
        <w:spacing w:line="360" w:lineRule="auto"/>
        <w:ind w:firstLine="1440"/>
        <w:rPr>
          <w:sz w:val="26"/>
        </w:rPr>
      </w:pPr>
      <w:r>
        <w:rPr>
          <w:sz w:val="26"/>
        </w:rPr>
        <w:t xml:space="preserve">ALJ Colwell engaged in an analysis of the </w:t>
      </w:r>
      <w:r w:rsidRPr="00320A61">
        <w:rPr>
          <w:sz w:val="26"/>
          <w:szCs w:val="26"/>
        </w:rPr>
        <w:t>Commission</w:t>
      </w:r>
      <w:r>
        <w:rPr>
          <w:sz w:val="26"/>
          <w:szCs w:val="26"/>
        </w:rPr>
        <w:t>’s</w:t>
      </w:r>
      <w:r w:rsidRPr="00320A61">
        <w:rPr>
          <w:sz w:val="26"/>
          <w:szCs w:val="26"/>
        </w:rPr>
        <w:t xml:space="preserve"> Policy Statement at 52 Pa. Code § 69.1201</w:t>
      </w:r>
      <w:r w:rsidR="005A05BB">
        <w:rPr>
          <w:sz w:val="26"/>
          <w:szCs w:val="26"/>
        </w:rPr>
        <w:t>, which</w:t>
      </w:r>
      <w:r w:rsidRPr="00320A61">
        <w:rPr>
          <w:sz w:val="26"/>
          <w:szCs w:val="26"/>
        </w:rPr>
        <w:t xml:space="preserve"> sets forth ten factors that </w:t>
      </w:r>
      <w:r>
        <w:rPr>
          <w:sz w:val="26"/>
          <w:szCs w:val="26"/>
        </w:rPr>
        <w:t>the Commission</w:t>
      </w:r>
      <w:r w:rsidRPr="00320A61">
        <w:rPr>
          <w:sz w:val="26"/>
          <w:szCs w:val="26"/>
        </w:rPr>
        <w:t xml:space="preserve"> may consider in evaluating whether a civil penalty for violating a Commission order, regulation or statute is appropriate</w:t>
      </w:r>
      <w:r w:rsidRPr="00320A61">
        <w:rPr>
          <w:sz w:val="26"/>
        </w:rPr>
        <w:t>.</w:t>
      </w:r>
      <w:r w:rsidR="006B05A4">
        <w:rPr>
          <w:sz w:val="26"/>
        </w:rPr>
        <w:t xml:space="preserve">  </w:t>
      </w:r>
      <w:r w:rsidR="005A05BB" w:rsidRPr="005A05BB">
        <w:rPr>
          <w:i/>
          <w:sz w:val="26"/>
        </w:rPr>
        <w:t>Id</w:t>
      </w:r>
      <w:r w:rsidR="006B05A4">
        <w:rPr>
          <w:sz w:val="26"/>
        </w:rPr>
        <w:t xml:space="preserve">. </w:t>
      </w:r>
      <w:proofErr w:type="gramStart"/>
      <w:r w:rsidR="006B05A4">
        <w:rPr>
          <w:sz w:val="26"/>
        </w:rPr>
        <w:t>at 14 n.2</w:t>
      </w:r>
      <w:proofErr w:type="gramEnd"/>
      <w:r w:rsidR="006B05A4">
        <w:rPr>
          <w:sz w:val="26"/>
        </w:rPr>
        <w:t>.  She</w:t>
      </w:r>
      <w:r w:rsidR="00C975B8" w:rsidRPr="00C975B8">
        <w:rPr>
          <w:sz w:val="26"/>
        </w:rPr>
        <w:t xml:space="preserve"> noted that</w:t>
      </w:r>
      <w:r w:rsidR="005A6E7C">
        <w:rPr>
          <w:sz w:val="26"/>
        </w:rPr>
        <w:t>,</w:t>
      </w:r>
      <w:r w:rsidR="00C975B8" w:rsidRPr="00C975B8">
        <w:rPr>
          <w:sz w:val="26"/>
        </w:rPr>
        <w:t xml:space="preserve"> under the civil penalty analysis historically used for all Pennsylvania utilities</w:t>
      </w:r>
      <w:r w:rsidR="005A6E7C">
        <w:rPr>
          <w:sz w:val="26"/>
        </w:rPr>
        <w:t>,</w:t>
      </w:r>
      <w:r w:rsidR="00C975B8" w:rsidRPr="00C975B8">
        <w:rPr>
          <w:sz w:val="26"/>
        </w:rPr>
        <w:t xml:space="preserve"> except PGW, the result would be the </w:t>
      </w:r>
      <w:r w:rsidR="00C975B8" w:rsidRPr="00C975B8">
        <w:rPr>
          <w:sz w:val="26"/>
        </w:rPr>
        <w:lastRenderedPageBreak/>
        <w:t xml:space="preserve">assessment of a $1,000 civil penalty.  </w:t>
      </w:r>
      <w:proofErr w:type="gramStart"/>
      <w:r w:rsidR="005A05BB" w:rsidRPr="005A05BB">
        <w:rPr>
          <w:i/>
          <w:sz w:val="26"/>
        </w:rPr>
        <w:t>Id</w:t>
      </w:r>
      <w:r w:rsidR="006B05A4">
        <w:rPr>
          <w:sz w:val="26"/>
        </w:rPr>
        <w:t>. at 14.</w:t>
      </w:r>
      <w:proofErr w:type="gramEnd"/>
      <w:r w:rsidR="006B05A4">
        <w:rPr>
          <w:sz w:val="26"/>
        </w:rPr>
        <w:t xml:space="preserve">  </w:t>
      </w:r>
      <w:r w:rsidR="00D84342">
        <w:rPr>
          <w:sz w:val="26"/>
        </w:rPr>
        <w:t>Nevertheless, b</w:t>
      </w:r>
      <w:r w:rsidR="00C975B8" w:rsidRPr="00C975B8">
        <w:rPr>
          <w:sz w:val="26"/>
        </w:rPr>
        <w:t xml:space="preserve">ased on a line of caselaw reflecting the Commission’s policy of not assessing </w:t>
      </w:r>
      <w:r w:rsidR="00D84342">
        <w:rPr>
          <w:sz w:val="26"/>
        </w:rPr>
        <w:t xml:space="preserve">civil penalties </w:t>
      </w:r>
      <w:r w:rsidR="00C975B8" w:rsidRPr="00C975B8">
        <w:rPr>
          <w:sz w:val="26"/>
        </w:rPr>
        <w:t xml:space="preserve">against PGW, ALJ Colwell did not assess </w:t>
      </w:r>
      <w:r w:rsidR="00D84342">
        <w:rPr>
          <w:sz w:val="26"/>
        </w:rPr>
        <w:t>a</w:t>
      </w:r>
      <w:r w:rsidR="00C975B8" w:rsidRPr="00C975B8">
        <w:rPr>
          <w:sz w:val="26"/>
        </w:rPr>
        <w:t xml:space="preserve"> civil penalty</w:t>
      </w:r>
      <w:r w:rsidR="00D84342">
        <w:rPr>
          <w:sz w:val="26"/>
        </w:rPr>
        <w:t xml:space="preserve"> in this case</w:t>
      </w:r>
      <w:r w:rsidR="00C975B8" w:rsidRPr="00C975B8">
        <w:rPr>
          <w:sz w:val="26"/>
        </w:rPr>
        <w:t>.</w:t>
      </w:r>
      <w:r>
        <w:rPr>
          <w:sz w:val="26"/>
        </w:rPr>
        <w:t xml:space="preserve">  </w:t>
      </w:r>
      <w:proofErr w:type="gramStart"/>
      <w:r w:rsidR="005A05BB">
        <w:rPr>
          <w:i/>
          <w:sz w:val="26"/>
        </w:rPr>
        <w:t>Id</w:t>
      </w:r>
      <w:r w:rsidR="005A05BB">
        <w:rPr>
          <w:sz w:val="26"/>
        </w:rPr>
        <w:t>.</w:t>
      </w:r>
      <w:r>
        <w:rPr>
          <w:sz w:val="26"/>
        </w:rPr>
        <w:t xml:space="preserve"> at 15.</w:t>
      </w:r>
      <w:proofErr w:type="gramEnd"/>
      <w:r>
        <w:rPr>
          <w:sz w:val="26"/>
        </w:rPr>
        <w:t xml:space="preserve">  </w:t>
      </w:r>
      <w:r w:rsidR="00C975B8" w:rsidRPr="00C975B8">
        <w:rPr>
          <w:sz w:val="26"/>
        </w:rPr>
        <w:t xml:space="preserve">        </w:t>
      </w:r>
    </w:p>
    <w:p w:rsidR="006F30B1" w:rsidRPr="00C975B8" w:rsidRDefault="006F30B1" w:rsidP="00043DF0">
      <w:pPr>
        <w:spacing w:line="360" w:lineRule="auto"/>
        <w:ind w:firstLine="1440"/>
        <w:rPr>
          <w:sz w:val="26"/>
        </w:rPr>
      </w:pPr>
    </w:p>
    <w:p w:rsidR="00C975B8" w:rsidRPr="00C975B8" w:rsidRDefault="006B05A4" w:rsidP="00710D58">
      <w:pPr>
        <w:spacing w:line="360" w:lineRule="auto"/>
        <w:ind w:firstLine="1440"/>
        <w:rPr>
          <w:sz w:val="26"/>
        </w:rPr>
      </w:pPr>
      <w:r>
        <w:rPr>
          <w:sz w:val="26"/>
        </w:rPr>
        <w:t>We</w:t>
      </w:r>
      <w:r w:rsidRPr="00C975B8">
        <w:rPr>
          <w:sz w:val="26"/>
        </w:rPr>
        <w:t xml:space="preserve"> agree with the ALJ’s analysis that a civil penalty of $1,000 is the appropriate sanction for the unexplained billing errors in this proceeding</w:t>
      </w:r>
      <w:r>
        <w:rPr>
          <w:sz w:val="26"/>
        </w:rPr>
        <w:t xml:space="preserve"> and find that such civil penalty should be imposed</w:t>
      </w:r>
      <w:r w:rsidRPr="00C975B8">
        <w:rPr>
          <w:sz w:val="26"/>
        </w:rPr>
        <w:t>.</w:t>
      </w:r>
      <w:r>
        <w:rPr>
          <w:sz w:val="26"/>
        </w:rPr>
        <w:t xml:space="preserve">  </w:t>
      </w:r>
      <w:r w:rsidR="00A01C5F">
        <w:rPr>
          <w:sz w:val="26"/>
        </w:rPr>
        <w:t>We note that, b</w:t>
      </w:r>
      <w:r w:rsidR="00C975B8" w:rsidRPr="00C975B8">
        <w:rPr>
          <w:sz w:val="26"/>
        </w:rPr>
        <w:t xml:space="preserve">eginning in 2008, due to PGW’s unique position as a utility </w:t>
      </w:r>
      <w:r w:rsidR="00710D58">
        <w:rPr>
          <w:sz w:val="26"/>
        </w:rPr>
        <w:t xml:space="preserve">owned by the City of Philadelphia (City) </w:t>
      </w:r>
      <w:r w:rsidR="00C975B8" w:rsidRPr="00C975B8">
        <w:rPr>
          <w:sz w:val="26"/>
        </w:rPr>
        <w:t>that has no shareholders, combined with PGW’s precarious financial position at that time, the Commission chose to handle violations in a manner that would preserve PGW’s financial viability.  By not levying penalties against PGW, the Commission also shielded PGW’s ratepayers/Philadelphia’s taxpayers from an additional financial obligation on top of those they already faced (</w:t>
      </w:r>
      <w:r w:rsidR="00C975B8" w:rsidRPr="00C975B8">
        <w:rPr>
          <w:i/>
          <w:sz w:val="26"/>
        </w:rPr>
        <w:t>e.g.</w:t>
      </w:r>
      <w:r w:rsidR="00C975B8" w:rsidRPr="00C975B8">
        <w:rPr>
          <w:sz w:val="26"/>
        </w:rPr>
        <w:t xml:space="preserve">, a mandatory $18 million annual payment to the City, high customer assistance program (CAP) cost burden, frequent base rate cases, etc.).  PGW is no longer in the crisis mode that it was in back in 2008.  Accordingly, the Commission will no longer abstain from levying civil penalties against PGW.  </w:t>
      </w:r>
      <w:r w:rsidR="00DF5404">
        <w:rPr>
          <w:sz w:val="26"/>
        </w:rPr>
        <w:t>In this case, we shall modify the ALJ’s Initial Decision in order to assess a $1,000 civil penalty against PGW.</w:t>
      </w:r>
      <w:r w:rsidR="00C975B8" w:rsidRPr="00C975B8">
        <w:rPr>
          <w:sz w:val="26"/>
        </w:rPr>
        <w:t xml:space="preserve"> </w:t>
      </w:r>
    </w:p>
    <w:p w:rsidR="00BB63AF" w:rsidRPr="00C975B8" w:rsidRDefault="00BB63AF" w:rsidP="00C975B8">
      <w:pPr>
        <w:spacing w:line="360" w:lineRule="auto"/>
        <w:ind w:firstLine="720"/>
        <w:rPr>
          <w:sz w:val="26"/>
          <w:szCs w:val="26"/>
        </w:rPr>
      </w:pPr>
      <w:r w:rsidRPr="00C975B8">
        <w:rPr>
          <w:sz w:val="26"/>
          <w:szCs w:val="26"/>
        </w:rPr>
        <w:t xml:space="preserve">   </w:t>
      </w:r>
    </w:p>
    <w:p w:rsidR="00956972" w:rsidRPr="00385898" w:rsidRDefault="00956972" w:rsidP="008D78F0">
      <w:pPr>
        <w:spacing w:line="360" w:lineRule="auto"/>
        <w:jc w:val="center"/>
        <w:rPr>
          <w:b/>
          <w:sz w:val="26"/>
          <w:szCs w:val="26"/>
        </w:rPr>
      </w:pPr>
      <w:r w:rsidRPr="00385898">
        <w:rPr>
          <w:b/>
          <w:sz w:val="26"/>
          <w:szCs w:val="26"/>
        </w:rPr>
        <w:t>Conclusion</w:t>
      </w:r>
    </w:p>
    <w:p w:rsidR="006C56A5" w:rsidRPr="00385898" w:rsidRDefault="006C56A5" w:rsidP="00385898">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23377F">
        <w:rPr>
          <w:sz w:val="26"/>
          <w:szCs w:val="26"/>
        </w:rPr>
        <w:t xml:space="preserve">Based on our review of the </w:t>
      </w:r>
      <w:r w:rsidR="008B496B">
        <w:rPr>
          <w:sz w:val="26"/>
          <w:szCs w:val="26"/>
        </w:rPr>
        <w:t>record</w:t>
      </w:r>
      <w:r w:rsidR="00DF5404">
        <w:rPr>
          <w:sz w:val="26"/>
          <w:szCs w:val="26"/>
        </w:rPr>
        <w:t xml:space="preserve"> and the applicable law</w:t>
      </w:r>
      <w:r w:rsidR="00E856B7">
        <w:rPr>
          <w:sz w:val="26"/>
          <w:szCs w:val="26"/>
        </w:rPr>
        <w:t xml:space="preserve">, </w:t>
      </w:r>
      <w:r w:rsidR="00FD497B">
        <w:rPr>
          <w:sz w:val="26"/>
          <w:szCs w:val="26"/>
        </w:rPr>
        <w:t>w</w:t>
      </w:r>
      <w:r w:rsidR="00B265B1">
        <w:rPr>
          <w:sz w:val="26"/>
          <w:szCs w:val="26"/>
        </w:rPr>
        <w:t xml:space="preserve">e </w:t>
      </w:r>
      <w:r w:rsidR="00502D50">
        <w:rPr>
          <w:sz w:val="26"/>
          <w:szCs w:val="26"/>
        </w:rPr>
        <w:t>shall</w:t>
      </w:r>
      <w:r w:rsidR="0019318F">
        <w:rPr>
          <w:sz w:val="26"/>
          <w:szCs w:val="26"/>
        </w:rPr>
        <w:t xml:space="preserve"> </w:t>
      </w:r>
      <w:r w:rsidR="00DF5404">
        <w:rPr>
          <w:sz w:val="26"/>
          <w:szCs w:val="26"/>
        </w:rPr>
        <w:t>modify</w:t>
      </w:r>
      <w:r w:rsidR="006652C6">
        <w:rPr>
          <w:sz w:val="26"/>
          <w:szCs w:val="26"/>
        </w:rPr>
        <w:t xml:space="preserve"> the A</w:t>
      </w:r>
      <w:r w:rsidR="0023377F">
        <w:rPr>
          <w:sz w:val="26"/>
          <w:szCs w:val="26"/>
        </w:rPr>
        <w:t>LJ’s Initial Decision</w:t>
      </w:r>
      <w:r w:rsidR="00DF5404">
        <w:rPr>
          <w:sz w:val="26"/>
          <w:szCs w:val="26"/>
        </w:rPr>
        <w:t>, 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F97807" w:rsidRDefault="001A1AD3" w:rsidP="00F97807">
      <w:pPr>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431F78">
        <w:rPr>
          <w:sz w:val="26"/>
          <w:szCs w:val="26"/>
        </w:rPr>
        <w:t xml:space="preserve">That the </w:t>
      </w:r>
      <w:r w:rsidR="00527A20">
        <w:rPr>
          <w:sz w:val="26"/>
          <w:szCs w:val="26"/>
        </w:rPr>
        <w:t xml:space="preserve">Initial Decision of </w:t>
      </w:r>
      <w:r w:rsidR="00C05103">
        <w:rPr>
          <w:sz w:val="26"/>
          <w:szCs w:val="26"/>
        </w:rPr>
        <w:t xml:space="preserve">Administrative Law </w:t>
      </w:r>
      <w:r w:rsidR="00B809EB">
        <w:rPr>
          <w:sz w:val="26"/>
          <w:szCs w:val="26"/>
        </w:rPr>
        <w:t xml:space="preserve">Judge </w:t>
      </w:r>
      <w:r w:rsidR="00DF5404">
        <w:rPr>
          <w:sz w:val="26"/>
          <w:szCs w:val="26"/>
        </w:rPr>
        <w:t>Susan D. Colwell</w:t>
      </w:r>
      <w:r w:rsidR="00B809EB">
        <w:rPr>
          <w:sz w:val="26"/>
          <w:szCs w:val="26"/>
        </w:rPr>
        <w:t xml:space="preserve">, issued </w:t>
      </w:r>
      <w:r w:rsidR="00DF5404">
        <w:rPr>
          <w:sz w:val="26"/>
          <w:szCs w:val="26"/>
        </w:rPr>
        <w:t>May 10, 2013,</w:t>
      </w:r>
      <w:r w:rsidR="008E45DB">
        <w:rPr>
          <w:sz w:val="26"/>
          <w:szCs w:val="26"/>
        </w:rPr>
        <w:t xml:space="preserve"> </w:t>
      </w:r>
      <w:r w:rsidR="005154BC">
        <w:rPr>
          <w:sz w:val="26"/>
          <w:szCs w:val="26"/>
        </w:rPr>
        <w:t xml:space="preserve">is </w:t>
      </w:r>
      <w:r w:rsidR="00DF5404">
        <w:rPr>
          <w:sz w:val="26"/>
          <w:szCs w:val="26"/>
        </w:rPr>
        <w:t>modified</w:t>
      </w:r>
      <w:r w:rsidR="00824CFF">
        <w:rPr>
          <w:sz w:val="26"/>
          <w:szCs w:val="26"/>
        </w:rPr>
        <w:t>,</w:t>
      </w:r>
      <w:r w:rsidR="007473AC">
        <w:rPr>
          <w:sz w:val="26"/>
          <w:szCs w:val="26"/>
        </w:rPr>
        <w:t xml:space="preserve"> </w:t>
      </w:r>
      <w:r w:rsidR="00824CFF">
        <w:rPr>
          <w:sz w:val="26"/>
          <w:szCs w:val="26"/>
        </w:rPr>
        <w:t>consistent with</w:t>
      </w:r>
      <w:r w:rsidR="00243CC9">
        <w:rPr>
          <w:sz w:val="26"/>
          <w:szCs w:val="26"/>
        </w:rPr>
        <w:t xml:space="preserve"> this Opinion and Order</w:t>
      </w:r>
      <w:r w:rsidR="00EF782F">
        <w:rPr>
          <w:sz w:val="26"/>
          <w:szCs w:val="26"/>
        </w:rPr>
        <w:t>.</w:t>
      </w:r>
    </w:p>
    <w:p w:rsidR="00DE5066" w:rsidRDefault="00DE5066" w:rsidP="00824CFF">
      <w:pPr>
        <w:spacing w:line="360" w:lineRule="auto"/>
        <w:ind w:firstLine="1440"/>
        <w:rPr>
          <w:sz w:val="26"/>
          <w:szCs w:val="26"/>
        </w:rPr>
      </w:pPr>
    </w:p>
    <w:p w:rsidR="001F5074" w:rsidRPr="001F5074" w:rsidRDefault="001F5074" w:rsidP="001F5074">
      <w:pPr>
        <w:spacing w:line="360" w:lineRule="auto"/>
        <w:ind w:firstLine="1440"/>
        <w:rPr>
          <w:sz w:val="26"/>
        </w:rPr>
      </w:pPr>
      <w:r>
        <w:rPr>
          <w:sz w:val="26"/>
        </w:rPr>
        <w:lastRenderedPageBreak/>
        <w:t>2</w:t>
      </w:r>
      <w:r w:rsidRPr="001F5074">
        <w:rPr>
          <w:sz w:val="26"/>
        </w:rPr>
        <w:t>.</w:t>
      </w:r>
      <w:r w:rsidRPr="001F5074">
        <w:rPr>
          <w:sz w:val="26"/>
        </w:rPr>
        <w:tab/>
        <w:t xml:space="preserve">That, in accordance with Section 3301 of the Public Utility Code, 66 Pa. C.S. § 3301, within thirty (30) days of receipt of the Commission’s final Opinion and Order, </w:t>
      </w:r>
      <w:r>
        <w:rPr>
          <w:sz w:val="26"/>
        </w:rPr>
        <w:t>Philadelphia Gas Works</w:t>
      </w:r>
      <w:r w:rsidRPr="001F5074">
        <w:rPr>
          <w:sz w:val="26"/>
        </w:rPr>
        <w:t xml:space="preserve"> shall pay a civil penalty in the amount of $</w:t>
      </w:r>
      <w:r>
        <w:rPr>
          <w:sz w:val="26"/>
        </w:rPr>
        <w:t>1,000</w:t>
      </w:r>
      <w:r w:rsidRPr="001F5074">
        <w:rPr>
          <w:sz w:val="26"/>
        </w:rPr>
        <w:t>.  Said check or money order shall be made payable to “Commonwealth of Pennsylvania” and sent to:</w:t>
      </w:r>
    </w:p>
    <w:p w:rsidR="001F5074" w:rsidRPr="001F5074" w:rsidRDefault="001F5074" w:rsidP="001F5074">
      <w:pPr>
        <w:keepNext/>
        <w:ind w:firstLine="1440"/>
        <w:rPr>
          <w:sz w:val="26"/>
        </w:rPr>
      </w:pPr>
      <w:r w:rsidRPr="001F5074">
        <w:rPr>
          <w:sz w:val="26"/>
        </w:rPr>
        <w:t>Secretary</w:t>
      </w:r>
    </w:p>
    <w:p w:rsidR="001F5074" w:rsidRPr="001F5074" w:rsidRDefault="001F5074" w:rsidP="001F5074">
      <w:pPr>
        <w:keepNext/>
        <w:ind w:firstLine="1440"/>
        <w:rPr>
          <w:sz w:val="26"/>
        </w:rPr>
      </w:pPr>
      <w:r w:rsidRPr="001F5074">
        <w:rPr>
          <w:sz w:val="26"/>
        </w:rPr>
        <w:t>Pennsylvania Public Utility Commission</w:t>
      </w:r>
    </w:p>
    <w:p w:rsidR="001F5074" w:rsidRPr="001F5074" w:rsidRDefault="001F5074" w:rsidP="001F5074">
      <w:pPr>
        <w:keepNext/>
        <w:ind w:firstLine="1440"/>
        <w:rPr>
          <w:sz w:val="26"/>
        </w:rPr>
      </w:pPr>
      <w:smartTag w:uri="urn:schemas-microsoft-com:office:smarttags" w:element="address">
        <w:smartTag w:uri="urn:schemas-microsoft-com:office:smarttags" w:element="Street">
          <w:r w:rsidRPr="001F5074">
            <w:rPr>
              <w:sz w:val="26"/>
            </w:rPr>
            <w:t>P.O. Box</w:t>
          </w:r>
        </w:smartTag>
        <w:r w:rsidRPr="001F5074">
          <w:rPr>
            <w:sz w:val="26"/>
          </w:rPr>
          <w:t xml:space="preserve"> 3265</w:t>
        </w:r>
      </w:smartTag>
    </w:p>
    <w:p w:rsidR="001F5074" w:rsidRPr="001F5074" w:rsidRDefault="001F5074" w:rsidP="001F5074">
      <w:pPr>
        <w:ind w:firstLine="1440"/>
        <w:rPr>
          <w:sz w:val="26"/>
        </w:rPr>
      </w:pPr>
      <w:smartTag w:uri="urn:schemas-microsoft-com:office:smarttags" w:element="place">
        <w:smartTag w:uri="urn:schemas-microsoft-com:office:smarttags" w:element="City">
          <w:r w:rsidRPr="001F5074">
            <w:rPr>
              <w:sz w:val="26"/>
            </w:rPr>
            <w:t>Harrisburg</w:t>
          </w:r>
        </w:smartTag>
        <w:r w:rsidRPr="001F5074">
          <w:rPr>
            <w:sz w:val="26"/>
          </w:rPr>
          <w:t xml:space="preserve">, </w:t>
        </w:r>
        <w:smartTag w:uri="urn:schemas-microsoft-com:office:smarttags" w:element="State">
          <w:r w:rsidRPr="001F5074">
            <w:rPr>
              <w:sz w:val="26"/>
            </w:rPr>
            <w:t>PA</w:t>
          </w:r>
        </w:smartTag>
        <w:r w:rsidRPr="001F5074">
          <w:rPr>
            <w:sz w:val="26"/>
          </w:rPr>
          <w:t xml:space="preserve">  </w:t>
        </w:r>
        <w:smartTag w:uri="urn:schemas-microsoft-com:office:smarttags" w:element="PostalCode">
          <w:r w:rsidRPr="001F5074">
            <w:rPr>
              <w:sz w:val="26"/>
            </w:rPr>
            <w:t>17105-3265</w:t>
          </w:r>
        </w:smartTag>
      </w:smartTag>
    </w:p>
    <w:p w:rsidR="001F5074" w:rsidRPr="001F5074" w:rsidRDefault="001F5074" w:rsidP="001F5074">
      <w:pPr>
        <w:ind w:firstLine="1440"/>
        <w:rPr>
          <w:sz w:val="26"/>
        </w:rPr>
      </w:pPr>
    </w:p>
    <w:p w:rsidR="001F5074" w:rsidRPr="001F5074" w:rsidRDefault="001F5074" w:rsidP="001F5074">
      <w:pPr>
        <w:spacing w:line="360" w:lineRule="auto"/>
        <w:ind w:firstLine="1440"/>
        <w:rPr>
          <w:sz w:val="26"/>
        </w:rPr>
      </w:pPr>
      <w:r>
        <w:rPr>
          <w:sz w:val="26"/>
        </w:rPr>
        <w:t>3</w:t>
      </w:r>
      <w:r w:rsidRPr="001F5074">
        <w:rPr>
          <w:sz w:val="26"/>
        </w:rPr>
        <w:t>.</w:t>
      </w:r>
      <w:r w:rsidRPr="001F5074">
        <w:rPr>
          <w:sz w:val="26"/>
        </w:rPr>
        <w:tab/>
        <w:t>That a copy of this Opinion and Order be served upon the Financial and Assessment Chief, Office of Administrative Services.</w:t>
      </w:r>
    </w:p>
    <w:p w:rsidR="001F5074" w:rsidRPr="001F5074" w:rsidRDefault="001F5074" w:rsidP="001F5074">
      <w:pPr>
        <w:spacing w:line="360" w:lineRule="auto"/>
        <w:ind w:firstLine="1440"/>
        <w:rPr>
          <w:sz w:val="26"/>
        </w:rPr>
      </w:pPr>
    </w:p>
    <w:p w:rsidR="001F5074" w:rsidRPr="001F5074" w:rsidRDefault="001F5074" w:rsidP="001F5074">
      <w:pPr>
        <w:spacing w:line="360" w:lineRule="auto"/>
        <w:ind w:firstLine="1440"/>
        <w:rPr>
          <w:sz w:val="26"/>
        </w:rPr>
      </w:pPr>
      <w:r>
        <w:rPr>
          <w:sz w:val="26"/>
        </w:rPr>
        <w:t>4</w:t>
      </w:r>
      <w:r w:rsidRPr="001F5074">
        <w:rPr>
          <w:sz w:val="26"/>
        </w:rPr>
        <w:t>.</w:t>
      </w:r>
      <w:r w:rsidRPr="001F5074">
        <w:rPr>
          <w:sz w:val="26"/>
        </w:rPr>
        <w:tab/>
        <w:t>That the Secretary’s Bureau shall mark this proceeding closed upon payment of the penalty.</w:t>
      </w:r>
    </w:p>
    <w:p w:rsidR="001F5074" w:rsidRPr="001F5074" w:rsidRDefault="001F5074" w:rsidP="001F5074">
      <w:pPr>
        <w:spacing w:line="360" w:lineRule="auto"/>
        <w:ind w:firstLine="1440"/>
        <w:rPr>
          <w:sz w:val="26"/>
          <w:szCs w:val="26"/>
        </w:rPr>
      </w:pPr>
    </w:p>
    <w:p w:rsidR="00503B2F" w:rsidRPr="003C63B1" w:rsidRDefault="00A17E19" w:rsidP="0019251E">
      <w:pPr>
        <w:spacing w:line="360" w:lineRule="auto"/>
        <w:rPr>
          <w:sz w:val="26"/>
        </w:rPr>
      </w:pPr>
      <w:r>
        <w:rPr>
          <w:noProof/>
        </w:rPr>
        <w:drawing>
          <wp:anchor distT="0" distB="0" distL="114300" distR="114300" simplePos="0" relativeHeight="251658240" behindDoc="1" locked="0" layoutInCell="1" allowOverlap="1" wp14:anchorId="1473C9A4" wp14:editId="390B459C">
            <wp:simplePos x="0" y="0"/>
            <wp:positionH relativeFrom="column">
              <wp:posOffset>2673985</wp:posOffset>
            </wp:positionH>
            <wp:positionV relativeFrom="paragraph">
              <wp:posOffset>19685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652C6">
        <w:rPr>
          <w:sz w:val="26"/>
          <w:szCs w:val="26"/>
        </w:rPr>
        <w:tab/>
      </w:r>
      <w:r w:rsidR="006652C6">
        <w:rPr>
          <w:sz w:val="26"/>
          <w:szCs w:val="26"/>
        </w:rPr>
        <w:tab/>
      </w:r>
      <w:r w:rsidR="00FF14E7">
        <w:rPr>
          <w:sz w:val="26"/>
          <w:szCs w:val="26"/>
        </w:rPr>
        <w:t xml:space="preserve"> </w:t>
      </w:r>
      <w:r w:rsidR="005D74D6">
        <w:rPr>
          <w:sz w:val="26"/>
          <w:szCs w:val="26"/>
        </w:rPr>
        <w:tab/>
      </w:r>
      <w:r w:rsidR="005A05BB">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ORDER ADOPTED:</w:t>
      </w:r>
      <w:r w:rsidR="00FF14E7">
        <w:rPr>
          <w:sz w:val="26"/>
        </w:rPr>
        <w:t xml:space="preserve">  </w:t>
      </w:r>
      <w:r w:rsidR="007B3A36">
        <w:rPr>
          <w:sz w:val="26"/>
        </w:rPr>
        <w:t>August 15, 2013</w:t>
      </w:r>
      <w:r w:rsidR="00FF14E7">
        <w:rPr>
          <w:sz w:val="26"/>
        </w:rPr>
        <w:t xml:space="preserve"> </w:t>
      </w:r>
      <w:r>
        <w:rPr>
          <w:sz w:val="26"/>
        </w:rPr>
        <w:t xml:space="preserve">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A17E19">
        <w:rPr>
          <w:sz w:val="26"/>
        </w:rPr>
        <w:t xml:space="preserve"> September 18, 2013</w:t>
      </w:r>
      <w:bookmarkStart w:id="0" w:name="_GoBack"/>
      <w:bookmarkEnd w:id="0"/>
    </w:p>
    <w:p w:rsidR="009304FE" w:rsidRDefault="009304FE" w:rsidP="00503B2F">
      <w:pPr>
        <w:spacing w:line="360" w:lineRule="auto"/>
      </w:pPr>
    </w:p>
    <w:sectPr w:rsidR="009304FE"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52C" w:rsidRDefault="006C052C">
      <w:r>
        <w:separator/>
      </w:r>
    </w:p>
  </w:endnote>
  <w:endnote w:type="continuationSeparator" w:id="0">
    <w:p w:rsidR="006C052C" w:rsidRDefault="006C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end"/>
    </w:r>
  </w:p>
  <w:p w:rsidR="00CB7B1A" w:rsidRDefault="00CB7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separate"/>
    </w:r>
    <w:r w:rsidR="00A17E19">
      <w:rPr>
        <w:rStyle w:val="PageNumber"/>
        <w:noProof/>
      </w:rPr>
      <w:t>6</w:t>
    </w:r>
    <w:r>
      <w:rPr>
        <w:rStyle w:val="PageNumber"/>
      </w:rPr>
      <w:fldChar w:fldCharType="end"/>
    </w:r>
  </w:p>
  <w:p w:rsidR="00CB7B1A" w:rsidRDefault="00CB7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52C" w:rsidRDefault="006C052C">
      <w:r>
        <w:separator/>
      </w:r>
    </w:p>
  </w:footnote>
  <w:footnote w:type="continuationSeparator" w:id="0">
    <w:p w:rsidR="006C052C" w:rsidRDefault="006C052C">
      <w:r>
        <w:continuationSeparator/>
      </w:r>
    </w:p>
  </w:footnote>
  <w:footnote w:id="1">
    <w:p w:rsidR="001D5472" w:rsidRPr="001D5472" w:rsidRDefault="001D5472">
      <w:pPr>
        <w:pStyle w:val="FootnoteText"/>
        <w:rPr>
          <w:rFonts w:ascii="Times New Roman" w:hAnsi="Times New Roman"/>
          <w:sz w:val="26"/>
        </w:rPr>
      </w:pPr>
      <w:r>
        <w:rPr>
          <w:rFonts w:ascii="Times New Roman" w:hAnsi="Times New Roman"/>
          <w:sz w:val="26"/>
        </w:rPr>
        <w:tab/>
      </w:r>
      <w:r w:rsidRPr="001D5472">
        <w:rPr>
          <w:rStyle w:val="FootnoteReference"/>
          <w:rFonts w:ascii="Times New Roman" w:hAnsi="Times New Roman"/>
        </w:rPr>
        <w:footnoteRef/>
      </w:r>
      <w:r w:rsidRPr="001D5472">
        <w:rPr>
          <w:rFonts w:ascii="Times New Roman" w:hAnsi="Times New Roman"/>
          <w:sz w:val="26"/>
        </w:rPr>
        <w:t xml:space="preserve"> </w:t>
      </w:r>
      <w:r>
        <w:rPr>
          <w:rFonts w:ascii="Times New Roman" w:hAnsi="Times New Roman"/>
          <w:sz w:val="26"/>
        </w:rPr>
        <w:tab/>
      </w:r>
      <w:r w:rsidRPr="001D5472">
        <w:rPr>
          <w:rFonts w:ascii="Times New Roman" w:hAnsi="Times New Roman"/>
          <w:sz w:val="26"/>
        </w:rPr>
        <w:t xml:space="preserve">This Complaint is a timely appeal of an informal decision of the Commission’s Bureau of Consumer Services (BCS) at BCS Case No. 2941578.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067"/>
    <w:rsid w:val="00010322"/>
    <w:rsid w:val="0001099D"/>
    <w:rsid w:val="00011888"/>
    <w:rsid w:val="00012A95"/>
    <w:rsid w:val="00012EB0"/>
    <w:rsid w:val="00013B94"/>
    <w:rsid w:val="0001411C"/>
    <w:rsid w:val="0001414B"/>
    <w:rsid w:val="00014826"/>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D11"/>
    <w:rsid w:val="00026E4B"/>
    <w:rsid w:val="0002723A"/>
    <w:rsid w:val="0002744F"/>
    <w:rsid w:val="000275D6"/>
    <w:rsid w:val="00027EE5"/>
    <w:rsid w:val="000310BE"/>
    <w:rsid w:val="00031A0A"/>
    <w:rsid w:val="00031E93"/>
    <w:rsid w:val="00032D5F"/>
    <w:rsid w:val="00033CB2"/>
    <w:rsid w:val="0003588B"/>
    <w:rsid w:val="00035F25"/>
    <w:rsid w:val="000378DC"/>
    <w:rsid w:val="0004071F"/>
    <w:rsid w:val="000416ED"/>
    <w:rsid w:val="00043DF0"/>
    <w:rsid w:val="00044438"/>
    <w:rsid w:val="0004679E"/>
    <w:rsid w:val="000472A4"/>
    <w:rsid w:val="000510D0"/>
    <w:rsid w:val="000510FD"/>
    <w:rsid w:val="00053CED"/>
    <w:rsid w:val="000541A0"/>
    <w:rsid w:val="00054407"/>
    <w:rsid w:val="00054F7A"/>
    <w:rsid w:val="00055EF9"/>
    <w:rsid w:val="00057057"/>
    <w:rsid w:val="000573BD"/>
    <w:rsid w:val="000610F9"/>
    <w:rsid w:val="00061284"/>
    <w:rsid w:val="00061850"/>
    <w:rsid w:val="000629CD"/>
    <w:rsid w:val="000634BD"/>
    <w:rsid w:val="0006387C"/>
    <w:rsid w:val="0006405C"/>
    <w:rsid w:val="00065DB6"/>
    <w:rsid w:val="00066E55"/>
    <w:rsid w:val="000673D1"/>
    <w:rsid w:val="00070FF8"/>
    <w:rsid w:val="00070FFD"/>
    <w:rsid w:val="000711D9"/>
    <w:rsid w:val="000716A0"/>
    <w:rsid w:val="000719EF"/>
    <w:rsid w:val="00072883"/>
    <w:rsid w:val="0007305F"/>
    <w:rsid w:val="000731DA"/>
    <w:rsid w:val="00073C25"/>
    <w:rsid w:val="00075161"/>
    <w:rsid w:val="00075677"/>
    <w:rsid w:val="0007596A"/>
    <w:rsid w:val="00076F62"/>
    <w:rsid w:val="000777D8"/>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2688"/>
    <w:rsid w:val="000B2B80"/>
    <w:rsid w:val="000B3FB4"/>
    <w:rsid w:val="000B4F29"/>
    <w:rsid w:val="000B5487"/>
    <w:rsid w:val="000B5DF8"/>
    <w:rsid w:val="000B633E"/>
    <w:rsid w:val="000B71E3"/>
    <w:rsid w:val="000B77E2"/>
    <w:rsid w:val="000B7E7F"/>
    <w:rsid w:val="000C4BFD"/>
    <w:rsid w:val="000C608B"/>
    <w:rsid w:val="000C6C92"/>
    <w:rsid w:val="000C742F"/>
    <w:rsid w:val="000D0BAC"/>
    <w:rsid w:val="000D0D75"/>
    <w:rsid w:val="000D1965"/>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4144"/>
    <w:rsid w:val="000F5A80"/>
    <w:rsid w:val="000F6D5A"/>
    <w:rsid w:val="000F6E92"/>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3917"/>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6E30"/>
    <w:rsid w:val="00147415"/>
    <w:rsid w:val="00150989"/>
    <w:rsid w:val="001509E0"/>
    <w:rsid w:val="0015662E"/>
    <w:rsid w:val="001572C5"/>
    <w:rsid w:val="0016005F"/>
    <w:rsid w:val="001606BC"/>
    <w:rsid w:val="00160F0A"/>
    <w:rsid w:val="0016115A"/>
    <w:rsid w:val="00162A88"/>
    <w:rsid w:val="001636E2"/>
    <w:rsid w:val="00163AA3"/>
    <w:rsid w:val="0016441E"/>
    <w:rsid w:val="00164715"/>
    <w:rsid w:val="00164C98"/>
    <w:rsid w:val="00166006"/>
    <w:rsid w:val="001679F1"/>
    <w:rsid w:val="001701B3"/>
    <w:rsid w:val="001704F7"/>
    <w:rsid w:val="0017084A"/>
    <w:rsid w:val="00173EDA"/>
    <w:rsid w:val="00175F2D"/>
    <w:rsid w:val="00177A43"/>
    <w:rsid w:val="00177E31"/>
    <w:rsid w:val="00180E89"/>
    <w:rsid w:val="001811B8"/>
    <w:rsid w:val="001827DB"/>
    <w:rsid w:val="00183D96"/>
    <w:rsid w:val="00185B5E"/>
    <w:rsid w:val="001865B9"/>
    <w:rsid w:val="00186887"/>
    <w:rsid w:val="00187BC6"/>
    <w:rsid w:val="0019214E"/>
    <w:rsid w:val="0019251E"/>
    <w:rsid w:val="0019318F"/>
    <w:rsid w:val="00193EF0"/>
    <w:rsid w:val="00194C5B"/>
    <w:rsid w:val="00197920"/>
    <w:rsid w:val="00197C2F"/>
    <w:rsid w:val="00197F3D"/>
    <w:rsid w:val="001A0516"/>
    <w:rsid w:val="001A06F7"/>
    <w:rsid w:val="001A090E"/>
    <w:rsid w:val="001A18D5"/>
    <w:rsid w:val="001A1AD3"/>
    <w:rsid w:val="001A3C6A"/>
    <w:rsid w:val="001A4A0C"/>
    <w:rsid w:val="001A4C6C"/>
    <w:rsid w:val="001A53ED"/>
    <w:rsid w:val="001A5711"/>
    <w:rsid w:val="001A5756"/>
    <w:rsid w:val="001A5804"/>
    <w:rsid w:val="001A5B0A"/>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5472"/>
    <w:rsid w:val="001D70A6"/>
    <w:rsid w:val="001D7137"/>
    <w:rsid w:val="001E05C6"/>
    <w:rsid w:val="001E0B29"/>
    <w:rsid w:val="001E19BC"/>
    <w:rsid w:val="001E1A53"/>
    <w:rsid w:val="001E2CFB"/>
    <w:rsid w:val="001E2ED9"/>
    <w:rsid w:val="001E3574"/>
    <w:rsid w:val="001E3854"/>
    <w:rsid w:val="001E4225"/>
    <w:rsid w:val="001E5B8E"/>
    <w:rsid w:val="001F0488"/>
    <w:rsid w:val="001F3BF4"/>
    <w:rsid w:val="001F3C68"/>
    <w:rsid w:val="001F4194"/>
    <w:rsid w:val="001F49F1"/>
    <w:rsid w:val="001F5074"/>
    <w:rsid w:val="001F55D5"/>
    <w:rsid w:val="001F5F40"/>
    <w:rsid w:val="001F75D6"/>
    <w:rsid w:val="001F79C6"/>
    <w:rsid w:val="001F7B55"/>
    <w:rsid w:val="00200D0C"/>
    <w:rsid w:val="00203F27"/>
    <w:rsid w:val="00205242"/>
    <w:rsid w:val="00205B95"/>
    <w:rsid w:val="0020640C"/>
    <w:rsid w:val="00206D03"/>
    <w:rsid w:val="00207453"/>
    <w:rsid w:val="002074D3"/>
    <w:rsid w:val="0020784E"/>
    <w:rsid w:val="00210868"/>
    <w:rsid w:val="00210BB0"/>
    <w:rsid w:val="0021126F"/>
    <w:rsid w:val="00213B95"/>
    <w:rsid w:val="00214C25"/>
    <w:rsid w:val="00215192"/>
    <w:rsid w:val="002170BF"/>
    <w:rsid w:val="002174D8"/>
    <w:rsid w:val="00217C4E"/>
    <w:rsid w:val="00223564"/>
    <w:rsid w:val="002242F7"/>
    <w:rsid w:val="00225BD2"/>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50F3"/>
    <w:rsid w:val="00245B0C"/>
    <w:rsid w:val="002469C9"/>
    <w:rsid w:val="00247332"/>
    <w:rsid w:val="00250E63"/>
    <w:rsid w:val="00252313"/>
    <w:rsid w:val="00252626"/>
    <w:rsid w:val="00253CC7"/>
    <w:rsid w:val="00254560"/>
    <w:rsid w:val="00254840"/>
    <w:rsid w:val="002556E9"/>
    <w:rsid w:val="002564D7"/>
    <w:rsid w:val="00256A4C"/>
    <w:rsid w:val="0025718D"/>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9FB"/>
    <w:rsid w:val="00296493"/>
    <w:rsid w:val="00297040"/>
    <w:rsid w:val="00297213"/>
    <w:rsid w:val="002975BF"/>
    <w:rsid w:val="002A0E82"/>
    <w:rsid w:val="002A3250"/>
    <w:rsid w:val="002A3A6E"/>
    <w:rsid w:val="002A3AC8"/>
    <w:rsid w:val="002A5399"/>
    <w:rsid w:val="002A5564"/>
    <w:rsid w:val="002A740E"/>
    <w:rsid w:val="002A782B"/>
    <w:rsid w:val="002B0089"/>
    <w:rsid w:val="002B03EA"/>
    <w:rsid w:val="002B31AD"/>
    <w:rsid w:val="002B3767"/>
    <w:rsid w:val="002B4B0D"/>
    <w:rsid w:val="002B6B0C"/>
    <w:rsid w:val="002B7BA6"/>
    <w:rsid w:val="002C011D"/>
    <w:rsid w:val="002C116F"/>
    <w:rsid w:val="002C4014"/>
    <w:rsid w:val="002C4311"/>
    <w:rsid w:val="002C5DB6"/>
    <w:rsid w:val="002C61A7"/>
    <w:rsid w:val="002C6681"/>
    <w:rsid w:val="002C7CB2"/>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4FA"/>
    <w:rsid w:val="002F3B92"/>
    <w:rsid w:val="002F4D5E"/>
    <w:rsid w:val="002F50FB"/>
    <w:rsid w:val="002F6563"/>
    <w:rsid w:val="0030054D"/>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0A61"/>
    <w:rsid w:val="00321AF8"/>
    <w:rsid w:val="00322A65"/>
    <w:rsid w:val="0032388C"/>
    <w:rsid w:val="00324417"/>
    <w:rsid w:val="00324791"/>
    <w:rsid w:val="00324B2C"/>
    <w:rsid w:val="00324E5B"/>
    <w:rsid w:val="00325440"/>
    <w:rsid w:val="0032579A"/>
    <w:rsid w:val="0032615A"/>
    <w:rsid w:val="00326A17"/>
    <w:rsid w:val="00327CBE"/>
    <w:rsid w:val="00330392"/>
    <w:rsid w:val="003309FF"/>
    <w:rsid w:val="0033198B"/>
    <w:rsid w:val="00333EEC"/>
    <w:rsid w:val="003342FF"/>
    <w:rsid w:val="0033589A"/>
    <w:rsid w:val="00337C48"/>
    <w:rsid w:val="00337DFD"/>
    <w:rsid w:val="00340B42"/>
    <w:rsid w:val="00342149"/>
    <w:rsid w:val="003428C1"/>
    <w:rsid w:val="003440BD"/>
    <w:rsid w:val="00344581"/>
    <w:rsid w:val="003459E2"/>
    <w:rsid w:val="00346964"/>
    <w:rsid w:val="003471B4"/>
    <w:rsid w:val="00350442"/>
    <w:rsid w:val="00350B3E"/>
    <w:rsid w:val="00352BC7"/>
    <w:rsid w:val="00353BBC"/>
    <w:rsid w:val="00353F42"/>
    <w:rsid w:val="0035474E"/>
    <w:rsid w:val="00354EEE"/>
    <w:rsid w:val="00356A26"/>
    <w:rsid w:val="00356C30"/>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30A"/>
    <w:rsid w:val="00381C7A"/>
    <w:rsid w:val="00383324"/>
    <w:rsid w:val="00383585"/>
    <w:rsid w:val="003843BB"/>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480"/>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31AF"/>
    <w:rsid w:val="003C384E"/>
    <w:rsid w:val="003C4355"/>
    <w:rsid w:val="003C446B"/>
    <w:rsid w:val="003C729B"/>
    <w:rsid w:val="003C75CF"/>
    <w:rsid w:val="003C76B0"/>
    <w:rsid w:val="003C7FAE"/>
    <w:rsid w:val="003D102F"/>
    <w:rsid w:val="003D1BB7"/>
    <w:rsid w:val="003D283B"/>
    <w:rsid w:val="003D2936"/>
    <w:rsid w:val="003D3F4C"/>
    <w:rsid w:val="003D4446"/>
    <w:rsid w:val="003D4638"/>
    <w:rsid w:val="003D4D1D"/>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3F6034"/>
    <w:rsid w:val="00400A4D"/>
    <w:rsid w:val="0040233B"/>
    <w:rsid w:val="004023F4"/>
    <w:rsid w:val="00402479"/>
    <w:rsid w:val="004051BE"/>
    <w:rsid w:val="00406D11"/>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3042D"/>
    <w:rsid w:val="00430570"/>
    <w:rsid w:val="00431621"/>
    <w:rsid w:val="00431969"/>
    <w:rsid w:val="00431F78"/>
    <w:rsid w:val="00433F60"/>
    <w:rsid w:val="00435582"/>
    <w:rsid w:val="00436B64"/>
    <w:rsid w:val="0044114D"/>
    <w:rsid w:val="00441920"/>
    <w:rsid w:val="004419DA"/>
    <w:rsid w:val="00442945"/>
    <w:rsid w:val="004430A9"/>
    <w:rsid w:val="00443198"/>
    <w:rsid w:val="0044366E"/>
    <w:rsid w:val="00443A90"/>
    <w:rsid w:val="00443DE7"/>
    <w:rsid w:val="00446BCB"/>
    <w:rsid w:val="00447592"/>
    <w:rsid w:val="00455C99"/>
    <w:rsid w:val="004572B4"/>
    <w:rsid w:val="00457386"/>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3AB1"/>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1011"/>
    <w:rsid w:val="004B14C4"/>
    <w:rsid w:val="004B30C3"/>
    <w:rsid w:val="004B35DC"/>
    <w:rsid w:val="004C40E8"/>
    <w:rsid w:val="004C4F45"/>
    <w:rsid w:val="004C54A0"/>
    <w:rsid w:val="004C5B03"/>
    <w:rsid w:val="004C749A"/>
    <w:rsid w:val="004C7AC4"/>
    <w:rsid w:val="004C7BCC"/>
    <w:rsid w:val="004D08F5"/>
    <w:rsid w:val="004D12A1"/>
    <w:rsid w:val="004D311C"/>
    <w:rsid w:val="004D34A0"/>
    <w:rsid w:val="004D362A"/>
    <w:rsid w:val="004D3C08"/>
    <w:rsid w:val="004D55FA"/>
    <w:rsid w:val="004D5A16"/>
    <w:rsid w:val="004D5B29"/>
    <w:rsid w:val="004D5E02"/>
    <w:rsid w:val="004D5F70"/>
    <w:rsid w:val="004D75C4"/>
    <w:rsid w:val="004D75D8"/>
    <w:rsid w:val="004E05E7"/>
    <w:rsid w:val="004E1757"/>
    <w:rsid w:val="004E2F35"/>
    <w:rsid w:val="004E3204"/>
    <w:rsid w:val="004E3FFF"/>
    <w:rsid w:val="004E58C3"/>
    <w:rsid w:val="004E65E9"/>
    <w:rsid w:val="004E75A8"/>
    <w:rsid w:val="004E7901"/>
    <w:rsid w:val="004E79BD"/>
    <w:rsid w:val="004F2383"/>
    <w:rsid w:val="004F23E9"/>
    <w:rsid w:val="004F2FF1"/>
    <w:rsid w:val="004F366A"/>
    <w:rsid w:val="004F3D3B"/>
    <w:rsid w:val="004F5854"/>
    <w:rsid w:val="004F72E9"/>
    <w:rsid w:val="00500EDA"/>
    <w:rsid w:val="00502D50"/>
    <w:rsid w:val="00503295"/>
    <w:rsid w:val="00503571"/>
    <w:rsid w:val="00503A81"/>
    <w:rsid w:val="00503B2F"/>
    <w:rsid w:val="00503E65"/>
    <w:rsid w:val="005045AE"/>
    <w:rsid w:val="00504CED"/>
    <w:rsid w:val="00504D5D"/>
    <w:rsid w:val="00505241"/>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715"/>
    <w:rsid w:val="00525942"/>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EE4"/>
    <w:rsid w:val="00540F72"/>
    <w:rsid w:val="005411A3"/>
    <w:rsid w:val="00542F46"/>
    <w:rsid w:val="00543297"/>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18BC"/>
    <w:rsid w:val="0056564F"/>
    <w:rsid w:val="005673FC"/>
    <w:rsid w:val="00567F85"/>
    <w:rsid w:val="00572F46"/>
    <w:rsid w:val="00580871"/>
    <w:rsid w:val="0058183A"/>
    <w:rsid w:val="00584D1A"/>
    <w:rsid w:val="005850E9"/>
    <w:rsid w:val="00585605"/>
    <w:rsid w:val="00585FF4"/>
    <w:rsid w:val="00590A8E"/>
    <w:rsid w:val="005921ED"/>
    <w:rsid w:val="00592536"/>
    <w:rsid w:val="00592CAB"/>
    <w:rsid w:val="00593628"/>
    <w:rsid w:val="00593636"/>
    <w:rsid w:val="0059500A"/>
    <w:rsid w:val="00596A48"/>
    <w:rsid w:val="005A05BB"/>
    <w:rsid w:val="005A08BE"/>
    <w:rsid w:val="005A098A"/>
    <w:rsid w:val="005A3BEF"/>
    <w:rsid w:val="005A3CB8"/>
    <w:rsid w:val="005A4358"/>
    <w:rsid w:val="005A4F7D"/>
    <w:rsid w:val="005A5F10"/>
    <w:rsid w:val="005A6378"/>
    <w:rsid w:val="005A69E2"/>
    <w:rsid w:val="005A6C7B"/>
    <w:rsid w:val="005A6E7C"/>
    <w:rsid w:val="005B01F2"/>
    <w:rsid w:val="005B4F29"/>
    <w:rsid w:val="005B5378"/>
    <w:rsid w:val="005B5F54"/>
    <w:rsid w:val="005C1345"/>
    <w:rsid w:val="005C3D9A"/>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3735"/>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261"/>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6992"/>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6E21"/>
    <w:rsid w:val="00667712"/>
    <w:rsid w:val="006706A5"/>
    <w:rsid w:val="006709E7"/>
    <w:rsid w:val="0067105F"/>
    <w:rsid w:val="00671138"/>
    <w:rsid w:val="0067116A"/>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B21"/>
    <w:rsid w:val="00695654"/>
    <w:rsid w:val="006A0461"/>
    <w:rsid w:val="006A0550"/>
    <w:rsid w:val="006A0B82"/>
    <w:rsid w:val="006A172E"/>
    <w:rsid w:val="006A29BE"/>
    <w:rsid w:val="006A4113"/>
    <w:rsid w:val="006A5CFC"/>
    <w:rsid w:val="006A5DB1"/>
    <w:rsid w:val="006A780B"/>
    <w:rsid w:val="006A7DB6"/>
    <w:rsid w:val="006B05A4"/>
    <w:rsid w:val="006B1632"/>
    <w:rsid w:val="006B23FF"/>
    <w:rsid w:val="006B247F"/>
    <w:rsid w:val="006B3C0B"/>
    <w:rsid w:val="006B460D"/>
    <w:rsid w:val="006B59EF"/>
    <w:rsid w:val="006C052C"/>
    <w:rsid w:val="006C0F2D"/>
    <w:rsid w:val="006C2D84"/>
    <w:rsid w:val="006C56A5"/>
    <w:rsid w:val="006C58A2"/>
    <w:rsid w:val="006C5BFF"/>
    <w:rsid w:val="006C5D46"/>
    <w:rsid w:val="006C5DAF"/>
    <w:rsid w:val="006C65F1"/>
    <w:rsid w:val="006D0207"/>
    <w:rsid w:val="006D04EE"/>
    <w:rsid w:val="006D1F73"/>
    <w:rsid w:val="006D250A"/>
    <w:rsid w:val="006D3169"/>
    <w:rsid w:val="006D590F"/>
    <w:rsid w:val="006D60A4"/>
    <w:rsid w:val="006D6E56"/>
    <w:rsid w:val="006E0548"/>
    <w:rsid w:val="006E0ACD"/>
    <w:rsid w:val="006E19CA"/>
    <w:rsid w:val="006E270D"/>
    <w:rsid w:val="006E3777"/>
    <w:rsid w:val="006E50DF"/>
    <w:rsid w:val="006E50F1"/>
    <w:rsid w:val="006E7B1A"/>
    <w:rsid w:val="006F0018"/>
    <w:rsid w:val="006F30B1"/>
    <w:rsid w:val="006F32C7"/>
    <w:rsid w:val="006F381F"/>
    <w:rsid w:val="006F4482"/>
    <w:rsid w:val="006F45BC"/>
    <w:rsid w:val="006F472E"/>
    <w:rsid w:val="006F59DE"/>
    <w:rsid w:val="00700664"/>
    <w:rsid w:val="00700E59"/>
    <w:rsid w:val="00701FAC"/>
    <w:rsid w:val="0070213C"/>
    <w:rsid w:val="00702BEE"/>
    <w:rsid w:val="00702EF7"/>
    <w:rsid w:val="00704460"/>
    <w:rsid w:val="007047B6"/>
    <w:rsid w:val="00704A66"/>
    <w:rsid w:val="007052E1"/>
    <w:rsid w:val="0070698C"/>
    <w:rsid w:val="00706A32"/>
    <w:rsid w:val="007078B7"/>
    <w:rsid w:val="00710D58"/>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1DA2"/>
    <w:rsid w:val="007631E0"/>
    <w:rsid w:val="00765781"/>
    <w:rsid w:val="00766353"/>
    <w:rsid w:val="00773BDD"/>
    <w:rsid w:val="00774460"/>
    <w:rsid w:val="00776EC9"/>
    <w:rsid w:val="00780296"/>
    <w:rsid w:val="00780707"/>
    <w:rsid w:val="00780972"/>
    <w:rsid w:val="00780E2F"/>
    <w:rsid w:val="00781C27"/>
    <w:rsid w:val="00787B2C"/>
    <w:rsid w:val="00787B36"/>
    <w:rsid w:val="00787C7F"/>
    <w:rsid w:val="00787D24"/>
    <w:rsid w:val="00791EEE"/>
    <w:rsid w:val="007946EB"/>
    <w:rsid w:val="0079543C"/>
    <w:rsid w:val="00795F8D"/>
    <w:rsid w:val="00796AEA"/>
    <w:rsid w:val="007A1316"/>
    <w:rsid w:val="007A1DC5"/>
    <w:rsid w:val="007A20AD"/>
    <w:rsid w:val="007A28CD"/>
    <w:rsid w:val="007A35C4"/>
    <w:rsid w:val="007A5D05"/>
    <w:rsid w:val="007A5E2B"/>
    <w:rsid w:val="007A7331"/>
    <w:rsid w:val="007A7415"/>
    <w:rsid w:val="007B0CB0"/>
    <w:rsid w:val="007B116D"/>
    <w:rsid w:val="007B1A13"/>
    <w:rsid w:val="007B1F99"/>
    <w:rsid w:val="007B27DF"/>
    <w:rsid w:val="007B3A36"/>
    <w:rsid w:val="007B3A86"/>
    <w:rsid w:val="007B3DF4"/>
    <w:rsid w:val="007B54ED"/>
    <w:rsid w:val="007B596C"/>
    <w:rsid w:val="007B6462"/>
    <w:rsid w:val="007B6EF3"/>
    <w:rsid w:val="007C2AE2"/>
    <w:rsid w:val="007C2F4E"/>
    <w:rsid w:val="007C31CC"/>
    <w:rsid w:val="007C32C3"/>
    <w:rsid w:val="007C3E46"/>
    <w:rsid w:val="007C47D0"/>
    <w:rsid w:val="007C6751"/>
    <w:rsid w:val="007D0987"/>
    <w:rsid w:val="007D0E00"/>
    <w:rsid w:val="007D0FC5"/>
    <w:rsid w:val="007D191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6A11"/>
    <w:rsid w:val="008002AA"/>
    <w:rsid w:val="008015EA"/>
    <w:rsid w:val="008018EF"/>
    <w:rsid w:val="0080230D"/>
    <w:rsid w:val="008036FD"/>
    <w:rsid w:val="0080383D"/>
    <w:rsid w:val="00807429"/>
    <w:rsid w:val="00810827"/>
    <w:rsid w:val="008127D6"/>
    <w:rsid w:val="0081411E"/>
    <w:rsid w:val="00814E45"/>
    <w:rsid w:val="00815360"/>
    <w:rsid w:val="00817DA7"/>
    <w:rsid w:val="0082161C"/>
    <w:rsid w:val="00821B16"/>
    <w:rsid w:val="00823378"/>
    <w:rsid w:val="008243DF"/>
    <w:rsid w:val="0082459D"/>
    <w:rsid w:val="00824CEF"/>
    <w:rsid w:val="00824CFF"/>
    <w:rsid w:val="008254AB"/>
    <w:rsid w:val="00826480"/>
    <w:rsid w:val="00830148"/>
    <w:rsid w:val="008316AD"/>
    <w:rsid w:val="00831855"/>
    <w:rsid w:val="00832D13"/>
    <w:rsid w:val="00835315"/>
    <w:rsid w:val="00835AEB"/>
    <w:rsid w:val="00836BE5"/>
    <w:rsid w:val="00840D0F"/>
    <w:rsid w:val="0084200E"/>
    <w:rsid w:val="00842A84"/>
    <w:rsid w:val="00842FDE"/>
    <w:rsid w:val="008445D4"/>
    <w:rsid w:val="008446F1"/>
    <w:rsid w:val="00846FF0"/>
    <w:rsid w:val="00847CD0"/>
    <w:rsid w:val="00854B56"/>
    <w:rsid w:val="00855374"/>
    <w:rsid w:val="0085728C"/>
    <w:rsid w:val="00857A42"/>
    <w:rsid w:val="00860737"/>
    <w:rsid w:val="008611A4"/>
    <w:rsid w:val="00861FD7"/>
    <w:rsid w:val="00862B1B"/>
    <w:rsid w:val="00862B56"/>
    <w:rsid w:val="0086363F"/>
    <w:rsid w:val="008639C9"/>
    <w:rsid w:val="008667AD"/>
    <w:rsid w:val="00866D13"/>
    <w:rsid w:val="00874DEF"/>
    <w:rsid w:val="00876D09"/>
    <w:rsid w:val="00877308"/>
    <w:rsid w:val="0088013C"/>
    <w:rsid w:val="00881882"/>
    <w:rsid w:val="00882AC7"/>
    <w:rsid w:val="00882CC5"/>
    <w:rsid w:val="008835E3"/>
    <w:rsid w:val="00883F04"/>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AE9"/>
    <w:rsid w:val="008B0C5E"/>
    <w:rsid w:val="008B1D85"/>
    <w:rsid w:val="008B24E5"/>
    <w:rsid w:val="008B270A"/>
    <w:rsid w:val="008B3920"/>
    <w:rsid w:val="008B496B"/>
    <w:rsid w:val="008B5B9D"/>
    <w:rsid w:val="008B68C6"/>
    <w:rsid w:val="008B6F16"/>
    <w:rsid w:val="008B6F4B"/>
    <w:rsid w:val="008C0156"/>
    <w:rsid w:val="008C0189"/>
    <w:rsid w:val="008C0257"/>
    <w:rsid w:val="008C12FB"/>
    <w:rsid w:val="008C2607"/>
    <w:rsid w:val="008C465E"/>
    <w:rsid w:val="008C4CE4"/>
    <w:rsid w:val="008C674C"/>
    <w:rsid w:val="008C6787"/>
    <w:rsid w:val="008C73D6"/>
    <w:rsid w:val="008D0C62"/>
    <w:rsid w:val="008D20C1"/>
    <w:rsid w:val="008D2CD6"/>
    <w:rsid w:val="008D4939"/>
    <w:rsid w:val="008D50C8"/>
    <w:rsid w:val="008D78F0"/>
    <w:rsid w:val="008D790B"/>
    <w:rsid w:val="008D7FC7"/>
    <w:rsid w:val="008E0C04"/>
    <w:rsid w:val="008E0FE3"/>
    <w:rsid w:val="008E2737"/>
    <w:rsid w:val="008E3D60"/>
    <w:rsid w:val="008E45DB"/>
    <w:rsid w:val="008E4DCD"/>
    <w:rsid w:val="008E4E47"/>
    <w:rsid w:val="008E6098"/>
    <w:rsid w:val="008E7390"/>
    <w:rsid w:val="008E7B58"/>
    <w:rsid w:val="008F05C2"/>
    <w:rsid w:val="008F1F00"/>
    <w:rsid w:val="008F41ED"/>
    <w:rsid w:val="008F42BB"/>
    <w:rsid w:val="008F47D1"/>
    <w:rsid w:val="008F6D2B"/>
    <w:rsid w:val="008F7005"/>
    <w:rsid w:val="0090291C"/>
    <w:rsid w:val="00905434"/>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013"/>
    <w:rsid w:val="00963876"/>
    <w:rsid w:val="00964CD3"/>
    <w:rsid w:val="00966051"/>
    <w:rsid w:val="0097032D"/>
    <w:rsid w:val="00970E28"/>
    <w:rsid w:val="00973088"/>
    <w:rsid w:val="00974568"/>
    <w:rsid w:val="0097493A"/>
    <w:rsid w:val="0097619C"/>
    <w:rsid w:val="009765DF"/>
    <w:rsid w:val="00976E8C"/>
    <w:rsid w:val="00977973"/>
    <w:rsid w:val="00981F79"/>
    <w:rsid w:val="009834E9"/>
    <w:rsid w:val="00983A72"/>
    <w:rsid w:val="009850EF"/>
    <w:rsid w:val="009868FC"/>
    <w:rsid w:val="00986D78"/>
    <w:rsid w:val="00987FE0"/>
    <w:rsid w:val="00990566"/>
    <w:rsid w:val="00991A16"/>
    <w:rsid w:val="00991AA5"/>
    <w:rsid w:val="00993BEE"/>
    <w:rsid w:val="00995CC1"/>
    <w:rsid w:val="009961EE"/>
    <w:rsid w:val="00996FC8"/>
    <w:rsid w:val="009A0BF1"/>
    <w:rsid w:val="009A23A4"/>
    <w:rsid w:val="009A2E64"/>
    <w:rsid w:val="009A43AF"/>
    <w:rsid w:val="009A4ED0"/>
    <w:rsid w:val="009A6EF9"/>
    <w:rsid w:val="009B0086"/>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4703"/>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67DD"/>
    <w:rsid w:val="009F00E2"/>
    <w:rsid w:val="009F43C3"/>
    <w:rsid w:val="009F4C44"/>
    <w:rsid w:val="009F61A9"/>
    <w:rsid w:val="009F61B8"/>
    <w:rsid w:val="009F6A19"/>
    <w:rsid w:val="00A01C5F"/>
    <w:rsid w:val="00A020B4"/>
    <w:rsid w:val="00A02F3C"/>
    <w:rsid w:val="00A03358"/>
    <w:rsid w:val="00A043FE"/>
    <w:rsid w:val="00A044A3"/>
    <w:rsid w:val="00A0471E"/>
    <w:rsid w:val="00A05916"/>
    <w:rsid w:val="00A05AA6"/>
    <w:rsid w:val="00A06192"/>
    <w:rsid w:val="00A07065"/>
    <w:rsid w:val="00A10886"/>
    <w:rsid w:val="00A11861"/>
    <w:rsid w:val="00A1266A"/>
    <w:rsid w:val="00A13810"/>
    <w:rsid w:val="00A1387B"/>
    <w:rsid w:val="00A1389B"/>
    <w:rsid w:val="00A1622A"/>
    <w:rsid w:val="00A16E6B"/>
    <w:rsid w:val="00A16EEB"/>
    <w:rsid w:val="00A17E19"/>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3468"/>
    <w:rsid w:val="00A437BB"/>
    <w:rsid w:val="00A441EC"/>
    <w:rsid w:val="00A4716C"/>
    <w:rsid w:val="00A50430"/>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7CC0"/>
    <w:rsid w:val="00A80B08"/>
    <w:rsid w:val="00A81E64"/>
    <w:rsid w:val="00A82AD7"/>
    <w:rsid w:val="00A8326A"/>
    <w:rsid w:val="00A8367E"/>
    <w:rsid w:val="00A84536"/>
    <w:rsid w:val="00A84FC0"/>
    <w:rsid w:val="00A8510A"/>
    <w:rsid w:val="00A85226"/>
    <w:rsid w:val="00A857A7"/>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2C4F"/>
    <w:rsid w:val="00AB3848"/>
    <w:rsid w:val="00AB5020"/>
    <w:rsid w:val="00AB5F73"/>
    <w:rsid w:val="00AB6968"/>
    <w:rsid w:val="00AB699B"/>
    <w:rsid w:val="00AB6EAA"/>
    <w:rsid w:val="00AC042B"/>
    <w:rsid w:val="00AC0A37"/>
    <w:rsid w:val="00AC113A"/>
    <w:rsid w:val="00AC1E64"/>
    <w:rsid w:val="00AC2919"/>
    <w:rsid w:val="00AC3473"/>
    <w:rsid w:val="00AC3CC5"/>
    <w:rsid w:val="00AC4230"/>
    <w:rsid w:val="00AC4746"/>
    <w:rsid w:val="00AC5FB9"/>
    <w:rsid w:val="00AC6001"/>
    <w:rsid w:val="00AC6F04"/>
    <w:rsid w:val="00AC7080"/>
    <w:rsid w:val="00AC7204"/>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646E"/>
    <w:rsid w:val="00AE655A"/>
    <w:rsid w:val="00AE796E"/>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F4E"/>
    <w:rsid w:val="00B11E5B"/>
    <w:rsid w:val="00B146AF"/>
    <w:rsid w:val="00B1511A"/>
    <w:rsid w:val="00B15D08"/>
    <w:rsid w:val="00B16E7E"/>
    <w:rsid w:val="00B17456"/>
    <w:rsid w:val="00B20655"/>
    <w:rsid w:val="00B206E5"/>
    <w:rsid w:val="00B20AC4"/>
    <w:rsid w:val="00B21FFE"/>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508E9"/>
    <w:rsid w:val="00B50EFF"/>
    <w:rsid w:val="00B513A5"/>
    <w:rsid w:val="00B52B1B"/>
    <w:rsid w:val="00B531F1"/>
    <w:rsid w:val="00B547FB"/>
    <w:rsid w:val="00B555ED"/>
    <w:rsid w:val="00B55B97"/>
    <w:rsid w:val="00B56E5D"/>
    <w:rsid w:val="00B5729D"/>
    <w:rsid w:val="00B5735F"/>
    <w:rsid w:val="00B57E11"/>
    <w:rsid w:val="00B61727"/>
    <w:rsid w:val="00B6173F"/>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4A48"/>
    <w:rsid w:val="00BA4EA6"/>
    <w:rsid w:val="00BA657A"/>
    <w:rsid w:val="00BA7B9D"/>
    <w:rsid w:val="00BA7BD2"/>
    <w:rsid w:val="00BA7C42"/>
    <w:rsid w:val="00BB0832"/>
    <w:rsid w:val="00BB1257"/>
    <w:rsid w:val="00BB14EE"/>
    <w:rsid w:val="00BB25C7"/>
    <w:rsid w:val="00BB276B"/>
    <w:rsid w:val="00BB354F"/>
    <w:rsid w:val="00BB36A8"/>
    <w:rsid w:val="00BB4228"/>
    <w:rsid w:val="00BB4825"/>
    <w:rsid w:val="00BB48C7"/>
    <w:rsid w:val="00BB5B0A"/>
    <w:rsid w:val="00BB63AF"/>
    <w:rsid w:val="00BB700A"/>
    <w:rsid w:val="00BB7187"/>
    <w:rsid w:val="00BC061A"/>
    <w:rsid w:val="00BC0BCB"/>
    <w:rsid w:val="00BC108B"/>
    <w:rsid w:val="00BC12B6"/>
    <w:rsid w:val="00BC2DCC"/>
    <w:rsid w:val="00BC2DF0"/>
    <w:rsid w:val="00BC321A"/>
    <w:rsid w:val="00BC3F05"/>
    <w:rsid w:val="00BC45CB"/>
    <w:rsid w:val="00BC4D98"/>
    <w:rsid w:val="00BC5C7E"/>
    <w:rsid w:val="00BD1AD4"/>
    <w:rsid w:val="00BD1E93"/>
    <w:rsid w:val="00BD1F85"/>
    <w:rsid w:val="00BD27A4"/>
    <w:rsid w:val="00BD4D28"/>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335C"/>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369E"/>
    <w:rsid w:val="00C13ED1"/>
    <w:rsid w:val="00C14024"/>
    <w:rsid w:val="00C1408E"/>
    <w:rsid w:val="00C14801"/>
    <w:rsid w:val="00C14D24"/>
    <w:rsid w:val="00C15225"/>
    <w:rsid w:val="00C152B8"/>
    <w:rsid w:val="00C16120"/>
    <w:rsid w:val="00C16966"/>
    <w:rsid w:val="00C16E1E"/>
    <w:rsid w:val="00C21F0C"/>
    <w:rsid w:val="00C22F84"/>
    <w:rsid w:val="00C2391E"/>
    <w:rsid w:val="00C26422"/>
    <w:rsid w:val="00C26763"/>
    <w:rsid w:val="00C267C0"/>
    <w:rsid w:val="00C26C7C"/>
    <w:rsid w:val="00C32484"/>
    <w:rsid w:val="00C3269F"/>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60421"/>
    <w:rsid w:val="00C609DF"/>
    <w:rsid w:val="00C6107C"/>
    <w:rsid w:val="00C6111C"/>
    <w:rsid w:val="00C65A7D"/>
    <w:rsid w:val="00C65E9D"/>
    <w:rsid w:val="00C67EB5"/>
    <w:rsid w:val="00C70497"/>
    <w:rsid w:val="00C704B8"/>
    <w:rsid w:val="00C7149A"/>
    <w:rsid w:val="00C72CFB"/>
    <w:rsid w:val="00C72D10"/>
    <w:rsid w:val="00C74E95"/>
    <w:rsid w:val="00C74FDD"/>
    <w:rsid w:val="00C760D9"/>
    <w:rsid w:val="00C81097"/>
    <w:rsid w:val="00C81704"/>
    <w:rsid w:val="00C8399C"/>
    <w:rsid w:val="00C848D1"/>
    <w:rsid w:val="00C85B39"/>
    <w:rsid w:val="00C86351"/>
    <w:rsid w:val="00C869F3"/>
    <w:rsid w:val="00C86F0C"/>
    <w:rsid w:val="00C87880"/>
    <w:rsid w:val="00C918DF"/>
    <w:rsid w:val="00C93939"/>
    <w:rsid w:val="00C93C0C"/>
    <w:rsid w:val="00C9551C"/>
    <w:rsid w:val="00C95721"/>
    <w:rsid w:val="00C96027"/>
    <w:rsid w:val="00C96BC5"/>
    <w:rsid w:val="00C975B8"/>
    <w:rsid w:val="00C97BC9"/>
    <w:rsid w:val="00C97FC8"/>
    <w:rsid w:val="00CA0724"/>
    <w:rsid w:val="00CA1972"/>
    <w:rsid w:val="00CA1C47"/>
    <w:rsid w:val="00CA3612"/>
    <w:rsid w:val="00CA372D"/>
    <w:rsid w:val="00CA3FCC"/>
    <w:rsid w:val="00CA4C2D"/>
    <w:rsid w:val="00CA574C"/>
    <w:rsid w:val="00CA617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D79"/>
    <w:rsid w:val="00D14EF9"/>
    <w:rsid w:val="00D15AE9"/>
    <w:rsid w:val="00D21282"/>
    <w:rsid w:val="00D21CD0"/>
    <w:rsid w:val="00D222D0"/>
    <w:rsid w:val="00D2292C"/>
    <w:rsid w:val="00D229F9"/>
    <w:rsid w:val="00D2377A"/>
    <w:rsid w:val="00D23D51"/>
    <w:rsid w:val="00D24A7F"/>
    <w:rsid w:val="00D27568"/>
    <w:rsid w:val="00D30E85"/>
    <w:rsid w:val="00D325CD"/>
    <w:rsid w:val="00D32B20"/>
    <w:rsid w:val="00D33BAD"/>
    <w:rsid w:val="00D33F51"/>
    <w:rsid w:val="00D3501F"/>
    <w:rsid w:val="00D36224"/>
    <w:rsid w:val="00D37800"/>
    <w:rsid w:val="00D40999"/>
    <w:rsid w:val="00D416AA"/>
    <w:rsid w:val="00D41FF6"/>
    <w:rsid w:val="00D4491E"/>
    <w:rsid w:val="00D45FDF"/>
    <w:rsid w:val="00D50742"/>
    <w:rsid w:val="00D50EE4"/>
    <w:rsid w:val="00D53BB6"/>
    <w:rsid w:val="00D540B2"/>
    <w:rsid w:val="00D54954"/>
    <w:rsid w:val="00D55558"/>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342"/>
    <w:rsid w:val="00D848FA"/>
    <w:rsid w:val="00D85E86"/>
    <w:rsid w:val="00D867A5"/>
    <w:rsid w:val="00D90AB8"/>
    <w:rsid w:val="00D923E5"/>
    <w:rsid w:val="00D92798"/>
    <w:rsid w:val="00D942D5"/>
    <w:rsid w:val="00D94DB6"/>
    <w:rsid w:val="00D964B5"/>
    <w:rsid w:val="00D97D9B"/>
    <w:rsid w:val="00DA1938"/>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E1A"/>
    <w:rsid w:val="00DD461A"/>
    <w:rsid w:val="00DD479B"/>
    <w:rsid w:val="00DD4AD2"/>
    <w:rsid w:val="00DD58FD"/>
    <w:rsid w:val="00DD5FC9"/>
    <w:rsid w:val="00DD6697"/>
    <w:rsid w:val="00DD6A5C"/>
    <w:rsid w:val="00DD6F0B"/>
    <w:rsid w:val="00DD7963"/>
    <w:rsid w:val="00DE06B7"/>
    <w:rsid w:val="00DE06E8"/>
    <w:rsid w:val="00DE0726"/>
    <w:rsid w:val="00DE167F"/>
    <w:rsid w:val="00DE1F57"/>
    <w:rsid w:val="00DE3207"/>
    <w:rsid w:val="00DE4D90"/>
    <w:rsid w:val="00DE5066"/>
    <w:rsid w:val="00DE5D05"/>
    <w:rsid w:val="00DE6CE8"/>
    <w:rsid w:val="00DE6DAB"/>
    <w:rsid w:val="00DE7AB3"/>
    <w:rsid w:val="00DF0036"/>
    <w:rsid w:val="00DF0724"/>
    <w:rsid w:val="00DF2BFF"/>
    <w:rsid w:val="00DF4141"/>
    <w:rsid w:val="00DF4AA9"/>
    <w:rsid w:val="00DF5404"/>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9B4"/>
    <w:rsid w:val="00E13CEA"/>
    <w:rsid w:val="00E140A6"/>
    <w:rsid w:val="00E14272"/>
    <w:rsid w:val="00E148B8"/>
    <w:rsid w:val="00E1561C"/>
    <w:rsid w:val="00E1648B"/>
    <w:rsid w:val="00E16FE2"/>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3725"/>
    <w:rsid w:val="00E34401"/>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645"/>
    <w:rsid w:val="00E60D4F"/>
    <w:rsid w:val="00E614A7"/>
    <w:rsid w:val="00E61A14"/>
    <w:rsid w:val="00E61A27"/>
    <w:rsid w:val="00E62B3A"/>
    <w:rsid w:val="00E62BE3"/>
    <w:rsid w:val="00E631AE"/>
    <w:rsid w:val="00E63A60"/>
    <w:rsid w:val="00E64049"/>
    <w:rsid w:val="00E64CEB"/>
    <w:rsid w:val="00E64DB9"/>
    <w:rsid w:val="00E65353"/>
    <w:rsid w:val="00E72523"/>
    <w:rsid w:val="00E73C65"/>
    <w:rsid w:val="00E741A1"/>
    <w:rsid w:val="00E743EC"/>
    <w:rsid w:val="00E74D5E"/>
    <w:rsid w:val="00E77ADD"/>
    <w:rsid w:val="00E83AD0"/>
    <w:rsid w:val="00E849FB"/>
    <w:rsid w:val="00E84AE9"/>
    <w:rsid w:val="00E856B7"/>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7B1"/>
    <w:rsid w:val="00ED1FAA"/>
    <w:rsid w:val="00ED3390"/>
    <w:rsid w:val="00ED3CE7"/>
    <w:rsid w:val="00ED64E6"/>
    <w:rsid w:val="00ED6560"/>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D5F"/>
    <w:rsid w:val="00F113F8"/>
    <w:rsid w:val="00F12408"/>
    <w:rsid w:val="00F12DC2"/>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CD9"/>
    <w:rsid w:val="00F5084E"/>
    <w:rsid w:val="00F50C10"/>
    <w:rsid w:val="00F50F89"/>
    <w:rsid w:val="00F524DC"/>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4101"/>
    <w:rsid w:val="00F74D99"/>
    <w:rsid w:val="00F803E8"/>
    <w:rsid w:val="00F8097F"/>
    <w:rsid w:val="00F8178D"/>
    <w:rsid w:val="00F83BAD"/>
    <w:rsid w:val="00F86732"/>
    <w:rsid w:val="00F86CD7"/>
    <w:rsid w:val="00F87775"/>
    <w:rsid w:val="00F923D8"/>
    <w:rsid w:val="00F93027"/>
    <w:rsid w:val="00F93726"/>
    <w:rsid w:val="00F945B3"/>
    <w:rsid w:val="00F948A6"/>
    <w:rsid w:val="00F95BA3"/>
    <w:rsid w:val="00F96208"/>
    <w:rsid w:val="00F96664"/>
    <w:rsid w:val="00F97807"/>
    <w:rsid w:val="00FA1E4A"/>
    <w:rsid w:val="00FA2C64"/>
    <w:rsid w:val="00FA4F12"/>
    <w:rsid w:val="00FA5043"/>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3446"/>
    <w:rsid w:val="00FE3E56"/>
    <w:rsid w:val="00FE4072"/>
    <w:rsid w:val="00FE4512"/>
    <w:rsid w:val="00FE479B"/>
    <w:rsid w:val="00FE63DF"/>
    <w:rsid w:val="00FE7460"/>
    <w:rsid w:val="00FE7B3B"/>
    <w:rsid w:val="00FF0555"/>
    <w:rsid w:val="00FF0F23"/>
    <w:rsid w:val="00FF14E7"/>
    <w:rsid w:val="00FF296D"/>
    <w:rsid w:val="00FF3335"/>
    <w:rsid w:val="00FF3F67"/>
    <w:rsid w:val="00FF4547"/>
    <w:rsid w:val="00FF48E8"/>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7BFA-C61F-4972-AC43-810015D1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36</cp:revision>
  <cp:lastPrinted>2013-09-18T12:05:00Z</cp:lastPrinted>
  <dcterms:created xsi:type="dcterms:W3CDTF">2013-09-05T15:04:00Z</dcterms:created>
  <dcterms:modified xsi:type="dcterms:W3CDTF">2013-09-18T12:05:00Z</dcterms:modified>
</cp:coreProperties>
</file>