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09" w:rsidRPr="00224E09" w:rsidRDefault="00D93ADE" w:rsidP="00224E09">
      <w:pPr>
        <w:tabs>
          <w:tab w:val="center" w:pos="4680"/>
        </w:tabs>
        <w:suppressAutoHyphens/>
        <w:jc w:val="center"/>
        <w:rPr>
          <w:b/>
          <w:spacing w:val="-3"/>
          <w:szCs w:val="26"/>
        </w:rPr>
      </w:pPr>
      <w:r w:rsidRPr="00224E09">
        <w:rPr>
          <w:b/>
          <w:spacing w:val="-3"/>
          <w:szCs w:val="26"/>
        </w:rPr>
        <w:t>PENNSYLVANIA</w:t>
      </w:r>
    </w:p>
    <w:p w:rsidR="00D93ADE" w:rsidRPr="00224E09" w:rsidRDefault="00D93ADE" w:rsidP="00224E09">
      <w:pPr>
        <w:tabs>
          <w:tab w:val="center" w:pos="4680"/>
        </w:tabs>
        <w:suppressAutoHyphens/>
        <w:jc w:val="center"/>
        <w:rPr>
          <w:b/>
          <w:spacing w:val="-3"/>
          <w:szCs w:val="26"/>
        </w:rPr>
      </w:pPr>
      <w:r w:rsidRPr="00224E09">
        <w:rPr>
          <w:b/>
          <w:spacing w:val="-3"/>
          <w:szCs w:val="26"/>
        </w:rPr>
        <w:t>PUBLIC UTILITY COMMISSION</w:t>
      </w:r>
    </w:p>
    <w:p w:rsidR="00224E09" w:rsidRPr="00224E09" w:rsidRDefault="00224E09" w:rsidP="00224E09">
      <w:pPr>
        <w:tabs>
          <w:tab w:val="center" w:pos="4680"/>
        </w:tabs>
        <w:suppressAutoHyphens/>
        <w:jc w:val="center"/>
        <w:rPr>
          <w:b/>
          <w:spacing w:val="-3"/>
          <w:szCs w:val="26"/>
        </w:rPr>
      </w:pPr>
      <w:r w:rsidRPr="00224E09">
        <w:rPr>
          <w:b/>
          <w:spacing w:val="-3"/>
          <w:szCs w:val="26"/>
        </w:rPr>
        <w:t>Harrisburg, PA  17120</w:t>
      </w:r>
    </w:p>
    <w:p w:rsidR="00D93ADE" w:rsidRDefault="00D93ADE" w:rsidP="00224E09">
      <w:pPr>
        <w:tabs>
          <w:tab w:val="left" w:pos="-1440"/>
          <w:tab w:val="left" w:pos="-720"/>
        </w:tabs>
        <w:suppressAutoHyphens/>
        <w:rPr>
          <w:spacing w:val="-3"/>
          <w:szCs w:val="26"/>
        </w:rPr>
      </w:pPr>
    </w:p>
    <w:p w:rsidR="00224E09" w:rsidRPr="00224E09" w:rsidRDefault="00BE5DDC" w:rsidP="00224E09">
      <w:pPr>
        <w:tabs>
          <w:tab w:val="left" w:pos="-1440"/>
          <w:tab w:val="left" w:pos="-720"/>
        </w:tabs>
        <w:suppressAutoHyphens/>
        <w:jc w:val="right"/>
        <w:rPr>
          <w:spacing w:val="-3"/>
          <w:szCs w:val="26"/>
        </w:rPr>
      </w:pPr>
      <w:r>
        <w:rPr>
          <w:spacing w:val="-3"/>
          <w:szCs w:val="26"/>
        </w:rPr>
        <w:t>Public Meeting held September 12, 2013</w:t>
      </w:r>
    </w:p>
    <w:p w:rsidR="00D93ADE" w:rsidRDefault="00D93ADE" w:rsidP="00224E09">
      <w:pPr>
        <w:tabs>
          <w:tab w:val="left" w:pos="-1440"/>
          <w:tab w:val="left" w:pos="-720"/>
        </w:tabs>
        <w:suppressAutoHyphens/>
        <w:rPr>
          <w:spacing w:val="-3"/>
          <w:szCs w:val="26"/>
        </w:rPr>
      </w:pPr>
    </w:p>
    <w:p w:rsidR="00224E09" w:rsidRDefault="00224E09" w:rsidP="00224E09">
      <w:pPr>
        <w:tabs>
          <w:tab w:val="left" w:pos="-1440"/>
          <w:tab w:val="left" w:pos="-720"/>
        </w:tabs>
        <w:suppressAutoHyphens/>
        <w:rPr>
          <w:spacing w:val="-3"/>
          <w:szCs w:val="26"/>
        </w:rPr>
      </w:pPr>
      <w:r>
        <w:rPr>
          <w:spacing w:val="-3"/>
          <w:szCs w:val="26"/>
        </w:rPr>
        <w:t>Commissioners Present:</w:t>
      </w:r>
    </w:p>
    <w:p w:rsidR="00224E09" w:rsidRDefault="00224E09" w:rsidP="00224E09">
      <w:pPr>
        <w:tabs>
          <w:tab w:val="left" w:pos="-1440"/>
          <w:tab w:val="left" w:pos="-720"/>
        </w:tabs>
        <w:suppressAutoHyphens/>
        <w:rPr>
          <w:spacing w:val="-3"/>
          <w:szCs w:val="26"/>
        </w:rPr>
      </w:pPr>
    </w:p>
    <w:p w:rsidR="00224E09" w:rsidRDefault="00224E09" w:rsidP="00224E09">
      <w:pPr>
        <w:tabs>
          <w:tab w:val="left" w:pos="-1440"/>
          <w:tab w:val="left" w:pos="-720"/>
        </w:tabs>
        <w:suppressAutoHyphens/>
        <w:rPr>
          <w:spacing w:val="-3"/>
          <w:szCs w:val="26"/>
        </w:rPr>
      </w:pPr>
      <w:r>
        <w:rPr>
          <w:spacing w:val="-3"/>
          <w:szCs w:val="26"/>
        </w:rPr>
        <w:tab/>
        <w:t>Robert F. Powelson, Chairman</w:t>
      </w:r>
    </w:p>
    <w:p w:rsidR="00224E09" w:rsidRDefault="00224E09" w:rsidP="00224E09">
      <w:pPr>
        <w:tabs>
          <w:tab w:val="left" w:pos="-1440"/>
          <w:tab w:val="left" w:pos="-720"/>
        </w:tabs>
        <w:suppressAutoHyphens/>
        <w:rPr>
          <w:spacing w:val="-3"/>
          <w:szCs w:val="26"/>
        </w:rPr>
      </w:pPr>
      <w:r>
        <w:rPr>
          <w:spacing w:val="-3"/>
          <w:szCs w:val="26"/>
        </w:rPr>
        <w:tab/>
        <w:t>John F. Coleman, Jr., Vice Chairman</w:t>
      </w:r>
    </w:p>
    <w:p w:rsidR="00224E09" w:rsidRDefault="00224E09" w:rsidP="00224E09">
      <w:pPr>
        <w:tabs>
          <w:tab w:val="left" w:pos="-1440"/>
          <w:tab w:val="left" w:pos="-720"/>
        </w:tabs>
        <w:suppressAutoHyphens/>
        <w:rPr>
          <w:spacing w:val="-3"/>
          <w:szCs w:val="26"/>
        </w:rPr>
      </w:pPr>
      <w:r>
        <w:rPr>
          <w:spacing w:val="-3"/>
          <w:szCs w:val="26"/>
        </w:rPr>
        <w:tab/>
        <w:t>Wayne E. Gardner</w:t>
      </w:r>
    </w:p>
    <w:p w:rsidR="00224E09" w:rsidRDefault="00224E09" w:rsidP="00224E09">
      <w:pPr>
        <w:tabs>
          <w:tab w:val="left" w:pos="-1440"/>
          <w:tab w:val="left" w:pos="-720"/>
        </w:tabs>
        <w:suppressAutoHyphens/>
        <w:rPr>
          <w:spacing w:val="-3"/>
          <w:szCs w:val="26"/>
        </w:rPr>
      </w:pPr>
      <w:r>
        <w:rPr>
          <w:spacing w:val="-3"/>
          <w:szCs w:val="26"/>
        </w:rPr>
        <w:tab/>
        <w:t>James H. Cawley</w:t>
      </w:r>
    </w:p>
    <w:p w:rsidR="00224E09" w:rsidRDefault="00224E09" w:rsidP="00224E09">
      <w:pPr>
        <w:tabs>
          <w:tab w:val="left" w:pos="-1440"/>
          <w:tab w:val="left" w:pos="-720"/>
        </w:tabs>
        <w:suppressAutoHyphens/>
        <w:rPr>
          <w:spacing w:val="-3"/>
          <w:szCs w:val="26"/>
        </w:rPr>
      </w:pPr>
      <w:r>
        <w:rPr>
          <w:spacing w:val="-3"/>
          <w:szCs w:val="26"/>
        </w:rPr>
        <w:tab/>
        <w:t>Pamela A. Witmer</w:t>
      </w:r>
    </w:p>
    <w:p w:rsidR="00224E09" w:rsidRPr="00224E09" w:rsidRDefault="00224E09" w:rsidP="00224E09">
      <w:pPr>
        <w:tabs>
          <w:tab w:val="left" w:pos="-1440"/>
          <w:tab w:val="left" w:pos="-720"/>
        </w:tabs>
        <w:suppressAutoHyphens/>
        <w:rPr>
          <w:spacing w:val="-3"/>
          <w:szCs w:val="26"/>
        </w:rPr>
      </w:pPr>
    </w:p>
    <w:p w:rsidR="00D93ADE" w:rsidRPr="00224E09" w:rsidRDefault="00D93ADE" w:rsidP="00CA735A">
      <w:pPr>
        <w:tabs>
          <w:tab w:val="left" w:pos="-1440"/>
          <w:tab w:val="left" w:pos="-720"/>
        </w:tabs>
        <w:suppressAutoHyphens/>
        <w:ind w:firstLine="1440"/>
        <w:rPr>
          <w:spacing w:val="-3"/>
          <w:szCs w:val="26"/>
        </w:rPr>
      </w:pPr>
    </w:p>
    <w:p w:rsidR="00D93ADE" w:rsidRPr="00224E09" w:rsidRDefault="00BE5DDC" w:rsidP="00CA735A">
      <w:pPr>
        <w:tabs>
          <w:tab w:val="left" w:pos="-1440"/>
          <w:tab w:val="left" w:pos="-720"/>
        </w:tabs>
        <w:suppressAutoHyphens/>
        <w:rPr>
          <w:spacing w:val="-3"/>
          <w:szCs w:val="26"/>
        </w:rPr>
      </w:pPr>
      <w:r>
        <w:rPr>
          <w:spacing w:val="-3"/>
          <w:szCs w:val="26"/>
        </w:rPr>
        <w:t>Precious Apartments</w:t>
      </w:r>
      <w:r w:rsidR="00224E09">
        <w:rPr>
          <w:spacing w:val="-3"/>
          <w:szCs w:val="26"/>
        </w:rPr>
        <w:tab/>
      </w:r>
      <w:r w:rsidR="004B3922">
        <w:rPr>
          <w:spacing w:val="-3"/>
          <w:szCs w:val="26"/>
        </w:rPr>
        <w:tab/>
      </w:r>
      <w:r w:rsidR="004B3922">
        <w:rPr>
          <w:spacing w:val="-3"/>
          <w:szCs w:val="26"/>
        </w:rPr>
        <w:tab/>
      </w:r>
      <w:r w:rsidR="004B3922">
        <w:rPr>
          <w:spacing w:val="-3"/>
          <w:szCs w:val="26"/>
        </w:rPr>
        <w:tab/>
      </w:r>
      <w:r w:rsidR="004B3922">
        <w:rPr>
          <w:spacing w:val="-3"/>
          <w:szCs w:val="26"/>
        </w:rPr>
        <w:tab/>
      </w:r>
      <w:r w:rsidR="004B3922">
        <w:rPr>
          <w:spacing w:val="-3"/>
          <w:szCs w:val="26"/>
        </w:rPr>
        <w:tab/>
      </w:r>
      <w:r w:rsidR="004B3922">
        <w:rPr>
          <w:spacing w:val="-3"/>
          <w:szCs w:val="26"/>
        </w:rPr>
        <w:tab/>
      </w:r>
      <w:r w:rsidR="006A30E0">
        <w:rPr>
          <w:spacing w:val="-3"/>
          <w:szCs w:val="26"/>
        </w:rPr>
        <w:tab/>
      </w:r>
      <w:r w:rsidR="004B3922">
        <w:rPr>
          <w:spacing w:val="-3"/>
          <w:szCs w:val="26"/>
        </w:rPr>
        <w:t>F-2013-2359935</w:t>
      </w:r>
      <w:r w:rsidR="00224E09">
        <w:rPr>
          <w:spacing w:val="-3"/>
          <w:szCs w:val="26"/>
        </w:rPr>
        <w:tab/>
      </w:r>
    </w:p>
    <w:p w:rsidR="00D93ADE" w:rsidRPr="00224E09" w:rsidRDefault="00224E09" w:rsidP="00CA735A">
      <w:pPr>
        <w:tabs>
          <w:tab w:val="left" w:pos="-1440"/>
          <w:tab w:val="left" w:pos="-720"/>
        </w:tabs>
        <w:suppressAutoHyphens/>
        <w:rPr>
          <w:spacing w:val="-3"/>
          <w:szCs w:val="26"/>
        </w:rPr>
      </w:pPr>
      <w:r>
        <w:rPr>
          <w:spacing w:val="-3"/>
          <w:szCs w:val="26"/>
        </w:rPr>
        <w:tab/>
      </w:r>
      <w:r>
        <w:rPr>
          <w:spacing w:val="-3"/>
          <w:szCs w:val="26"/>
        </w:rPr>
        <w:tab/>
      </w:r>
      <w:r>
        <w:rPr>
          <w:spacing w:val="-3"/>
          <w:szCs w:val="26"/>
        </w:rPr>
        <w:tab/>
      </w:r>
      <w:r>
        <w:rPr>
          <w:spacing w:val="-3"/>
          <w:szCs w:val="26"/>
        </w:rPr>
        <w:tab/>
      </w:r>
      <w:r>
        <w:rPr>
          <w:spacing w:val="-3"/>
          <w:szCs w:val="26"/>
        </w:rPr>
        <w:tab/>
      </w:r>
    </w:p>
    <w:p w:rsidR="00D93ADE" w:rsidRPr="00224E09" w:rsidRDefault="00224E09" w:rsidP="00CA735A">
      <w:pPr>
        <w:tabs>
          <w:tab w:val="left" w:pos="-1440"/>
          <w:tab w:val="left" w:pos="-720"/>
        </w:tabs>
        <w:suppressAutoHyphens/>
        <w:rPr>
          <w:spacing w:val="-3"/>
          <w:szCs w:val="26"/>
        </w:rPr>
      </w:pPr>
      <w:r>
        <w:rPr>
          <w:spacing w:val="-3"/>
          <w:szCs w:val="26"/>
        </w:rPr>
        <w:tab/>
        <w:t>v.</w:t>
      </w:r>
      <w:r>
        <w:rPr>
          <w:spacing w:val="-3"/>
          <w:szCs w:val="26"/>
        </w:rPr>
        <w:tab/>
      </w:r>
      <w:r>
        <w:rPr>
          <w:spacing w:val="-3"/>
          <w:szCs w:val="26"/>
        </w:rPr>
        <w:tab/>
      </w:r>
      <w:r>
        <w:rPr>
          <w:spacing w:val="-3"/>
          <w:szCs w:val="26"/>
        </w:rPr>
        <w:tab/>
      </w:r>
      <w:r>
        <w:rPr>
          <w:spacing w:val="-3"/>
          <w:szCs w:val="26"/>
        </w:rPr>
        <w:tab/>
      </w:r>
      <w:r>
        <w:rPr>
          <w:spacing w:val="-3"/>
          <w:szCs w:val="26"/>
        </w:rPr>
        <w:tab/>
      </w:r>
      <w:r>
        <w:rPr>
          <w:spacing w:val="-3"/>
          <w:szCs w:val="26"/>
        </w:rPr>
        <w:tab/>
      </w:r>
      <w:r w:rsidR="00D93ADE" w:rsidRPr="00224E09">
        <w:rPr>
          <w:spacing w:val="-3"/>
          <w:szCs w:val="26"/>
        </w:rPr>
        <w:tab/>
      </w:r>
      <w:r w:rsidR="00D93ADE" w:rsidRPr="00224E09">
        <w:rPr>
          <w:spacing w:val="-3"/>
          <w:szCs w:val="26"/>
        </w:rPr>
        <w:tab/>
      </w:r>
      <w:r>
        <w:rPr>
          <w:spacing w:val="-3"/>
          <w:szCs w:val="26"/>
        </w:rPr>
        <w:tab/>
      </w:r>
      <w:r>
        <w:rPr>
          <w:spacing w:val="-3"/>
          <w:szCs w:val="26"/>
        </w:rPr>
        <w:tab/>
      </w:r>
      <w:r>
        <w:rPr>
          <w:spacing w:val="-3"/>
          <w:szCs w:val="26"/>
        </w:rPr>
        <w:tab/>
      </w:r>
      <w:r>
        <w:rPr>
          <w:spacing w:val="-3"/>
          <w:szCs w:val="26"/>
        </w:rPr>
        <w:tab/>
      </w:r>
      <w:r>
        <w:rPr>
          <w:spacing w:val="-3"/>
          <w:szCs w:val="26"/>
        </w:rPr>
        <w:tab/>
      </w:r>
    </w:p>
    <w:p w:rsidR="00D93ADE" w:rsidRPr="00224E09" w:rsidRDefault="00BE5DDC" w:rsidP="00CA735A">
      <w:pPr>
        <w:tabs>
          <w:tab w:val="left" w:pos="-1440"/>
          <w:tab w:val="left" w:pos="-720"/>
        </w:tabs>
        <w:suppressAutoHyphens/>
        <w:rPr>
          <w:spacing w:val="-3"/>
          <w:szCs w:val="26"/>
        </w:rPr>
      </w:pPr>
      <w:r>
        <w:rPr>
          <w:spacing w:val="-3"/>
          <w:szCs w:val="26"/>
        </w:rPr>
        <w:t>Philadelphia Gas Works</w:t>
      </w:r>
      <w:r w:rsidR="00224E09">
        <w:rPr>
          <w:spacing w:val="-3"/>
          <w:szCs w:val="26"/>
        </w:rPr>
        <w:tab/>
      </w:r>
      <w:r w:rsidR="00224E09">
        <w:rPr>
          <w:spacing w:val="-3"/>
          <w:szCs w:val="26"/>
        </w:rPr>
        <w:tab/>
      </w:r>
      <w:r w:rsidR="00224E09">
        <w:rPr>
          <w:spacing w:val="-3"/>
          <w:szCs w:val="26"/>
        </w:rPr>
        <w:tab/>
      </w:r>
      <w:r w:rsidR="00224E09">
        <w:rPr>
          <w:spacing w:val="-3"/>
          <w:szCs w:val="26"/>
        </w:rPr>
        <w:tab/>
      </w:r>
    </w:p>
    <w:p w:rsidR="00D93ADE" w:rsidRPr="00224E09" w:rsidRDefault="00D93ADE" w:rsidP="00CA735A">
      <w:pPr>
        <w:tabs>
          <w:tab w:val="left" w:pos="-1440"/>
          <w:tab w:val="left" w:pos="-720"/>
        </w:tabs>
        <w:suppressAutoHyphens/>
        <w:ind w:firstLine="1440"/>
        <w:jc w:val="center"/>
        <w:rPr>
          <w:spacing w:val="-3"/>
          <w:szCs w:val="26"/>
        </w:rPr>
      </w:pPr>
    </w:p>
    <w:p w:rsidR="00D93ADE" w:rsidRPr="00224E09" w:rsidRDefault="00D93ADE" w:rsidP="00CA735A">
      <w:pPr>
        <w:tabs>
          <w:tab w:val="left" w:pos="-1440"/>
          <w:tab w:val="left" w:pos="-720"/>
        </w:tabs>
        <w:suppressAutoHyphens/>
        <w:ind w:firstLine="1440"/>
        <w:jc w:val="center"/>
        <w:rPr>
          <w:spacing w:val="-3"/>
          <w:szCs w:val="26"/>
        </w:rPr>
      </w:pPr>
    </w:p>
    <w:p w:rsidR="00D93ADE" w:rsidRDefault="00224E09" w:rsidP="00CA735A">
      <w:pPr>
        <w:tabs>
          <w:tab w:val="center" w:pos="4680"/>
        </w:tabs>
        <w:suppressAutoHyphens/>
        <w:jc w:val="center"/>
        <w:rPr>
          <w:b/>
          <w:spacing w:val="-3"/>
          <w:szCs w:val="26"/>
        </w:rPr>
      </w:pPr>
      <w:r w:rsidRPr="00224E09">
        <w:rPr>
          <w:b/>
          <w:spacing w:val="-3"/>
          <w:szCs w:val="26"/>
        </w:rPr>
        <w:t>OPINION AND ORDER</w:t>
      </w:r>
    </w:p>
    <w:p w:rsidR="00224E09" w:rsidRDefault="00224E09" w:rsidP="00CA735A">
      <w:pPr>
        <w:tabs>
          <w:tab w:val="center" w:pos="4680"/>
        </w:tabs>
        <w:suppressAutoHyphens/>
        <w:jc w:val="center"/>
        <w:rPr>
          <w:b/>
          <w:spacing w:val="-3"/>
          <w:szCs w:val="26"/>
        </w:rPr>
      </w:pPr>
    </w:p>
    <w:p w:rsidR="00224E09" w:rsidRPr="00224E09" w:rsidRDefault="00224E09" w:rsidP="00F27A83">
      <w:pPr>
        <w:tabs>
          <w:tab w:val="center" w:pos="4680"/>
        </w:tabs>
        <w:suppressAutoHyphens/>
        <w:spacing w:line="360" w:lineRule="auto"/>
        <w:rPr>
          <w:b/>
          <w:spacing w:val="-3"/>
          <w:szCs w:val="26"/>
        </w:rPr>
      </w:pPr>
      <w:r>
        <w:rPr>
          <w:b/>
          <w:spacing w:val="-3"/>
          <w:szCs w:val="26"/>
        </w:rPr>
        <w:t>BY THE COMMISSION:</w:t>
      </w:r>
    </w:p>
    <w:p w:rsidR="00D93ADE" w:rsidRPr="00224E09" w:rsidRDefault="00D93ADE" w:rsidP="00224E09">
      <w:pPr>
        <w:tabs>
          <w:tab w:val="left" w:pos="-1440"/>
          <w:tab w:val="left" w:pos="-720"/>
        </w:tabs>
        <w:suppressAutoHyphens/>
        <w:spacing w:line="360" w:lineRule="auto"/>
        <w:rPr>
          <w:spacing w:val="-3"/>
          <w:szCs w:val="26"/>
        </w:rPr>
      </w:pPr>
    </w:p>
    <w:p w:rsidR="0065257E" w:rsidRDefault="00224E09" w:rsidP="00CA735A">
      <w:pPr>
        <w:tabs>
          <w:tab w:val="left" w:pos="-1440"/>
          <w:tab w:val="left" w:pos="-720"/>
        </w:tabs>
        <w:suppressAutoHyphens/>
        <w:spacing w:line="360" w:lineRule="auto"/>
        <w:ind w:firstLine="1440"/>
        <w:rPr>
          <w:spacing w:val="-3"/>
          <w:szCs w:val="26"/>
        </w:rPr>
      </w:pPr>
      <w:r>
        <w:rPr>
          <w:spacing w:val="-3"/>
          <w:szCs w:val="26"/>
        </w:rPr>
        <w:t xml:space="preserve">Before the Pennsylvania Public Utility Commission (Commission) for consideration and disposition is the Initial Decision </w:t>
      </w:r>
      <w:r w:rsidR="00365C75">
        <w:rPr>
          <w:spacing w:val="-3"/>
          <w:szCs w:val="26"/>
        </w:rPr>
        <w:t>(I</w:t>
      </w:r>
      <w:r w:rsidR="00B14BD5">
        <w:rPr>
          <w:spacing w:val="-3"/>
          <w:szCs w:val="26"/>
        </w:rPr>
        <w:t>.</w:t>
      </w:r>
      <w:r w:rsidR="00365C75">
        <w:rPr>
          <w:spacing w:val="-3"/>
          <w:szCs w:val="26"/>
        </w:rPr>
        <w:t>D</w:t>
      </w:r>
      <w:r w:rsidR="00B14BD5">
        <w:rPr>
          <w:spacing w:val="-3"/>
          <w:szCs w:val="26"/>
        </w:rPr>
        <w:t>.</w:t>
      </w:r>
      <w:r w:rsidR="00365C75">
        <w:rPr>
          <w:spacing w:val="-3"/>
          <w:szCs w:val="26"/>
        </w:rPr>
        <w:t xml:space="preserve">) </w:t>
      </w:r>
      <w:r>
        <w:rPr>
          <w:spacing w:val="-3"/>
          <w:szCs w:val="26"/>
        </w:rPr>
        <w:t>of Administrative Law J</w:t>
      </w:r>
      <w:r w:rsidR="00AE0D5A">
        <w:rPr>
          <w:spacing w:val="-3"/>
          <w:szCs w:val="26"/>
        </w:rPr>
        <w:t>udge (ALJ)</w:t>
      </w:r>
      <w:r w:rsidR="00BE5DDC">
        <w:rPr>
          <w:spacing w:val="-3"/>
          <w:szCs w:val="26"/>
        </w:rPr>
        <w:t xml:space="preserve"> Christopher P. Pell</w:t>
      </w:r>
      <w:r w:rsidR="00365C75">
        <w:rPr>
          <w:spacing w:val="-3"/>
          <w:szCs w:val="26"/>
        </w:rPr>
        <w:t xml:space="preserve"> issued </w:t>
      </w:r>
      <w:r w:rsidR="005323F3">
        <w:rPr>
          <w:spacing w:val="-3"/>
          <w:szCs w:val="26"/>
        </w:rPr>
        <w:t xml:space="preserve">on </w:t>
      </w:r>
      <w:r w:rsidR="00BE5DDC">
        <w:rPr>
          <w:spacing w:val="-3"/>
          <w:szCs w:val="26"/>
        </w:rPr>
        <w:t>July 9, 2013</w:t>
      </w:r>
      <w:r>
        <w:rPr>
          <w:spacing w:val="-3"/>
          <w:szCs w:val="26"/>
        </w:rPr>
        <w:t xml:space="preserve">, in the above-captioned proceeding.  The Initial Decision </w:t>
      </w:r>
      <w:r w:rsidR="00BE5DDC">
        <w:rPr>
          <w:spacing w:val="-3"/>
          <w:szCs w:val="26"/>
        </w:rPr>
        <w:t>dismissed the</w:t>
      </w:r>
      <w:r w:rsidR="005323F3">
        <w:rPr>
          <w:spacing w:val="-3"/>
          <w:szCs w:val="26"/>
        </w:rPr>
        <w:t xml:space="preserve"> Formal Complaint (Complaint) </w:t>
      </w:r>
      <w:r>
        <w:rPr>
          <w:spacing w:val="-3"/>
          <w:szCs w:val="26"/>
        </w:rPr>
        <w:t xml:space="preserve">filed by </w:t>
      </w:r>
      <w:r w:rsidR="00BE5DDC">
        <w:rPr>
          <w:spacing w:val="-3"/>
          <w:szCs w:val="26"/>
        </w:rPr>
        <w:t>Precious Apartments (</w:t>
      </w:r>
      <w:r w:rsidR="0065257E">
        <w:rPr>
          <w:spacing w:val="-3"/>
          <w:szCs w:val="26"/>
        </w:rPr>
        <w:t xml:space="preserve">Precious Apartments or </w:t>
      </w:r>
      <w:r w:rsidR="00BE5DDC">
        <w:rPr>
          <w:spacing w:val="-3"/>
          <w:szCs w:val="26"/>
        </w:rPr>
        <w:t xml:space="preserve">Complainant) on the basis that the Complainant is a corporation and, as such, must be represented by an attorney in the proceeding.  </w:t>
      </w:r>
    </w:p>
    <w:p w:rsidR="0065257E" w:rsidRDefault="0065257E" w:rsidP="00CA735A">
      <w:pPr>
        <w:tabs>
          <w:tab w:val="left" w:pos="-1440"/>
          <w:tab w:val="left" w:pos="-720"/>
        </w:tabs>
        <w:suppressAutoHyphens/>
        <w:spacing w:line="360" w:lineRule="auto"/>
        <w:ind w:firstLine="1440"/>
        <w:rPr>
          <w:spacing w:val="-3"/>
          <w:szCs w:val="26"/>
        </w:rPr>
      </w:pPr>
    </w:p>
    <w:p w:rsidR="006A51D9" w:rsidRDefault="00BE5DDC" w:rsidP="00CA735A">
      <w:pPr>
        <w:tabs>
          <w:tab w:val="left" w:pos="-1440"/>
          <w:tab w:val="left" w:pos="-720"/>
        </w:tabs>
        <w:suppressAutoHyphens/>
        <w:spacing w:line="360" w:lineRule="auto"/>
        <w:ind w:firstLine="1440"/>
        <w:rPr>
          <w:spacing w:val="-3"/>
          <w:szCs w:val="26"/>
        </w:rPr>
      </w:pPr>
      <w:r>
        <w:rPr>
          <w:spacing w:val="-3"/>
          <w:szCs w:val="26"/>
        </w:rPr>
        <w:t>N</w:t>
      </w:r>
      <w:r w:rsidR="006A51D9">
        <w:rPr>
          <w:spacing w:val="-3"/>
          <w:szCs w:val="26"/>
        </w:rPr>
        <w:t xml:space="preserve">o Exceptions to the Initial Decision were filed.  However, we exercised our right to review the Initial Decision pursuant to Section 332(h) of the Public Utility Code (Code), 66 Pa. C.S. § 332(h).  </w:t>
      </w:r>
      <w:r w:rsidR="00CB3B9D">
        <w:rPr>
          <w:spacing w:val="-3"/>
          <w:szCs w:val="26"/>
        </w:rPr>
        <w:t>Upon review, we will reverse</w:t>
      </w:r>
      <w:r w:rsidR="00A66918">
        <w:rPr>
          <w:spacing w:val="-3"/>
          <w:szCs w:val="26"/>
        </w:rPr>
        <w:t xml:space="preserve"> the Initial Decision and </w:t>
      </w:r>
      <w:r>
        <w:rPr>
          <w:spacing w:val="-3"/>
          <w:szCs w:val="26"/>
        </w:rPr>
        <w:t>remand the matter to the Office of Administrative Law Judge (OALJ)</w:t>
      </w:r>
      <w:r w:rsidR="00A66918">
        <w:rPr>
          <w:spacing w:val="-3"/>
          <w:szCs w:val="26"/>
        </w:rPr>
        <w:t>.</w:t>
      </w:r>
    </w:p>
    <w:p w:rsidR="006A51D9" w:rsidRPr="00697793" w:rsidRDefault="006A51D9" w:rsidP="00697793">
      <w:pPr>
        <w:tabs>
          <w:tab w:val="left" w:pos="-1440"/>
          <w:tab w:val="left" w:pos="-720"/>
        </w:tabs>
        <w:suppressAutoHyphens/>
        <w:spacing w:line="360" w:lineRule="auto"/>
        <w:jc w:val="center"/>
        <w:rPr>
          <w:b/>
          <w:spacing w:val="-3"/>
          <w:szCs w:val="26"/>
        </w:rPr>
      </w:pPr>
      <w:r w:rsidRPr="00697793">
        <w:rPr>
          <w:b/>
          <w:spacing w:val="-3"/>
          <w:szCs w:val="26"/>
        </w:rPr>
        <w:lastRenderedPageBreak/>
        <w:t>History</w:t>
      </w:r>
      <w:r w:rsidR="00697793" w:rsidRPr="00697793">
        <w:rPr>
          <w:b/>
          <w:spacing w:val="-3"/>
          <w:szCs w:val="26"/>
        </w:rPr>
        <w:t xml:space="preserve"> of the Proceeding</w:t>
      </w:r>
    </w:p>
    <w:p w:rsidR="006A51D9" w:rsidRDefault="006A51D9" w:rsidP="00BD1664">
      <w:pPr>
        <w:tabs>
          <w:tab w:val="left" w:pos="-1440"/>
          <w:tab w:val="left" w:pos="-720"/>
        </w:tabs>
        <w:suppressAutoHyphens/>
        <w:spacing w:line="360" w:lineRule="auto"/>
        <w:rPr>
          <w:spacing w:val="-3"/>
          <w:szCs w:val="26"/>
        </w:rPr>
      </w:pPr>
    </w:p>
    <w:p w:rsidR="00DC044A" w:rsidRDefault="00CB3B9D" w:rsidP="00CB3B9D">
      <w:pPr>
        <w:tabs>
          <w:tab w:val="left" w:pos="-720"/>
        </w:tabs>
        <w:suppressAutoHyphens/>
        <w:spacing w:line="360" w:lineRule="auto"/>
        <w:ind w:firstLine="1440"/>
        <w:rPr>
          <w:spacing w:val="-3"/>
        </w:rPr>
      </w:pPr>
      <w:r w:rsidRPr="003359C9">
        <w:rPr>
          <w:spacing w:val="-3"/>
        </w:rPr>
        <w:t xml:space="preserve">On April 10, 2013, </w:t>
      </w:r>
      <w:r w:rsidR="0065257E">
        <w:rPr>
          <w:spacing w:val="-3"/>
        </w:rPr>
        <w:t>the</w:t>
      </w:r>
      <w:r w:rsidR="00675AE2">
        <w:rPr>
          <w:spacing w:val="-3"/>
        </w:rPr>
        <w:t xml:space="preserve"> instant</w:t>
      </w:r>
      <w:r w:rsidR="0065257E">
        <w:rPr>
          <w:spacing w:val="-3"/>
        </w:rPr>
        <w:t xml:space="preserve"> </w:t>
      </w:r>
      <w:r w:rsidRPr="003359C9">
        <w:rPr>
          <w:spacing w:val="-3"/>
        </w:rPr>
        <w:t>Complaint</w:t>
      </w:r>
      <w:r w:rsidR="0065257E">
        <w:rPr>
          <w:spacing w:val="-3"/>
        </w:rPr>
        <w:t xml:space="preserve"> </w:t>
      </w:r>
      <w:r w:rsidR="00675AE2">
        <w:rPr>
          <w:spacing w:val="-3"/>
        </w:rPr>
        <w:t xml:space="preserve">was filed </w:t>
      </w:r>
      <w:r w:rsidR="001F6482">
        <w:rPr>
          <w:spacing w:val="-3"/>
        </w:rPr>
        <w:t xml:space="preserve">with the Commission </w:t>
      </w:r>
      <w:r w:rsidRPr="003359C9">
        <w:rPr>
          <w:spacing w:val="-3"/>
        </w:rPr>
        <w:t xml:space="preserve">against </w:t>
      </w:r>
      <w:r w:rsidR="001F6482">
        <w:rPr>
          <w:spacing w:val="-3"/>
        </w:rPr>
        <w:t>Philadelphia Gas Works (PGW or R</w:t>
      </w:r>
      <w:r w:rsidRPr="003359C9">
        <w:rPr>
          <w:spacing w:val="-3"/>
        </w:rPr>
        <w:t>esponde</w:t>
      </w:r>
      <w:r w:rsidR="001F6482">
        <w:rPr>
          <w:spacing w:val="-3"/>
        </w:rPr>
        <w:t>nt).</w:t>
      </w:r>
      <w:r w:rsidR="008C638A">
        <w:rPr>
          <w:rStyle w:val="FootnoteReference"/>
          <w:spacing w:val="-3"/>
        </w:rPr>
        <w:footnoteReference w:id="1"/>
      </w:r>
      <w:r w:rsidR="001F6482">
        <w:rPr>
          <w:spacing w:val="-3"/>
        </w:rPr>
        <w:t xml:space="preserve">  The Complaint alleged</w:t>
      </w:r>
      <w:r w:rsidRPr="003359C9">
        <w:rPr>
          <w:spacing w:val="-3"/>
        </w:rPr>
        <w:t xml:space="preserve"> that “when tenants move or take their time putting gas in their name the gas co (sic) is putting gas in company name even if I take the lease to them my licenses and taxes </w:t>
      </w:r>
      <w:r w:rsidR="006F2894">
        <w:rPr>
          <w:spacing w:val="-3"/>
        </w:rPr>
        <w:t xml:space="preserve">bill they won’t work with me.”  </w:t>
      </w:r>
      <w:r w:rsidRPr="003359C9">
        <w:rPr>
          <w:spacing w:val="-3"/>
        </w:rPr>
        <w:t xml:space="preserve">As relief, </w:t>
      </w:r>
      <w:r w:rsidR="00675AE2">
        <w:rPr>
          <w:spacing w:val="-3"/>
        </w:rPr>
        <w:t>the Complaint</w:t>
      </w:r>
      <w:r w:rsidRPr="003359C9">
        <w:rPr>
          <w:spacing w:val="-3"/>
        </w:rPr>
        <w:t xml:space="preserve"> requested the removal of these </w:t>
      </w:r>
      <w:r w:rsidR="001F6482">
        <w:rPr>
          <w:spacing w:val="-3"/>
        </w:rPr>
        <w:t>bills, and that the Commission should direct</w:t>
      </w:r>
      <w:r w:rsidRPr="003359C9">
        <w:rPr>
          <w:spacing w:val="-3"/>
        </w:rPr>
        <w:t xml:space="preserve"> PGW to contact the tenant about gas service</w:t>
      </w:r>
      <w:r w:rsidR="001F6482">
        <w:rPr>
          <w:spacing w:val="-3"/>
        </w:rPr>
        <w:t>,</w:t>
      </w:r>
      <w:r w:rsidRPr="003359C9">
        <w:rPr>
          <w:spacing w:val="-3"/>
        </w:rPr>
        <w:t xml:space="preserve"> instead of putting </w:t>
      </w:r>
      <w:r w:rsidR="006F2894">
        <w:rPr>
          <w:spacing w:val="-3"/>
        </w:rPr>
        <w:t xml:space="preserve">service in the company’s name.  </w:t>
      </w:r>
      <w:r w:rsidR="00A33E24">
        <w:rPr>
          <w:spacing w:val="-3"/>
        </w:rPr>
        <w:t>Complaint at 2-3.</w:t>
      </w:r>
    </w:p>
    <w:p w:rsidR="00DC044A" w:rsidRDefault="00DC044A" w:rsidP="00CB3B9D">
      <w:pPr>
        <w:tabs>
          <w:tab w:val="left" w:pos="-720"/>
        </w:tabs>
        <w:suppressAutoHyphens/>
        <w:spacing w:line="360" w:lineRule="auto"/>
        <w:ind w:firstLine="1440"/>
        <w:rPr>
          <w:spacing w:val="-3"/>
        </w:rPr>
      </w:pPr>
    </w:p>
    <w:p w:rsidR="00CB3B9D" w:rsidRPr="003359C9" w:rsidRDefault="006F2894" w:rsidP="00CB3B9D">
      <w:pPr>
        <w:tabs>
          <w:tab w:val="left" w:pos="-720"/>
        </w:tabs>
        <w:suppressAutoHyphens/>
        <w:spacing w:line="360" w:lineRule="auto"/>
        <w:ind w:firstLine="1440"/>
        <w:rPr>
          <w:spacing w:val="-3"/>
        </w:rPr>
      </w:pPr>
      <w:r>
        <w:rPr>
          <w:spacing w:val="-3"/>
        </w:rPr>
        <w:t>On May 16, 2013, PGW</w:t>
      </w:r>
      <w:r w:rsidR="00CB3B9D" w:rsidRPr="003359C9">
        <w:rPr>
          <w:spacing w:val="-3"/>
        </w:rPr>
        <w:t xml:space="preserve"> filed an Answer denying the material averme</w:t>
      </w:r>
      <w:r w:rsidR="00DC044A">
        <w:rPr>
          <w:spacing w:val="-3"/>
        </w:rPr>
        <w:t xml:space="preserve">nts of the Complaint and averring that it had automatically placed two accounts in the name of </w:t>
      </w:r>
      <w:r w:rsidR="00A33E24">
        <w:rPr>
          <w:spacing w:val="-3"/>
        </w:rPr>
        <w:t>“</w:t>
      </w:r>
      <w:r w:rsidR="00DC044A">
        <w:rPr>
          <w:spacing w:val="-3"/>
        </w:rPr>
        <w:t>Precious, Inc.</w:t>
      </w:r>
      <w:r w:rsidR="00A33E24">
        <w:rPr>
          <w:spacing w:val="-3"/>
        </w:rPr>
        <w:t>,”</w:t>
      </w:r>
      <w:r w:rsidR="00DC044A">
        <w:rPr>
          <w:spacing w:val="-3"/>
        </w:rPr>
        <w:t xml:space="preserve"> in compliance with the terms of its Landlord Cooperation Program.</w:t>
      </w:r>
      <w:r w:rsidR="00CB3B9D" w:rsidRPr="003359C9">
        <w:rPr>
          <w:spacing w:val="-3"/>
        </w:rPr>
        <w:t xml:space="preserve"> </w:t>
      </w:r>
      <w:r w:rsidR="00A33E24">
        <w:rPr>
          <w:spacing w:val="-3"/>
        </w:rPr>
        <w:t xml:space="preserve"> Answer at 1-2.</w:t>
      </w:r>
    </w:p>
    <w:p w:rsidR="00CB3B9D" w:rsidRPr="003359C9" w:rsidRDefault="00CB3B9D" w:rsidP="00CB3B9D">
      <w:pPr>
        <w:pStyle w:val="ParaTab1"/>
        <w:tabs>
          <w:tab w:val="left" w:pos="0"/>
        </w:tabs>
        <w:spacing w:line="360" w:lineRule="auto"/>
        <w:ind w:firstLine="0"/>
        <w:rPr>
          <w:rFonts w:ascii="Times New Roman" w:hAnsi="Times New Roman" w:cs="Times New Roman"/>
        </w:rPr>
      </w:pPr>
    </w:p>
    <w:p w:rsidR="00CB3B9D" w:rsidRPr="003359C9" w:rsidRDefault="00EE71D8" w:rsidP="00CB3B9D">
      <w:pPr>
        <w:spacing w:line="360" w:lineRule="auto"/>
        <w:ind w:firstLine="1440"/>
        <w:rPr>
          <w:b/>
        </w:rPr>
      </w:pPr>
      <w:r>
        <w:t>A</w:t>
      </w:r>
      <w:r w:rsidR="00CB3B9D" w:rsidRPr="003359C9">
        <w:t xml:space="preserve"> hearing on the Complaint was scheduled for August 7, 2013</w:t>
      </w:r>
      <w:r>
        <w:t xml:space="preserve">, </w:t>
      </w:r>
      <w:r w:rsidR="00CB3B9D" w:rsidRPr="003359C9">
        <w:t xml:space="preserve">and the matter was assigned to </w:t>
      </w:r>
      <w:r>
        <w:t>ALJ Pell</w:t>
      </w:r>
      <w:r w:rsidR="00CB3B9D" w:rsidRPr="003359C9">
        <w:t xml:space="preserve">.  The </w:t>
      </w:r>
      <w:r w:rsidR="00CB3B9D" w:rsidRPr="003359C9">
        <w:rPr>
          <w:spacing w:val="-3"/>
        </w:rPr>
        <w:t>Hearing Notice advised</w:t>
      </w:r>
      <w:r>
        <w:t xml:space="preserve"> the P</w:t>
      </w:r>
      <w:r w:rsidR="00CB3B9D" w:rsidRPr="003359C9">
        <w:t xml:space="preserve">arties of the location, date and time of the scheduled hearing and stated in bold-type: </w:t>
      </w:r>
      <w:r w:rsidR="00CB3B9D">
        <w:t xml:space="preserve"> </w:t>
      </w:r>
      <w:r w:rsidR="009E3766">
        <w:t>“</w:t>
      </w:r>
      <w:r w:rsidR="00CB3B9D" w:rsidRPr="003359C9">
        <w:rPr>
          <w:b/>
        </w:rPr>
        <w:t xml:space="preserve">Individuals representing themselves do not need to be represented by an attorney.  All others (corporation, partnership, association, trust or governmental agency or subdivision) </w:t>
      </w:r>
      <w:r w:rsidR="00CB3B9D" w:rsidRPr="003359C9">
        <w:rPr>
          <w:b/>
          <w:u w:val="single"/>
        </w:rPr>
        <w:t>must</w:t>
      </w:r>
      <w:r w:rsidR="00CB3B9D" w:rsidRPr="003359C9">
        <w:rPr>
          <w:b/>
        </w:rPr>
        <w:t xml:space="preserve"> be represented by an attorney.</w:t>
      </w:r>
      <w:r w:rsidR="009E3766" w:rsidRPr="009E3766">
        <w:t>”</w:t>
      </w:r>
    </w:p>
    <w:p w:rsidR="00CB3B9D" w:rsidRPr="003359C9" w:rsidRDefault="00CB3B9D" w:rsidP="00CB3B9D">
      <w:pPr>
        <w:spacing w:line="360" w:lineRule="auto"/>
        <w:ind w:firstLine="1440"/>
        <w:rPr>
          <w:b/>
        </w:rPr>
      </w:pPr>
    </w:p>
    <w:p w:rsidR="00CB3B9D" w:rsidRPr="00942281" w:rsidRDefault="00CB3B9D" w:rsidP="00942281">
      <w:pPr>
        <w:spacing w:line="360" w:lineRule="auto"/>
        <w:ind w:firstLine="1440"/>
      </w:pPr>
      <w:r w:rsidRPr="003359C9">
        <w:t>I</w:t>
      </w:r>
      <w:r w:rsidR="004867AB">
        <w:t xml:space="preserve">n the </w:t>
      </w:r>
      <w:r w:rsidRPr="003359C9">
        <w:t xml:space="preserve"> Prehearing Order</w:t>
      </w:r>
      <w:r w:rsidR="004867AB">
        <w:t>, issued to the P</w:t>
      </w:r>
      <w:r w:rsidRPr="003359C9">
        <w:t>arties on Ma</w:t>
      </w:r>
      <w:r w:rsidR="004867AB">
        <w:t xml:space="preserve">y 31, 2013, </w:t>
      </w:r>
      <w:r w:rsidR="00A33E24">
        <w:t>t</w:t>
      </w:r>
      <w:r w:rsidR="004867AB">
        <w:t>he</w:t>
      </w:r>
      <w:r w:rsidR="00A33E24">
        <w:t xml:space="preserve"> ALJ</w:t>
      </w:r>
      <w:r w:rsidRPr="003359C9">
        <w:t xml:space="preserve"> stated that the Commission’s rules require corporations to be represented by counsel and directed </w:t>
      </w:r>
      <w:r w:rsidRPr="003359C9">
        <w:rPr>
          <w:spacing w:val="-3"/>
        </w:rPr>
        <w:t>Precious Apartments</w:t>
      </w:r>
      <w:r w:rsidRPr="003359C9">
        <w:t xml:space="preserve"> to have an attorney</w:t>
      </w:r>
      <w:r w:rsidR="00A33E24">
        <w:t>,</w:t>
      </w:r>
      <w:r w:rsidRPr="003359C9">
        <w:t xml:space="preserve"> licensed to practice in the Commonwealth of Pennsylvania</w:t>
      </w:r>
      <w:r w:rsidR="00A33E24">
        <w:t>,</w:t>
      </w:r>
      <w:r w:rsidRPr="003359C9">
        <w:t xml:space="preserve"> enter an appearance to represent it </w:t>
      </w:r>
      <w:r w:rsidR="00942281">
        <w:t xml:space="preserve">prior to June 17, </w:t>
      </w:r>
      <w:r w:rsidR="00942281">
        <w:lastRenderedPageBreak/>
        <w:t xml:space="preserve">2013.  </w:t>
      </w:r>
      <w:r w:rsidRPr="004867AB">
        <w:rPr>
          <w:szCs w:val="26"/>
        </w:rPr>
        <w:t xml:space="preserve">The record in this case consists of the pleadings and </w:t>
      </w:r>
      <w:r w:rsidR="004867AB">
        <w:rPr>
          <w:szCs w:val="26"/>
        </w:rPr>
        <w:t xml:space="preserve">the ALJ’s Prehearing Order.  </w:t>
      </w:r>
      <w:r w:rsidRPr="004867AB">
        <w:rPr>
          <w:szCs w:val="26"/>
        </w:rPr>
        <w:t xml:space="preserve">The record closed on July 2, 2013.  </w:t>
      </w:r>
    </w:p>
    <w:p w:rsidR="00BD1664" w:rsidRDefault="00BD1664" w:rsidP="00BD1664">
      <w:pPr>
        <w:tabs>
          <w:tab w:val="left" w:pos="-1440"/>
          <w:tab w:val="left" w:pos="-720"/>
        </w:tabs>
        <w:suppressAutoHyphens/>
        <w:spacing w:line="360" w:lineRule="auto"/>
        <w:rPr>
          <w:spacing w:val="-3"/>
          <w:szCs w:val="26"/>
        </w:rPr>
      </w:pPr>
    </w:p>
    <w:p w:rsidR="00502B25" w:rsidRDefault="00502B25" w:rsidP="00BD1664">
      <w:pPr>
        <w:tabs>
          <w:tab w:val="left" w:pos="-1440"/>
          <w:tab w:val="left" w:pos="-720"/>
        </w:tabs>
        <w:suppressAutoHyphens/>
        <w:spacing w:line="360" w:lineRule="auto"/>
        <w:rPr>
          <w:i/>
          <w:spacing w:val="-3"/>
          <w:szCs w:val="26"/>
        </w:rPr>
      </w:pPr>
      <w:r>
        <w:rPr>
          <w:spacing w:val="-3"/>
          <w:szCs w:val="26"/>
        </w:rPr>
        <w:tab/>
      </w:r>
      <w:r>
        <w:rPr>
          <w:spacing w:val="-3"/>
          <w:szCs w:val="26"/>
        </w:rPr>
        <w:tab/>
        <w:t>In his Initial Decision, the ALJ noted that he had instructed the Complainant to have an attorney licensed to practice in the Commonwealth enter an appearance to represent it prior</w:t>
      </w:r>
      <w:r w:rsidR="0065438D">
        <w:rPr>
          <w:spacing w:val="-3"/>
          <w:szCs w:val="26"/>
        </w:rPr>
        <w:t xml:space="preserve"> to June 17, 2013.  I.D. at 6.  </w:t>
      </w:r>
      <w:r>
        <w:rPr>
          <w:spacing w:val="-3"/>
          <w:szCs w:val="26"/>
        </w:rPr>
        <w:t xml:space="preserve">The ALJ further noted that the Complainant had not contacted him about such representation, nor had it </w:t>
      </w:r>
      <w:r w:rsidR="00A33E24">
        <w:rPr>
          <w:spacing w:val="-3"/>
          <w:szCs w:val="26"/>
        </w:rPr>
        <w:t xml:space="preserve">followed </w:t>
      </w:r>
      <w:r>
        <w:rPr>
          <w:spacing w:val="-3"/>
          <w:szCs w:val="26"/>
        </w:rPr>
        <w:t xml:space="preserve">his instructions regarding such representation.  </w:t>
      </w:r>
      <w:r w:rsidRPr="00502B25">
        <w:rPr>
          <w:i/>
          <w:spacing w:val="-3"/>
          <w:szCs w:val="26"/>
        </w:rPr>
        <w:t>Id.</w:t>
      </w:r>
      <w:r w:rsidR="0065438D">
        <w:rPr>
          <w:i/>
          <w:spacing w:val="-3"/>
          <w:szCs w:val="26"/>
        </w:rPr>
        <w:t xml:space="preserve">  </w:t>
      </w:r>
      <w:r w:rsidR="0065438D" w:rsidRPr="0065438D">
        <w:rPr>
          <w:spacing w:val="-3"/>
          <w:szCs w:val="26"/>
        </w:rPr>
        <w:t>The ALJ stated that, since the Complainant had failed to comply with his instructions, the hearing scheduled in this matter would be cancelled and the Complaint would be dismissed.</w:t>
      </w:r>
      <w:r w:rsidR="0065438D">
        <w:rPr>
          <w:i/>
          <w:spacing w:val="-3"/>
          <w:szCs w:val="26"/>
        </w:rPr>
        <w:t xml:space="preserve">  Id.</w:t>
      </w:r>
    </w:p>
    <w:p w:rsidR="001A0D5D" w:rsidRDefault="001A0D5D" w:rsidP="00BD1664">
      <w:pPr>
        <w:tabs>
          <w:tab w:val="left" w:pos="-1440"/>
          <w:tab w:val="left" w:pos="-720"/>
        </w:tabs>
        <w:suppressAutoHyphens/>
        <w:spacing w:line="360" w:lineRule="auto"/>
        <w:rPr>
          <w:i/>
          <w:spacing w:val="-3"/>
          <w:szCs w:val="26"/>
        </w:rPr>
      </w:pPr>
    </w:p>
    <w:p w:rsidR="001A0D5D" w:rsidRPr="00BC76E6" w:rsidRDefault="001A0D5D" w:rsidP="00BD1664">
      <w:pPr>
        <w:tabs>
          <w:tab w:val="left" w:pos="-1440"/>
          <w:tab w:val="left" w:pos="-720"/>
        </w:tabs>
        <w:suppressAutoHyphens/>
        <w:spacing w:line="360" w:lineRule="auto"/>
        <w:rPr>
          <w:spacing w:val="-3"/>
          <w:szCs w:val="26"/>
        </w:rPr>
      </w:pPr>
      <w:r>
        <w:rPr>
          <w:spacing w:val="-3"/>
          <w:szCs w:val="26"/>
        </w:rPr>
        <w:tab/>
      </w:r>
      <w:r>
        <w:rPr>
          <w:spacing w:val="-3"/>
          <w:szCs w:val="26"/>
        </w:rPr>
        <w:tab/>
        <w:t>No Exceptions to the Initial Decision have been filed.</w:t>
      </w:r>
    </w:p>
    <w:p w:rsidR="003028DB" w:rsidRPr="003028DB" w:rsidRDefault="003028DB" w:rsidP="003028DB">
      <w:pPr>
        <w:tabs>
          <w:tab w:val="left" w:pos="-1440"/>
          <w:tab w:val="left" w:pos="-720"/>
        </w:tabs>
        <w:suppressAutoHyphens/>
        <w:spacing w:line="360" w:lineRule="auto"/>
        <w:ind w:firstLine="1440"/>
        <w:rPr>
          <w:spacing w:val="-3"/>
          <w:szCs w:val="26"/>
        </w:rPr>
      </w:pPr>
    </w:p>
    <w:p w:rsidR="005D48EF" w:rsidRPr="005D48EF" w:rsidRDefault="005D48EF" w:rsidP="005D48EF">
      <w:pPr>
        <w:tabs>
          <w:tab w:val="left" w:pos="-1440"/>
          <w:tab w:val="left" w:pos="-720"/>
        </w:tabs>
        <w:suppressAutoHyphens/>
        <w:spacing w:line="360" w:lineRule="auto"/>
        <w:jc w:val="center"/>
        <w:rPr>
          <w:b/>
        </w:rPr>
      </w:pPr>
      <w:r w:rsidRPr="005D48EF">
        <w:rPr>
          <w:b/>
        </w:rPr>
        <w:t>Discussion</w:t>
      </w:r>
    </w:p>
    <w:p w:rsidR="00E4245C" w:rsidRPr="008F0B41" w:rsidRDefault="00E4245C" w:rsidP="00E56DDD">
      <w:pPr>
        <w:spacing w:line="360" w:lineRule="auto"/>
        <w:ind w:firstLine="1440"/>
        <w:rPr>
          <w:i/>
        </w:rPr>
      </w:pPr>
    </w:p>
    <w:p w:rsidR="00EC604F" w:rsidRDefault="00EC604F" w:rsidP="00EC604F">
      <w:pPr>
        <w:tabs>
          <w:tab w:val="left" w:pos="-720"/>
        </w:tabs>
        <w:suppressAutoHyphens/>
        <w:spacing w:line="360" w:lineRule="auto"/>
        <w:ind w:firstLine="1440"/>
      </w:pPr>
      <w:r>
        <w:t xml:space="preserve">Initially, we are reminded that we are not required to consider expressly or at great length each and every contention raised by a party to our proceedings.  </w:t>
      </w:r>
    </w:p>
    <w:p w:rsidR="005E466D" w:rsidRDefault="00EC604F" w:rsidP="00EC604F">
      <w:pPr>
        <w:tabs>
          <w:tab w:val="left" w:pos="-720"/>
        </w:tabs>
        <w:suppressAutoHyphens/>
        <w:spacing w:line="360" w:lineRule="auto"/>
      </w:pPr>
      <w:r>
        <w:rPr>
          <w:i/>
        </w:rPr>
        <w:t>University of Pennsylvania, et al. v. Pa. PUC</w:t>
      </w:r>
      <w:r>
        <w:t xml:space="preserve">, 485 A.2d 1217 (Pa. Cmwlth. 1984).  Any argument that is not specifically addressed herein shall be deemed to have been duly considered and denied without further discussion. </w:t>
      </w:r>
    </w:p>
    <w:p w:rsidR="005E466D" w:rsidRDefault="005E466D" w:rsidP="00EC604F">
      <w:pPr>
        <w:tabs>
          <w:tab w:val="left" w:pos="-720"/>
        </w:tabs>
        <w:suppressAutoHyphens/>
        <w:spacing w:line="360" w:lineRule="auto"/>
      </w:pPr>
    </w:p>
    <w:p w:rsidR="005E466D" w:rsidRDefault="0065438D" w:rsidP="00566563">
      <w:pPr>
        <w:spacing w:line="360" w:lineRule="auto"/>
        <w:ind w:firstLine="1440"/>
        <w:rPr>
          <w:szCs w:val="26"/>
        </w:rPr>
      </w:pPr>
      <w:r>
        <w:t>In his Initial Decision, t</w:t>
      </w:r>
      <w:r w:rsidR="00942281">
        <w:t xml:space="preserve">he ALJ </w:t>
      </w:r>
      <w:r w:rsidR="00566563">
        <w:rPr>
          <w:spacing w:val="-3"/>
          <w:szCs w:val="26"/>
        </w:rPr>
        <w:t>r</w:t>
      </w:r>
      <w:r w:rsidR="00942281">
        <w:rPr>
          <w:spacing w:val="-3"/>
          <w:szCs w:val="26"/>
        </w:rPr>
        <w:t>eached five Conclusions of Law, I.D. at 6-7</w:t>
      </w:r>
      <w:r w:rsidR="00566563">
        <w:rPr>
          <w:spacing w:val="-3"/>
          <w:szCs w:val="26"/>
        </w:rPr>
        <w:t>.</w:t>
      </w:r>
      <w:r w:rsidR="00566563">
        <w:t xml:space="preserve">  </w:t>
      </w:r>
      <w:r w:rsidR="005E466D">
        <w:t>We shall adopt and incorporate herein by reference the ALJ’s</w:t>
      </w:r>
      <w:r w:rsidR="006D2370">
        <w:t xml:space="preserve"> </w:t>
      </w:r>
      <w:r w:rsidR="005E466D">
        <w:t>Conclusions of Law unless they are either expressly or by necessary implication overruled or modified by this Opinion and Order</w:t>
      </w:r>
      <w:r w:rsidR="005E466D" w:rsidRPr="001C7C2B">
        <w:rPr>
          <w:szCs w:val="26"/>
        </w:rPr>
        <w:t>.</w:t>
      </w:r>
    </w:p>
    <w:p w:rsidR="00E56DDD" w:rsidRDefault="00E56DDD" w:rsidP="006D2370">
      <w:pPr>
        <w:spacing w:line="360" w:lineRule="auto"/>
        <w:rPr>
          <w:szCs w:val="26"/>
        </w:rPr>
      </w:pPr>
    </w:p>
    <w:p w:rsidR="006D2370" w:rsidRPr="00DC044A" w:rsidRDefault="00DC044A" w:rsidP="001320DD">
      <w:pPr>
        <w:pageBreakBefore/>
        <w:spacing w:line="360" w:lineRule="auto"/>
        <w:rPr>
          <w:b/>
          <w:szCs w:val="26"/>
        </w:rPr>
      </w:pPr>
      <w:r w:rsidRPr="00DC044A">
        <w:rPr>
          <w:b/>
          <w:szCs w:val="26"/>
        </w:rPr>
        <w:lastRenderedPageBreak/>
        <w:t>Legal Standards</w:t>
      </w:r>
    </w:p>
    <w:p w:rsidR="006D2370" w:rsidRDefault="006D2370" w:rsidP="006D2370">
      <w:pPr>
        <w:spacing w:line="360" w:lineRule="auto"/>
        <w:rPr>
          <w:szCs w:val="26"/>
        </w:rPr>
      </w:pPr>
    </w:p>
    <w:p w:rsidR="00994E05" w:rsidRPr="00994E05" w:rsidRDefault="00994E05" w:rsidP="00994E05">
      <w:pPr>
        <w:pStyle w:val="BodyText"/>
        <w:widowControl/>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994E05">
        <w:rPr>
          <w:rFonts w:ascii="Times New Roman" w:hAnsi="Times New Roman"/>
          <w:sz w:val="26"/>
          <w:szCs w:val="26"/>
        </w:rPr>
        <w:t>The Commission regulations at 52 Pa. Code §§ 1.21-1.2</w:t>
      </w:r>
      <w:r w:rsidR="003C1513">
        <w:rPr>
          <w:rFonts w:ascii="Times New Roman" w:hAnsi="Times New Roman"/>
          <w:sz w:val="26"/>
          <w:szCs w:val="26"/>
        </w:rPr>
        <w:t xml:space="preserve">3 </w:t>
      </w:r>
      <w:r w:rsidRPr="00994E05">
        <w:rPr>
          <w:rFonts w:ascii="Times New Roman" w:hAnsi="Times New Roman"/>
          <w:sz w:val="26"/>
          <w:szCs w:val="26"/>
        </w:rPr>
        <w:t>provide in pertinent part:</w:t>
      </w:r>
    </w:p>
    <w:p w:rsidR="00994E05" w:rsidRPr="00994E05" w:rsidRDefault="00994E05" w:rsidP="00994E05">
      <w:pPr>
        <w:ind w:left="1440" w:right="1440"/>
        <w:rPr>
          <w:b/>
          <w:szCs w:val="26"/>
        </w:rPr>
      </w:pPr>
    </w:p>
    <w:p w:rsidR="00994E05" w:rsidRPr="00994E05" w:rsidRDefault="00994E05" w:rsidP="00994E05">
      <w:pPr>
        <w:ind w:left="1440" w:right="1440"/>
        <w:rPr>
          <w:b/>
          <w:szCs w:val="26"/>
        </w:rPr>
      </w:pPr>
      <w:r w:rsidRPr="00994E05">
        <w:rPr>
          <w:b/>
          <w:szCs w:val="26"/>
        </w:rPr>
        <w:t>§ 1.21. Appearance</w:t>
      </w:r>
    </w:p>
    <w:p w:rsidR="00994E05" w:rsidRPr="003359C9" w:rsidRDefault="00994E05" w:rsidP="00994E05">
      <w:pPr>
        <w:ind w:left="1440" w:right="1440"/>
      </w:pPr>
      <w:bookmarkStart w:id="0" w:name="1.21."/>
    </w:p>
    <w:p w:rsidR="00994E05" w:rsidRPr="003359C9" w:rsidRDefault="00994E05" w:rsidP="00994E05">
      <w:pPr>
        <w:ind w:left="1440" w:right="1440"/>
      </w:pPr>
      <w:r w:rsidRPr="003359C9">
        <w:t xml:space="preserve">   (a)  Individuals may represent themselves. </w:t>
      </w:r>
    </w:p>
    <w:p w:rsidR="00994E05" w:rsidRPr="003359C9" w:rsidRDefault="00994E05" w:rsidP="00994E05">
      <w:pPr>
        <w:ind w:left="1440" w:right="1440"/>
      </w:pPr>
    </w:p>
    <w:p w:rsidR="00994E05" w:rsidRPr="003359C9" w:rsidRDefault="00994E05" w:rsidP="00994E05">
      <w:pPr>
        <w:ind w:left="1440" w:right="1440"/>
      </w:pPr>
      <w:r w:rsidRPr="003359C9">
        <w:t xml:space="preserve">   (b)  Except as provided in subsection (a), persons in adversarial proceedings shall be represented in accordance with § 1.22 (relating to appearance by attorneys and legal intern).  For purposes of this section, any request for a general rate increase under  §1307(f) or §1308(d) of the act (relating to sliding scale of rates; adjustments; and voluntary changes in rates) shall be considered to be an adversarial proceeding. </w:t>
      </w:r>
    </w:p>
    <w:p w:rsidR="00994E05" w:rsidRPr="003359C9" w:rsidRDefault="00994E05" w:rsidP="00994E05">
      <w:pPr>
        <w:ind w:left="1440" w:right="1440"/>
      </w:pPr>
    </w:p>
    <w:p w:rsidR="00994E05" w:rsidRPr="003359C9" w:rsidRDefault="00994E05" w:rsidP="00994E05">
      <w:pPr>
        <w:ind w:left="1440" w:right="1440"/>
      </w:pPr>
      <w:r w:rsidRPr="003359C9">
        <w:t xml:space="preserve">   (c)  In nonadversarial proceedings, persons may be represented in the following manner: </w:t>
      </w:r>
    </w:p>
    <w:p w:rsidR="00994E05" w:rsidRPr="003359C9" w:rsidRDefault="00994E05" w:rsidP="00994E05">
      <w:pPr>
        <w:ind w:left="1440" w:right="1440"/>
      </w:pPr>
    </w:p>
    <w:p w:rsidR="00994E05" w:rsidRPr="003359C9" w:rsidRDefault="00994E05" w:rsidP="00994E05">
      <w:pPr>
        <w:ind w:left="2160" w:right="1440"/>
      </w:pPr>
      <w:r w:rsidRPr="003359C9">
        <w:t xml:space="preserve">   (1)  A partner may represent the partnership. </w:t>
      </w:r>
    </w:p>
    <w:p w:rsidR="00994E05" w:rsidRPr="003359C9" w:rsidRDefault="00994E05" w:rsidP="00994E05">
      <w:pPr>
        <w:ind w:left="2160" w:right="1440"/>
      </w:pPr>
      <w:r w:rsidRPr="003359C9">
        <w:t xml:space="preserve">   (2)  A bona fide officer of a corporation, trust or association may represent the corporation, trust or association. </w:t>
      </w:r>
    </w:p>
    <w:p w:rsidR="00994E05" w:rsidRPr="003359C9" w:rsidRDefault="00994E05" w:rsidP="00994E05">
      <w:pPr>
        <w:ind w:left="2160" w:right="1440"/>
      </w:pPr>
      <w:r w:rsidRPr="003359C9">
        <w:t xml:space="preserve">   (3)  An officer or employee of an agency, political subdivision or government entity may represent the agency, political subdivision or government entity. </w:t>
      </w:r>
    </w:p>
    <w:p w:rsidR="00994E05" w:rsidRPr="003359C9" w:rsidRDefault="00994E05" w:rsidP="00994E05">
      <w:pPr>
        <w:ind w:left="1440" w:right="1440"/>
      </w:pPr>
      <w:bookmarkStart w:id="1" w:name="1.22."/>
      <w:bookmarkEnd w:id="0"/>
    </w:p>
    <w:p w:rsidR="00994E05" w:rsidRPr="003359C9" w:rsidRDefault="00994E05" w:rsidP="00994E05">
      <w:pPr>
        <w:ind w:left="1440" w:right="1440"/>
        <w:rPr>
          <w:b/>
        </w:rPr>
      </w:pPr>
      <w:r w:rsidRPr="003359C9">
        <w:rPr>
          <w:b/>
        </w:rPr>
        <w:t>§ 1.22. Appearance by attorney or certified legal intern.</w:t>
      </w:r>
    </w:p>
    <w:p w:rsidR="00994E05" w:rsidRPr="003359C9" w:rsidRDefault="00994E05" w:rsidP="00994E05">
      <w:pPr>
        <w:ind w:left="1440" w:right="1440"/>
      </w:pPr>
    </w:p>
    <w:p w:rsidR="00994E05" w:rsidRPr="003359C9" w:rsidRDefault="00994E05" w:rsidP="00994E05">
      <w:pPr>
        <w:ind w:left="1440" w:right="1440"/>
      </w:pPr>
      <w:r w:rsidRPr="003359C9">
        <w:t xml:space="preserve">   (a)  Subject to § 1.21(a) (relating to appearance), an attorney at law admitted to practice before the Supreme Court of Pennsylvania shall represent persons in Commission proceedings. </w:t>
      </w:r>
    </w:p>
    <w:p w:rsidR="00994E05" w:rsidRPr="003359C9" w:rsidRDefault="00994E05" w:rsidP="00994E05">
      <w:pPr>
        <w:ind w:left="1440" w:right="1440"/>
      </w:pPr>
    </w:p>
    <w:p w:rsidR="00994E05" w:rsidRPr="003359C9" w:rsidRDefault="00994E05" w:rsidP="00994E05">
      <w:pPr>
        <w:ind w:left="1440" w:right="1440"/>
      </w:pPr>
      <w:r w:rsidRPr="003359C9">
        <w:t xml:space="preserve">   (b)  An attorney not licensed in this Commonwealth may appear before the Commission in accordance with the Pennsylvania Bar Admission Rules. </w:t>
      </w:r>
    </w:p>
    <w:p w:rsidR="00994E05" w:rsidRPr="003359C9" w:rsidRDefault="00994E05" w:rsidP="00994E05">
      <w:pPr>
        <w:ind w:left="1440" w:right="1440"/>
      </w:pPr>
    </w:p>
    <w:p w:rsidR="001371E5" w:rsidRDefault="00994E05" w:rsidP="00994E05">
      <w:pPr>
        <w:ind w:left="1440" w:right="1440"/>
      </w:pPr>
      <w:r w:rsidRPr="003359C9">
        <w:t xml:space="preserve">   (c)  A law student meeting the requirements of Pa.B.A.R. No. 321 (relating to requirements for formal participation in </w:t>
      </w:r>
      <w:r w:rsidRPr="003359C9">
        <w:lastRenderedPageBreak/>
        <w:t xml:space="preserve">legal matters by law students) may appear in a Commission proceeding consistent with Pa.B.A.R. No. 322 (relating to authorized activities of certified legal interns). </w:t>
      </w:r>
      <w:bookmarkStart w:id="2" w:name="1.23."/>
      <w:bookmarkEnd w:id="1"/>
    </w:p>
    <w:p w:rsidR="001371E5" w:rsidRDefault="001371E5" w:rsidP="00994E05">
      <w:pPr>
        <w:ind w:left="1440" w:right="1440"/>
      </w:pPr>
    </w:p>
    <w:p w:rsidR="00994E05" w:rsidRPr="003359C9" w:rsidRDefault="00994E05" w:rsidP="00994E05">
      <w:pPr>
        <w:ind w:left="1440" w:right="1440"/>
        <w:rPr>
          <w:b/>
        </w:rPr>
      </w:pPr>
      <w:r w:rsidRPr="003359C9">
        <w:rPr>
          <w:b/>
        </w:rPr>
        <w:t>§ 1.23. Other representation prohibited at hearings.</w:t>
      </w:r>
    </w:p>
    <w:p w:rsidR="00994E05" w:rsidRPr="003359C9" w:rsidRDefault="00994E05" w:rsidP="00994E05">
      <w:pPr>
        <w:ind w:left="1440" w:right="1440"/>
      </w:pPr>
    </w:p>
    <w:p w:rsidR="00994E05" w:rsidRPr="003359C9" w:rsidRDefault="00994E05" w:rsidP="00994E05">
      <w:pPr>
        <w:ind w:left="1440" w:right="1440"/>
        <w:rPr>
          <w:b/>
        </w:rPr>
      </w:pPr>
      <w:r w:rsidRPr="003359C9">
        <w:t xml:space="preserve">   (a)  Persons may not be represented at a hearing before the Commission or a presiding officer except as stated in §1.21 or  §1.22 (relating to appearance; and appearance by attorney or certified legal intern). </w:t>
      </w:r>
      <w:bookmarkStart w:id="3" w:name="1.24."/>
      <w:bookmarkEnd w:id="2"/>
    </w:p>
    <w:bookmarkEnd w:id="3"/>
    <w:p w:rsidR="00994E05" w:rsidRPr="003359C9" w:rsidRDefault="00994E05" w:rsidP="00994E05">
      <w:pPr>
        <w:ind w:left="2160"/>
        <w:rPr>
          <w:spacing w:val="-3"/>
        </w:rPr>
      </w:pPr>
    </w:p>
    <w:p w:rsidR="00994E05" w:rsidRPr="003359C9" w:rsidRDefault="00994E05" w:rsidP="00994E05">
      <w:pPr>
        <w:ind w:left="2160"/>
        <w:rPr>
          <w:spacing w:val="-3"/>
        </w:rPr>
      </w:pPr>
    </w:p>
    <w:p w:rsidR="00994E05" w:rsidRPr="003359C9" w:rsidRDefault="00994E05" w:rsidP="00994E05">
      <w:pPr>
        <w:spacing w:line="360" w:lineRule="auto"/>
        <w:rPr>
          <w:spacing w:val="-3"/>
        </w:rPr>
      </w:pPr>
      <w:r w:rsidRPr="003359C9">
        <w:rPr>
          <w:spacing w:val="-3"/>
        </w:rPr>
        <w:tab/>
      </w:r>
      <w:r w:rsidRPr="003359C9">
        <w:rPr>
          <w:spacing w:val="-3"/>
        </w:rPr>
        <w:tab/>
        <w:t>In 52 Pa. Code § 1.8, the term “person” is defined as “individuals, corporations, partnerships, associations, joint ventures, other business organizations, trusts, trustees, legal representatives, receivers, agencies, governmental entities, municipalities or other political subdivisions.”</w:t>
      </w:r>
    </w:p>
    <w:p w:rsidR="00994E05" w:rsidRPr="003359C9" w:rsidRDefault="00994E05" w:rsidP="00994E05">
      <w:pPr>
        <w:spacing w:line="360" w:lineRule="auto"/>
        <w:rPr>
          <w:spacing w:val="-3"/>
        </w:rPr>
      </w:pPr>
    </w:p>
    <w:p w:rsidR="00862B8F" w:rsidRDefault="00994E05" w:rsidP="00994E05">
      <w:pPr>
        <w:spacing w:line="360" w:lineRule="auto"/>
        <w:rPr>
          <w:spacing w:val="-3"/>
        </w:rPr>
      </w:pPr>
      <w:r w:rsidRPr="003359C9">
        <w:rPr>
          <w:spacing w:val="-3"/>
        </w:rPr>
        <w:tab/>
      </w:r>
      <w:r w:rsidRPr="003359C9">
        <w:rPr>
          <w:spacing w:val="-3"/>
        </w:rPr>
        <w:tab/>
        <w:t xml:space="preserve">In addition to the Commission’s regulations, it is well established that corporations must be represented by an attorney in adversarial proceedings, including those before the Commission.  </w:t>
      </w:r>
      <w:r w:rsidRPr="003359C9">
        <w:rPr>
          <w:i/>
          <w:spacing w:val="-3"/>
        </w:rPr>
        <w:t>Walacavage v. Excell 2000, Inc.,</w:t>
      </w:r>
      <w:r w:rsidR="007E25CA">
        <w:rPr>
          <w:spacing w:val="-3"/>
        </w:rPr>
        <w:t xml:space="preserve"> 480 A.2d 281 (Pa. Super. 1984); </w:t>
      </w:r>
      <w:r w:rsidRPr="003359C9">
        <w:rPr>
          <w:i/>
          <w:spacing w:val="-3"/>
        </w:rPr>
        <w:t>The Spirit of the Avenger Ministries v. Commonwealth</w:t>
      </w:r>
      <w:r w:rsidRPr="003359C9">
        <w:rPr>
          <w:spacing w:val="-3"/>
        </w:rPr>
        <w:t xml:space="preserve">, 767 A.2d 1130 (Pa. Cmwlth. 2001); </w:t>
      </w:r>
      <w:r w:rsidRPr="003359C9">
        <w:rPr>
          <w:i/>
          <w:spacing w:val="-3"/>
        </w:rPr>
        <w:t>James and Judith Simon v. Franklin Water Company</w:t>
      </w:r>
      <w:r w:rsidR="007E25CA">
        <w:rPr>
          <w:spacing w:val="-3"/>
        </w:rPr>
        <w:t>, Docket No. C</w:t>
      </w:r>
      <w:r w:rsidR="007E25CA">
        <w:rPr>
          <w:spacing w:val="-3"/>
        </w:rPr>
        <w:noBreakHyphen/>
        <w:t>00956589 (</w:t>
      </w:r>
      <w:r w:rsidRPr="003359C9">
        <w:rPr>
          <w:spacing w:val="-3"/>
        </w:rPr>
        <w:t>Opinion and Order entered January 29, 1996</w:t>
      </w:r>
      <w:r w:rsidR="007E25CA">
        <w:rPr>
          <w:spacing w:val="-3"/>
        </w:rPr>
        <w:t>)</w:t>
      </w:r>
      <w:r w:rsidRPr="003359C9">
        <w:rPr>
          <w:spacing w:val="-3"/>
        </w:rPr>
        <w:t xml:space="preserve">; </w:t>
      </w:r>
      <w:r w:rsidRPr="003359C9">
        <w:rPr>
          <w:i/>
          <w:spacing w:val="-3"/>
        </w:rPr>
        <w:t>P</w:t>
      </w:r>
      <w:r w:rsidR="007E25CA">
        <w:rPr>
          <w:i/>
          <w:spacing w:val="-3"/>
        </w:rPr>
        <w:t>a. PUC</w:t>
      </w:r>
      <w:r w:rsidRPr="003359C9">
        <w:rPr>
          <w:i/>
          <w:spacing w:val="-3"/>
        </w:rPr>
        <w:t xml:space="preserve"> v. Myers Transportation Services, Inc.</w:t>
      </w:r>
      <w:r w:rsidR="007E25CA">
        <w:rPr>
          <w:spacing w:val="-3"/>
        </w:rPr>
        <w:t>, Docket No. A-00114905 (</w:t>
      </w:r>
      <w:r w:rsidRPr="003359C9">
        <w:rPr>
          <w:spacing w:val="-3"/>
        </w:rPr>
        <w:t>Opinion and Order entered April 10, 2003</w:t>
      </w:r>
      <w:r w:rsidR="007E25CA">
        <w:rPr>
          <w:spacing w:val="-3"/>
        </w:rPr>
        <w:t>)</w:t>
      </w:r>
      <w:r w:rsidRPr="003359C9">
        <w:rPr>
          <w:spacing w:val="-3"/>
        </w:rPr>
        <w:t>.</w:t>
      </w:r>
    </w:p>
    <w:p w:rsidR="00636BA3" w:rsidRDefault="00636BA3" w:rsidP="00994E05">
      <w:pPr>
        <w:spacing w:line="360" w:lineRule="auto"/>
        <w:rPr>
          <w:szCs w:val="26"/>
        </w:rPr>
      </w:pPr>
    </w:p>
    <w:p w:rsidR="00675AE2" w:rsidRPr="000D5D92" w:rsidRDefault="00675AE2" w:rsidP="000D5D92">
      <w:pPr>
        <w:pStyle w:val="BodyText"/>
        <w:spacing w:line="360" w:lineRule="auto"/>
        <w:ind w:firstLine="1440"/>
        <w:rPr>
          <w:rFonts w:ascii="Times New Roman" w:hAnsi="Times New Roman"/>
          <w:sz w:val="26"/>
          <w:szCs w:val="26"/>
        </w:rPr>
      </w:pPr>
      <w:r w:rsidRPr="000D5D92">
        <w:rPr>
          <w:rFonts w:ascii="Times New Roman" w:hAnsi="Times New Roman"/>
          <w:sz w:val="26"/>
          <w:szCs w:val="26"/>
        </w:rPr>
        <w:t xml:space="preserve">In </w:t>
      </w:r>
      <w:r w:rsidRPr="000D5D92">
        <w:rPr>
          <w:rFonts w:ascii="Times New Roman" w:hAnsi="Times New Roman"/>
          <w:i/>
          <w:sz w:val="26"/>
          <w:szCs w:val="26"/>
        </w:rPr>
        <w:t>New Fizon Catering, Inc. v. PECO Energy Company</w:t>
      </w:r>
      <w:r w:rsidRPr="000D5D92">
        <w:rPr>
          <w:rFonts w:ascii="Times New Roman" w:hAnsi="Times New Roman"/>
          <w:sz w:val="26"/>
          <w:szCs w:val="26"/>
        </w:rPr>
        <w:t xml:space="preserve">, Docket Nos.         </w:t>
      </w:r>
      <w:r w:rsidR="00636BA3">
        <w:rPr>
          <w:rFonts w:ascii="Times New Roman" w:hAnsi="Times New Roman"/>
          <w:sz w:val="26"/>
          <w:szCs w:val="26"/>
        </w:rPr>
        <w:br/>
      </w:r>
      <w:r w:rsidRPr="000D5D92">
        <w:rPr>
          <w:rFonts w:ascii="Times New Roman" w:hAnsi="Times New Roman"/>
          <w:sz w:val="26"/>
          <w:szCs w:val="26"/>
        </w:rPr>
        <w:t>C-2008-2065498 and C-2008-2079076 (Order entered June 24, 2009) at 7-8, we stated:</w:t>
      </w:r>
    </w:p>
    <w:p w:rsidR="00675AE2" w:rsidRPr="00675AE2" w:rsidRDefault="00675AE2" w:rsidP="00675AE2">
      <w:pPr>
        <w:ind w:left="1440" w:right="1440"/>
        <w:rPr>
          <w:szCs w:val="26"/>
        </w:rPr>
      </w:pPr>
    </w:p>
    <w:p w:rsidR="00675AE2" w:rsidRPr="00862B8F" w:rsidRDefault="00675AE2" w:rsidP="00675AE2">
      <w:pPr>
        <w:ind w:left="1440" w:right="1440"/>
        <w:rPr>
          <w:szCs w:val="26"/>
        </w:rPr>
      </w:pPr>
      <w:r w:rsidRPr="00862B8F">
        <w:rPr>
          <w:szCs w:val="26"/>
        </w:rPr>
        <w:t>The simple filing of a formal complaint does not automatically trigger an adversarial proceeding because, until the answer is filed, it is not known whether the formal complaint will be contested.  Furthermore, formal complaints may be and often are satisfied by the respondent, under the procedures outlined in 52 Pa. Code § 5.24, or via a mediation process.</w:t>
      </w:r>
    </w:p>
    <w:p w:rsidR="00675AE2" w:rsidRPr="00675AE2" w:rsidRDefault="00675AE2" w:rsidP="00675AE2">
      <w:pPr>
        <w:ind w:left="1440" w:right="1440"/>
        <w:rPr>
          <w:szCs w:val="26"/>
        </w:rPr>
      </w:pPr>
      <w:r w:rsidRPr="00675AE2">
        <w:rPr>
          <w:szCs w:val="26"/>
        </w:rPr>
        <w:lastRenderedPageBreak/>
        <w:t xml:space="preserve">It is when a proceeding is adversarial that attorney representation may be an issue.  In her concurring statement to a 1995 Commission Order, Commissioner Crutchfield explained the Commission’s obligation to require attorneys in adversarial proceedings for parties other than individuals proceeding </w:t>
      </w:r>
      <w:r w:rsidRPr="00675AE2">
        <w:rPr>
          <w:i/>
          <w:szCs w:val="26"/>
        </w:rPr>
        <w:t>pro se</w:t>
      </w:r>
      <w:r w:rsidRPr="00675AE2">
        <w:rPr>
          <w:szCs w:val="26"/>
        </w:rPr>
        <w:t>:</w:t>
      </w:r>
    </w:p>
    <w:p w:rsidR="00675AE2" w:rsidRPr="00675AE2" w:rsidRDefault="00675AE2" w:rsidP="00675AE2">
      <w:pPr>
        <w:ind w:left="1440" w:right="1440" w:firstLine="720"/>
        <w:rPr>
          <w:szCs w:val="26"/>
        </w:rPr>
      </w:pPr>
    </w:p>
    <w:p w:rsidR="00675AE2" w:rsidRPr="00675AE2" w:rsidRDefault="00675AE2" w:rsidP="00675AE2">
      <w:pPr>
        <w:ind w:left="2160" w:right="2160" w:firstLine="720"/>
        <w:rPr>
          <w:szCs w:val="26"/>
        </w:rPr>
      </w:pPr>
      <w:r w:rsidRPr="00675AE2">
        <w:rPr>
          <w:szCs w:val="26"/>
        </w:rPr>
        <w:t xml:space="preserve">In Pennsylvania, the Supreme Court is responsible for regulating the practice of law, and this Commission is bound by the Supreme Court’s rules.  The only persons authorized to practice law in Pennsylvania are as follows: (1) persons fully admitted to the Pennsylvania bar; (2) persons admitted pro hac vice under Rule 301; and (3) persons qualified as certified legal interns under Rule 321.  The Pennsylvania Supreme Court in </w:t>
      </w:r>
      <w:r w:rsidRPr="00675AE2">
        <w:rPr>
          <w:i/>
          <w:szCs w:val="26"/>
        </w:rPr>
        <w:t>Shorz v. Farrell,</w:t>
      </w:r>
      <w:r w:rsidRPr="00675AE2">
        <w:rPr>
          <w:szCs w:val="26"/>
        </w:rPr>
        <w:t xml:space="preserve"> 327 Pa. 81, 193 A.20 (1937), held that if the nature of an administrative hearing is to determine questions of fact or interpretation of administrative law, then the hearing is of a judicial character.  Any participation in such a hearing constitutes the practice of law.  Accordingly it would be unlawful to allow nonattorney</w:t>
      </w:r>
      <w:r w:rsidR="00BD0858">
        <w:rPr>
          <w:szCs w:val="26"/>
        </w:rPr>
        <w:t xml:space="preserve"> [sic]</w:t>
      </w:r>
      <w:r w:rsidRPr="00675AE2">
        <w:rPr>
          <w:szCs w:val="26"/>
        </w:rPr>
        <w:t xml:space="preserve"> representation in adversarial proceedings before the Commission.  </w:t>
      </w:r>
    </w:p>
    <w:p w:rsidR="00675AE2" w:rsidRPr="00675AE2" w:rsidRDefault="00675AE2" w:rsidP="00675AE2">
      <w:pPr>
        <w:ind w:left="1440" w:right="1440"/>
        <w:rPr>
          <w:szCs w:val="26"/>
        </w:rPr>
      </w:pPr>
    </w:p>
    <w:p w:rsidR="00675AE2" w:rsidRPr="000D5D92" w:rsidRDefault="00675AE2" w:rsidP="00675AE2">
      <w:pPr>
        <w:pStyle w:val="BodyText"/>
        <w:ind w:left="1440" w:right="1440"/>
        <w:rPr>
          <w:rFonts w:ascii="Times New Roman" w:hAnsi="Times New Roman"/>
          <w:sz w:val="26"/>
          <w:szCs w:val="26"/>
        </w:rPr>
      </w:pPr>
      <w:r w:rsidRPr="000D5D92">
        <w:rPr>
          <w:rFonts w:ascii="Times New Roman" w:hAnsi="Times New Roman"/>
          <w:i/>
          <w:sz w:val="26"/>
          <w:szCs w:val="26"/>
        </w:rPr>
        <w:t>James and Judith Simon v. Franklin Water Company</w:t>
      </w:r>
      <w:r w:rsidRPr="000D5D92">
        <w:rPr>
          <w:rFonts w:ascii="Times New Roman" w:hAnsi="Times New Roman"/>
          <w:sz w:val="26"/>
          <w:szCs w:val="26"/>
        </w:rPr>
        <w:t xml:space="preserve">, Docket No. C-00956589 (Order entered January 29, 1996).  </w:t>
      </w:r>
    </w:p>
    <w:p w:rsidR="00675AE2" w:rsidRPr="000D5D92" w:rsidRDefault="00675AE2" w:rsidP="00675AE2">
      <w:pPr>
        <w:pStyle w:val="BodyText"/>
        <w:ind w:firstLine="1440"/>
        <w:rPr>
          <w:rFonts w:ascii="Times New Roman" w:hAnsi="Times New Roman"/>
          <w:sz w:val="26"/>
          <w:szCs w:val="26"/>
        </w:rPr>
      </w:pPr>
    </w:p>
    <w:p w:rsidR="00DC044A" w:rsidRPr="007E25CA" w:rsidRDefault="007E25CA" w:rsidP="006D2370">
      <w:pPr>
        <w:spacing w:line="360" w:lineRule="auto"/>
        <w:rPr>
          <w:b/>
          <w:szCs w:val="26"/>
        </w:rPr>
      </w:pPr>
      <w:r w:rsidRPr="007E25CA">
        <w:rPr>
          <w:b/>
          <w:szCs w:val="26"/>
        </w:rPr>
        <w:t>Disposition</w:t>
      </w:r>
    </w:p>
    <w:p w:rsidR="00DC044A" w:rsidRDefault="00DC044A" w:rsidP="006D2370">
      <w:pPr>
        <w:spacing w:line="360" w:lineRule="auto"/>
        <w:rPr>
          <w:szCs w:val="26"/>
        </w:rPr>
      </w:pPr>
    </w:p>
    <w:p w:rsidR="00DC044A" w:rsidRDefault="00C12868" w:rsidP="006D2370">
      <w:pPr>
        <w:spacing w:line="360" w:lineRule="auto"/>
        <w:rPr>
          <w:szCs w:val="26"/>
        </w:rPr>
      </w:pPr>
      <w:r>
        <w:rPr>
          <w:szCs w:val="26"/>
        </w:rPr>
        <w:tab/>
      </w:r>
      <w:r>
        <w:rPr>
          <w:szCs w:val="26"/>
        </w:rPr>
        <w:tab/>
        <w:t>As above noted, the ALJ concluded that the Complainant, Precious Apartments, is a corporation and, as such, is required to have attorney representation in a</w:t>
      </w:r>
      <w:r w:rsidR="00143720">
        <w:rPr>
          <w:szCs w:val="26"/>
        </w:rPr>
        <w:t>n adversarial</w:t>
      </w:r>
      <w:r>
        <w:rPr>
          <w:szCs w:val="26"/>
        </w:rPr>
        <w:t xml:space="preserve"> proceeding</w:t>
      </w:r>
      <w:r w:rsidR="00143720">
        <w:rPr>
          <w:szCs w:val="26"/>
        </w:rPr>
        <w:t>, such as this,</w:t>
      </w:r>
      <w:r>
        <w:rPr>
          <w:szCs w:val="26"/>
        </w:rPr>
        <w:t xml:space="preserve"> before the Commission.  When the Complainant did not have an attorney file a notice of appearance by the date specified, as specified in the ALJ’s Prehearing Order, the ALJ recommended that</w:t>
      </w:r>
      <w:r w:rsidR="001A0D5D">
        <w:rPr>
          <w:szCs w:val="26"/>
        </w:rPr>
        <w:t xml:space="preserve"> the</w:t>
      </w:r>
      <w:r>
        <w:rPr>
          <w:szCs w:val="26"/>
        </w:rPr>
        <w:t xml:space="preserve"> scheduled hearing be cancelled and that the Complaint be dismissed. </w:t>
      </w:r>
    </w:p>
    <w:p w:rsidR="007B0446" w:rsidRDefault="00C12868" w:rsidP="006D2370">
      <w:pPr>
        <w:spacing w:line="360" w:lineRule="auto"/>
        <w:rPr>
          <w:szCs w:val="26"/>
        </w:rPr>
      </w:pPr>
      <w:r>
        <w:rPr>
          <w:szCs w:val="26"/>
        </w:rPr>
        <w:lastRenderedPageBreak/>
        <w:tab/>
      </w:r>
      <w:r>
        <w:rPr>
          <w:szCs w:val="26"/>
        </w:rPr>
        <w:tab/>
        <w:t>We disagree with the ALJ’s conclusion and we believe this proceeding should be remanded to the O</w:t>
      </w:r>
      <w:r w:rsidR="001855ED">
        <w:rPr>
          <w:szCs w:val="26"/>
        </w:rPr>
        <w:t>ALJ for further proceedings.  In this case, it is not clear to us that Precious Apart</w:t>
      </w:r>
      <w:r w:rsidR="007B0446">
        <w:rPr>
          <w:szCs w:val="26"/>
        </w:rPr>
        <w:t xml:space="preserve">ments is in fact a corporation. </w:t>
      </w:r>
    </w:p>
    <w:p w:rsidR="00675AE2" w:rsidRDefault="00675AE2" w:rsidP="006D2370">
      <w:pPr>
        <w:spacing w:line="360" w:lineRule="auto"/>
        <w:rPr>
          <w:szCs w:val="26"/>
        </w:rPr>
      </w:pPr>
    </w:p>
    <w:p w:rsidR="007B0446" w:rsidRDefault="007B0446" w:rsidP="006D2370">
      <w:pPr>
        <w:spacing w:line="360" w:lineRule="auto"/>
        <w:rPr>
          <w:szCs w:val="26"/>
        </w:rPr>
      </w:pPr>
      <w:r>
        <w:rPr>
          <w:szCs w:val="26"/>
        </w:rPr>
        <w:tab/>
      </w:r>
      <w:r>
        <w:rPr>
          <w:szCs w:val="26"/>
        </w:rPr>
        <w:tab/>
        <w:t xml:space="preserve">We note that the Complaint lists Precious Apartments as the Complainant, </w:t>
      </w:r>
      <w:r w:rsidR="00D52D71">
        <w:rPr>
          <w:szCs w:val="26"/>
        </w:rPr>
        <w:t xml:space="preserve">however the filing </w:t>
      </w:r>
      <w:r>
        <w:rPr>
          <w:szCs w:val="26"/>
        </w:rPr>
        <w:t xml:space="preserve">is actually signed by Judy Hill.  </w:t>
      </w:r>
      <w:r w:rsidR="001A0D5D">
        <w:rPr>
          <w:szCs w:val="26"/>
        </w:rPr>
        <w:t xml:space="preserve">Although Ms. Hill signed the Complaint as “President (Owner),” </w:t>
      </w:r>
      <w:r>
        <w:rPr>
          <w:szCs w:val="26"/>
        </w:rPr>
        <w:t xml:space="preserve">the form does not indicate </w:t>
      </w:r>
      <w:r w:rsidR="00D52D71">
        <w:rPr>
          <w:szCs w:val="26"/>
        </w:rPr>
        <w:t xml:space="preserve">that </w:t>
      </w:r>
      <w:r>
        <w:rPr>
          <w:szCs w:val="26"/>
        </w:rPr>
        <w:t>Precious Apartments is a corporation or other legal entity, such as to require representation by an attorney in proceedings before the Commission.  The only indication that Precious Apartments may be a corporation is in PGW’s Answer, in which PGW states that it created an account under the name of “Precious, Inc.,” not under “Precious Apartments” or “Judy Hil</w:t>
      </w:r>
      <w:r w:rsidR="00D52D71">
        <w:rPr>
          <w:szCs w:val="26"/>
        </w:rPr>
        <w:t>l.</w:t>
      </w:r>
      <w:r>
        <w:rPr>
          <w:szCs w:val="26"/>
        </w:rPr>
        <w:t>”</w:t>
      </w:r>
      <w:r w:rsidR="00B12A09">
        <w:rPr>
          <w:rStyle w:val="FootnoteReference"/>
          <w:szCs w:val="26"/>
        </w:rPr>
        <w:footnoteReference w:id="2"/>
      </w:r>
    </w:p>
    <w:p w:rsidR="007B0446" w:rsidRDefault="007B0446" w:rsidP="006D2370">
      <w:pPr>
        <w:spacing w:line="360" w:lineRule="auto"/>
        <w:rPr>
          <w:szCs w:val="26"/>
        </w:rPr>
      </w:pPr>
    </w:p>
    <w:p w:rsidR="007B0446" w:rsidRDefault="007B0446" w:rsidP="006A0EBB">
      <w:pPr>
        <w:spacing w:line="360" w:lineRule="auto"/>
        <w:rPr>
          <w:szCs w:val="26"/>
        </w:rPr>
      </w:pPr>
      <w:r>
        <w:rPr>
          <w:szCs w:val="26"/>
        </w:rPr>
        <w:tab/>
      </w:r>
      <w:r>
        <w:rPr>
          <w:szCs w:val="26"/>
        </w:rPr>
        <w:tab/>
        <w:t>Acc</w:t>
      </w:r>
      <w:r w:rsidR="008C1DF6">
        <w:rPr>
          <w:szCs w:val="26"/>
        </w:rPr>
        <w:t>ordingly,</w:t>
      </w:r>
      <w:r w:rsidR="00FF43C8">
        <w:rPr>
          <w:szCs w:val="26"/>
        </w:rPr>
        <w:t xml:space="preserve"> we believe that, before we require the Complainant to be represented by an attorney in this </w:t>
      </w:r>
      <w:r w:rsidR="00302235">
        <w:rPr>
          <w:szCs w:val="26"/>
        </w:rPr>
        <w:t xml:space="preserve">adversarial </w:t>
      </w:r>
      <w:r w:rsidR="00FF43C8">
        <w:rPr>
          <w:szCs w:val="26"/>
        </w:rPr>
        <w:t>proceeding, we must definitively ascertain whether the Complainant is in fact a corporation.  Therefore, we believe it would be premature to dismiss the Complaint at this time.</w:t>
      </w:r>
      <w:r w:rsidR="008C1DF6">
        <w:rPr>
          <w:szCs w:val="26"/>
        </w:rPr>
        <w:t xml:space="preserve"> </w:t>
      </w:r>
    </w:p>
    <w:p w:rsidR="0081348B" w:rsidRDefault="0081348B" w:rsidP="009E3714">
      <w:pPr>
        <w:tabs>
          <w:tab w:val="left" w:pos="-1440"/>
          <w:tab w:val="left" w:pos="-720"/>
        </w:tabs>
        <w:suppressAutoHyphens/>
        <w:spacing w:line="360" w:lineRule="auto"/>
        <w:rPr>
          <w:b/>
          <w:spacing w:val="-3"/>
          <w:szCs w:val="26"/>
        </w:rPr>
      </w:pPr>
    </w:p>
    <w:p w:rsidR="0081348B" w:rsidRPr="0081348B" w:rsidRDefault="0081348B" w:rsidP="0081348B">
      <w:pPr>
        <w:tabs>
          <w:tab w:val="left" w:pos="-1440"/>
          <w:tab w:val="left" w:pos="-720"/>
        </w:tabs>
        <w:suppressAutoHyphens/>
        <w:spacing w:line="360" w:lineRule="auto"/>
        <w:jc w:val="center"/>
        <w:rPr>
          <w:b/>
          <w:spacing w:val="-3"/>
          <w:szCs w:val="26"/>
        </w:rPr>
      </w:pPr>
      <w:r w:rsidRPr="0081348B">
        <w:rPr>
          <w:b/>
          <w:spacing w:val="-3"/>
          <w:szCs w:val="26"/>
        </w:rPr>
        <w:t>Conclusion</w:t>
      </w:r>
    </w:p>
    <w:p w:rsidR="00BE2F87" w:rsidRDefault="00BE2F87" w:rsidP="00BE2F87">
      <w:pPr>
        <w:tabs>
          <w:tab w:val="left" w:pos="-1440"/>
          <w:tab w:val="left" w:pos="-720"/>
        </w:tabs>
        <w:suppressAutoHyphens/>
        <w:spacing w:line="360" w:lineRule="auto"/>
        <w:rPr>
          <w:spacing w:val="-3"/>
          <w:szCs w:val="26"/>
        </w:rPr>
      </w:pPr>
    </w:p>
    <w:p w:rsidR="00966A49" w:rsidRPr="00E521D9" w:rsidRDefault="00BE2F87" w:rsidP="00E521D9">
      <w:pPr>
        <w:tabs>
          <w:tab w:val="left" w:pos="-1440"/>
          <w:tab w:val="left" w:pos="-720"/>
        </w:tabs>
        <w:suppressAutoHyphens/>
        <w:spacing w:line="360" w:lineRule="auto"/>
        <w:rPr>
          <w:spacing w:val="-3"/>
          <w:szCs w:val="26"/>
        </w:rPr>
      </w:pPr>
      <w:r>
        <w:rPr>
          <w:spacing w:val="-3"/>
          <w:szCs w:val="26"/>
        </w:rPr>
        <w:tab/>
        <w:t xml:space="preserve"> </w:t>
      </w:r>
      <w:r>
        <w:rPr>
          <w:spacing w:val="-3"/>
          <w:szCs w:val="26"/>
        </w:rPr>
        <w:tab/>
      </w:r>
      <w:r w:rsidR="0081348B">
        <w:rPr>
          <w:spacing w:val="-3"/>
          <w:szCs w:val="26"/>
        </w:rPr>
        <w:t>Based upon th</w:t>
      </w:r>
      <w:r w:rsidR="00263445">
        <w:rPr>
          <w:spacing w:val="-3"/>
          <w:szCs w:val="26"/>
        </w:rPr>
        <w:t xml:space="preserve">e foregoing discussion, </w:t>
      </w:r>
      <w:r w:rsidR="0081348B">
        <w:rPr>
          <w:spacing w:val="-3"/>
          <w:szCs w:val="26"/>
        </w:rPr>
        <w:t xml:space="preserve">we shall </w:t>
      </w:r>
      <w:r w:rsidR="00C12868">
        <w:rPr>
          <w:spacing w:val="-3"/>
          <w:szCs w:val="26"/>
        </w:rPr>
        <w:t>reverse</w:t>
      </w:r>
      <w:r w:rsidR="00263445">
        <w:rPr>
          <w:spacing w:val="-3"/>
          <w:szCs w:val="26"/>
        </w:rPr>
        <w:t xml:space="preserve"> the Initial Decision and </w:t>
      </w:r>
      <w:r w:rsidR="00C12868">
        <w:rPr>
          <w:spacing w:val="-3"/>
          <w:szCs w:val="26"/>
        </w:rPr>
        <w:t>remand this matter to the OALJ for further proceedings as deemed necessary</w:t>
      </w:r>
      <w:r w:rsidR="00E521D9">
        <w:rPr>
          <w:szCs w:val="26"/>
        </w:rPr>
        <w:t xml:space="preserve">; </w:t>
      </w:r>
      <w:r w:rsidR="00966A49" w:rsidRPr="00E521D9">
        <w:rPr>
          <w:b/>
          <w:szCs w:val="26"/>
        </w:rPr>
        <w:t>THEREFORE,</w:t>
      </w:r>
    </w:p>
    <w:p w:rsidR="00966A49" w:rsidRPr="00224E09" w:rsidRDefault="00966A49" w:rsidP="00CA735A">
      <w:pPr>
        <w:spacing w:line="360" w:lineRule="auto"/>
        <w:ind w:firstLine="1440"/>
        <w:rPr>
          <w:szCs w:val="26"/>
        </w:rPr>
      </w:pPr>
    </w:p>
    <w:p w:rsidR="00966A49" w:rsidRPr="00E521D9" w:rsidRDefault="00636BA3" w:rsidP="00CA735A">
      <w:pPr>
        <w:spacing w:line="360" w:lineRule="auto"/>
        <w:ind w:firstLine="1440"/>
        <w:rPr>
          <w:b/>
          <w:szCs w:val="26"/>
        </w:rPr>
      </w:pPr>
      <w:r>
        <w:rPr>
          <w:b/>
          <w:szCs w:val="26"/>
        </w:rPr>
        <w:br/>
      </w:r>
      <w:r>
        <w:rPr>
          <w:b/>
          <w:szCs w:val="26"/>
        </w:rPr>
        <w:tab/>
      </w:r>
      <w:r>
        <w:rPr>
          <w:b/>
          <w:szCs w:val="26"/>
        </w:rPr>
        <w:tab/>
      </w:r>
      <w:r w:rsidR="00966A49" w:rsidRPr="00E521D9">
        <w:rPr>
          <w:b/>
          <w:szCs w:val="26"/>
        </w:rPr>
        <w:t xml:space="preserve">IT IS ORDERED: </w:t>
      </w:r>
    </w:p>
    <w:p w:rsidR="001A5647" w:rsidRDefault="00966A49" w:rsidP="00CA735A">
      <w:pPr>
        <w:spacing w:line="360" w:lineRule="auto"/>
        <w:ind w:firstLine="1440"/>
        <w:rPr>
          <w:spacing w:val="-3"/>
          <w:szCs w:val="26"/>
        </w:rPr>
      </w:pPr>
      <w:r w:rsidRPr="00224E09">
        <w:rPr>
          <w:szCs w:val="26"/>
        </w:rPr>
        <w:lastRenderedPageBreak/>
        <w:t>1.</w:t>
      </w:r>
      <w:r w:rsidRPr="00224E09">
        <w:rPr>
          <w:szCs w:val="26"/>
        </w:rPr>
        <w:tab/>
      </w:r>
      <w:r w:rsidR="001A5647">
        <w:rPr>
          <w:szCs w:val="26"/>
        </w:rPr>
        <w:t xml:space="preserve">That the Initial Decision of Administrative Law Judge </w:t>
      </w:r>
      <w:r w:rsidR="00C86094">
        <w:rPr>
          <w:szCs w:val="26"/>
        </w:rPr>
        <w:t>Christopher P. Pell</w:t>
      </w:r>
      <w:r w:rsidR="00263445">
        <w:rPr>
          <w:spacing w:val="-3"/>
          <w:szCs w:val="26"/>
        </w:rPr>
        <w:t xml:space="preserve"> issued on </w:t>
      </w:r>
      <w:r w:rsidR="00736638">
        <w:rPr>
          <w:spacing w:val="-3"/>
          <w:szCs w:val="26"/>
        </w:rPr>
        <w:t>July 9, 2013</w:t>
      </w:r>
      <w:r w:rsidR="00263445">
        <w:rPr>
          <w:spacing w:val="-3"/>
          <w:szCs w:val="26"/>
        </w:rPr>
        <w:t xml:space="preserve">, is </w:t>
      </w:r>
      <w:r w:rsidR="00736638">
        <w:rPr>
          <w:spacing w:val="-3"/>
          <w:szCs w:val="26"/>
        </w:rPr>
        <w:t>reversed</w:t>
      </w:r>
      <w:r w:rsidR="00263445">
        <w:rPr>
          <w:spacing w:val="-3"/>
          <w:szCs w:val="26"/>
        </w:rPr>
        <w:t xml:space="preserve">, consistent with </w:t>
      </w:r>
      <w:r w:rsidR="001A5647">
        <w:rPr>
          <w:spacing w:val="-3"/>
          <w:szCs w:val="26"/>
        </w:rPr>
        <w:t>this Opinion and Order.</w:t>
      </w:r>
    </w:p>
    <w:p w:rsidR="001A5647" w:rsidRDefault="001A5647" w:rsidP="00CA735A">
      <w:pPr>
        <w:spacing w:line="360" w:lineRule="auto"/>
        <w:ind w:firstLine="1440"/>
        <w:rPr>
          <w:szCs w:val="26"/>
        </w:rPr>
      </w:pPr>
    </w:p>
    <w:p w:rsidR="009E3714" w:rsidRDefault="001A5647" w:rsidP="00263445">
      <w:pPr>
        <w:spacing w:line="360" w:lineRule="auto"/>
        <w:ind w:firstLine="1440"/>
        <w:rPr>
          <w:szCs w:val="26"/>
        </w:rPr>
      </w:pPr>
      <w:r>
        <w:rPr>
          <w:szCs w:val="26"/>
        </w:rPr>
        <w:t>2.</w:t>
      </w:r>
      <w:r>
        <w:rPr>
          <w:szCs w:val="26"/>
        </w:rPr>
        <w:tab/>
      </w:r>
      <w:r w:rsidR="00263445">
        <w:rPr>
          <w:szCs w:val="26"/>
        </w:rPr>
        <w:t xml:space="preserve">That </w:t>
      </w:r>
      <w:r w:rsidR="00CD68A3">
        <w:rPr>
          <w:szCs w:val="26"/>
        </w:rPr>
        <w:t>this matter is remanded to the Office of Administrative Law Judge</w:t>
      </w:r>
      <w:r w:rsidR="00C12868">
        <w:rPr>
          <w:szCs w:val="26"/>
        </w:rPr>
        <w:t xml:space="preserve"> for further proceedings as deemed necessary</w:t>
      </w:r>
      <w:r w:rsidR="00263445">
        <w:rPr>
          <w:szCs w:val="26"/>
        </w:rPr>
        <w:t>.</w:t>
      </w:r>
      <w:r w:rsidR="00966A49" w:rsidRPr="00224E09">
        <w:rPr>
          <w:szCs w:val="26"/>
        </w:rPr>
        <w:t xml:space="preserve"> </w:t>
      </w:r>
    </w:p>
    <w:p w:rsidR="00B81D72" w:rsidRDefault="00B81D72" w:rsidP="00984C22">
      <w:pPr>
        <w:spacing w:line="360" w:lineRule="auto"/>
        <w:rPr>
          <w:szCs w:val="26"/>
        </w:rPr>
      </w:pPr>
    </w:p>
    <w:p w:rsidR="00C12868" w:rsidRDefault="00C12868" w:rsidP="00984C22">
      <w:pPr>
        <w:spacing w:line="360" w:lineRule="auto"/>
        <w:rPr>
          <w:szCs w:val="26"/>
        </w:rPr>
      </w:pPr>
    </w:p>
    <w:p w:rsidR="002637B1" w:rsidRPr="00984C22" w:rsidRDefault="007C6CAD" w:rsidP="00984C22">
      <w:pPr>
        <w:spacing w:line="360" w:lineRule="auto"/>
        <w:ind w:left="720" w:firstLine="720"/>
        <w:rPr>
          <w:b/>
          <w:szCs w:val="26"/>
        </w:rPr>
      </w:pPr>
      <w:r>
        <w:rPr>
          <w:noProof/>
        </w:rPr>
        <w:drawing>
          <wp:anchor distT="0" distB="0" distL="114300" distR="114300" simplePos="0" relativeHeight="251658240" behindDoc="1" locked="0" layoutInCell="1" allowOverlap="1" wp14:anchorId="4B7378DA" wp14:editId="27F00E33">
            <wp:simplePos x="0" y="0"/>
            <wp:positionH relativeFrom="column">
              <wp:posOffset>2743200</wp:posOffset>
            </wp:positionH>
            <wp:positionV relativeFrom="paragraph">
              <wp:posOffset>635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5647">
        <w:rPr>
          <w:szCs w:val="26"/>
        </w:rPr>
        <w:tab/>
      </w:r>
      <w:r w:rsidR="001A5647">
        <w:rPr>
          <w:szCs w:val="26"/>
        </w:rPr>
        <w:tab/>
      </w:r>
      <w:r w:rsidR="001A5647">
        <w:rPr>
          <w:szCs w:val="26"/>
        </w:rPr>
        <w:tab/>
      </w:r>
      <w:r w:rsidR="001A5647">
        <w:rPr>
          <w:szCs w:val="26"/>
        </w:rPr>
        <w:tab/>
      </w:r>
      <w:r w:rsidR="001A5647">
        <w:rPr>
          <w:szCs w:val="26"/>
        </w:rPr>
        <w:tab/>
      </w:r>
      <w:r w:rsidR="001A5647" w:rsidRPr="002637B1">
        <w:rPr>
          <w:b/>
          <w:szCs w:val="26"/>
        </w:rPr>
        <w:t>BY THE COMMISSION,</w:t>
      </w:r>
    </w:p>
    <w:p w:rsidR="00D14E02" w:rsidRDefault="00D14E02" w:rsidP="001A5647">
      <w:pPr>
        <w:spacing w:line="360" w:lineRule="auto"/>
        <w:rPr>
          <w:szCs w:val="26"/>
        </w:rPr>
      </w:pPr>
    </w:p>
    <w:p w:rsidR="001A5647" w:rsidRDefault="001A5647" w:rsidP="001A5647">
      <w:pPr>
        <w:ind w:left="720" w:firstLine="720"/>
        <w:rPr>
          <w:szCs w:val="26"/>
        </w:rPr>
      </w:pPr>
      <w:r>
        <w:rPr>
          <w:szCs w:val="26"/>
        </w:rPr>
        <w:tab/>
      </w:r>
      <w:r>
        <w:rPr>
          <w:szCs w:val="26"/>
        </w:rPr>
        <w:tab/>
      </w:r>
      <w:r>
        <w:rPr>
          <w:szCs w:val="26"/>
        </w:rPr>
        <w:tab/>
      </w:r>
      <w:r>
        <w:rPr>
          <w:szCs w:val="26"/>
        </w:rPr>
        <w:tab/>
      </w:r>
      <w:r>
        <w:rPr>
          <w:szCs w:val="26"/>
        </w:rPr>
        <w:tab/>
        <w:t>Rosemary Chiavetta</w:t>
      </w:r>
    </w:p>
    <w:p w:rsidR="001A5647" w:rsidRDefault="001A5647" w:rsidP="001A5647">
      <w:pPr>
        <w:ind w:left="720" w:firstLine="720"/>
        <w:rPr>
          <w:szCs w:val="26"/>
        </w:rPr>
      </w:pPr>
      <w:r>
        <w:rPr>
          <w:szCs w:val="26"/>
        </w:rPr>
        <w:tab/>
      </w:r>
      <w:r>
        <w:rPr>
          <w:szCs w:val="26"/>
        </w:rPr>
        <w:tab/>
      </w:r>
      <w:r>
        <w:rPr>
          <w:szCs w:val="26"/>
        </w:rPr>
        <w:tab/>
      </w:r>
      <w:r>
        <w:rPr>
          <w:szCs w:val="26"/>
        </w:rPr>
        <w:tab/>
      </w:r>
      <w:r>
        <w:rPr>
          <w:szCs w:val="26"/>
        </w:rPr>
        <w:tab/>
        <w:t>Secretary</w:t>
      </w:r>
    </w:p>
    <w:p w:rsidR="001A5647" w:rsidRDefault="001A5647" w:rsidP="001A5647">
      <w:pPr>
        <w:rPr>
          <w:szCs w:val="26"/>
        </w:rPr>
      </w:pPr>
    </w:p>
    <w:p w:rsidR="001A5647" w:rsidRDefault="001A5647" w:rsidP="001A5647">
      <w:pPr>
        <w:rPr>
          <w:szCs w:val="26"/>
        </w:rPr>
      </w:pPr>
      <w:r>
        <w:rPr>
          <w:szCs w:val="26"/>
        </w:rPr>
        <w:t>(SEAL)</w:t>
      </w:r>
    </w:p>
    <w:p w:rsidR="002637B1" w:rsidRDefault="002637B1" w:rsidP="001A5647">
      <w:pPr>
        <w:rPr>
          <w:szCs w:val="26"/>
        </w:rPr>
      </w:pPr>
    </w:p>
    <w:p w:rsidR="001A5647" w:rsidRDefault="001A5647" w:rsidP="001A5647">
      <w:pPr>
        <w:rPr>
          <w:szCs w:val="26"/>
        </w:rPr>
      </w:pPr>
      <w:r>
        <w:rPr>
          <w:szCs w:val="26"/>
        </w:rPr>
        <w:t>ORDER ADOPTED:</w:t>
      </w:r>
      <w:r w:rsidR="00777D3A">
        <w:rPr>
          <w:szCs w:val="26"/>
        </w:rPr>
        <w:t xml:space="preserve">  September 12, 2013</w:t>
      </w:r>
    </w:p>
    <w:p w:rsidR="001A5647" w:rsidRDefault="001A5647" w:rsidP="001A5647">
      <w:pPr>
        <w:rPr>
          <w:szCs w:val="26"/>
        </w:rPr>
      </w:pPr>
    </w:p>
    <w:p w:rsidR="00BC5588" w:rsidRPr="002637B1" w:rsidRDefault="001A5647" w:rsidP="002637B1">
      <w:pPr>
        <w:rPr>
          <w:szCs w:val="26"/>
        </w:rPr>
      </w:pPr>
      <w:r>
        <w:rPr>
          <w:szCs w:val="26"/>
        </w:rPr>
        <w:t>ORDER ENTERED:</w:t>
      </w:r>
      <w:r w:rsidR="007C6CAD">
        <w:rPr>
          <w:szCs w:val="26"/>
        </w:rPr>
        <w:t xml:space="preserve">  September 23, 2013</w:t>
      </w:r>
      <w:bookmarkStart w:id="4" w:name="_GoBack"/>
      <w:bookmarkEnd w:id="4"/>
    </w:p>
    <w:sectPr w:rsidR="00BC5588" w:rsidRPr="002637B1" w:rsidSect="002137C8">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496" w:rsidRDefault="00751496" w:rsidP="004C6B7C">
      <w:r>
        <w:separator/>
      </w:r>
    </w:p>
  </w:endnote>
  <w:endnote w:type="continuationSeparator" w:id="0">
    <w:p w:rsidR="00751496" w:rsidRDefault="00751496" w:rsidP="004C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892" w:rsidRPr="00BC76E6" w:rsidRDefault="003E5713">
    <w:pPr>
      <w:pStyle w:val="Footer"/>
      <w:jc w:val="center"/>
      <w:rPr>
        <w:szCs w:val="26"/>
      </w:rPr>
    </w:pPr>
    <w:r w:rsidRPr="00BC76E6">
      <w:rPr>
        <w:szCs w:val="26"/>
      </w:rPr>
      <w:fldChar w:fldCharType="begin"/>
    </w:r>
    <w:r w:rsidR="00FB535D" w:rsidRPr="00BC76E6">
      <w:rPr>
        <w:szCs w:val="26"/>
      </w:rPr>
      <w:instrText xml:space="preserve"> PAGE   \* MERGEFORMAT </w:instrText>
    </w:r>
    <w:r w:rsidRPr="00BC76E6">
      <w:rPr>
        <w:szCs w:val="26"/>
      </w:rPr>
      <w:fldChar w:fldCharType="separate"/>
    </w:r>
    <w:r w:rsidR="007C6CAD">
      <w:rPr>
        <w:noProof/>
        <w:szCs w:val="26"/>
      </w:rPr>
      <w:t>8</w:t>
    </w:r>
    <w:r w:rsidRPr="00BC76E6">
      <w:rPr>
        <w:szCs w:val="26"/>
      </w:rPr>
      <w:fldChar w:fldCharType="end"/>
    </w:r>
  </w:p>
  <w:p w:rsidR="00206892" w:rsidRDefault="00206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496" w:rsidRDefault="00751496" w:rsidP="004C6B7C">
      <w:r>
        <w:separator/>
      </w:r>
    </w:p>
  </w:footnote>
  <w:footnote w:type="continuationSeparator" w:id="0">
    <w:p w:rsidR="00751496" w:rsidRDefault="00751496" w:rsidP="004C6B7C">
      <w:r>
        <w:continuationSeparator/>
      </w:r>
    </w:p>
  </w:footnote>
  <w:footnote w:id="1">
    <w:p w:rsidR="008C638A" w:rsidRPr="000D5D92" w:rsidRDefault="008C638A" w:rsidP="000D5D92">
      <w:pPr>
        <w:pStyle w:val="FootnoteText"/>
        <w:ind w:firstLine="720"/>
        <w:rPr>
          <w:sz w:val="26"/>
          <w:szCs w:val="26"/>
        </w:rPr>
      </w:pPr>
      <w:r w:rsidRPr="000D5D92">
        <w:rPr>
          <w:rStyle w:val="FootnoteReference"/>
          <w:sz w:val="26"/>
          <w:szCs w:val="26"/>
        </w:rPr>
        <w:footnoteRef/>
      </w:r>
      <w:r w:rsidRPr="000D5D92">
        <w:rPr>
          <w:sz w:val="26"/>
          <w:szCs w:val="26"/>
        </w:rPr>
        <w:t xml:space="preserve"> </w:t>
      </w:r>
      <w:r w:rsidRPr="000D5D92">
        <w:rPr>
          <w:sz w:val="26"/>
          <w:szCs w:val="26"/>
        </w:rPr>
        <w:tab/>
        <w:t>The</w:t>
      </w:r>
      <w:r w:rsidR="0056016B" w:rsidRPr="00862B8F">
        <w:rPr>
          <w:sz w:val="26"/>
          <w:szCs w:val="26"/>
        </w:rPr>
        <w:t xml:space="preserve"> instant Formal Complaint was a</w:t>
      </w:r>
      <w:r w:rsidR="0056016B">
        <w:rPr>
          <w:sz w:val="26"/>
          <w:szCs w:val="26"/>
        </w:rPr>
        <w:t xml:space="preserve"> timely</w:t>
      </w:r>
      <w:r w:rsidRPr="000D5D92">
        <w:rPr>
          <w:sz w:val="26"/>
          <w:szCs w:val="26"/>
        </w:rPr>
        <w:t xml:space="preserve"> appeal of a Bureau of Consumer Services (BCS) decision in case no. 3056318.</w:t>
      </w:r>
    </w:p>
  </w:footnote>
  <w:footnote w:id="2">
    <w:p w:rsidR="00B12A09" w:rsidRPr="000D5D92" w:rsidRDefault="00B12A09">
      <w:pPr>
        <w:pStyle w:val="FootnoteText"/>
        <w:rPr>
          <w:sz w:val="26"/>
          <w:szCs w:val="26"/>
        </w:rPr>
      </w:pPr>
      <w:r w:rsidRPr="000D5D92">
        <w:rPr>
          <w:sz w:val="26"/>
          <w:szCs w:val="26"/>
        </w:rPr>
        <w:tab/>
      </w:r>
      <w:r w:rsidRPr="000D5D92">
        <w:rPr>
          <w:rStyle w:val="FootnoteReference"/>
          <w:sz w:val="26"/>
          <w:szCs w:val="26"/>
        </w:rPr>
        <w:footnoteRef/>
      </w:r>
      <w:r w:rsidRPr="000D5D92">
        <w:rPr>
          <w:sz w:val="26"/>
          <w:szCs w:val="26"/>
        </w:rPr>
        <w:t xml:space="preserve"> </w:t>
      </w:r>
      <w:r w:rsidRPr="000D5D92">
        <w:rPr>
          <w:sz w:val="26"/>
          <w:szCs w:val="26"/>
        </w:rPr>
        <w:tab/>
        <w:t xml:space="preserve">In this regard, we note that </w:t>
      </w:r>
      <w:r w:rsidR="00C6101A">
        <w:rPr>
          <w:sz w:val="26"/>
          <w:szCs w:val="26"/>
        </w:rPr>
        <w:t xml:space="preserve">the file in this case includes </w:t>
      </w:r>
      <w:r w:rsidRPr="000D5D92">
        <w:rPr>
          <w:sz w:val="26"/>
          <w:szCs w:val="26"/>
        </w:rPr>
        <w:t xml:space="preserve">a Notification of Intent to Appeal, indicating that </w:t>
      </w:r>
      <w:r w:rsidR="00143720">
        <w:rPr>
          <w:sz w:val="26"/>
          <w:szCs w:val="26"/>
        </w:rPr>
        <w:t xml:space="preserve">the identified </w:t>
      </w:r>
      <w:r w:rsidR="00C6101A">
        <w:rPr>
          <w:sz w:val="26"/>
          <w:szCs w:val="26"/>
        </w:rPr>
        <w:t xml:space="preserve">utility customer intended to file a </w:t>
      </w:r>
      <w:r w:rsidRPr="000D5D92">
        <w:rPr>
          <w:sz w:val="26"/>
          <w:szCs w:val="26"/>
        </w:rPr>
        <w:t xml:space="preserve">Formal Complaint </w:t>
      </w:r>
      <w:r w:rsidR="00C6101A">
        <w:rPr>
          <w:sz w:val="26"/>
          <w:szCs w:val="26"/>
        </w:rPr>
        <w:t xml:space="preserve">following BCS’s </w:t>
      </w:r>
      <w:r w:rsidRPr="000D5D92">
        <w:rPr>
          <w:sz w:val="26"/>
          <w:szCs w:val="26"/>
        </w:rPr>
        <w:t>resolution of an informal complaint in this matter.  That form was signed by Judy Hill on behalf of Precious, Inc.</w:t>
      </w:r>
      <w:r w:rsidR="00143720">
        <w:rPr>
          <w:sz w:val="26"/>
          <w:szCs w:val="26"/>
        </w:rPr>
        <w:t xml:space="preserve">  On remand, the Administr</w:t>
      </w:r>
      <w:r w:rsidR="0045140A">
        <w:rPr>
          <w:sz w:val="26"/>
          <w:szCs w:val="26"/>
        </w:rPr>
        <w:t xml:space="preserve">ative Law Judge is directed to </w:t>
      </w:r>
      <w:r w:rsidR="00143720">
        <w:rPr>
          <w:sz w:val="26"/>
          <w:szCs w:val="26"/>
        </w:rPr>
        <w:t>identify the Complainant in this proceeding.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F556A"/>
    <w:multiLevelType w:val="hybridMultilevel"/>
    <w:tmpl w:val="558A1EF2"/>
    <w:lvl w:ilvl="0" w:tplc="2268413E">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0D46EF5"/>
    <w:multiLevelType w:val="hybridMultilevel"/>
    <w:tmpl w:val="C2A4A03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F959A4"/>
    <w:multiLevelType w:val="hybridMultilevel"/>
    <w:tmpl w:val="72FA51F0"/>
    <w:lvl w:ilvl="0" w:tplc="60F0745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528405A"/>
    <w:multiLevelType w:val="hybridMultilevel"/>
    <w:tmpl w:val="ABF0C0F4"/>
    <w:lvl w:ilvl="0" w:tplc="5694DB42">
      <w:start w:val="2"/>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48FE0BD0"/>
    <w:multiLevelType w:val="hybridMultilevel"/>
    <w:tmpl w:val="0ADE3A2C"/>
    <w:lvl w:ilvl="0" w:tplc="B55612FA">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DA45D9D"/>
    <w:multiLevelType w:val="hybridMultilevel"/>
    <w:tmpl w:val="4D227CB8"/>
    <w:lvl w:ilvl="0" w:tplc="BB74F1C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E4B2AA5"/>
    <w:multiLevelType w:val="hybridMultilevel"/>
    <w:tmpl w:val="181401CC"/>
    <w:lvl w:ilvl="0" w:tplc="01D0F38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25A5D34"/>
    <w:multiLevelType w:val="hybridMultilevel"/>
    <w:tmpl w:val="0CE6269E"/>
    <w:lvl w:ilvl="0" w:tplc="EFE6EDB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2981A95"/>
    <w:multiLevelType w:val="hybridMultilevel"/>
    <w:tmpl w:val="B52A83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D1641E"/>
    <w:multiLevelType w:val="hybridMultilevel"/>
    <w:tmpl w:val="1688A324"/>
    <w:lvl w:ilvl="0" w:tplc="BA82C59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3"/>
  </w:num>
  <w:num w:numId="3">
    <w:abstractNumId w:val="2"/>
  </w:num>
  <w:num w:numId="4">
    <w:abstractNumId w:val="6"/>
  </w:num>
  <w:num w:numId="5">
    <w:abstractNumId w:val="9"/>
  </w:num>
  <w:num w:numId="6">
    <w:abstractNumId w:val="10"/>
  </w:num>
  <w:num w:numId="7">
    <w:abstractNumId w:val="0"/>
  </w:num>
  <w:num w:numId="8">
    <w:abstractNumId w:val="8"/>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DE"/>
    <w:rsid w:val="00000DEA"/>
    <w:rsid w:val="000070F3"/>
    <w:rsid w:val="0000796D"/>
    <w:rsid w:val="000115FD"/>
    <w:rsid w:val="00012532"/>
    <w:rsid w:val="00020A13"/>
    <w:rsid w:val="00032309"/>
    <w:rsid w:val="00034A29"/>
    <w:rsid w:val="00041C60"/>
    <w:rsid w:val="000424CB"/>
    <w:rsid w:val="00044F6E"/>
    <w:rsid w:val="00046894"/>
    <w:rsid w:val="00055372"/>
    <w:rsid w:val="000559F0"/>
    <w:rsid w:val="000674BA"/>
    <w:rsid w:val="00070392"/>
    <w:rsid w:val="00071DF7"/>
    <w:rsid w:val="000723EA"/>
    <w:rsid w:val="000955D5"/>
    <w:rsid w:val="000972EE"/>
    <w:rsid w:val="00097335"/>
    <w:rsid w:val="000A29F6"/>
    <w:rsid w:val="000A5F72"/>
    <w:rsid w:val="000A7AA8"/>
    <w:rsid w:val="000B1558"/>
    <w:rsid w:val="000B48CF"/>
    <w:rsid w:val="000C1B9B"/>
    <w:rsid w:val="000D3F25"/>
    <w:rsid w:val="000D490B"/>
    <w:rsid w:val="000D5D92"/>
    <w:rsid w:val="000D6B9F"/>
    <w:rsid w:val="000E069F"/>
    <w:rsid w:val="000E4C55"/>
    <w:rsid w:val="000E58C0"/>
    <w:rsid w:val="000E629C"/>
    <w:rsid w:val="000E7180"/>
    <w:rsid w:val="000F1786"/>
    <w:rsid w:val="000F3A6C"/>
    <w:rsid w:val="00106C75"/>
    <w:rsid w:val="001270D4"/>
    <w:rsid w:val="00131786"/>
    <w:rsid w:val="001320DD"/>
    <w:rsid w:val="0013283A"/>
    <w:rsid w:val="001371E5"/>
    <w:rsid w:val="00140404"/>
    <w:rsid w:val="00143720"/>
    <w:rsid w:val="00151331"/>
    <w:rsid w:val="00151576"/>
    <w:rsid w:val="00153EEB"/>
    <w:rsid w:val="00155C66"/>
    <w:rsid w:val="00160228"/>
    <w:rsid w:val="00160646"/>
    <w:rsid w:val="00166AAD"/>
    <w:rsid w:val="0017003C"/>
    <w:rsid w:val="001713F7"/>
    <w:rsid w:val="001821EA"/>
    <w:rsid w:val="001855ED"/>
    <w:rsid w:val="001917AF"/>
    <w:rsid w:val="0019768F"/>
    <w:rsid w:val="001A0D5D"/>
    <w:rsid w:val="001A16B3"/>
    <w:rsid w:val="001A5647"/>
    <w:rsid w:val="001A70A2"/>
    <w:rsid w:val="001B033E"/>
    <w:rsid w:val="001B23F2"/>
    <w:rsid w:val="001B35D1"/>
    <w:rsid w:val="001C71FC"/>
    <w:rsid w:val="001C7DDF"/>
    <w:rsid w:val="001D2B59"/>
    <w:rsid w:val="001D52C3"/>
    <w:rsid w:val="001E0C2D"/>
    <w:rsid w:val="001E1C8D"/>
    <w:rsid w:val="001E1C9E"/>
    <w:rsid w:val="001E2B2C"/>
    <w:rsid w:val="001F05C6"/>
    <w:rsid w:val="001F4989"/>
    <w:rsid w:val="001F4B47"/>
    <w:rsid w:val="001F517C"/>
    <w:rsid w:val="001F6482"/>
    <w:rsid w:val="00203CEB"/>
    <w:rsid w:val="00206892"/>
    <w:rsid w:val="00207CBC"/>
    <w:rsid w:val="002137C8"/>
    <w:rsid w:val="00217DE0"/>
    <w:rsid w:val="00217FF6"/>
    <w:rsid w:val="00224B8B"/>
    <w:rsid w:val="00224E09"/>
    <w:rsid w:val="00226BB6"/>
    <w:rsid w:val="0024232A"/>
    <w:rsid w:val="00244384"/>
    <w:rsid w:val="00245857"/>
    <w:rsid w:val="00247BF7"/>
    <w:rsid w:val="00254F82"/>
    <w:rsid w:val="00263445"/>
    <w:rsid w:val="002637B1"/>
    <w:rsid w:val="00263CED"/>
    <w:rsid w:val="00264B4D"/>
    <w:rsid w:val="00267ECB"/>
    <w:rsid w:val="002732A6"/>
    <w:rsid w:val="0027588F"/>
    <w:rsid w:val="0029378F"/>
    <w:rsid w:val="0029427B"/>
    <w:rsid w:val="002B4FED"/>
    <w:rsid w:val="002C6DCC"/>
    <w:rsid w:val="002E5D1A"/>
    <w:rsid w:val="002F0719"/>
    <w:rsid w:val="002F2DFD"/>
    <w:rsid w:val="002F46E0"/>
    <w:rsid w:val="002F4B6F"/>
    <w:rsid w:val="002F62A6"/>
    <w:rsid w:val="003015A3"/>
    <w:rsid w:val="00302235"/>
    <w:rsid w:val="003028DB"/>
    <w:rsid w:val="003067F1"/>
    <w:rsid w:val="00314F46"/>
    <w:rsid w:val="00323519"/>
    <w:rsid w:val="00341614"/>
    <w:rsid w:val="00342031"/>
    <w:rsid w:val="0034562B"/>
    <w:rsid w:val="00365C75"/>
    <w:rsid w:val="00372B27"/>
    <w:rsid w:val="00380809"/>
    <w:rsid w:val="0039553C"/>
    <w:rsid w:val="00395DAE"/>
    <w:rsid w:val="003B0F80"/>
    <w:rsid w:val="003B7691"/>
    <w:rsid w:val="003C1513"/>
    <w:rsid w:val="003C47BE"/>
    <w:rsid w:val="003C7163"/>
    <w:rsid w:val="003D0B84"/>
    <w:rsid w:val="003D618D"/>
    <w:rsid w:val="003E4DC4"/>
    <w:rsid w:val="003E5713"/>
    <w:rsid w:val="003E7A49"/>
    <w:rsid w:val="00401C0F"/>
    <w:rsid w:val="0040339C"/>
    <w:rsid w:val="0040410E"/>
    <w:rsid w:val="004134CE"/>
    <w:rsid w:val="004214E7"/>
    <w:rsid w:val="004216DA"/>
    <w:rsid w:val="0043268C"/>
    <w:rsid w:val="00441244"/>
    <w:rsid w:val="0044224E"/>
    <w:rsid w:val="00444FC3"/>
    <w:rsid w:val="0044750E"/>
    <w:rsid w:val="00450A7C"/>
    <w:rsid w:val="0045140A"/>
    <w:rsid w:val="00452AA3"/>
    <w:rsid w:val="00457A25"/>
    <w:rsid w:val="00460218"/>
    <w:rsid w:val="00467C11"/>
    <w:rsid w:val="00474E00"/>
    <w:rsid w:val="004867AB"/>
    <w:rsid w:val="00490125"/>
    <w:rsid w:val="004915C6"/>
    <w:rsid w:val="00493CBF"/>
    <w:rsid w:val="004A54A3"/>
    <w:rsid w:val="004A551F"/>
    <w:rsid w:val="004B3922"/>
    <w:rsid w:val="004B5F3A"/>
    <w:rsid w:val="004B721B"/>
    <w:rsid w:val="004C4327"/>
    <w:rsid w:val="004C6B7C"/>
    <w:rsid w:val="004C7937"/>
    <w:rsid w:val="004D1567"/>
    <w:rsid w:val="004E5173"/>
    <w:rsid w:val="004E63F7"/>
    <w:rsid w:val="004F43C6"/>
    <w:rsid w:val="00501112"/>
    <w:rsid w:val="00502B25"/>
    <w:rsid w:val="00502D4C"/>
    <w:rsid w:val="005315A6"/>
    <w:rsid w:val="005323F3"/>
    <w:rsid w:val="00532B61"/>
    <w:rsid w:val="005338F0"/>
    <w:rsid w:val="00540CA8"/>
    <w:rsid w:val="0055581C"/>
    <w:rsid w:val="00557A61"/>
    <w:rsid w:val="0056016B"/>
    <w:rsid w:val="00560F7E"/>
    <w:rsid w:val="00562C01"/>
    <w:rsid w:val="00566563"/>
    <w:rsid w:val="00571CC2"/>
    <w:rsid w:val="00573FAD"/>
    <w:rsid w:val="0057585A"/>
    <w:rsid w:val="005762A6"/>
    <w:rsid w:val="00593308"/>
    <w:rsid w:val="00593E5D"/>
    <w:rsid w:val="00596E88"/>
    <w:rsid w:val="005B2FC4"/>
    <w:rsid w:val="005B3FBF"/>
    <w:rsid w:val="005D062E"/>
    <w:rsid w:val="005D48EF"/>
    <w:rsid w:val="005D7D06"/>
    <w:rsid w:val="005E1C4F"/>
    <w:rsid w:val="005E2A84"/>
    <w:rsid w:val="005E3CA2"/>
    <w:rsid w:val="005E466D"/>
    <w:rsid w:val="005E7117"/>
    <w:rsid w:val="0060748E"/>
    <w:rsid w:val="00607CD0"/>
    <w:rsid w:val="006119B8"/>
    <w:rsid w:val="00622D3C"/>
    <w:rsid w:val="00623B5B"/>
    <w:rsid w:val="00636BA3"/>
    <w:rsid w:val="00642B13"/>
    <w:rsid w:val="00644ABB"/>
    <w:rsid w:val="006510E2"/>
    <w:rsid w:val="0065257E"/>
    <w:rsid w:val="0065438D"/>
    <w:rsid w:val="00655B37"/>
    <w:rsid w:val="006622E4"/>
    <w:rsid w:val="00662DEE"/>
    <w:rsid w:val="006715DB"/>
    <w:rsid w:val="00674B7A"/>
    <w:rsid w:val="00675AE2"/>
    <w:rsid w:val="00676DA1"/>
    <w:rsid w:val="00685036"/>
    <w:rsid w:val="00697793"/>
    <w:rsid w:val="006A0EBB"/>
    <w:rsid w:val="006A0FE3"/>
    <w:rsid w:val="006A1218"/>
    <w:rsid w:val="006A30E0"/>
    <w:rsid w:val="006A51D9"/>
    <w:rsid w:val="006B127A"/>
    <w:rsid w:val="006B39D4"/>
    <w:rsid w:val="006B5077"/>
    <w:rsid w:val="006B57DA"/>
    <w:rsid w:val="006C0A81"/>
    <w:rsid w:val="006C0DA2"/>
    <w:rsid w:val="006C50C3"/>
    <w:rsid w:val="006C6A5D"/>
    <w:rsid w:val="006D2370"/>
    <w:rsid w:val="006D4BE1"/>
    <w:rsid w:val="006D59AD"/>
    <w:rsid w:val="006F26C1"/>
    <w:rsid w:val="006F2894"/>
    <w:rsid w:val="006F60CC"/>
    <w:rsid w:val="006F671A"/>
    <w:rsid w:val="00700A4E"/>
    <w:rsid w:val="00711BCA"/>
    <w:rsid w:val="0071429E"/>
    <w:rsid w:val="00715A04"/>
    <w:rsid w:val="007218BF"/>
    <w:rsid w:val="00723B56"/>
    <w:rsid w:val="00731760"/>
    <w:rsid w:val="007348EE"/>
    <w:rsid w:val="00736638"/>
    <w:rsid w:val="00751496"/>
    <w:rsid w:val="00755701"/>
    <w:rsid w:val="0077110D"/>
    <w:rsid w:val="00777D3A"/>
    <w:rsid w:val="007850BB"/>
    <w:rsid w:val="00790D0B"/>
    <w:rsid w:val="00793794"/>
    <w:rsid w:val="00793DA1"/>
    <w:rsid w:val="007962C2"/>
    <w:rsid w:val="007A0321"/>
    <w:rsid w:val="007A11AC"/>
    <w:rsid w:val="007A2B94"/>
    <w:rsid w:val="007A66A2"/>
    <w:rsid w:val="007B0446"/>
    <w:rsid w:val="007B0D99"/>
    <w:rsid w:val="007B5B1C"/>
    <w:rsid w:val="007C6CAD"/>
    <w:rsid w:val="007D1AB5"/>
    <w:rsid w:val="007D6113"/>
    <w:rsid w:val="007E12B5"/>
    <w:rsid w:val="007E25CA"/>
    <w:rsid w:val="007E4762"/>
    <w:rsid w:val="00801127"/>
    <w:rsid w:val="00801401"/>
    <w:rsid w:val="0081348B"/>
    <w:rsid w:val="00837812"/>
    <w:rsid w:val="00842CB4"/>
    <w:rsid w:val="00843444"/>
    <w:rsid w:val="00843796"/>
    <w:rsid w:val="00846974"/>
    <w:rsid w:val="00850272"/>
    <w:rsid w:val="00857CE5"/>
    <w:rsid w:val="00862B8F"/>
    <w:rsid w:val="00863C9A"/>
    <w:rsid w:val="00873050"/>
    <w:rsid w:val="0089182B"/>
    <w:rsid w:val="008929C3"/>
    <w:rsid w:val="008A4F08"/>
    <w:rsid w:val="008C1DF6"/>
    <w:rsid w:val="008C638A"/>
    <w:rsid w:val="008D6546"/>
    <w:rsid w:val="008D75D6"/>
    <w:rsid w:val="008F6EF3"/>
    <w:rsid w:val="00901E9D"/>
    <w:rsid w:val="00907FFA"/>
    <w:rsid w:val="0091087E"/>
    <w:rsid w:val="0091196B"/>
    <w:rsid w:val="009136BD"/>
    <w:rsid w:val="009143E1"/>
    <w:rsid w:val="009165B6"/>
    <w:rsid w:val="0092349B"/>
    <w:rsid w:val="009243BF"/>
    <w:rsid w:val="009411D5"/>
    <w:rsid w:val="00942281"/>
    <w:rsid w:val="00943E1E"/>
    <w:rsid w:val="00945700"/>
    <w:rsid w:val="00952065"/>
    <w:rsid w:val="009610AE"/>
    <w:rsid w:val="00962746"/>
    <w:rsid w:val="00966A49"/>
    <w:rsid w:val="00970CDA"/>
    <w:rsid w:val="00971738"/>
    <w:rsid w:val="009741B5"/>
    <w:rsid w:val="009806CE"/>
    <w:rsid w:val="00984C22"/>
    <w:rsid w:val="009942F1"/>
    <w:rsid w:val="00994E05"/>
    <w:rsid w:val="00995316"/>
    <w:rsid w:val="00995CDB"/>
    <w:rsid w:val="00997386"/>
    <w:rsid w:val="009A15A7"/>
    <w:rsid w:val="009A7607"/>
    <w:rsid w:val="009B1966"/>
    <w:rsid w:val="009C1D0F"/>
    <w:rsid w:val="009D0B44"/>
    <w:rsid w:val="009E3714"/>
    <w:rsid w:val="009E3766"/>
    <w:rsid w:val="009E4CE0"/>
    <w:rsid w:val="009F48C6"/>
    <w:rsid w:val="00A03C70"/>
    <w:rsid w:val="00A05D30"/>
    <w:rsid w:val="00A06132"/>
    <w:rsid w:val="00A154D5"/>
    <w:rsid w:val="00A210AB"/>
    <w:rsid w:val="00A21834"/>
    <w:rsid w:val="00A21B4D"/>
    <w:rsid w:val="00A33E24"/>
    <w:rsid w:val="00A35E67"/>
    <w:rsid w:val="00A42A84"/>
    <w:rsid w:val="00A55753"/>
    <w:rsid w:val="00A658DB"/>
    <w:rsid w:val="00A66918"/>
    <w:rsid w:val="00A67276"/>
    <w:rsid w:val="00A72419"/>
    <w:rsid w:val="00A7682C"/>
    <w:rsid w:val="00A90D95"/>
    <w:rsid w:val="00A9373C"/>
    <w:rsid w:val="00AA1544"/>
    <w:rsid w:val="00AA4F81"/>
    <w:rsid w:val="00AB64CF"/>
    <w:rsid w:val="00AE0D5A"/>
    <w:rsid w:val="00AE17EA"/>
    <w:rsid w:val="00AE19EC"/>
    <w:rsid w:val="00AE224B"/>
    <w:rsid w:val="00AF54FC"/>
    <w:rsid w:val="00AF60F8"/>
    <w:rsid w:val="00AF69A7"/>
    <w:rsid w:val="00B0087B"/>
    <w:rsid w:val="00B04D3D"/>
    <w:rsid w:val="00B12A09"/>
    <w:rsid w:val="00B14BD5"/>
    <w:rsid w:val="00B23771"/>
    <w:rsid w:val="00B26638"/>
    <w:rsid w:val="00B32F01"/>
    <w:rsid w:val="00B35E41"/>
    <w:rsid w:val="00B37DCB"/>
    <w:rsid w:val="00B41C0F"/>
    <w:rsid w:val="00B43631"/>
    <w:rsid w:val="00B43D9D"/>
    <w:rsid w:val="00B462AB"/>
    <w:rsid w:val="00B463B3"/>
    <w:rsid w:val="00B608C8"/>
    <w:rsid w:val="00B618A2"/>
    <w:rsid w:val="00B65E4F"/>
    <w:rsid w:val="00B70401"/>
    <w:rsid w:val="00B73028"/>
    <w:rsid w:val="00B77C2E"/>
    <w:rsid w:val="00B81202"/>
    <w:rsid w:val="00B81D72"/>
    <w:rsid w:val="00B9601A"/>
    <w:rsid w:val="00B97C94"/>
    <w:rsid w:val="00BA262A"/>
    <w:rsid w:val="00BA2CDF"/>
    <w:rsid w:val="00BC2543"/>
    <w:rsid w:val="00BC3BBD"/>
    <w:rsid w:val="00BC5588"/>
    <w:rsid w:val="00BC76E6"/>
    <w:rsid w:val="00BD0858"/>
    <w:rsid w:val="00BD0ADA"/>
    <w:rsid w:val="00BD1664"/>
    <w:rsid w:val="00BD45B0"/>
    <w:rsid w:val="00BD52AA"/>
    <w:rsid w:val="00BE0BC1"/>
    <w:rsid w:val="00BE11B2"/>
    <w:rsid w:val="00BE2F87"/>
    <w:rsid w:val="00BE2FDA"/>
    <w:rsid w:val="00BE5DDC"/>
    <w:rsid w:val="00BF0D00"/>
    <w:rsid w:val="00BF3D9B"/>
    <w:rsid w:val="00C02FF1"/>
    <w:rsid w:val="00C10286"/>
    <w:rsid w:val="00C103F1"/>
    <w:rsid w:val="00C12868"/>
    <w:rsid w:val="00C44045"/>
    <w:rsid w:val="00C4492D"/>
    <w:rsid w:val="00C53D9D"/>
    <w:rsid w:val="00C55E55"/>
    <w:rsid w:val="00C6101A"/>
    <w:rsid w:val="00C70970"/>
    <w:rsid w:val="00C72047"/>
    <w:rsid w:val="00C75758"/>
    <w:rsid w:val="00C75C07"/>
    <w:rsid w:val="00C82A6F"/>
    <w:rsid w:val="00C82E53"/>
    <w:rsid w:val="00C86094"/>
    <w:rsid w:val="00C973DB"/>
    <w:rsid w:val="00CA0B80"/>
    <w:rsid w:val="00CA735A"/>
    <w:rsid w:val="00CB07EB"/>
    <w:rsid w:val="00CB0A14"/>
    <w:rsid w:val="00CB0FE4"/>
    <w:rsid w:val="00CB3B9D"/>
    <w:rsid w:val="00CB4EC0"/>
    <w:rsid w:val="00CB6742"/>
    <w:rsid w:val="00CC2A19"/>
    <w:rsid w:val="00CC311D"/>
    <w:rsid w:val="00CC318D"/>
    <w:rsid w:val="00CC3878"/>
    <w:rsid w:val="00CD41F7"/>
    <w:rsid w:val="00CD4E37"/>
    <w:rsid w:val="00CD68A3"/>
    <w:rsid w:val="00CE0B81"/>
    <w:rsid w:val="00CE28DD"/>
    <w:rsid w:val="00CE79A5"/>
    <w:rsid w:val="00CF4040"/>
    <w:rsid w:val="00D044FC"/>
    <w:rsid w:val="00D04EB3"/>
    <w:rsid w:val="00D050C0"/>
    <w:rsid w:val="00D14E02"/>
    <w:rsid w:val="00D1782B"/>
    <w:rsid w:val="00D23897"/>
    <w:rsid w:val="00D32C96"/>
    <w:rsid w:val="00D33DA6"/>
    <w:rsid w:val="00D47C6F"/>
    <w:rsid w:val="00D52D71"/>
    <w:rsid w:val="00D62331"/>
    <w:rsid w:val="00D705E2"/>
    <w:rsid w:val="00D73740"/>
    <w:rsid w:val="00D74230"/>
    <w:rsid w:val="00D81275"/>
    <w:rsid w:val="00D93ADE"/>
    <w:rsid w:val="00D9678A"/>
    <w:rsid w:val="00DA2230"/>
    <w:rsid w:val="00DA5752"/>
    <w:rsid w:val="00DB6584"/>
    <w:rsid w:val="00DC0289"/>
    <w:rsid w:val="00DC044A"/>
    <w:rsid w:val="00DC1DF4"/>
    <w:rsid w:val="00DC37E0"/>
    <w:rsid w:val="00DC3A35"/>
    <w:rsid w:val="00DD02D9"/>
    <w:rsid w:val="00DD4C87"/>
    <w:rsid w:val="00DD5F2C"/>
    <w:rsid w:val="00DD6370"/>
    <w:rsid w:val="00DD6BEC"/>
    <w:rsid w:val="00DD704C"/>
    <w:rsid w:val="00DF23F5"/>
    <w:rsid w:val="00DF62CA"/>
    <w:rsid w:val="00E013D1"/>
    <w:rsid w:val="00E0227A"/>
    <w:rsid w:val="00E04FD3"/>
    <w:rsid w:val="00E21A58"/>
    <w:rsid w:val="00E2227F"/>
    <w:rsid w:val="00E32D73"/>
    <w:rsid w:val="00E4245C"/>
    <w:rsid w:val="00E44236"/>
    <w:rsid w:val="00E521D9"/>
    <w:rsid w:val="00E5693B"/>
    <w:rsid w:val="00E56DDD"/>
    <w:rsid w:val="00E61971"/>
    <w:rsid w:val="00E632C7"/>
    <w:rsid w:val="00E67E48"/>
    <w:rsid w:val="00E85C95"/>
    <w:rsid w:val="00E900FA"/>
    <w:rsid w:val="00EA3AC1"/>
    <w:rsid w:val="00EA3D82"/>
    <w:rsid w:val="00EC30DF"/>
    <w:rsid w:val="00EC4ACC"/>
    <w:rsid w:val="00EC604F"/>
    <w:rsid w:val="00EE4446"/>
    <w:rsid w:val="00EE5F1C"/>
    <w:rsid w:val="00EE71D8"/>
    <w:rsid w:val="00EF278B"/>
    <w:rsid w:val="00EF3E1B"/>
    <w:rsid w:val="00EF3EB5"/>
    <w:rsid w:val="00EF54AE"/>
    <w:rsid w:val="00F02DBA"/>
    <w:rsid w:val="00F06111"/>
    <w:rsid w:val="00F14EE8"/>
    <w:rsid w:val="00F159BE"/>
    <w:rsid w:val="00F165F9"/>
    <w:rsid w:val="00F23EC3"/>
    <w:rsid w:val="00F27A83"/>
    <w:rsid w:val="00F30C67"/>
    <w:rsid w:val="00F530F1"/>
    <w:rsid w:val="00F5431C"/>
    <w:rsid w:val="00F63AD0"/>
    <w:rsid w:val="00F72FF7"/>
    <w:rsid w:val="00F733DE"/>
    <w:rsid w:val="00F7751B"/>
    <w:rsid w:val="00F806B2"/>
    <w:rsid w:val="00F84FF4"/>
    <w:rsid w:val="00F874F8"/>
    <w:rsid w:val="00F915A7"/>
    <w:rsid w:val="00FA2E10"/>
    <w:rsid w:val="00FA414B"/>
    <w:rsid w:val="00FB535D"/>
    <w:rsid w:val="00FC3B14"/>
    <w:rsid w:val="00FC6350"/>
    <w:rsid w:val="00FC65A7"/>
    <w:rsid w:val="00FC66C4"/>
    <w:rsid w:val="00FD0148"/>
    <w:rsid w:val="00FD1BBC"/>
    <w:rsid w:val="00FD3BFD"/>
    <w:rsid w:val="00FD4526"/>
    <w:rsid w:val="00FD5B6D"/>
    <w:rsid w:val="00FE1C24"/>
    <w:rsid w:val="00FE4C1F"/>
    <w:rsid w:val="00FE695E"/>
    <w:rsid w:val="00FE789C"/>
    <w:rsid w:val="00FF4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DE"/>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4C6B7C"/>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C6B7C"/>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4C6B7C"/>
    <w:rPr>
      <w:vertAlign w:val="superscript"/>
    </w:rPr>
  </w:style>
  <w:style w:type="paragraph" w:styleId="Header">
    <w:name w:val="header"/>
    <w:basedOn w:val="Normal"/>
    <w:link w:val="HeaderChar"/>
    <w:uiPriority w:val="99"/>
    <w:unhideWhenUsed/>
    <w:rsid w:val="004B5F3A"/>
    <w:pPr>
      <w:tabs>
        <w:tab w:val="center" w:pos="4680"/>
        <w:tab w:val="right" w:pos="9360"/>
      </w:tabs>
    </w:pPr>
  </w:style>
  <w:style w:type="character" w:customStyle="1" w:styleId="HeaderChar">
    <w:name w:val="Header Char"/>
    <w:basedOn w:val="DefaultParagraphFont"/>
    <w:link w:val="Header"/>
    <w:uiPriority w:val="99"/>
    <w:rsid w:val="004B5F3A"/>
    <w:rPr>
      <w:rFonts w:ascii="Times New Roman" w:eastAsia="Times New Roman" w:hAnsi="Times New Roman"/>
      <w:sz w:val="26"/>
    </w:rPr>
  </w:style>
  <w:style w:type="paragraph" w:styleId="Footer">
    <w:name w:val="footer"/>
    <w:basedOn w:val="Normal"/>
    <w:link w:val="FooterChar"/>
    <w:uiPriority w:val="99"/>
    <w:unhideWhenUsed/>
    <w:rsid w:val="004B5F3A"/>
    <w:pPr>
      <w:tabs>
        <w:tab w:val="center" w:pos="4680"/>
        <w:tab w:val="right" w:pos="9360"/>
      </w:tabs>
    </w:pPr>
  </w:style>
  <w:style w:type="character" w:customStyle="1" w:styleId="FooterChar">
    <w:name w:val="Footer Char"/>
    <w:basedOn w:val="DefaultParagraphFont"/>
    <w:link w:val="Footer"/>
    <w:uiPriority w:val="99"/>
    <w:rsid w:val="004B5F3A"/>
    <w:rPr>
      <w:rFonts w:ascii="Times New Roman" w:eastAsia="Times New Roman" w:hAnsi="Times New Roman"/>
      <w:sz w:val="26"/>
    </w:rPr>
  </w:style>
  <w:style w:type="character" w:styleId="Hyperlink">
    <w:name w:val="Hyperlink"/>
    <w:basedOn w:val="DefaultParagraphFont"/>
    <w:uiPriority w:val="99"/>
    <w:unhideWhenUsed/>
    <w:rsid w:val="00943E1E"/>
    <w:rPr>
      <w:strike w:val="0"/>
      <w:dstrike w:val="0"/>
      <w:color w:val="004B91"/>
      <w:u w:val="none"/>
      <w:effect w:val="none"/>
    </w:rPr>
  </w:style>
  <w:style w:type="paragraph" w:styleId="BalloonText">
    <w:name w:val="Balloon Text"/>
    <w:basedOn w:val="Normal"/>
    <w:link w:val="BalloonTextChar"/>
    <w:uiPriority w:val="99"/>
    <w:semiHidden/>
    <w:unhideWhenUsed/>
    <w:rsid w:val="00F733DE"/>
    <w:rPr>
      <w:rFonts w:ascii="Tahoma" w:hAnsi="Tahoma" w:cs="Tahoma"/>
      <w:sz w:val="16"/>
      <w:szCs w:val="16"/>
    </w:rPr>
  </w:style>
  <w:style w:type="character" w:customStyle="1" w:styleId="BalloonTextChar">
    <w:name w:val="Balloon Text Char"/>
    <w:basedOn w:val="DefaultParagraphFont"/>
    <w:link w:val="BalloonText"/>
    <w:uiPriority w:val="99"/>
    <w:semiHidden/>
    <w:rsid w:val="00F733DE"/>
    <w:rPr>
      <w:rFonts w:ascii="Tahoma" w:eastAsia="Times New Roman" w:hAnsi="Tahoma" w:cs="Tahoma"/>
      <w:sz w:val="16"/>
      <w:szCs w:val="16"/>
    </w:rPr>
  </w:style>
  <w:style w:type="paragraph" w:styleId="ListParagraph">
    <w:name w:val="List Paragraph"/>
    <w:basedOn w:val="Normal"/>
    <w:uiPriority w:val="34"/>
    <w:qFormat/>
    <w:rsid w:val="001A5647"/>
    <w:pPr>
      <w:ind w:left="720"/>
      <w:contextualSpacing/>
    </w:pPr>
  </w:style>
  <w:style w:type="character" w:styleId="CommentReference">
    <w:name w:val="annotation reference"/>
    <w:basedOn w:val="DefaultParagraphFont"/>
    <w:uiPriority w:val="99"/>
    <w:semiHidden/>
    <w:unhideWhenUsed/>
    <w:rsid w:val="001A70A2"/>
    <w:rPr>
      <w:sz w:val="16"/>
      <w:szCs w:val="16"/>
    </w:rPr>
  </w:style>
  <w:style w:type="paragraph" w:styleId="CommentText">
    <w:name w:val="annotation text"/>
    <w:basedOn w:val="Normal"/>
    <w:link w:val="CommentTextChar"/>
    <w:uiPriority w:val="99"/>
    <w:semiHidden/>
    <w:unhideWhenUsed/>
    <w:rsid w:val="001A70A2"/>
    <w:rPr>
      <w:sz w:val="20"/>
    </w:rPr>
  </w:style>
  <w:style w:type="character" w:customStyle="1" w:styleId="CommentTextChar">
    <w:name w:val="Comment Text Char"/>
    <w:basedOn w:val="DefaultParagraphFont"/>
    <w:link w:val="CommentText"/>
    <w:uiPriority w:val="99"/>
    <w:semiHidden/>
    <w:rsid w:val="001A70A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A70A2"/>
    <w:rPr>
      <w:b/>
      <w:bCs/>
    </w:rPr>
  </w:style>
  <w:style w:type="character" w:customStyle="1" w:styleId="CommentSubjectChar">
    <w:name w:val="Comment Subject Char"/>
    <w:basedOn w:val="CommentTextChar"/>
    <w:link w:val="CommentSubject"/>
    <w:uiPriority w:val="99"/>
    <w:semiHidden/>
    <w:rsid w:val="001A70A2"/>
    <w:rPr>
      <w:rFonts w:ascii="Times New Roman" w:eastAsia="Times New Roman" w:hAnsi="Times New Roman"/>
      <w:b/>
      <w:bCs/>
    </w:rPr>
  </w:style>
  <w:style w:type="paragraph" w:customStyle="1" w:styleId="ParaTab1">
    <w:name w:val="ParaTab 1"/>
    <w:rsid w:val="00CB3B9D"/>
    <w:pPr>
      <w:tabs>
        <w:tab w:val="left" w:pos="-720"/>
      </w:tabs>
      <w:suppressAutoHyphens/>
      <w:autoSpaceDE w:val="0"/>
      <w:autoSpaceDN w:val="0"/>
      <w:ind w:firstLine="1440"/>
    </w:pPr>
    <w:rPr>
      <w:rFonts w:ascii="CG Times" w:eastAsia="Times New Roman" w:hAnsi="CG Times" w:cs="CG Times"/>
      <w:sz w:val="24"/>
      <w:szCs w:val="24"/>
    </w:rPr>
  </w:style>
  <w:style w:type="paragraph" w:styleId="BodyText">
    <w:name w:val="Body Text"/>
    <w:basedOn w:val="Normal"/>
    <w:link w:val="BodyTextChar"/>
    <w:rsid w:val="00994E05"/>
    <w:pPr>
      <w:widowControl w:val="0"/>
      <w:tabs>
        <w:tab w:val="left" w:pos="-720"/>
      </w:tabs>
      <w:suppressAutoHyphens/>
      <w:jc w:val="both"/>
    </w:pPr>
    <w:rPr>
      <w:rFonts w:ascii="Courier" w:hAnsi="Courier"/>
      <w:snapToGrid w:val="0"/>
      <w:spacing w:val="-3"/>
      <w:sz w:val="24"/>
    </w:rPr>
  </w:style>
  <w:style w:type="character" w:customStyle="1" w:styleId="BodyTextChar">
    <w:name w:val="Body Text Char"/>
    <w:basedOn w:val="DefaultParagraphFont"/>
    <w:link w:val="BodyText"/>
    <w:rsid w:val="00994E05"/>
    <w:rPr>
      <w:rFonts w:ascii="Courier" w:eastAsia="Times New Roman" w:hAnsi="Courier"/>
      <w:snapToGrid w:val="0"/>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DE"/>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4C6B7C"/>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C6B7C"/>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4C6B7C"/>
    <w:rPr>
      <w:vertAlign w:val="superscript"/>
    </w:rPr>
  </w:style>
  <w:style w:type="paragraph" w:styleId="Header">
    <w:name w:val="header"/>
    <w:basedOn w:val="Normal"/>
    <w:link w:val="HeaderChar"/>
    <w:uiPriority w:val="99"/>
    <w:unhideWhenUsed/>
    <w:rsid w:val="004B5F3A"/>
    <w:pPr>
      <w:tabs>
        <w:tab w:val="center" w:pos="4680"/>
        <w:tab w:val="right" w:pos="9360"/>
      </w:tabs>
    </w:pPr>
  </w:style>
  <w:style w:type="character" w:customStyle="1" w:styleId="HeaderChar">
    <w:name w:val="Header Char"/>
    <w:basedOn w:val="DefaultParagraphFont"/>
    <w:link w:val="Header"/>
    <w:uiPriority w:val="99"/>
    <w:rsid w:val="004B5F3A"/>
    <w:rPr>
      <w:rFonts w:ascii="Times New Roman" w:eastAsia="Times New Roman" w:hAnsi="Times New Roman"/>
      <w:sz w:val="26"/>
    </w:rPr>
  </w:style>
  <w:style w:type="paragraph" w:styleId="Footer">
    <w:name w:val="footer"/>
    <w:basedOn w:val="Normal"/>
    <w:link w:val="FooterChar"/>
    <w:uiPriority w:val="99"/>
    <w:unhideWhenUsed/>
    <w:rsid w:val="004B5F3A"/>
    <w:pPr>
      <w:tabs>
        <w:tab w:val="center" w:pos="4680"/>
        <w:tab w:val="right" w:pos="9360"/>
      </w:tabs>
    </w:pPr>
  </w:style>
  <w:style w:type="character" w:customStyle="1" w:styleId="FooterChar">
    <w:name w:val="Footer Char"/>
    <w:basedOn w:val="DefaultParagraphFont"/>
    <w:link w:val="Footer"/>
    <w:uiPriority w:val="99"/>
    <w:rsid w:val="004B5F3A"/>
    <w:rPr>
      <w:rFonts w:ascii="Times New Roman" w:eastAsia="Times New Roman" w:hAnsi="Times New Roman"/>
      <w:sz w:val="26"/>
    </w:rPr>
  </w:style>
  <w:style w:type="character" w:styleId="Hyperlink">
    <w:name w:val="Hyperlink"/>
    <w:basedOn w:val="DefaultParagraphFont"/>
    <w:uiPriority w:val="99"/>
    <w:unhideWhenUsed/>
    <w:rsid w:val="00943E1E"/>
    <w:rPr>
      <w:strike w:val="0"/>
      <w:dstrike w:val="0"/>
      <w:color w:val="004B91"/>
      <w:u w:val="none"/>
      <w:effect w:val="none"/>
    </w:rPr>
  </w:style>
  <w:style w:type="paragraph" w:styleId="BalloonText">
    <w:name w:val="Balloon Text"/>
    <w:basedOn w:val="Normal"/>
    <w:link w:val="BalloonTextChar"/>
    <w:uiPriority w:val="99"/>
    <w:semiHidden/>
    <w:unhideWhenUsed/>
    <w:rsid w:val="00F733DE"/>
    <w:rPr>
      <w:rFonts w:ascii="Tahoma" w:hAnsi="Tahoma" w:cs="Tahoma"/>
      <w:sz w:val="16"/>
      <w:szCs w:val="16"/>
    </w:rPr>
  </w:style>
  <w:style w:type="character" w:customStyle="1" w:styleId="BalloonTextChar">
    <w:name w:val="Balloon Text Char"/>
    <w:basedOn w:val="DefaultParagraphFont"/>
    <w:link w:val="BalloonText"/>
    <w:uiPriority w:val="99"/>
    <w:semiHidden/>
    <w:rsid w:val="00F733DE"/>
    <w:rPr>
      <w:rFonts w:ascii="Tahoma" w:eastAsia="Times New Roman" w:hAnsi="Tahoma" w:cs="Tahoma"/>
      <w:sz w:val="16"/>
      <w:szCs w:val="16"/>
    </w:rPr>
  </w:style>
  <w:style w:type="paragraph" w:styleId="ListParagraph">
    <w:name w:val="List Paragraph"/>
    <w:basedOn w:val="Normal"/>
    <w:uiPriority w:val="34"/>
    <w:qFormat/>
    <w:rsid w:val="001A5647"/>
    <w:pPr>
      <w:ind w:left="720"/>
      <w:contextualSpacing/>
    </w:pPr>
  </w:style>
  <w:style w:type="character" w:styleId="CommentReference">
    <w:name w:val="annotation reference"/>
    <w:basedOn w:val="DefaultParagraphFont"/>
    <w:uiPriority w:val="99"/>
    <w:semiHidden/>
    <w:unhideWhenUsed/>
    <w:rsid w:val="001A70A2"/>
    <w:rPr>
      <w:sz w:val="16"/>
      <w:szCs w:val="16"/>
    </w:rPr>
  </w:style>
  <w:style w:type="paragraph" w:styleId="CommentText">
    <w:name w:val="annotation text"/>
    <w:basedOn w:val="Normal"/>
    <w:link w:val="CommentTextChar"/>
    <w:uiPriority w:val="99"/>
    <w:semiHidden/>
    <w:unhideWhenUsed/>
    <w:rsid w:val="001A70A2"/>
    <w:rPr>
      <w:sz w:val="20"/>
    </w:rPr>
  </w:style>
  <w:style w:type="character" w:customStyle="1" w:styleId="CommentTextChar">
    <w:name w:val="Comment Text Char"/>
    <w:basedOn w:val="DefaultParagraphFont"/>
    <w:link w:val="CommentText"/>
    <w:uiPriority w:val="99"/>
    <w:semiHidden/>
    <w:rsid w:val="001A70A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A70A2"/>
    <w:rPr>
      <w:b/>
      <w:bCs/>
    </w:rPr>
  </w:style>
  <w:style w:type="character" w:customStyle="1" w:styleId="CommentSubjectChar">
    <w:name w:val="Comment Subject Char"/>
    <w:basedOn w:val="CommentTextChar"/>
    <w:link w:val="CommentSubject"/>
    <w:uiPriority w:val="99"/>
    <w:semiHidden/>
    <w:rsid w:val="001A70A2"/>
    <w:rPr>
      <w:rFonts w:ascii="Times New Roman" w:eastAsia="Times New Roman" w:hAnsi="Times New Roman"/>
      <w:b/>
      <w:bCs/>
    </w:rPr>
  </w:style>
  <w:style w:type="paragraph" w:customStyle="1" w:styleId="ParaTab1">
    <w:name w:val="ParaTab 1"/>
    <w:rsid w:val="00CB3B9D"/>
    <w:pPr>
      <w:tabs>
        <w:tab w:val="left" w:pos="-720"/>
      </w:tabs>
      <w:suppressAutoHyphens/>
      <w:autoSpaceDE w:val="0"/>
      <w:autoSpaceDN w:val="0"/>
      <w:ind w:firstLine="1440"/>
    </w:pPr>
    <w:rPr>
      <w:rFonts w:ascii="CG Times" w:eastAsia="Times New Roman" w:hAnsi="CG Times" w:cs="CG Times"/>
      <w:sz w:val="24"/>
      <w:szCs w:val="24"/>
    </w:rPr>
  </w:style>
  <w:style w:type="paragraph" w:styleId="BodyText">
    <w:name w:val="Body Text"/>
    <w:basedOn w:val="Normal"/>
    <w:link w:val="BodyTextChar"/>
    <w:rsid w:val="00994E05"/>
    <w:pPr>
      <w:widowControl w:val="0"/>
      <w:tabs>
        <w:tab w:val="left" w:pos="-720"/>
      </w:tabs>
      <w:suppressAutoHyphens/>
      <w:jc w:val="both"/>
    </w:pPr>
    <w:rPr>
      <w:rFonts w:ascii="Courier" w:hAnsi="Courier"/>
      <w:snapToGrid w:val="0"/>
      <w:spacing w:val="-3"/>
      <w:sz w:val="24"/>
    </w:rPr>
  </w:style>
  <w:style w:type="character" w:customStyle="1" w:styleId="BodyTextChar">
    <w:name w:val="Body Text Char"/>
    <w:basedOn w:val="DefaultParagraphFont"/>
    <w:link w:val="BodyText"/>
    <w:rsid w:val="00994E05"/>
    <w:rPr>
      <w:rFonts w:ascii="Courier" w:eastAsia="Times New Roman" w:hAnsi="Courier"/>
      <w:snapToGrid w:val="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017979">
      <w:bodyDiv w:val="1"/>
      <w:marLeft w:val="0"/>
      <w:marRight w:val="0"/>
      <w:marTop w:val="0"/>
      <w:marBottom w:val="0"/>
      <w:divBdr>
        <w:top w:val="none" w:sz="0" w:space="0" w:color="auto"/>
        <w:left w:val="none" w:sz="0" w:space="0" w:color="auto"/>
        <w:bottom w:val="none" w:sz="0" w:space="0" w:color="auto"/>
        <w:right w:val="none" w:sz="0" w:space="0" w:color="auto"/>
      </w:divBdr>
      <w:divsChild>
        <w:div w:id="1082029226">
          <w:marLeft w:val="0"/>
          <w:marRight w:val="0"/>
          <w:marTop w:val="0"/>
          <w:marBottom w:val="0"/>
          <w:divBdr>
            <w:top w:val="none" w:sz="0" w:space="0" w:color="auto"/>
            <w:left w:val="none" w:sz="0" w:space="0" w:color="auto"/>
            <w:bottom w:val="none" w:sz="0" w:space="0" w:color="auto"/>
            <w:right w:val="none" w:sz="0" w:space="0" w:color="auto"/>
          </w:divBdr>
          <w:divsChild>
            <w:div w:id="1965842133">
              <w:marLeft w:val="0"/>
              <w:marRight w:val="0"/>
              <w:marTop w:val="0"/>
              <w:marBottom w:val="0"/>
              <w:divBdr>
                <w:top w:val="none" w:sz="0" w:space="0" w:color="auto"/>
                <w:left w:val="none" w:sz="0" w:space="0" w:color="auto"/>
                <w:bottom w:val="none" w:sz="0" w:space="0" w:color="auto"/>
                <w:right w:val="none" w:sz="0" w:space="0" w:color="auto"/>
              </w:divBdr>
              <w:divsChild>
                <w:div w:id="1107237559">
                  <w:marLeft w:val="0"/>
                  <w:marRight w:val="0"/>
                  <w:marTop w:val="0"/>
                  <w:marBottom w:val="0"/>
                  <w:divBdr>
                    <w:top w:val="none" w:sz="0" w:space="0" w:color="auto"/>
                    <w:left w:val="none" w:sz="0" w:space="0" w:color="auto"/>
                    <w:bottom w:val="none" w:sz="0" w:space="0" w:color="auto"/>
                    <w:right w:val="none" w:sz="0" w:space="0" w:color="auto"/>
                  </w:divBdr>
                  <w:divsChild>
                    <w:div w:id="820999862">
                      <w:marLeft w:val="343"/>
                      <w:marRight w:val="34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85841">
      <w:bodyDiv w:val="1"/>
      <w:marLeft w:val="0"/>
      <w:marRight w:val="0"/>
      <w:marTop w:val="0"/>
      <w:marBottom w:val="0"/>
      <w:divBdr>
        <w:top w:val="none" w:sz="0" w:space="0" w:color="auto"/>
        <w:left w:val="none" w:sz="0" w:space="0" w:color="auto"/>
        <w:bottom w:val="none" w:sz="0" w:space="0" w:color="auto"/>
        <w:right w:val="none" w:sz="0" w:space="0" w:color="auto"/>
      </w:divBdr>
      <w:divsChild>
        <w:div w:id="1763141772">
          <w:marLeft w:val="0"/>
          <w:marRight w:val="0"/>
          <w:marTop w:val="0"/>
          <w:marBottom w:val="0"/>
          <w:divBdr>
            <w:top w:val="none" w:sz="0" w:space="0" w:color="auto"/>
            <w:left w:val="none" w:sz="0" w:space="0" w:color="auto"/>
            <w:bottom w:val="none" w:sz="0" w:space="0" w:color="auto"/>
            <w:right w:val="none" w:sz="0" w:space="0" w:color="auto"/>
          </w:divBdr>
          <w:divsChild>
            <w:div w:id="931354129">
              <w:marLeft w:val="0"/>
              <w:marRight w:val="0"/>
              <w:marTop w:val="0"/>
              <w:marBottom w:val="0"/>
              <w:divBdr>
                <w:top w:val="none" w:sz="0" w:space="0" w:color="auto"/>
                <w:left w:val="none" w:sz="0" w:space="0" w:color="auto"/>
                <w:bottom w:val="none" w:sz="0" w:space="0" w:color="auto"/>
                <w:right w:val="none" w:sz="0" w:space="0" w:color="auto"/>
              </w:divBdr>
              <w:divsChild>
                <w:div w:id="716006575">
                  <w:marLeft w:val="0"/>
                  <w:marRight w:val="0"/>
                  <w:marTop w:val="0"/>
                  <w:marBottom w:val="0"/>
                  <w:divBdr>
                    <w:top w:val="none" w:sz="0" w:space="0" w:color="auto"/>
                    <w:left w:val="none" w:sz="0" w:space="0" w:color="auto"/>
                    <w:bottom w:val="none" w:sz="0" w:space="0" w:color="auto"/>
                    <w:right w:val="none" w:sz="0" w:space="0" w:color="auto"/>
                  </w:divBdr>
                  <w:divsChild>
                    <w:div w:id="462582493">
                      <w:marLeft w:val="343"/>
                      <w:marRight w:val="34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D368A-1AE9-41B8-B8F4-3CD97C18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machestnut</dc:creator>
  <cp:lastModifiedBy>Hinds, Margaret</cp:lastModifiedBy>
  <cp:revision>19</cp:revision>
  <cp:lastPrinted>2013-09-23T12:19:00Z</cp:lastPrinted>
  <dcterms:created xsi:type="dcterms:W3CDTF">2013-09-17T20:20:00Z</dcterms:created>
  <dcterms:modified xsi:type="dcterms:W3CDTF">2013-09-23T12:20:00Z</dcterms:modified>
</cp:coreProperties>
</file>