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F514FB" w:rsidRDefault="00F514FB" w:rsidP="00F514FB">
      <w:pPr>
        <w:tabs>
          <w:tab w:val="center" w:pos="4680"/>
        </w:tabs>
        <w:suppressAutoHyphens/>
        <w:jc w:val="center"/>
        <w:rPr>
          <w:b/>
          <w:sz w:val="26"/>
          <w:szCs w:val="26"/>
        </w:rPr>
      </w:pPr>
      <w:r w:rsidRPr="00F514FB">
        <w:rPr>
          <w:b/>
          <w:sz w:val="26"/>
          <w:szCs w:val="26"/>
        </w:rPr>
        <w:t>PENNSYLVANIA</w:t>
      </w:r>
    </w:p>
    <w:p w:rsidR="00F514FB" w:rsidRPr="00F514FB" w:rsidRDefault="00F514FB" w:rsidP="00F514FB">
      <w:pPr>
        <w:tabs>
          <w:tab w:val="center" w:pos="4680"/>
        </w:tabs>
        <w:suppressAutoHyphens/>
        <w:jc w:val="center"/>
        <w:rPr>
          <w:sz w:val="26"/>
          <w:szCs w:val="26"/>
        </w:rPr>
      </w:pPr>
      <w:r w:rsidRPr="00F514FB">
        <w:rPr>
          <w:b/>
          <w:sz w:val="26"/>
          <w:szCs w:val="26"/>
        </w:rPr>
        <w:t>PUBLIC UTILITY COMMISSION</w:t>
      </w:r>
    </w:p>
    <w:p w:rsidR="00F514FB" w:rsidRPr="00F514FB" w:rsidRDefault="00F514FB" w:rsidP="00F514FB">
      <w:pPr>
        <w:tabs>
          <w:tab w:val="center" w:pos="4680"/>
        </w:tabs>
        <w:suppressAutoHyphens/>
        <w:jc w:val="center"/>
        <w:rPr>
          <w:sz w:val="26"/>
          <w:szCs w:val="26"/>
        </w:rPr>
      </w:pPr>
      <w:r w:rsidRPr="00F514FB">
        <w:rPr>
          <w:b/>
          <w:sz w:val="26"/>
          <w:szCs w:val="26"/>
        </w:rPr>
        <w:t>Harrisburg, PA 17105-3265</w:t>
      </w:r>
    </w:p>
    <w:p w:rsidR="00F514FB" w:rsidRPr="00F514FB" w:rsidRDefault="00F514FB" w:rsidP="00F514FB">
      <w:pPr>
        <w:tabs>
          <w:tab w:val="left" w:pos="-720"/>
        </w:tabs>
        <w:suppressAutoHyphens/>
        <w:rPr>
          <w:sz w:val="26"/>
          <w:szCs w:val="26"/>
        </w:rPr>
      </w:pPr>
    </w:p>
    <w:p w:rsidR="00F514FB" w:rsidRPr="00F514FB" w:rsidRDefault="00F514FB" w:rsidP="00F514FB">
      <w:pPr>
        <w:rPr>
          <w:sz w:val="26"/>
          <w:szCs w:val="26"/>
        </w:rPr>
      </w:pPr>
    </w:p>
    <w:tbl>
      <w:tblPr>
        <w:tblStyle w:val="TableGrid"/>
        <w:tblW w:w="10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gridCol w:w="5040"/>
      </w:tblGrid>
      <w:tr w:rsidR="00F514FB" w:rsidRPr="00F514FB" w:rsidTr="00881B32">
        <w:tc>
          <w:tcPr>
            <w:tcW w:w="4968" w:type="dxa"/>
          </w:tcPr>
          <w:p w:rsidR="00F514FB" w:rsidRPr="00F514FB" w:rsidRDefault="00F514FB" w:rsidP="00C33904">
            <w:pPr>
              <w:rPr>
                <w:sz w:val="26"/>
                <w:szCs w:val="26"/>
              </w:rPr>
            </w:pPr>
          </w:p>
        </w:tc>
        <w:tc>
          <w:tcPr>
            <w:tcW w:w="5040" w:type="dxa"/>
          </w:tcPr>
          <w:p w:rsidR="00F514FB" w:rsidRPr="00F514FB" w:rsidRDefault="00F514FB" w:rsidP="00C33904">
            <w:pPr>
              <w:jc w:val="right"/>
              <w:rPr>
                <w:sz w:val="26"/>
                <w:szCs w:val="26"/>
              </w:rPr>
            </w:pPr>
            <w:r w:rsidRPr="00F514FB">
              <w:rPr>
                <w:sz w:val="26"/>
                <w:szCs w:val="26"/>
              </w:rPr>
              <w:t xml:space="preserve">Public Meeting held </w:t>
            </w:r>
            <w:r w:rsidR="00881B32">
              <w:rPr>
                <w:sz w:val="26"/>
                <w:szCs w:val="26"/>
              </w:rPr>
              <w:t>September 26, 2013</w:t>
            </w:r>
          </w:p>
          <w:p w:rsidR="00F514FB" w:rsidRPr="00F514FB" w:rsidRDefault="00F514FB" w:rsidP="00C33904">
            <w:pPr>
              <w:jc w:val="right"/>
              <w:rPr>
                <w:sz w:val="26"/>
                <w:szCs w:val="26"/>
              </w:rPr>
            </w:pPr>
          </w:p>
        </w:tc>
      </w:tr>
      <w:tr w:rsidR="00F514FB" w:rsidRPr="00F514FB" w:rsidTr="00881B32">
        <w:tc>
          <w:tcPr>
            <w:tcW w:w="4968" w:type="dxa"/>
          </w:tcPr>
          <w:p w:rsidR="00F514FB" w:rsidRPr="00F514FB" w:rsidRDefault="00F514FB" w:rsidP="00C33904">
            <w:pPr>
              <w:rPr>
                <w:sz w:val="26"/>
                <w:szCs w:val="26"/>
              </w:rPr>
            </w:pPr>
            <w:r w:rsidRPr="00F514FB">
              <w:rPr>
                <w:sz w:val="26"/>
                <w:szCs w:val="26"/>
              </w:rPr>
              <w:t>Commissioners Present:</w:t>
            </w:r>
          </w:p>
          <w:p w:rsidR="00F514FB" w:rsidRPr="00F514FB" w:rsidRDefault="00F514FB" w:rsidP="00C33904">
            <w:pPr>
              <w:rPr>
                <w:sz w:val="26"/>
                <w:szCs w:val="26"/>
              </w:rPr>
            </w:pPr>
          </w:p>
          <w:p w:rsidR="00F514FB" w:rsidRPr="00F514FB" w:rsidRDefault="00F514FB" w:rsidP="00C33904">
            <w:pPr>
              <w:tabs>
                <w:tab w:val="left" w:pos="705"/>
              </w:tabs>
              <w:ind w:firstLine="720"/>
              <w:rPr>
                <w:sz w:val="26"/>
                <w:szCs w:val="26"/>
              </w:rPr>
            </w:pPr>
            <w:r w:rsidRPr="00F514FB">
              <w:rPr>
                <w:sz w:val="26"/>
                <w:szCs w:val="26"/>
              </w:rPr>
              <w:t>Robert F. Powelson, Chairman</w:t>
            </w:r>
          </w:p>
          <w:p w:rsidR="00F514FB" w:rsidRPr="00F514FB" w:rsidRDefault="00F514FB" w:rsidP="00C33904">
            <w:pPr>
              <w:tabs>
                <w:tab w:val="left" w:pos="705"/>
              </w:tabs>
              <w:ind w:firstLine="720"/>
              <w:rPr>
                <w:sz w:val="26"/>
                <w:szCs w:val="26"/>
              </w:rPr>
            </w:pPr>
            <w:r w:rsidRPr="00F514FB">
              <w:rPr>
                <w:sz w:val="26"/>
                <w:szCs w:val="26"/>
              </w:rPr>
              <w:t xml:space="preserve">John F. Coleman, Jr., Vice </w:t>
            </w:r>
            <w:r w:rsidR="00881B32">
              <w:rPr>
                <w:sz w:val="26"/>
                <w:szCs w:val="26"/>
              </w:rPr>
              <w:t>C</w:t>
            </w:r>
            <w:r w:rsidRPr="00F514FB">
              <w:rPr>
                <w:sz w:val="26"/>
                <w:szCs w:val="26"/>
              </w:rPr>
              <w:t>hairman</w:t>
            </w:r>
          </w:p>
          <w:p w:rsidR="00F514FB" w:rsidRPr="00F514FB" w:rsidRDefault="00F514FB" w:rsidP="00C33904">
            <w:pPr>
              <w:tabs>
                <w:tab w:val="left" w:pos="705"/>
              </w:tabs>
              <w:ind w:firstLine="720"/>
              <w:rPr>
                <w:sz w:val="26"/>
                <w:szCs w:val="26"/>
              </w:rPr>
            </w:pPr>
            <w:r w:rsidRPr="00F514FB">
              <w:rPr>
                <w:sz w:val="26"/>
                <w:szCs w:val="26"/>
              </w:rPr>
              <w:t>Wayne E. Gardner</w:t>
            </w:r>
          </w:p>
          <w:p w:rsidR="00F514FB" w:rsidRPr="00F514FB" w:rsidRDefault="00F514FB" w:rsidP="00C33904">
            <w:pPr>
              <w:tabs>
                <w:tab w:val="left" w:pos="705"/>
              </w:tabs>
              <w:ind w:firstLine="720"/>
              <w:rPr>
                <w:sz w:val="26"/>
                <w:szCs w:val="26"/>
              </w:rPr>
            </w:pPr>
            <w:r w:rsidRPr="00F514FB">
              <w:rPr>
                <w:sz w:val="26"/>
                <w:szCs w:val="26"/>
              </w:rPr>
              <w:t>James H. Cawley</w:t>
            </w:r>
          </w:p>
          <w:p w:rsidR="00F514FB" w:rsidRPr="00F514FB" w:rsidRDefault="00F514FB" w:rsidP="00C33904">
            <w:pPr>
              <w:tabs>
                <w:tab w:val="left" w:pos="705"/>
              </w:tabs>
              <w:ind w:firstLine="720"/>
              <w:rPr>
                <w:sz w:val="26"/>
                <w:szCs w:val="26"/>
              </w:rPr>
            </w:pPr>
            <w:r w:rsidRPr="00F514FB">
              <w:rPr>
                <w:sz w:val="26"/>
                <w:szCs w:val="26"/>
              </w:rPr>
              <w:t>Pamela A. Witmer</w:t>
            </w:r>
          </w:p>
          <w:p w:rsidR="00F514FB" w:rsidRPr="00F514FB" w:rsidRDefault="00F514FB" w:rsidP="00C33904">
            <w:pPr>
              <w:rPr>
                <w:sz w:val="26"/>
                <w:szCs w:val="26"/>
              </w:rPr>
            </w:pPr>
          </w:p>
          <w:p w:rsidR="00F514FB" w:rsidRPr="00F514FB" w:rsidRDefault="00F514FB" w:rsidP="00C33904">
            <w:pPr>
              <w:rPr>
                <w:sz w:val="26"/>
                <w:szCs w:val="26"/>
              </w:rPr>
            </w:pPr>
          </w:p>
        </w:tc>
        <w:tc>
          <w:tcPr>
            <w:tcW w:w="5040" w:type="dxa"/>
          </w:tcPr>
          <w:p w:rsidR="00F514FB" w:rsidRPr="00F514FB" w:rsidRDefault="00F514FB" w:rsidP="00C33904">
            <w:pPr>
              <w:jc w:val="right"/>
              <w:rPr>
                <w:sz w:val="26"/>
                <w:szCs w:val="26"/>
              </w:rPr>
            </w:pPr>
          </w:p>
          <w:p w:rsidR="00F514FB" w:rsidRPr="00F514FB" w:rsidRDefault="00F514FB" w:rsidP="00C33904">
            <w:pPr>
              <w:jc w:val="right"/>
              <w:rPr>
                <w:sz w:val="26"/>
                <w:szCs w:val="26"/>
              </w:rPr>
            </w:pPr>
          </w:p>
        </w:tc>
      </w:tr>
      <w:tr w:rsidR="00F514FB" w:rsidRPr="00F514FB" w:rsidTr="00881B32">
        <w:tc>
          <w:tcPr>
            <w:tcW w:w="4968" w:type="dxa"/>
          </w:tcPr>
          <w:p w:rsidR="00B72768" w:rsidRDefault="00B72768" w:rsidP="00C33904">
            <w:pPr>
              <w:rPr>
                <w:sz w:val="26"/>
                <w:szCs w:val="26"/>
              </w:rPr>
            </w:pPr>
            <w:r>
              <w:rPr>
                <w:sz w:val="26"/>
                <w:szCs w:val="26"/>
              </w:rPr>
              <w:t xml:space="preserve">Thomas A. McCarey and </w:t>
            </w:r>
          </w:p>
          <w:p w:rsidR="00F514FB" w:rsidRPr="00F514FB" w:rsidRDefault="00B72768" w:rsidP="00C33904">
            <w:pPr>
              <w:rPr>
                <w:sz w:val="26"/>
                <w:szCs w:val="26"/>
              </w:rPr>
            </w:pPr>
            <w:r>
              <w:rPr>
                <w:sz w:val="26"/>
                <w:szCs w:val="26"/>
              </w:rPr>
              <w:t>Margery H. McCarey</w:t>
            </w:r>
          </w:p>
          <w:p w:rsidR="00F514FB" w:rsidRPr="00F514FB" w:rsidRDefault="00F514FB" w:rsidP="00C33904">
            <w:pPr>
              <w:rPr>
                <w:sz w:val="26"/>
                <w:szCs w:val="26"/>
              </w:rPr>
            </w:pPr>
          </w:p>
        </w:tc>
        <w:tc>
          <w:tcPr>
            <w:tcW w:w="5040" w:type="dxa"/>
          </w:tcPr>
          <w:p w:rsidR="00F514FB" w:rsidRPr="00F514FB" w:rsidRDefault="00B72768" w:rsidP="00C33904">
            <w:pPr>
              <w:jc w:val="right"/>
              <w:rPr>
                <w:sz w:val="26"/>
                <w:szCs w:val="26"/>
              </w:rPr>
            </w:pPr>
            <w:r>
              <w:rPr>
                <w:sz w:val="26"/>
                <w:szCs w:val="26"/>
              </w:rPr>
              <w:t>C-2013-2354862</w:t>
            </w:r>
          </w:p>
        </w:tc>
      </w:tr>
      <w:tr w:rsidR="00F514FB" w:rsidRPr="00F514FB" w:rsidTr="00881B32">
        <w:tc>
          <w:tcPr>
            <w:tcW w:w="4968" w:type="dxa"/>
          </w:tcPr>
          <w:p w:rsidR="00F514FB" w:rsidRPr="00F514FB" w:rsidRDefault="00F514FB" w:rsidP="00C33904">
            <w:pPr>
              <w:ind w:firstLine="1440"/>
              <w:rPr>
                <w:sz w:val="26"/>
                <w:szCs w:val="26"/>
              </w:rPr>
            </w:pPr>
            <w:r w:rsidRPr="00F514FB">
              <w:rPr>
                <w:sz w:val="26"/>
                <w:szCs w:val="26"/>
              </w:rPr>
              <w:t>v.</w:t>
            </w:r>
          </w:p>
          <w:p w:rsidR="00F514FB" w:rsidRPr="00F514FB" w:rsidRDefault="00F514FB" w:rsidP="00C33904">
            <w:pPr>
              <w:ind w:firstLine="1440"/>
              <w:rPr>
                <w:sz w:val="26"/>
                <w:szCs w:val="26"/>
              </w:rPr>
            </w:pPr>
          </w:p>
        </w:tc>
        <w:tc>
          <w:tcPr>
            <w:tcW w:w="5040" w:type="dxa"/>
          </w:tcPr>
          <w:p w:rsidR="00F514FB" w:rsidRPr="00F514FB" w:rsidRDefault="00F514FB" w:rsidP="00C33904">
            <w:pPr>
              <w:rPr>
                <w:sz w:val="26"/>
                <w:szCs w:val="26"/>
              </w:rPr>
            </w:pPr>
          </w:p>
        </w:tc>
      </w:tr>
      <w:tr w:rsidR="00F514FB" w:rsidRPr="00F514FB" w:rsidTr="00881B32">
        <w:tc>
          <w:tcPr>
            <w:tcW w:w="4968" w:type="dxa"/>
          </w:tcPr>
          <w:p w:rsidR="00F514FB" w:rsidRPr="00F514FB" w:rsidRDefault="000A25D6" w:rsidP="00C33904">
            <w:pPr>
              <w:rPr>
                <w:sz w:val="26"/>
                <w:szCs w:val="26"/>
              </w:rPr>
            </w:pPr>
            <w:r>
              <w:rPr>
                <w:sz w:val="26"/>
                <w:szCs w:val="26"/>
              </w:rPr>
              <w:t>PECO Energy Company</w:t>
            </w:r>
          </w:p>
        </w:tc>
        <w:tc>
          <w:tcPr>
            <w:tcW w:w="5040" w:type="dxa"/>
          </w:tcPr>
          <w:p w:rsidR="00F514FB" w:rsidRPr="00F514FB" w:rsidRDefault="00F514FB" w:rsidP="00C33904">
            <w:pPr>
              <w:rPr>
                <w:sz w:val="26"/>
                <w:szCs w:val="26"/>
              </w:rPr>
            </w:pPr>
          </w:p>
        </w:tc>
      </w:tr>
    </w:tbl>
    <w:p w:rsidR="00F514FB" w:rsidRPr="00F514FB" w:rsidRDefault="00F514FB" w:rsidP="00F514FB">
      <w:pPr>
        <w:rPr>
          <w:sz w:val="26"/>
          <w:szCs w:val="26"/>
        </w:rPr>
      </w:pPr>
    </w:p>
    <w:p w:rsidR="00F514FB" w:rsidRPr="00F514FB" w:rsidRDefault="00F514FB" w:rsidP="00F514FB">
      <w:pPr>
        <w:rPr>
          <w:sz w:val="26"/>
          <w:szCs w:val="26"/>
        </w:rPr>
      </w:pPr>
    </w:p>
    <w:p w:rsidR="00F514FB" w:rsidRPr="00F514FB" w:rsidRDefault="00F514FB" w:rsidP="00F514FB">
      <w:pPr>
        <w:jc w:val="center"/>
        <w:rPr>
          <w:b/>
          <w:sz w:val="26"/>
          <w:szCs w:val="26"/>
        </w:rPr>
      </w:pPr>
      <w:r w:rsidRPr="00F514FB">
        <w:rPr>
          <w:b/>
          <w:sz w:val="26"/>
          <w:szCs w:val="26"/>
        </w:rPr>
        <w:t xml:space="preserve">OPINION </w:t>
      </w:r>
      <w:smartTag w:uri="urn:schemas-microsoft-com:office:smarttags" w:element="stockticker">
        <w:r w:rsidRPr="00F514FB">
          <w:rPr>
            <w:b/>
            <w:sz w:val="26"/>
            <w:szCs w:val="26"/>
          </w:rPr>
          <w:t>AND</w:t>
        </w:r>
      </w:smartTag>
      <w:r w:rsidRPr="00F514FB">
        <w:rPr>
          <w:b/>
          <w:sz w:val="26"/>
          <w:szCs w:val="26"/>
        </w:rPr>
        <w:t xml:space="preserve"> ORDER</w:t>
      </w:r>
    </w:p>
    <w:p w:rsidR="00F514FB" w:rsidRPr="00F514FB" w:rsidRDefault="00F514FB" w:rsidP="00F514FB">
      <w:pPr>
        <w:jc w:val="center"/>
        <w:rPr>
          <w:b/>
          <w:sz w:val="26"/>
          <w:szCs w:val="26"/>
        </w:rPr>
      </w:pPr>
    </w:p>
    <w:p w:rsidR="00F514FB" w:rsidRPr="00F514FB" w:rsidRDefault="00F514FB" w:rsidP="00F514FB">
      <w:pPr>
        <w:jc w:val="center"/>
        <w:rPr>
          <w:b/>
          <w:sz w:val="26"/>
          <w:szCs w:val="26"/>
        </w:rPr>
      </w:pPr>
    </w:p>
    <w:p w:rsidR="00F514FB" w:rsidRPr="00F514FB" w:rsidRDefault="00F514FB" w:rsidP="00F514FB">
      <w:pPr>
        <w:rPr>
          <w:b/>
          <w:sz w:val="26"/>
          <w:szCs w:val="26"/>
        </w:rPr>
      </w:pPr>
      <w:r w:rsidRPr="00F514FB">
        <w:rPr>
          <w:b/>
          <w:sz w:val="26"/>
          <w:szCs w:val="26"/>
        </w:rPr>
        <w:t>BY THE COMMISSION:</w:t>
      </w:r>
    </w:p>
    <w:p w:rsidR="00F514FB" w:rsidRPr="00F514FB" w:rsidRDefault="00F514FB" w:rsidP="00F514FB">
      <w:pPr>
        <w:rPr>
          <w:sz w:val="26"/>
          <w:szCs w:val="26"/>
        </w:rPr>
      </w:pPr>
    </w:p>
    <w:p w:rsidR="00F514FB" w:rsidRPr="00F514FB" w:rsidRDefault="00F514FB" w:rsidP="00F514FB">
      <w:pPr>
        <w:rPr>
          <w:sz w:val="26"/>
          <w:szCs w:val="26"/>
        </w:rPr>
      </w:pPr>
    </w:p>
    <w:p w:rsidR="00CA43A5" w:rsidRPr="0030429E" w:rsidRDefault="00CA43A5" w:rsidP="00E54E0F">
      <w:pPr>
        <w:widowControl/>
        <w:spacing w:line="360" w:lineRule="auto"/>
        <w:ind w:firstLine="1440"/>
        <w:rPr>
          <w:sz w:val="26"/>
          <w:szCs w:val="26"/>
        </w:rPr>
      </w:pPr>
      <w:r w:rsidRPr="0030429E">
        <w:rPr>
          <w:sz w:val="26"/>
          <w:szCs w:val="26"/>
        </w:rPr>
        <w:t xml:space="preserve">Before the Pennsylvania Public Utility Commission (Commission) for consideration and disposition </w:t>
      </w:r>
      <w:r w:rsidR="00671E4C" w:rsidRPr="0030429E">
        <w:rPr>
          <w:color w:val="000000"/>
          <w:sz w:val="26"/>
          <w:szCs w:val="26"/>
        </w:rPr>
        <w:t xml:space="preserve">are the Exceptions (Exceptions) of </w:t>
      </w:r>
      <w:r w:rsidR="00B72768" w:rsidRPr="0030429E">
        <w:rPr>
          <w:color w:val="000000"/>
          <w:sz w:val="26"/>
          <w:szCs w:val="26"/>
        </w:rPr>
        <w:t>Thomas A. McCarey and Margery H. McCarey</w:t>
      </w:r>
      <w:r w:rsidR="00671E4C" w:rsidRPr="0030429E">
        <w:rPr>
          <w:color w:val="000000"/>
          <w:sz w:val="26"/>
          <w:szCs w:val="26"/>
        </w:rPr>
        <w:t xml:space="preserve"> (</w:t>
      </w:r>
      <w:r w:rsidR="00B72768" w:rsidRPr="0030429E">
        <w:rPr>
          <w:color w:val="000000"/>
          <w:sz w:val="26"/>
          <w:szCs w:val="26"/>
        </w:rPr>
        <w:t>Complainants</w:t>
      </w:r>
      <w:r w:rsidR="00671E4C" w:rsidRPr="0030429E">
        <w:rPr>
          <w:color w:val="000000"/>
          <w:sz w:val="26"/>
          <w:szCs w:val="26"/>
        </w:rPr>
        <w:t xml:space="preserve">) filed on </w:t>
      </w:r>
      <w:r w:rsidR="000A25D6" w:rsidRPr="0030429E">
        <w:rPr>
          <w:color w:val="000000"/>
          <w:sz w:val="26"/>
          <w:szCs w:val="26"/>
        </w:rPr>
        <w:t>May 6, 2013</w:t>
      </w:r>
      <w:r w:rsidR="00671E4C" w:rsidRPr="0030429E">
        <w:rPr>
          <w:color w:val="000000"/>
          <w:sz w:val="26"/>
          <w:szCs w:val="26"/>
        </w:rPr>
        <w:t xml:space="preserve">, to the Initial Decision (I.D.) of Administrative Law Judge (ALJ) </w:t>
      </w:r>
      <w:r w:rsidR="000A25D6" w:rsidRPr="0030429E">
        <w:rPr>
          <w:color w:val="000000"/>
          <w:sz w:val="26"/>
          <w:szCs w:val="26"/>
        </w:rPr>
        <w:t>Joel H. Cheskis</w:t>
      </w:r>
      <w:r w:rsidR="00671E4C" w:rsidRPr="0030429E">
        <w:rPr>
          <w:color w:val="000000"/>
          <w:sz w:val="26"/>
          <w:szCs w:val="26"/>
        </w:rPr>
        <w:t xml:space="preserve">, which was issued on </w:t>
      </w:r>
      <w:r w:rsidR="009C7E50" w:rsidRPr="0030429E">
        <w:rPr>
          <w:color w:val="000000"/>
          <w:sz w:val="26"/>
          <w:szCs w:val="26"/>
        </w:rPr>
        <w:t>April</w:t>
      </w:r>
      <w:r w:rsidR="000A25D6" w:rsidRPr="0030429E">
        <w:rPr>
          <w:color w:val="000000"/>
          <w:sz w:val="26"/>
          <w:szCs w:val="26"/>
        </w:rPr>
        <w:t xml:space="preserve"> 29, 2013</w:t>
      </w:r>
      <w:r w:rsidR="00671E4C" w:rsidRPr="0030429E">
        <w:rPr>
          <w:color w:val="000000"/>
          <w:sz w:val="26"/>
          <w:szCs w:val="26"/>
        </w:rPr>
        <w:t xml:space="preserve">, in the above-captioned proceedings.  Replies to Exceptions were filed by </w:t>
      </w:r>
      <w:r w:rsidR="000A25D6" w:rsidRPr="0030429E">
        <w:rPr>
          <w:color w:val="000000"/>
          <w:sz w:val="26"/>
          <w:szCs w:val="26"/>
        </w:rPr>
        <w:t xml:space="preserve">PECO Energy Company </w:t>
      </w:r>
      <w:r w:rsidR="00671E4C" w:rsidRPr="0030429E">
        <w:rPr>
          <w:color w:val="000000"/>
          <w:sz w:val="26"/>
          <w:szCs w:val="26"/>
        </w:rPr>
        <w:t>(</w:t>
      </w:r>
      <w:r w:rsidR="000A25D6" w:rsidRPr="0030429E">
        <w:rPr>
          <w:color w:val="000000"/>
          <w:sz w:val="26"/>
          <w:szCs w:val="26"/>
        </w:rPr>
        <w:t>PECO</w:t>
      </w:r>
      <w:r w:rsidR="00671E4C" w:rsidRPr="0030429E">
        <w:rPr>
          <w:color w:val="000000"/>
          <w:sz w:val="26"/>
          <w:szCs w:val="26"/>
        </w:rPr>
        <w:t xml:space="preserve">) on </w:t>
      </w:r>
      <w:r w:rsidR="000A25D6" w:rsidRPr="0030429E">
        <w:rPr>
          <w:color w:val="000000"/>
          <w:sz w:val="26"/>
          <w:szCs w:val="26"/>
        </w:rPr>
        <w:t>May 13, 2013</w:t>
      </w:r>
      <w:r w:rsidR="00671E4C" w:rsidRPr="0030429E">
        <w:rPr>
          <w:color w:val="000000"/>
          <w:sz w:val="26"/>
          <w:szCs w:val="26"/>
        </w:rPr>
        <w:t xml:space="preserve">.  </w:t>
      </w:r>
      <w:r w:rsidRPr="0030429E">
        <w:rPr>
          <w:sz w:val="26"/>
          <w:szCs w:val="26"/>
        </w:rPr>
        <w:t xml:space="preserve">For the reasons stated below, we </w:t>
      </w:r>
      <w:r w:rsidR="000A25D6" w:rsidRPr="0030429E">
        <w:rPr>
          <w:sz w:val="26"/>
          <w:szCs w:val="26"/>
        </w:rPr>
        <w:t>will deny the Exceptions, adopt the Initial Decision and dismiss the Complaint</w:t>
      </w:r>
      <w:r w:rsidRPr="0030429E">
        <w:rPr>
          <w:sz w:val="26"/>
          <w:szCs w:val="26"/>
        </w:rPr>
        <w:t>.</w:t>
      </w:r>
    </w:p>
    <w:p w:rsidR="00CA43A5" w:rsidRPr="0030429E" w:rsidRDefault="00CA43A5" w:rsidP="00E54E0F">
      <w:pPr>
        <w:widowControl/>
        <w:spacing w:line="360" w:lineRule="auto"/>
        <w:rPr>
          <w:sz w:val="26"/>
          <w:szCs w:val="26"/>
        </w:rPr>
      </w:pPr>
    </w:p>
    <w:p w:rsidR="00CA43A5" w:rsidRPr="0030429E" w:rsidRDefault="00CA43A5" w:rsidP="0030429E">
      <w:pPr>
        <w:keepNext/>
        <w:keepLines/>
        <w:widowControl/>
        <w:spacing w:line="360" w:lineRule="auto"/>
        <w:jc w:val="center"/>
        <w:rPr>
          <w:b/>
          <w:sz w:val="26"/>
          <w:szCs w:val="26"/>
        </w:rPr>
      </w:pPr>
      <w:bookmarkStart w:id="0" w:name="OLE_LINK1"/>
      <w:bookmarkStart w:id="1" w:name="OLE_LINK2"/>
      <w:r w:rsidRPr="0030429E">
        <w:rPr>
          <w:b/>
          <w:sz w:val="26"/>
          <w:szCs w:val="26"/>
        </w:rPr>
        <w:lastRenderedPageBreak/>
        <w:t>History of the Proceeding</w:t>
      </w:r>
    </w:p>
    <w:p w:rsidR="00515118" w:rsidRPr="0030429E" w:rsidRDefault="00515118">
      <w:pPr>
        <w:keepNext/>
        <w:keepLines/>
        <w:widowControl/>
        <w:spacing w:line="360" w:lineRule="auto"/>
        <w:jc w:val="center"/>
        <w:rPr>
          <w:b/>
          <w:sz w:val="26"/>
          <w:szCs w:val="26"/>
        </w:rPr>
      </w:pPr>
    </w:p>
    <w:bookmarkEnd w:id="0"/>
    <w:bookmarkEnd w:id="1"/>
    <w:p w:rsidR="00515118" w:rsidRPr="00E54E0F" w:rsidRDefault="00515118">
      <w:pPr>
        <w:keepNext/>
        <w:keepLines/>
        <w:widowControl/>
        <w:autoSpaceDE w:val="0"/>
        <w:autoSpaceDN w:val="0"/>
        <w:adjustRightInd w:val="0"/>
        <w:spacing w:line="360" w:lineRule="auto"/>
        <w:rPr>
          <w:bCs/>
          <w:color w:val="000000"/>
          <w:sz w:val="26"/>
          <w:szCs w:val="26"/>
        </w:rPr>
      </w:pPr>
      <w:r w:rsidRPr="00E54E0F">
        <w:rPr>
          <w:bCs/>
          <w:color w:val="000000"/>
          <w:sz w:val="26"/>
          <w:szCs w:val="26"/>
        </w:rPr>
        <w:tab/>
      </w:r>
      <w:r w:rsidRPr="00E54E0F">
        <w:rPr>
          <w:bCs/>
          <w:color w:val="000000"/>
          <w:sz w:val="26"/>
          <w:szCs w:val="26"/>
        </w:rPr>
        <w:tab/>
        <w:t xml:space="preserve">On February 11, 2013, </w:t>
      </w:r>
      <w:r w:rsidR="004011CB" w:rsidRPr="00E54E0F">
        <w:rPr>
          <w:bCs/>
          <w:color w:val="000000"/>
          <w:sz w:val="26"/>
          <w:szCs w:val="26"/>
        </w:rPr>
        <w:t xml:space="preserve">the Complainants </w:t>
      </w:r>
      <w:r w:rsidRPr="00E54E0F">
        <w:rPr>
          <w:bCs/>
          <w:color w:val="000000"/>
          <w:sz w:val="26"/>
          <w:szCs w:val="26"/>
        </w:rPr>
        <w:t xml:space="preserve">filed </w:t>
      </w:r>
      <w:r w:rsidR="0030429E">
        <w:rPr>
          <w:bCs/>
          <w:color w:val="000000"/>
          <w:sz w:val="26"/>
          <w:szCs w:val="26"/>
        </w:rPr>
        <w:t>the instant</w:t>
      </w:r>
      <w:r w:rsidRPr="00E54E0F">
        <w:rPr>
          <w:bCs/>
          <w:color w:val="000000"/>
          <w:sz w:val="26"/>
          <w:szCs w:val="26"/>
        </w:rPr>
        <w:t xml:space="preserve"> </w:t>
      </w:r>
      <w:r w:rsidR="0030429E">
        <w:rPr>
          <w:bCs/>
          <w:color w:val="000000"/>
          <w:sz w:val="26"/>
          <w:szCs w:val="26"/>
        </w:rPr>
        <w:t>F</w:t>
      </w:r>
      <w:r w:rsidRPr="00E54E0F">
        <w:rPr>
          <w:bCs/>
          <w:color w:val="000000"/>
          <w:sz w:val="26"/>
          <w:szCs w:val="26"/>
        </w:rPr>
        <w:t>ormal Complaint against PECO</w:t>
      </w:r>
      <w:r w:rsidR="0030429E">
        <w:rPr>
          <w:bCs/>
          <w:color w:val="000000"/>
          <w:sz w:val="26"/>
          <w:szCs w:val="26"/>
        </w:rPr>
        <w:t>.</w:t>
      </w:r>
      <w:r w:rsidRPr="00E54E0F">
        <w:rPr>
          <w:bCs/>
          <w:color w:val="000000"/>
          <w:sz w:val="26"/>
          <w:szCs w:val="26"/>
        </w:rPr>
        <w:t xml:space="preserve">  </w:t>
      </w:r>
      <w:r w:rsidR="00025B8D">
        <w:rPr>
          <w:bCs/>
          <w:color w:val="000000"/>
          <w:sz w:val="26"/>
          <w:szCs w:val="26"/>
        </w:rPr>
        <w:t>T</w:t>
      </w:r>
      <w:r w:rsidRPr="00E54E0F">
        <w:rPr>
          <w:bCs/>
          <w:color w:val="000000"/>
          <w:sz w:val="26"/>
          <w:szCs w:val="26"/>
        </w:rPr>
        <w:t xml:space="preserve">he </w:t>
      </w:r>
      <w:r w:rsidR="004011CB" w:rsidRPr="00E54E0F">
        <w:rPr>
          <w:bCs/>
          <w:color w:val="000000"/>
          <w:sz w:val="26"/>
          <w:szCs w:val="26"/>
        </w:rPr>
        <w:t>Complainants</w:t>
      </w:r>
      <w:r w:rsidRPr="00E54E0F">
        <w:rPr>
          <w:bCs/>
          <w:color w:val="000000"/>
          <w:sz w:val="26"/>
          <w:szCs w:val="26"/>
        </w:rPr>
        <w:t xml:space="preserve"> included a 14-page, single-spaced, typed attachment explaining that they do not want a smart meter installed on their property.</w:t>
      </w:r>
      <w:r w:rsidRPr="00E54E0F">
        <w:rPr>
          <w:bCs/>
          <w:color w:val="000000"/>
          <w:sz w:val="26"/>
          <w:szCs w:val="26"/>
          <w:vertAlign w:val="superscript"/>
        </w:rPr>
        <w:footnoteReference w:id="1"/>
      </w:r>
      <w:r w:rsidRPr="00E54E0F">
        <w:rPr>
          <w:bCs/>
          <w:color w:val="000000"/>
          <w:sz w:val="26"/>
          <w:szCs w:val="26"/>
        </w:rPr>
        <w:t xml:space="preserve">  The attachment included significant detail regarding twenty-five separate reasons why the </w:t>
      </w:r>
      <w:r w:rsidR="009C7E50" w:rsidRPr="00E54E0F">
        <w:rPr>
          <w:bCs/>
          <w:color w:val="000000"/>
          <w:sz w:val="26"/>
          <w:szCs w:val="26"/>
        </w:rPr>
        <w:t>Complainant</w:t>
      </w:r>
      <w:r w:rsidRPr="00E54E0F">
        <w:rPr>
          <w:bCs/>
          <w:color w:val="000000"/>
          <w:sz w:val="26"/>
          <w:szCs w:val="26"/>
        </w:rPr>
        <w:t xml:space="preserve">s believe that smart meters are bad and why they do not want one on their property.  The </w:t>
      </w:r>
      <w:r w:rsidR="009C7E50" w:rsidRPr="00E54E0F">
        <w:rPr>
          <w:bCs/>
          <w:color w:val="000000"/>
          <w:sz w:val="26"/>
          <w:szCs w:val="26"/>
        </w:rPr>
        <w:t>Complainant</w:t>
      </w:r>
      <w:r w:rsidRPr="00E54E0F">
        <w:rPr>
          <w:bCs/>
          <w:color w:val="000000"/>
          <w:sz w:val="26"/>
          <w:szCs w:val="26"/>
        </w:rPr>
        <w:t>s included, among other things, a “Notice of No Consent to Trespass and Surveillance,” stating “be advised, you and all other parties are hereby denied consent for installation and use of any and all ‘Smart Meters’ or any other surveillance and activity monitoring device, or devices, at the above property.”</w:t>
      </w:r>
      <w:r w:rsidR="001E0CE6" w:rsidRPr="00E54E0F">
        <w:rPr>
          <w:bCs/>
          <w:color w:val="000000"/>
          <w:sz w:val="26"/>
          <w:szCs w:val="26"/>
        </w:rPr>
        <w:t xml:space="preserve">  On March 28, 2013, the Complaint was served on PECO by Secretarial Letter.</w:t>
      </w:r>
    </w:p>
    <w:p w:rsidR="00515118" w:rsidRPr="00E54E0F" w:rsidRDefault="00515118" w:rsidP="00E54E0F">
      <w:pPr>
        <w:widowControl/>
        <w:autoSpaceDE w:val="0"/>
        <w:autoSpaceDN w:val="0"/>
        <w:adjustRightInd w:val="0"/>
        <w:spacing w:line="360" w:lineRule="auto"/>
        <w:rPr>
          <w:bCs/>
          <w:color w:val="000000"/>
          <w:sz w:val="26"/>
          <w:szCs w:val="26"/>
        </w:rPr>
      </w:pPr>
    </w:p>
    <w:p w:rsidR="00515118" w:rsidRPr="00E54E0F" w:rsidRDefault="00515118" w:rsidP="00E54E0F">
      <w:pPr>
        <w:widowControl/>
        <w:autoSpaceDE w:val="0"/>
        <w:autoSpaceDN w:val="0"/>
        <w:adjustRightInd w:val="0"/>
        <w:spacing w:line="360" w:lineRule="auto"/>
        <w:rPr>
          <w:bCs/>
          <w:color w:val="000000"/>
          <w:sz w:val="26"/>
          <w:szCs w:val="26"/>
        </w:rPr>
      </w:pPr>
      <w:r w:rsidRPr="00E54E0F">
        <w:rPr>
          <w:bCs/>
          <w:color w:val="000000"/>
          <w:sz w:val="26"/>
          <w:szCs w:val="26"/>
        </w:rPr>
        <w:tab/>
      </w:r>
      <w:r w:rsidRPr="00E54E0F">
        <w:rPr>
          <w:bCs/>
          <w:color w:val="000000"/>
          <w:sz w:val="26"/>
          <w:szCs w:val="26"/>
        </w:rPr>
        <w:tab/>
        <w:t>On April 1, 2013, PECO filed a Preliminary Objection in response to the Complaint.  In its Preliminary Objection, PECO argued that the Complaint should be dismissed because it is legally insufficient.  PECO argued that there are no genuine issues of material fact and that PECO is entitled to judgment as a matter of law with respect to all allegations in the Complaint.  In support of its argument, PECO provided extensive legal discussion and background detailing requirements that PECO must install smart meters for all its customers.  PECO concluded its Preliminary Objection by stating that “as the law currently stands, pursuant to Act 129 and the Commission’s Implementation Order, customers do not have the ability to ‘opt out’ of smart meter installation.”  PECO added that there is therefore no legal basis for the Complaint and that the Complaint should be dismissed as a matter of law.</w:t>
      </w:r>
    </w:p>
    <w:p w:rsidR="00515118" w:rsidRPr="00E54E0F" w:rsidRDefault="00515118" w:rsidP="00E54E0F">
      <w:pPr>
        <w:widowControl/>
        <w:autoSpaceDE w:val="0"/>
        <w:autoSpaceDN w:val="0"/>
        <w:adjustRightInd w:val="0"/>
        <w:spacing w:line="360" w:lineRule="auto"/>
        <w:rPr>
          <w:bCs/>
          <w:color w:val="000000"/>
          <w:sz w:val="26"/>
          <w:szCs w:val="26"/>
        </w:rPr>
      </w:pPr>
    </w:p>
    <w:p w:rsidR="00515118" w:rsidRPr="00E54E0F" w:rsidRDefault="00515118" w:rsidP="00E54E0F">
      <w:pPr>
        <w:widowControl/>
        <w:autoSpaceDE w:val="0"/>
        <w:autoSpaceDN w:val="0"/>
        <w:adjustRightInd w:val="0"/>
        <w:spacing w:line="360" w:lineRule="auto"/>
        <w:rPr>
          <w:bCs/>
          <w:color w:val="000000"/>
          <w:sz w:val="26"/>
          <w:szCs w:val="26"/>
        </w:rPr>
      </w:pPr>
      <w:r w:rsidRPr="00E54E0F">
        <w:rPr>
          <w:bCs/>
          <w:color w:val="000000"/>
          <w:sz w:val="26"/>
          <w:szCs w:val="26"/>
        </w:rPr>
        <w:lastRenderedPageBreak/>
        <w:tab/>
      </w:r>
      <w:r w:rsidRPr="00E54E0F">
        <w:rPr>
          <w:bCs/>
          <w:color w:val="000000"/>
          <w:sz w:val="26"/>
          <w:szCs w:val="26"/>
        </w:rPr>
        <w:tab/>
      </w:r>
      <w:r w:rsidR="00025B8D" w:rsidRPr="00245C48">
        <w:rPr>
          <w:bCs/>
          <w:color w:val="000000"/>
          <w:sz w:val="26"/>
          <w:szCs w:val="26"/>
        </w:rPr>
        <w:t xml:space="preserve">The Preliminary Objection included a Notice to Plead.  </w:t>
      </w:r>
      <w:r w:rsidRPr="00E54E0F">
        <w:rPr>
          <w:bCs/>
          <w:color w:val="000000"/>
          <w:sz w:val="26"/>
          <w:szCs w:val="26"/>
        </w:rPr>
        <w:t xml:space="preserve">The </w:t>
      </w:r>
      <w:r w:rsidR="009C7E50" w:rsidRPr="00E54E0F">
        <w:rPr>
          <w:bCs/>
          <w:color w:val="000000"/>
          <w:sz w:val="26"/>
          <w:szCs w:val="26"/>
        </w:rPr>
        <w:t>Complainant</w:t>
      </w:r>
      <w:r w:rsidRPr="00E54E0F">
        <w:rPr>
          <w:bCs/>
          <w:color w:val="000000"/>
          <w:sz w:val="26"/>
          <w:szCs w:val="26"/>
        </w:rPr>
        <w:t xml:space="preserve">’s Answer to PECO’s Preliminary Objection was due no later than April 15, 2013.  52 Pa. Code §§ 5.101(f)(1), 1.12(a), 1.56(a)(1) and (b).  The </w:t>
      </w:r>
      <w:r w:rsidR="009C7E50" w:rsidRPr="00E54E0F">
        <w:rPr>
          <w:bCs/>
          <w:color w:val="000000"/>
          <w:sz w:val="26"/>
          <w:szCs w:val="26"/>
        </w:rPr>
        <w:t xml:space="preserve">Complainants </w:t>
      </w:r>
      <w:r w:rsidRPr="00E54E0F">
        <w:rPr>
          <w:bCs/>
          <w:color w:val="000000"/>
          <w:sz w:val="26"/>
          <w:szCs w:val="26"/>
        </w:rPr>
        <w:t>did not file an Answer to PECO’s Preliminary Objection.</w:t>
      </w:r>
    </w:p>
    <w:p w:rsidR="00515118" w:rsidRPr="00E54E0F" w:rsidRDefault="00515118" w:rsidP="00E54E0F">
      <w:pPr>
        <w:widowControl/>
        <w:autoSpaceDE w:val="0"/>
        <w:autoSpaceDN w:val="0"/>
        <w:adjustRightInd w:val="0"/>
        <w:spacing w:line="360" w:lineRule="auto"/>
        <w:rPr>
          <w:bCs/>
          <w:color w:val="000000"/>
          <w:sz w:val="26"/>
          <w:szCs w:val="26"/>
        </w:rPr>
      </w:pPr>
    </w:p>
    <w:p w:rsidR="00CA43A5" w:rsidRPr="00B83D4C" w:rsidRDefault="009C7E50" w:rsidP="00E54E0F">
      <w:pPr>
        <w:widowControl/>
        <w:spacing w:line="360" w:lineRule="auto"/>
        <w:rPr>
          <w:sz w:val="26"/>
          <w:szCs w:val="26"/>
        </w:rPr>
      </w:pPr>
      <w:r w:rsidRPr="0030429E">
        <w:rPr>
          <w:sz w:val="26"/>
          <w:szCs w:val="26"/>
        </w:rPr>
        <w:tab/>
      </w:r>
      <w:r w:rsidRPr="0030429E">
        <w:rPr>
          <w:sz w:val="26"/>
          <w:szCs w:val="26"/>
        </w:rPr>
        <w:tab/>
        <w:t xml:space="preserve">On </w:t>
      </w:r>
      <w:r w:rsidR="00F43824" w:rsidRPr="0030429E">
        <w:rPr>
          <w:sz w:val="26"/>
          <w:szCs w:val="26"/>
        </w:rPr>
        <w:t xml:space="preserve">April 29, 2013, the Initial Decision of ALJ Cheskis was issued in this proceeding.  The ALJ determined that the Complainants “would not be entitled to relief under any circumstances as a matter of law.”  I.D. at 7.  Accordingly, he granted PECO’s Preliminary Objection and dismissed the Complaint with prejudice.  </w:t>
      </w:r>
      <w:r w:rsidR="00F43824" w:rsidRPr="00E54E0F">
        <w:rPr>
          <w:i/>
          <w:sz w:val="26"/>
          <w:szCs w:val="26"/>
        </w:rPr>
        <w:t>Id</w:t>
      </w:r>
      <w:r w:rsidR="00F43824" w:rsidRPr="0030429E">
        <w:rPr>
          <w:sz w:val="26"/>
          <w:szCs w:val="26"/>
        </w:rPr>
        <w:t xml:space="preserve">. at 9.  On May </w:t>
      </w:r>
      <w:r w:rsidR="006C10C1">
        <w:rPr>
          <w:sz w:val="26"/>
          <w:szCs w:val="26"/>
        </w:rPr>
        <w:t>6</w:t>
      </w:r>
      <w:r w:rsidR="00F43824" w:rsidRPr="0030429E">
        <w:rPr>
          <w:sz w:val="26"/>
          <w:szCs w:val="26"/>
        </w:rPr>
        <w:t>, 2013, the Complainants filed their Exceptions arguing that the ALJ erred by dismissing their Complaint.</w:t>
      </w:r>
      <w:r w:rsidR="00B83D4C" w:rsidRPr="00E54E0F">
        <w:rPr>
          <w:rStyle w:val="FootnoteReference"/>
          <w:rFonts w:eastAsiaTheme="minorHAnsi"/>
          <w:sz w:val="26"/>
          <w:szCs w:val="26"/>
        </w:rPr>
        <w:footnoteReference w:id="2"/>
      </w:r>
      <w:r w:rsidR="00F43824" w:rsidRPr="0030429E">
        <w:rPr>
          <w:sz w:val="26"/>
          <w:szCs w:val="26"/>
        </w:rPr>
        <w:t xml:space="preserve">  On May 13, 2013, PECO filed Reply Exceptions.</w:t>
      </w:r>
    </w:p>
    <w:p w:rsidR="00CA43A5" w:rsidRPr="0030429E" w:rsidRDefault="00CA43A5" w:rsidP="00E54E0F">
      <w:pPr>
        <w:widowControl/>
        <w:spacing w:line="360" w:lineRule="auto"/>
        <w:jc w:val="center"/>
        <w:rPr>
          <w:b/>
          <w:sz w:val="26"/>
          <w:szCs w:val="26"/>
        </w:rPr>
      </w:pPr>
    </w:p>
    <w:p w:rsidR="00CA43A5" w:rsidRPr="0030429E" w:rsidRDefault="00CA43A5" w:rsidP="00E54E0F">
      <w:pPr>
        <w:widowControl/>
        <w:spacing w:line="360" w:lineRule="auto"/>
        <w:jc w:val="center"/>
        <w:rPr>
          <w:sz w:val="26"/>
          <w:szCs w:val="26"/>
        </w:rPr>
      </w:pPr>
      <w:r w:rsidRPr="0030429E">
        <w:rPr>
          <w:b/>
          <w:sz w:val="26"/>
          <w:szCs w:val="26"/>
        </w:rPr>
        <w:t>Discussion</w:t>
      </w:r>
    </w:p>
    <w:p w:rsidR="0043592C" w:rsidRPr="0030429E" w:rsidRDefault="0043592C" w:rsidP="00E54E0F">
      <w:pPr>
        <w:widowControl/>
        <w:spacing w:line="360" w:lineRule="auto"/>
        <w:ind w:firstLine="1440"/>
        <w:rPr>
          <w:sz w:val="26"/>
          <w:szCs w:val="26"/>
        </w:rPr>
      </w:pPr>
    </w:p>
    <w:p w:rsidR="00C33904" w:rsidRPr="00E54E0F" w:rsidRDefault="00C33904" w:rsidP="0030429E">
      <w:pPr>
        <w:widowControl/>
        <w:tabs>
          <w:tab w:val="left" w:pos="0"/>
        </w:tabs>
        <w:spacing w:line="360" w:lineRule="auto"/>
        <w:ind w:firstLine="1440"/>
        <w:rPr>
          <w:sz w:val="26"/>
          <w:szCs w:val="26"/>
        </w:rPr>
      </w:pPr>
      <w:r w:rsidRPr="00E54E0F">
        <w:rPr>
          <w:sz w:val="26"/>
          <w:szCs w:val="26"/>
        </w:rPr>
        <w:t xml:space="preserve">Section 5.101 of the Commission’s Regulations, 52 Pa. Code § 5.101, sets forth the grounds for granting preliminary objections.  That section provides as follows: </w:t>
      </w:r>
    </w:p>
    <w:p w:rsidR="00C33904" w:rsidRPr="00E54E0F" w:rsidRDefault="00C33904" w:rsidP="00B83D4C">
      <w:pPr>
        <w:widowControl/>
        <w:ind w:left="1440" w:right="1440"/>
        <w:rPr>
          <w:b/>
          <w:sz w:val="26"/>
          <w:szCs w:val="26"/>
        </w:rPr>
      </w:pPr>
    </w:p>
    <w:p w:rsidR="00C33904" w:rsidRPr="00E54E0F" w:rsidRDefault="00C33904">
      <w:pPr>
        <w:widowControl/>
        <w:ind w:left="1440" w:right="1440"/>
        <w:rPr>
          <w:b/>
          <w:sz w:val="26"/>
          <w:szCs w:val="26"/>
        </w:rPr>
      </w:pPr>
      <w:r w:rsidRPr="00E54E0F">
        <w:rPr>
          <w:b/>
          <w:sz w:val="26"/>
          <w:szCs w:val="26"/>
        </w:rPr>
        <w:t>§ 5.101.  Preliminary objections.</w:t>
      </w:r>
    </w:p>
    <w:p w:rsidR="00C33904" w:rsidRPr="00E54E0F" w:rsidRDefault="00C33904">
      <w:pPr>
        <w:widowControl/>
        <w:ind w:left="1440" w:right="1440"/>
        <w:rPr>
          <w:b/>
          <w:sz w:val="26"/>
          <w:szCs w:val="26"/>
        </w:rPr>
      </w:pPr>
    </w:p>
    <w:p w:rsidR="00C33904" w:rsidRPr="00E54E0F" w:rsidRDefault="00C33904">
      <w:pPr>
        <w:widowControl/>
        <w:ind w:left="1440" w:right="1440"/>
        <w:contextualSpacing/>
        <w:rPr>
          <w:sz w:val="26"/>
          <w:szCs w:val="26"/>
        </w:rPr>
      </w:pPr>
      <w:r w:rsidRPr="00E54E0F">
        <w:rPr>
          <w:sz w:val="26"/>
          <w:szCs w:val="26"/>
        </w:rPr>
        <w:t>(a)</w:t>
      </w:r>
      <w:r w:rsidRPr="00E54E0F">
        <w:rPr>
          <w:sz w:val="26"/>
          <w:szCs w:val="26"/>
        </w:rPr>
        <w:tab/>
      </w:r>
      <w:r w:rsidRPr="00E54E0F">
        <w:rPr>
          <w:i/>
          <w:sz w:val="26"/>
          <w:szCs w:val="26"/>
        </w:rPr>
        <w:t>Grounds.</w:t>
      </w:r>
      <w:r w:rsidRPr="00E54E0F">
        <w:rPr>
          <w:sz w:val="26"/>
          <w:szCs w:val="26"/>
        </w:rPr>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C33904" w:rsidRPr="00E54E0F" w:rsidRDefault="00C33904">
      <w:pPr>
        <w:widowControl/>
        <w:spacing w:before="100" w:beforeAutospacing="1" w:after="100" w:afterAutospacing="1"/>
        <w:ind w:left="1440" w:right="1440"/>
        <w:rPr>
          <w:sz w:val="26"/>
          <w:szCs w:val="26"/>
        </w:rPr>
      </w:pPr>
      <w:bookmarkStart w:id="2" w:name="5.101."/>
      <w:r w:rsidRPr="00E54E0F">
        <w:rPr>
          <w:sz w:val="26"/>
          <w:szCs w:val="26"/>
        </w:rPr>
        <w:lastRenderedPageBreak/>
        <w:t> </w:t>
      </w:r>
      <w:r w:rsidRPr="00E54E0F">
        <w:rPr>
          <w:sz w:val="26"/>
          <w:szCs w:val="26"/>
        </w:rPr>
        <w:tab/>
        <w:t>(1)</w:t>
      </w:r>
      <w:r w:rsidRPr="00E54E0F">
        <w:rPr>
          <w:sz w:val="26"/>
          <w:szCs w:val="26"/>
        </w:rPr>
        <w:tab/>
        <w:t xml:space="preserve">Lack of Commission jurisdiction or improper service of the pleading initiating the proceeding. </w:t>
      </w:r>
    </w:p>
    <w:p w:rsidR="00C33904" w:rsidRPr="00E54E0F" w:rsidRDefault="00C33904">
      <w:pPr>
        <w:widowControl/>
        <w:spacing w:before="100" w:beforeAutospacing="1" w:after="100" w:afterAutospacing="1"/>
        <w:ind w:left="1440" w:right="1440"/>
        <w:rPr>
          <w:sz w:val="26"/>
          <w:szCs w:val="26"/>
        </w:rPr>
      </w:pPr>
      <w:r w:rsidRPr="00E54E0F">
        <w:rPr>
          <w:sz w:val="26"/>
          <w:szCs w:val="26"/>
        </w:rPr>
        <w:t>   </w:t>
      </w:r>
      <w:r w:rsidRPr="00E54E0F">
        <w:rPr>
          <w:sz w:val="26"/>
          <w:szCs w:val="26"/>
        </w:rPr>
        <w:tab/>
        <w:t>(2)</w:t>
      </w:r>
      <w:r w:rsidRPr="00E54E0F">
        <w:rPr>
          <w:sz w:val="26"/>
          <w:szCs w:val="26"/>
        </w:rPr>
        <w:tab/>
        <w:t xml:space="preserve">Failure of a pleading to conform to this chapter or the inclusion of scandalous or impertinent matter. </w:t>
      </w:r>
    </w:p>
    <w:p w:rsidR="00C33904" w:rsidRPr="00E54E0F" w:rsidRDefault="00C33904">
      <w:pPr>
        <w:widowControl/>
        <w:spacing w:before="100" w:beforeAutospacing="1" w:after="100" w:afterAutospacing="1"/>
        <w:ind w:left="1440" w:right="1440"/>
        <w:rPr>
          <w:sz w:val="26"/>
          <w:szCs w:val="26"/>
        </w:rPr>
      </w:pPr>
      <w:r w:rsidRPr="00E54E0F">
        <w:rPr>
          <w:sz w:val="26"/>
          <w:szCs w:val="26"/>
        </w:rPr>
        <w:t>   </w:t>
      </w:r>
      <w:r w:rsidRPr="00E54E0F">
        <w:rPr>
          <w:sz w:val="26"/>
          <w:szCs w:val="26"/>
        </w:rPr>
        <w:tab/>
        <w:t>(3)</w:t>
      </w:r>
      <w:r w:rsidRPr="00E54E0F">
        <w:rPr>
          <w:sz w:val="26"/>
          <w:szCs w:val="26"/>
        </w:rPr>
        <w:tab/>
        <w:t xml:space="preserve">Insufficient specificity of a pleading. </w:t>
      </w:r>
    </w:p>
    <w:p w:rsidR="00C33904" w:rsidRPr="00E54E0F" w:rsidRDefault="00C33904">
      <w:pPr>
        <w:widowControl/>
        <w:spacing w:before="100" w:beforeAutospacing="1" w:after="100" w:afterAutospacing="1"/>
        <w:ind w:left="1440" w:right="1440"/>
        <w:rPr>
          <w:sz w:val="26"/>
          <w:szCs w:val="26"/>
        </w:rPr>
      </w:pPr>
      <w:r w:rsidRPr="00E54E0F">
        <w:rPr>
          <w:sz w:val="26"/>
          <w:szCs w:val="26"/>
        </w:rPr>
        <w:t>   </w:t>
      </w:r>
      <w:r w:rsidRPr="00E54E0F">
        <w:rPr>
          <w:sz w:val="26"/>
          <w:szCs w:val="26"/>
        </w:rPr>
        <w:tab/>
        <w:t>(4)</w:t>
      </w:r>
      <w:r w:rsidRPr="00E54E0F">
        <w:rPr>
          <w:sz w:val="26"/>
          <w:szCs w:val="26"/>
        </w:rPr>
        <w:tab/>
        <w:t xml:space="preserve">Legal insufficiency of a pleading. </w:t>
      </w:r>
    </w:p>
    <w:p w:rsidR="00C33904" w:rsidRPr="00E54E0F" w:rsidRDefault="00C33904">
      <w:pPr>
        <w:widowControl/>
        <w:spacing w:before="100" w:beforeAutospacing="1" w:after="100" w:afterAutospacing="1"/>
        <w:ind w:left="1440" w:right="1440"/>
        <w:rPr>
          <w:sz w:val="26"/>
          <w:szCs w:val="26"/>
        </w:rPr>
      </w:pPr>
      <w:r w:rsidRPr="00E54E0F">
        <w:rPr>
          <w:sz w:val="26"/>
          <w:szCs w:val="26"/>
        </w:rPr>
        <w:t>   </w:t>
      </w:r>
      <w:r w:rsidRPr="00E54E0F">
        <w:rPr>
          <w:sz w:val="26"/>
          <w:szCs w:val="26"/>
        </w:rPr>
        <w:tab/>
        <w:t>(5)</w:t>
      </w:r>
      <w:r w:rsidRPr="00E54E0F">
        <w:rPr>
          <w:sz w:val="26"/>
          <w:szCs w:val="26"/>
        </w:rPr>
        <w:tab/>
        <w:t xml:space="preserve">Lack of capacity to sue, nonjoinder of a necessary party or misjoinder of a cause of action. </w:t>
      </w:r>
    </w:p>
    <w:bookmarkEnd w:id="2"/>
    <w:p w:rsidR="00C33904" w:rsidRPr="00E54E0F" w:rsidRDefault="00C33904">
      <w:pPr>
        <w:widowControl/>
        <w:ind w:left="1440" w:right="1440"/>
        <w:contextualSpacing/>
        <w:rPr>
          <w:sz w:val="26"/>
          <w:szCs w:val="26"/>
        </w:rPr>
      </w:pPr>
      <w:r w:rsidRPr="00E54E0F">
        <w:rPr>
          <w:sz w:val="26"/>
          <w:szCs w:val="26"/>
        </w:rPr>
        <w:tab/>
        <w:t>(6)</w:t>
      </w:r>
      <w:r w:rsidRPr="00E54E0F">
        <w:rPr>
          <w:sz w:val="26"/>
          <w:szCs w:val="26"/>
        </w:rPr>
        <w:tab/>
        <w:t>Pendency of a prior proceeding or agreement for alternative dispute resolution.</w:t>
      </w:r>
    </w:p>
    <w:p w:rsidR="00C33904" w:rsidRPr="00E54E0F" w:rsidRDefault="00C33904">
      <w:pPr>
        <w:widowControl/>
        <w:spacing w:line="360" w:lineRule="auto"/>
        <w:ind w:left="1440" w:right="1440" w:hanging="1440"/>
        <w:contextualSpacing/>
        <w:rPr>
          <w:sz w:val="26"/>
          <w:szCs w:val="26"/>
        </w:rPr>
      </w:pPr>
    </w:p>
    <w:p w:rsidR="00C33904" w:rsidRPr="00E54E0F" w:rsidRDefault="00C33904">
      <w:pPr>
        <w:widowControl/>
        <w:spacing w:line="360" w:lineRule="auto"/>
        <w:ind w:left="1440" w:right="1440" w:hanging="1440"/>
        <w:contextualSpacing/>
        <w:rPr>
          <w:sz w:val="26"/>
          <w:szCs w:val="26"/>
        </w:rPr>
      </w:pPr>
      <w:r w:rsidRPr="00E54E0F">
        <w:rPr>
          <w:sz w:val="26"/>
          <w:szCs w:val="26"/>
        </w:rPr>
        <w:t>52 Pa. Code § 5.101(a).</w:t>
      </w:r>
    </w:p>
    <w:p w:rsidR="00C33904" w:rsidRPr="00E54E0F" w:rsidRDefault="00C33904">
      <w:pPr>
        <w:widowControl/>
        <w:spacing w:line="360" w:lineRule="auto"/>
        <w:ind w:left="1440" w:right="1440" w:hanging="1440"/>
        <w:contextualSpacing/>
        <w:rPr>
          <w:sz w:val="26"/>
          <w:szCs w:val="26"/>
        </w:rPr>
      </w:pPr>
    </w:p>
    <w:p w:rsidR="00C33904" w:rsidRPr="00E54E0F" w:rsidRDefault="00C33904">
      <w:pPr>
        <w:widowControl/>
        <w:spacing w:line="360" w:lineRule="auto"/>
        <w:ind w:firstLine="1440"/>
        <w:rPr>
          <w:sz w:val="26"/>
          <w:szCs w:val="26"/>
        </w:rPr>
      </w:pPr>
      <w:r w:rsidRPr="0030429E">
        <w:rPr>
          <w:color w:val="000000"/>
          <w:sz w:val="26"/>
          <w:szCs w:val="26"/>
        </w:rPr>
        <w:t xml:space="preserve">Commission procedure </w:t>
      </w:r>
      <w:r w:rsidRPr="0030429E">
        <w:rPr>
          <w:sz w:val="26"/>
          <w:szCs w:val="26"/>
        </w:rPr>
        <w:t xml:space="preserve">regarding the disposition of preliminary objections is similar to the procedure utilized in Pennsylvania civil practice.  A preliminary objection in civil practice seeking dismissal of a pleading will be granted only where relief is clearly warranted and free from doubt.  </w:t>
      </w:r>
      <w:r w:rsidRPr="0030429E">
        <w:rPr>
          <w:i/>
          <w:sz w:val="26"/>
          <w:szCs w:val="26"/>
        </w:rPr>
        <w:t>Interstate Traveller Services, Inc. v. Pa. Dep’t of Environmental Resources</w:t>
      </w:r>
      <w:r w:rsidRPr="0030429E">
        <w:rPr>
          <w:sz w:val="26"/>
          <w:szCs w:val="26"/>
        </w:rPr>
        <w:t xml:space="preserve">, 486 Pa. 536, 406 A.2d 1020 (1979).  The moving party may not rely on its own factual assertions, but must accept for the purposes of disposition of the preliminary objection all well-pleaded, material facts of the other party, as well as every inference fairly deducible from those facts.  </w:t>
      </w:r>
      <w:r w:rsidRPr="0030429E">
        <w:rPr>
          <w:i/>
          <w:sz w:val="26"/>
          <w:szCs w:val="26"/>
        </w:rPr>
        <w:t>County of Allegheny v. Commonwealth</w:t>
      </w:r>
      <w:r w:rsidRPr="0030429E">
        <w:rPr>
          <w:sz w:val="26"/>
          <w:szCs w:val="26"/>
        </w:rPr>
        <w:t xml:space="preserve"> </w:t>
      </w:r>
      <w:r w:rsidRPr="0030429E">
        <w:rPr>
          <w:i/>
          <w:sz w:val="26"/>
          <w:szCs w:val="26"/>
        </w:rPr>
        <w:t>of Pa.</w:t>
      </w:r>
      <w:r w:rsidRPr="0030429E">
        <w:rPr>
          <w:sz w:val="26"/>
          <w:szCs w:val="26"/>
        </w:rPr>
        <w:t xml:space="preserve">, 507 Pa. 360, 490 A.2d 402 (1985).  The preliminary objection may be granted only if the moving party prevails as a matter of law.  </w:t>
      </w:r>
      <w:r w:rsidRPr="0030429E">
        <w:rPr>
          <w:i/>
          <w:sz w:val="26"/>
          <w:szCs w:val="26"/>
        </w:rPr>
        <w:t>Rok v. Flaherty</w:t>
      </w:r>
      <w:r w:rsidRPr="0030429E">
        <w:rPr>
          <w:sz w:val="26"/>
          <w:szCs w:val="26"/>
        </w:rPr>
        <w:t xml:space="preserve">, 527 A.2d 211 (Pa. Cmwlth. 1987).  Any doubt must be resolved in favor of the non-moving party by refusing to sustain the preliminary objections.  </w:t>
      </w:r>
      <w:r w:rsidRPr="0030429E">
        <w:rPr>
          <w:i/>
          <w:sz w:val="26"/>
          <w:szCs w:val="26"/>
        </w:rPr>
        <w:t>Dep’t of Auditor General, et al. v. State Employees’ Retirement System, et al.</w:t>
      </w:r>
      <w:r w:rsidRPr="0030429E">
        <w:rPr>
          <w:sz w:val="26"/>
          <w:szCs w:val="26"/>
        </w:rPr>
        <w:t>, 836 A.2d 1053, 1064 (Pa. Cmwlth. 2003) (citing</w:t>
      </w:r>
      <w:r w:rsidRPr="0030429E">
        <w:rPr>
          <w:i/>
          <w:sz w:val="26"/>
          <w:szCs w:val="26"/>
        </w:rPr>
        <w:t xml:space="preserve"> Boyd v. Ward</w:t>
      </w:r>
      <w:r w:rsidRPr="0030429E">
        <w:rPr>
          <w:sz w:val="26"/>
          <w:szCs w:val="26"/>
        </w:rPr>
        <w:t>, 802 A.2d 705 (Pa. Cmwlth. 2002</w:t>
      </w:r>
      <w:r w:rsidR="001618F1">
        <w:rPr>
          <w:sz w:val="26"/>
          <w:szCs w:val="26"/>
        </w:rPr>
        <w:t>)</w:t>
      </w:r>
      <w:r w:rsidRPr="0030429E">
        <w:rPr>
          <w:sz w:val="26"/>
          <w:szCs w:val="26"/>
        </w:rPr>
        <w:t xml:space="preserve">). </w:t>
      </w:r>
      <w:r w:rsidRPr="00E54E0F">
        <w:rPr>
          <w:sz w:val="26"/>
          <w:szCs w:val="26"/>
        </w:rPr>
        <w:tab/>
      </w:r>
    </w:p>
    <w:p w:rsidR="00154CB6" w:rsidRPr="0030429E" w:rsidRDefault="00154CB6" w:rsidP="00E54E0F">
      <w:pPr>
        <w:widowControl/>
        <w:spacing w:line="360" w:lineRule="auto"/>
        <w:rPr>
          <w:sz w:val="26"/>
          <w:szCs w:val="26"/>
        </w:rPr>
      </w:pPr>
    </w:p>
    <w:p w:rsidR="00CA43A5" w:rsidRPr="0030429E" w:rsidRDefault="00CA43A5" w:rsidP="00E54E0F">
      <w:pPr>
        <w:widowControl/>
        <w:spacing w:line="360" w:lineRule="auto"/>
        <w:ind w:firstLine="1440"/>
        <w:rPr>
          <w:sz w:val="26"/>
          <w:szCs w:val="26"/>
        </w:rPr>
      </w:pPr>
      <w:r w:rsidRPr="0030429E">
        <w:rPr>
          <w:sz w:val="26"/>
          <w:szCs w:val="26"/>
        </w:rPr>
        <w:lastRenderedPageBreak/>
        <w:t xml:space="preserve">ALJ </w:t>
      </w:r>
      <w:r w:rsidR="00C33904" w:rsidRPr="0030429E">
        <w:rPr>
          <w:sz w:val="26"/>
          <w:szCs w:val="26"/>
        </w:rPr>
        <w:t>Cheskis</w:t>
      </w:r>
      <w:r w:rsidRPr="0030429E">
        <w:rPr>
          <w:sz w:val="26"/>
          <w:szCs w:val="26"/>
        </w:rPr>
        <w:t xml:space="preserve"> made </w:t>
      </w:r>
      <w:r w:rsidR="00C33904" w:rsidRPr="0030429E">
        <w:rPr>
          <w:sz w:val="26"/>
          <w:szCs w:val="26"/>
        </w:rPr>
        <w:t>six</w:t>
      </w:r>
      <w:r w:rsidRPr="0030429E">
        <w:rPr>
          <w:sz w:val="26"/>
          <w:szCs w:val="26"/>
        </w:rPr>
        <w:t xml:space="preserve"> Findings of Fact and reached </w:t>
      </w:r>
      <w:r w:rsidR="00C33904" w:rsidRPr="0030429E">
        <w:rPr>
          <w:sz w:val="26"/>
          <w:szCs w:val="26"/>
        </w:rPr>
        <w:t>ten</w:t>
      </w:r>
      <w:r w:rsidRPr="0030429E">
        <w:rPr>
          <w:sz w:val="26"/>
          <w:szCs w:val="26"/>
        </w:rPr>
        <w:t xml:space="preserve"> Conclusions of Law.  The Findings of Fact and Conclusions of Law are incorporated herein by reference and are adopted without comment unless they are either expressly or by necessary implication rejected or modified by this Opinion and Order.</w:t>
      </w:r>
    </w:p>
    <w:p w:rsidR="00CA43A5" w:rsidRPr="0030429E" w:rsidRDefault="00CA43A5" w:rsidP="00E54E0F">
      <w:pPr>
        <w:widowControl/>
        <w:spacing w:line="360" w:lineRule="auto"/>
        <w:rPr>
          <w:sz w:val="26"/>
          <w:szCs w:val="26"/>
        </w:rPr>
      </w:pPr>
    </w:p>
    <w:p w:rsidR="00214B3E" w:rsidRPr="0030429E" w:rsidRDefault="00006F35" w:rsidP="0030429E">
      <w:pPr>
        <w:widowControl/>
        <w:spacing w:line="360" w:lineRule="auto"/>
        <w:ind w:firstLine="1440"/>
        <w:rPr>
          <w:sz w:val="26"/>
          <w:szCs w:val="26"/>
        </w:rPr>
      </w:pPr>
      <w:r w:rsidRPr="0030429E">
        <w:rPr>
          <w:sz w:val="26"/>
          <w:szCs w:val="26"/>
        </w:rPr>
        <w:t>Before addressing the Exceptions, we note that any issue or Exception that we do not specifically delineate shall be deemed to have been duly considered and denied without further discussion.  The Commission is not required to consider expressly or at length each contention or argument raised by the parties</w:t>
      </w:r>
      <w:r w:rsidR="002A6750" w:rsidRPr="0030429E">
        <w:rPr>
          <w:sz w:val="26"/>
          <w:szCs w:val="26"/>
        </w:rPr>
        <w:t xml:space="preserve">.  </w:t>
      </w:r>
      <w:hyperlink r:id="rId9" w:history="1">
        <w:r w:rsidR="002A6750" w:rsidRPr="0030429E">
          <w:rPr>
            <w:rStyle w:val="Emphasis"/>
            <w:color w:val="000000"/>
            <w:sz w:val="26"/>
            <w:szCs w:val="26"/>
          </w:rPr>
          <w:t xml:space="preserve">Consolidated Rail Corp. v. Pa. PUC, </w:t>
        </w:r>
        <w:r w:rsidR="002A6750" w:rsidRPr="0030429E">
          <w:rPr>
            <w:rStyle w:val="Hyperlink"/>
            <w:color w:val="000000"/>
            <w:sz w:val="26"/>
            <w:szCs w:val="26"/>
            <w:u w:val="none"/>
          </w:rPr>
          <w:t>625 A.2d 741 (Pa. Cmwlth. 1993);</w:t>
        </w:r>
      </w:hyperlink>
      <w:r w:rsidR="002A6750" w:rsidRPr="0030429E">
        <w:rPr>
          <w:color w:val="000000"/>
          <w:sz w:val="26"/>
          <w:szCs w:val="26"/>
        </w:rPr>
        <w:t xml:space="preserve"> </w:t>
      </w:r>
      <w:r w:rsidR="002A6750" w:rsidRPr="0030429E">
        <w:rPr>
          <w:i/>
          <w:color w:val="000000"/>
          <w:sz w:val="26"/>
          <w:szCs w:val="26"/>
        </w:rPr>
        <w:t xml:space="preserve">also </w:t>
      </w:r>
      <w:r w:rsidR="002A6750" w:rsidRPr="0030429E">
        <w:rPr>
          <w:rStyle w:val="Emphasis"/>
          <w:color w:val="000000"/>
          <w:sz w:val="26"/>
          <w:szCs w:val="26"/>
        </w:rPr>
        <w:t xml:space="preserve">see, generally, </w:t>
      </w:r>
      <w:hyperlink r:id="rId10" w:history="1">
        <w:r w:rsidR="002A6750" w:rsidRPr="0030429E">
          <w:rPr>
            <w:rStyle w:val="Emphasis"/>
            <w:color w:val="000000"/>
            <w:sz w:val="26"/>
            <w:szCs w:val="26"/>
          </w:rPr>
          <w:t>University of Pennsylvania v. Pa. PUC</w:t>
        </w:r>
        <w:r w:rsidR="002A6750" w:rsidRPr="0030429E">
          <w:rPr>
            <w:rStyle w:val="Hyperlink"/>
            <w:color w:val="000000"/>
            <w:sz w:val="26"/>
            <w:szCs w:val="26"/>
            <w:u w:val="none"/>
          </w:rPr>
          <w:t>, 485 A.2d 1217 (Pa. Cmwlth. 1984).</w:t>
        </w:r>
      </w:hyperlink>
      <w:r w:rsidR="00214B3E" w:rsidRPr="0030429E">
        <w:rPr>
          <w:sz w:val="26"/>
          <w:szCs w:val="26"/>
        </w:rPr>
        <w:t xml:space="preserve"> </w:t>
      </w:r>
    </w:p>
    <w:p w:rsidR="00006F35" w:rsidRPr="0030429E" w:rsidRDefault="00006F35" w:rsidP="00E54E0F">
      <w:pPr>
        <w:widowControl/>
        <w:spacing w:line="360" w:lineRule="auto"/>
        <w:ind w:firstLine="1440"/>
        <w:rPr>
          <w:sz w:val="26"/>
          <w:szCs w:val="26"/>
        </w:rPr>
      </w:pPr>
    </w:p>
    <w:p w:rsidR="00006F35" w:rsidRPr="0030429E" w:rsidRDefault="00006F35" w:rsidP="00E54E0F">
      <w:pPr>
        <w:widowControl/>
        <w:spacing w:line="360" w:lineRule="auto"/>
        <w:ind w:firstLine="1440"/>
        <w:rPr>
          <w:b/>
          <w:sz w:val="26"/>
          <w:szCs w:val="26"/>
        </w:rPr>
      </w:pPr>
      <w:r w:rsidRPr="00B83D4C">
        <w:rPr>
          <w:b/>
          <w:sz w:val="26"/>
          <w:szCs w:val="26"/>
        </w:rPr>
        <w:t xml:space="preserve">ALJ’s </w:t>
      </w:r>
      <w:r w:rsidR="00C33904" w:rsidRPr="007B0313">
        <w:rPr>
          <w:b/>
          <w:sz w:val="26"/>
          <w:szCs w:val="26"/>
        </w:rPr>
        <w:t>Initial Decision</w:t>
      </w:r>
    </w:p>
    <w:p w:rsidR="00006F35" w:rsidRPr="0030429E" w:rsidRDefault="00006F35" w:rsidP="00E54E0F">
      <w:pPr>
        <w:widowControl/>
        <w:spacing w:line="360" w:lineRule="auto"/>
        <w:ind w:firstLine="1440"/>
        <w:rPr>
          <w:b/>
          <w:sz w:val="26"/>
          <w:szCs w:val="26"/>
        </w:rPr>
      </w:pPr>
    </w:p>
    <w:p w:rsidR="00C33904" w:rsidRPr="0030429E" w:rsidRDefault="00C33904" w:rsidP="00E54E0F">
      <w:pPr>
        <w:widowControl/>
        <w:spacing w:line="360" w:lineRule="auto"/>
        <w:ind w:firstLine="1440"/>
        <w:rPr>
          <w:sz w:val="26"/>
          <w:szCs w:val="26"/>
        </w:rPr>
      </w:pPr>
      <w:r w:rsidRPr="0030429E">
        <w:rPr>
          <w:sz w:val="26"/>
          <w:szCs w:val="26"/>
        </w:rPr>
        <w:t xml:space="preserve">The ALJ discussed the Commission’s rules pertaining to Preliminary Objections as set forth above.  I.D. at 3-4.  He also correctly set forth the standards to be followed regarding accepting all well-pleaded facts of the nonmoving party and viewing the Complaint in the light most favorable to the Complainants.  </w:t>
      </w:r>
      <w:r w:rsidRPr="0030429E">
        <w:rPr>
          <w:i/>
          <w:sz w:val="26"/>
          <w:szCs w:val="26"/>
        </w:rPr>
        <w:t>Id</w:t>
      </w:r>
      <w:r w:rsidRPr="0030429E">
        <w:rPr>
          <w:sz w:val="26"/>
          <w:szCs w:val="26"/>
        </w:rPr>
        <w:t>. at 4.  The ALJ observed that PECO’s Preliminary Objection should only be granted “if it appears that the McCarey’s would not be entitled to relief under any circumstances as a matter of law.</w:t>
      </w:r>
      <w:r w:rsidR="002D4E12" w:rsidRPr="0030429E">
        <w:rPr>
          <w:sz w:val="26"/>
          <w:szCs w:val="26"/>
        </w:rPr>
        <w:t>”</w:t>
      </w:r>
      <w:r w:rsidRPr="0030429E">
        <w:rPr>
          <w:sz w:val="26"/>
          <w:szCs w:val="26"/>
        </w:rPr>
        <w:t xml:space="preserve">  </w:t>
      </w:r>
      <w:r w:rsidR="002D4E12" w:rsidRPr="0030429E">
        <w:rPr>
          <w:i/>
          <w:sz w:val="26"/>
          <w:szCs w:val="26"/>
        </w:rPr>
        <w:t>Id</w:t>
      </w:r>
      <w:r w:rsidR="002D4E12" w:rsidRPr="0030429E">
        <w:rPr>
          <w:sz w:val="26"/>
          <w:szCs w:val="26"/>
        </w:rPr>
        <w:t>.</w:t>
      </w:r>
    </w:p>
    <w:p w:rsidR="002D4E12" w:rsidRPr="0030429E" w:rsidRDefault="002D4E12" w:rsidP="00E54E0F">
      <w:pPr>
        <w:widowControl/>
        <w:spacing w:line="360" w:lineRule="auto"/>
        <w:ind w:firstLine="1440"/>
        <w:rPr>
          <w:sz w:val="26"/>
          <w:szCs w:val="26"/>
        </w:rPr>
      </w:pPr>
    </w:p>
    <w:p w:rsidR="002D4E12" w:rsidRPr="0030429E" w:rsidRDefault="002D4E12" w:rsidP="00E54E0F">
      <w:pPr>
        <w:widowControl/>
        <w:spacing w:line="360" w:lineRule="auto"/>
        <w:ind w:firstLine="1440"/>
        <w:rPr>
          <w:sz w:val="26"/>
          <w:szCs w:val="26"/>
        </w:rPr>
      </w:pPr>
      <w:r w:rsidRPr="0030429E">
        <w:rPr>
          <w:sz w:val="26"/>
          <w:szCs w:val="26"/>
        </w:rPr>
        <w:t>The ALJ discussed PECO’s Preliminary Objection, noting that the Objection argued that the Complaint was legally insufficient.  PECO argued that Section 2807(f)(2) of the Public Utility Code (Code), 66 Pa. C.S. § 2807(f)(2), mandated that PECO furnish smart meters to its customers.  That Section provides, in pertinent part:</w:t>
      </w:r>
    </w:p>
    <w:p w:rsidR="001B3882" w:rsidRPr="00E54E0F" w:rsidRDefault="001B3882" w:rsidP="0030429E">
      <w:pPr>
        <w:widowControl/>
        <w:ind w:left="1440" w:right="1440"/>
        <w:rPr>
          <w:rFonts w:eastAsiaTheme="minorHAnsi"/>
          <w:sz w:val="26"/>
          <w:szCs w:val="26"/>
        </w:rPr>
      </w:pPr>
    </w:p>
    <w:p w:rsidR="001618F1" w:rsidRDefault="001618F1">
      <w:pPr>
        <w:widowControl/>
        <w:spacing w:after="200" w:line="276" w:lineRule="auto"/>
        <w:rPr>
          <w:rFonts w:eastAsiaTheme="minorHAnsi"/>
          <w:sz w:val="26"/>
          <w:szCs w:val="26"/>
        </w:rPr>
      </w:pPr>
      <w:r>
        <w:rPr>
          <w:rFonts w:eastAsiaTheme="minorHAnsi"/>
          <w:sz w:val="26"/>
          <w:szCs w:val="26"/>
        </w:rPr>
        <w:br w:type="page"/>
      </w:r>
    </w:p>
    <w:p w:rsidR="002D4E12" w:rsidRPr="00E54E0F" w:rsidRDefault="002D4E12" w:rsidP="00B83D4C">
      <w:pPr>
        <w:widowControl/>
        <w:ind w:left="1440" w:right="1440"/>
        <w:rPr>
          <w:rFonts w:eastAsiaTheme="minorHAnsi"/>
          <w:sz w:val="26"/>
          <w:szCs w:val="26"/>
        </w:rPr>
      </w:pPr>
      <w:r w:rsidRPr="00E54E0F">
        <w:rPr>
          <w:rFonts w:eastAsiaTheme="minorHAnsi"/>
          <w:sz w:val="26"/>
          <w:szCs w:val="26"/>
        </w:rPr>
        <w:lastRenderedPageBreak/>
        <w:t>(f) Smart meter technology and time of use rates.—</w:t>
      </w:r>
    </w:p>
    <w:p w:rsidR="002D4E12" w:rsidRPr="00E54E0F" w:rsidRDefault="002D4E12" w:rsidP="00B83D4C">
      <w:pPr>
        <w:widowControl/>
        <w:ind w:left="1440" w:right="1440"/>
        <w:rPr>
          <w:rFonts w:eastAsiaTheme="minorHAnsi"/>
          <w:sz w:val="26"/>
          <w:szCs w:val="26"/>
        </w:rPr>
      </w:pPr>
    </w:p>
    <w:p w:rsidR="002D4E12" w:rsidRPr="00E54E0F" w:rsidRDefault="002D4E12">
      <w:pPr>
        <w:widowControl/>
        <w:ind w:left="1440" w:right="1440"/>
        <w:jc w:val="center"/>
        <w:rPr>
          <w:rFonts w:eastAsiaTheme="minorHAnsi"/>
          <w:sz w:val="26"/>
          <w:szCs w:val="26"/>
        </w:rPr>
      </w:pPr>
      <w:r w:rsidRPr="00E54E0F">
        <w:rPr>
          <w:rFonts w:eastAsiaTheme="minorHAnsi"/>
          <w:sz w:val="26"/>
          <w:szCs w:val="26"/>
        </w:rPr>
        <w:t>* * * *</w:t>
      </w:r>
    </w:p>
    <w:p w:rsidR="002D4E12" w:rsidRPr="00E54E0F" w:rsidRDefault="002D4E12">
      <w:pPr>
        <w:widowControl/>
        <w:ind w:left="1440" w:right="1440"/>
        <w:rPr>
          <w:rFonts w:eastAsiaTheme="minorHAnsi"/>
          <w:sz w:val="26"/>
          <w:szCs w:val="26"/>
        </w:rPr>
      </w:pPr>
    </w:p>
    <w:p w:rsidR="002D4E12" w:rsidRPr="00E54E0F" w:rsidRDefault="002D4E12">
      <w:pPr>
        <w:widowControl/>
        <w:ind w:left="1440" w:right="1440"/>
        <w:rPr>
          <w:rFonts w:eastAsiaTheme="minorHAnsi"/>
          <w:sz w:val="26"/>
          <w:szCs w:val="26"/>
        </w:rPr>
      </w:pPr>
      <w:r w:rsidRPr="00E54E0F">
        <w:rPr>
          <w:rFonts w:eastAsiaTheme="minorHAnsi"/>
          <w:sz w:val="26"/>
          <w:szCs w:val="26"/>
        </w:rPr>
        <w:t xml:space="preserve">(2) Electric distribution companies </w:t>
      </w:r>
      <w:r w:rsidRPr="00E54E0F">
        <w:rPr>
          <w:rFonts w:eastAsiaTheme="minorHAnsi"/>
          <w:b/>
          <w:i/>
          <w:sz w:val="26"/>
          <w:szCs w:val="26"/>
        </w:rPr>
        <w:t>shall</w:t>
      </w:r>
      <w:r w:rsidRPr="00E54E0F">
        <w:rPr>
          <w:rFonts w:eastAsiaTheme="minorHAnsi"/>
          <w:sz w:val="26"/>
          <w:szCs w:val="26"/>
        </w:rPr>
        <w:t xml:space="preserve"> furnish smart meter technology as follows:</w:t>
      </w:r>
    </w:p>
    <w:p w:rsidR="002D4E12" w:rsidRPr="00E54E0F" w:rsidRDefault="002D4E12">
      <w:pPr>
        <w:widowControl/>
        <w:ind w:left="1440" w:right="1440"/>
        <w:rPr>
          <w:rFonts w:eastAsiaTheme="minorHAnsi"/>
          <w:sz w:val="26"/>
          <w:szCs w:val="26"/>
        </w:rPr>
      </w:pPr>
    </w:p>
    <w:p w:rsidR="002D4E12" w:rsidRPr="00E54E0F" w:rsidRDefault="002D4E12">
      <w:pPr>
        <w:widowControl/>
        <w:ind w:left="2160" w:right="2160"/>
        <w:rPr>
          <w:rFonts w:eastAsiaTheme="minorHAnsi"/>
          <w:sz w:val="26"/>
          <w:szCs w:val="26"/>
        </w:rPr>
      </w:pPr>
      <w:r w:rsidRPr="00E54E0F">
        <w:rPr>
          <w:rFonts w:eastAsiaTheme="minorHAnsi"/>
          <w:sz w:val="26"/>
          <w:szCs w:val="26"/>
        </w:rPr>
        <w:t>(i) Upon request from a customer that agrees to pay the cost of the smart meter at the time of the request.</w:t>
      </w:r>
    </w:p>
    <w:p w:rsidR="002D4E12" w:rsidRPr="00E54E0F" w:rsidRDefault="002D4E12">
      <w:pPr>
        <w:widowControl/>
        <w:ind w:left="2160" w:right="2160"/>
        <w:rPr>
          <w:rFonts w:eastAsiaTheme="minorHAnsi"/>
          <w:sz w:val="26"/>
          <w:szCs w:val="26"/>
        </w:rPr>
      </w:pPr>
    </w:p>
    <w:p w:rsidR="002D4E12" w:rsidRPr="00E54E0F" w:rsidRDefault="002D4E12">
      <w:pPr>
        <w:widowControl/>
        <w:ind w:left="2160" w:right="2160"/>
        <w:rPr>
          <w:rFonts w:eastAsiaTheme="minorHAnsi"/>
          <w:sz w:val="26"/>
          <w:szCs w:val="26"/>
        </w:rPr>
      </w:pPr>
      <w:r w:rsidRPr="00E54E0F">
        <w:rPr>
          <w:rFonts w:eastAsiaTheme="minorHAnsi"/>
          <w:sz w:val="26"/>
          <w:szCs w:val="26"/>
        </w:rPr>
        <w:t>(ii) In new building construction.</w:t>
      </w:r>
    </w:p>
    <w:p w:rsidR="002D4E12" w:rsidRPr="00E54E0F" w:rsidRDefault="002D4E12">
      <w:pPr>
        <w:widowControl/>
        <w:ind w:left="2160" w:right="2160"/>
        <w:rPr>
          <w:rFonts w:eastAsiaTheme="minorHAnsi"/>
          <w:sz w:val="26"/>
          <w:szCs w:val="26"/>
        </w:rPr>
      </w:pPr>
    </w:p>
    <w:p w:rsidR="002D4E12" w:rsidRPr="00E54E0F" w:rsidRDefault="002D4E12">
      <w:pPr>
        <w:widowControl/>
        <w:ind w:left="2160" w:right="2160"/>
        <w:rPr>
          <w:rFonts w:eastAsiaTheme="minorHAnsi"/>
          <w:sz w:val="26"/>
          <w:szCs w:val="26"/>
        </w:rPr>
      </w:pPr>
      <w:r w:rsidRPr="00E54E0F">
        <w:rPr>
          <w:rFonts w:eastAsiaTheme="minorHAnsi"/>
          <w:sz w:val="26"/>
          <w:szCs w:val="26"/>
        </w:rPr>
        <w:t>(iii) In accordance with a depreciation schedule not to exceed 15 years.</w:t>
      </w:r>
    </w:p>
    <w:p w:rsidR="002D4E12" w:rsidRPr="00E54E0F" w:rsidRDefault="002D4E12">
      <w:pPr>
        <w:widowControl/>
        <w:ind w:left="2160" w:right="2160"/>
        <w:rPr>
          <w:rFonts w:eastAsiaTheme="minorHAnsi"/>
          <w:sz w:val="26"/>
          <w:szCs w:val="26"/>
        </w:rPr>
      </w:pPr>
    </w:p>
    <w:p w:rsidR="002D4E12" w:rsidRPr="00E54E0F" w:rsidRDefault="002D4E12">
      <w:pPr>
        <w:widowControl/>
        <w:spacing w:line="360" w:lineRule="auto"/>
        <w:rPr>
          <w:rFonts w:eastAsiaTheme="minorHAnsi"/>
          <w:sz w:val="26"/>
          <w:szCs w:val="26"/>
        </w:rPr>
      </w:pPr>
      <w:r w:rsidRPr="00E54E0F">
        <w:rPr>
          <w:rFonts w:eastAsiaTheme="minorHAnsi"/>
          <w:sz w:val="26"/>
          <w:szCs w:val="26"/>
        </w:rPr>
        <w:t>(</w:t>
      </w:r>
      <w:r w:rsidR="001B3882" w:rsidRPr="00E54E0F">
        <w:rPr>
          <w:rFonts w:eastAsiaTheme="minorHAnsi"/>
          <w:sz w:val="26"/>
          <w:szCs w:val="26"/>
        </w:rPr>
        <w:t>E</w:t>
      </w:r>
      <w:r w:rsidRPr="00E54E0F">
        <w:rPr>
          <w:rFonts w:eastAsiaTheme="minorHAnsi"/>
          <w:sz w:val="26"/>
          <w:szCs w:val="26"/>
        </w:rPr>
        <w:t>mphasis added).</w:t>
      </w:r>
    </w:p>
    <w:p w:rsidR="009C6605" w:rsidRPr="00E54E0F" w:rsidRDefault="009C6605">
      <w:pPr>
        <w:widowControl/>
        <w:spacing w:line="360" w:lineRule="auto"/>
        <w:rPr>
          <w:rFonts w:eastAsiaTheme="minorHAnsi"/>
          <w:sz w:val="26"/>
          <w:szCs w:val="26"/>
        </w:rPr>
      </w:pPr>
    </w:p>
    <w:p w:rsidR="009C6605" w:rsidRPr="00E54E0F" w:rsidRDefault="009C6605">
      <w:pPr>
        <w:widowControl/>
        <w:spacing w:line="360" w:lineRule="auto"/>
        <w:rPr>
          <w:rFonts w:eastAsiaTheme="minorHAnsi"/>
          <w:sz w:val="26"/>
          <w:szCs w:val="26"/>
        </w:rPr>
      </w:pPr>
      <w:r w:rsidRPr="00E54E0F">
        <w:rPr>
          <w:rFonts w:eastAsiaTheme="minorHAnsi"/>
          <w:sz w:val="26"/>
          <w:szCs w:val="26"/>
        </w:rPr>
        <w:tab/>
      </w:r>
      <w:r w:rsidRPr="00E54E0F">
        <w:rPr>
          <w:rFonts w:eastAsiaTheme="minorHAnsi"/>
          <w:sz w:val="26"/>
          <w:szCs w:val="26"/>
        </w:rPr>
        <w:tab/>
        <w:t xml:space="preserve">The ALJ agreed with PECO that the foregoing statute mandated the provision of smart meters to all customers.  The ALJ also observed that there is no provision in the statute that would permit a customer to “opt-out” of </w:t>
      </w:r>
      <w:r w:rsidR="001618F1">
        <w:rPr>
          <w:rFonts w:eastAsiaTheme="minorHAnsi"/>
          <w:sz w:val="26"/>
          <w:szCs w:val="26"/>
        </w:rPr>
        <w:t>s</w:t>
      </w:r>
      <w:r w:rsidRPr="00E54E0F">
        <w:rPr>
          <w:rFonts w:eastAsiaTheme="minorHAnsi"/>
          <w:sz w:val="26"/>
          <w:szCs w:val="26"/>
        </w:rPr>
        <w:t>mart meter installation as requested by the Complainants.  I.D. at 5.</w:t>
      </w:r>
    </w:p>
    <w:p w:rsidR="009C6605" w:rsidRPr="00E54E0F" w:rsidRDefault="009C6605">
      <w:pPr>
        <w:widowControl/>
        <w:spacing w:line="360" w:lineRule="auto"/>
        <w:rPr>
          <w:rFonts w:eastAsiaTheme="minorHAnsi"/>
          <w:sz w:val="26"/>
          <w:szCs w:val="26"/>
        </w:rPr>
      </w:pPr>
    </w:p>
    <w:p w:rsidR="009C6605" w:rsidRPr="00E54E0F" w:rsidRDefault="009C6605">
      <w:pPr>
        <w:widowControl/>
        <w:spacing w:line="360" w:lineRule="auto"/>
        <w:rPr>
          <w:rFonts w:eastAsiaTheme="minorHAnsi"/>
          <w:sz w:val="26"/>
          <w:szCs w:val="26"/>
        </w:rPr>
      </w:pPr>
      <w:r w:rsidRPr="00E54E0F">
        <w:rPr>
          <w:rFonts w:eastAsiaTheme="minorHAnsi"/>
          <w:sz w:val="26"/>
          <w:szCs w:val="26"/>
        </w:rPr>
        <w:tab/>
      </w:r>
      <w:r w:rsidRPr="00E54E0F">
        <w:rPr>
          <w:rFonts w:eastAsiaTheme="minorHAnsi"/>
          <w:sz w:val="26"/>
          <w:szCs w:val="26"/>
        </w:rPr>
        <w:tab/>
        <w:t xml:space="preserve">The ALJ also found that this Commission’s Orders which implemented the smart meter provision of Act 129 and approved PECO’s own implementation plan do not provide that customers can opt out of smart meter installation.  </w:t>
      </w:r>
      <w:r w:rsidR="00426BF7" w:rsidRPr="00E54E0F">
        <w:rPr>
          <w:rFonts w:eastAsiaTheme="minorHAnsi"/>
          <w:sz w:val="26"/>
          <w:szCs w:val="26"/>
        </w:rPr>
        <w:t xml:space="preserve">The ALJ quoted this Commission’s statement in the </w:t>
      </w:r>
      <w:r w:rsidR="00426BF7" w:rsidRPr="00E54E0F">
        <w:rPr>
          <w:rFonts w:eastAsiaTheme="minorHAnsi"/>
          <w:i/>
          <w:sz w:val="26"/>
          <w:szCs w:val="26"/>
        </w:rPr>
        <w:t>Smart Meter Procurement and Installation Implementation Order</w:t>
      </w:r>
      <w:r w:rsidR="00426BF7" w:rsidRPr="00E54E0F">
        <w:rPr>
          <w:rFonts w:eastAsiaTheme="minorHAnsi"/>
          <w:sz w:val="26"/>
          <w:szCs w:val="26"/>
        </w:rPr>
        <w:t>, Docket No. M-2009-2092655 (Order entered June 24, 2009) (</w:t>
      </w:r>
      <w:r w:rsidR="00426BF7" w:rsidRPr="00E54E0F">
        <w:rPr>
          <w:rFonts w:eastAsiaTheme="minorHAnsi"/>
          <w:i/>
          <w:sz w:val="26"/>
          <w:szCs w:val="26"/>
        </w:rPr>
        <w:t>Smart Meter Procurement Order</w:t>
      </w:r>
      <w:r w:rsidR="00426BF7" w:rsidRPr="00E54E0F">
        <w:rPr>
          <w:rFonts w:eastAsiaTheme="minorHAnsi"/>
          <w:sz w:val="26"/>
          <w:szCs w:val="26"/>
        </w:rPr>
        <w:t>):</w:t>
      </w:r>
    </w:p>
    <w:p w:rsidR="00140F0A" w:rsidRDefault="00140F0A">
      <w:pPr>
        <w:widowControl/>
        <w:ind w:left="1440" w:right="1440"/>
        <w:rPr>
          <w:rFonts w:eastAsiaTheme="minorHAnsi"/>
          <w:sz w:val="26"/>
          <w:szCs w:val="26"/>
        </w:rPr>
      </w:pPr>
    </w:p>
    <w:p w:rsidR="006900D1" w:rsidRDefault="00426BF7" w:rsidP="0030429E">
      <w:pPr>
        <w:widowControl/>
        <w:ind w:left="1440" w:right="1440"/>
        <w:rPr>
          <w:rFonts w:eastAsiaTheme="minorHAnsi"/>
          <w:sz w:val="26"/>
          <w:szCs w:val="26"/>
        </w:rPr>
      </w:pPr>
      <w:r w:rsidRPr="00E54E0F">
        <w:rPr>
          <w:rFonts w:eastAsiaTheme="minorHAnsi"/>
          <w:sz w:val="26"/>
          <w:szCs w:val="26"/>
        </w:rPr>
        <w:t xml:space="preserve">The Commission believes that it was the intent of the General Assembly to require all covered [Electric Distribution Companies] to deploy smart meters system-wide when it included a requirement for smart meter deployment “in </w:t>
      </w:r>
    </w:p>
    <w:p w:rsidR="006900D1" w:rsidRDefault="006900D1">
      <w:pPr>
        <w:widowControl/>
        <w:spacing w:after="200" w:line="276" w:lineRule="auto"/>
        <w:rPr>
          <w:rFonts w:eastAsiaTheme="minorHAnsi"/>
          <w:sz w:val="26"/>
          <w:szCs w:val="26"/>
        </w:rPr>
      </w:pPr>
      <w:r>
        <w:rPr>
          <w:rFonts w:eastAsiaTheme="minorHAnsi"/>
          <w:sz w:val="26"/>
          <w:szCs w:val="26"/>
        </w:rPr>
        <w:br w:type="page"/>
      </w:r>
    </w:p>
    <w:p w:rsidR="00426BF7" w:rsidRPr="00E54E0F" w:rsidRDefault="00426BF7">
      <w:pPr>
        <w:widowControl/>
        <w:ind w:left="1440" w:right="1440"/>
        <w:rPr>
          <w:rFonts w:eastAsiaTheme="minorHAnsi"/>
          <w:sz w:val="26"/>
          <w:szCs w:val="26"/>
        </w:rPr>
      </w:pPr>
      <w:r w:rsidRPr="00E54E0F">
        <w:rPr>
          <w:rFonts w:eastAsiaTheme="minorHAnsi"/>
          <w:sz w:val="26"/>
          <w:szCs w:val="26"/>
        </w:rPr>
        <w:lastRenderedPageBreak/>
        <w:t>accordance with a depreciation schedule not to exceed 15 years.”</w:t>
      </w:r>
    </w:p>
    <w:p w:rsidR="00426BF7" w:rsidRPr="00E54E0F" w:rsidRDefault="00426BF7">
      <w:pPr>
        <w:widowControl/>
        <w:spacing w:line="360" w:lineRule="auto"/>
        <w:rPr>
          <w:rFonts w:eastAsiaTheme="minorHAnsi"/>
          <w:sz w:val="26"/>
          <w:szCs w:val="26"/>
        </w:rPr>
      </w:pPr>
    </w:p>
    <w:p w:rsidR="00426BF7" w:rsidRPr="00E54E0F" w:rsidRDefault="001B7B87">
      <w:pPr>
        <w:widowControl/>
        <w:spacing w:line="360" w:lineRule="auto"/>
        <w:rPr>
          <w:rFonts w:eastAsiaTheme="minorHAnsi"/>
          <w:sz w:val="26"/>
          <w:szCs w:val="26"/>
        </w:rPr>
      </w:pPr>
      <w:r w:rsidRPr="00245C48">
        <w:rPr>
          <w:rFonts w:eastAsiaTheme="minorHAnsi"/>
          <w:sz w:val="26"/>
          <w:szCs w:val="26"/>
        </w:rPr>
        <w:t>I.D. at 5</w:t>
      </w:r>
      <w:r>
        <w:rPr>
          <w:rFonts w:eastAsiaTheme="minorHAnsi"/>
          <w:sz w:val="26"/>
          <w:szCs w:val="26"/>
        </w:rPr>
        <w:t xml:space="preserve">, quoting </w:t>
      </w:r>
      <w:r w:rsidR="00426BF7" w:rsidRPr="00E54E0F">
        <w:rPr>
          <w:rFonts w:eastAsiaTheme="minorHAnsi"/>
          <w:i/>
          <w:sz w:val="26"/>
          <w:szCs w:val="26"/>
        </w:rPr>
        <w:t>Smart Meter Procurement Order</w:t>
      </w:r>
      <w:r w:rsidR="00426BF7" w:rsidRPr="00E54E0F">
        <w:rPr>
          <w:rFonts w:eastAsiaTheme="minorHAnsi"/>
          <w:sz w:val="26"/>
          <w:szCs w:val="26"/>
        </w:rPr>
        <w:t xml:space="preserve"> at 14.</w:t>
      </w:r>
      <w:r w:rsidR="00F60909" w:rsidRPr="00E54E0F">
        <w:rPr>
          <w:rFonts w:eastAsiaTheme="minorHAnsi"/>
          <w:sz w:val="26"/>
          <w:szCs w:val="26"/>
        </w:rPr>
        <w:t xml:space="preserve">  </w:t>
      </w:r>
    </w:p>
    <w:p w:rsidR="00F60909" w:rsidRPr="00E54E0F" w:rsidRDefault="00F60909">
      <w:pPr>
        <w:widowControl/>
        <w:spacing w:line="360" w:lineRule="auto"/>
        <w:rPr>
          <w:rFonts w:eastAsiaTheme="minorHAnsi"/>
          <w:sz w:val="26"/>
          <w:szCs w:val="26"/>
        </w:rPr>
      </w:pPr>
    </w:p>
    <w:p w:rsidR="00F60909" w:rsidRPr="00E54E0F" w:rsidRDefault="00F60909">
      <w:pPr>
        <w:widowControl/>
        <w:spacing w:line="360" w:lineRule="auto"/>
        <w:rPr>
          <w:rFonts w:eastAsiaTheme="minorHAnsi"/>
          <w:sz w:val="26"/>
          <w:szCs w:val="26"/>
        </w:rPr>
      </w:pPr>
      <w:r w:rsidRPr="00E54E0F">
        <w:rPr>
          <w:rFonts w:eastAsiaTheme="minorHAnsi"/>
          <w:sz w:val="26"/>
          <w:szCs w:val="26"/>
        </w:rPr>
        <w:tab/>
      </w:r>
      <w:r w:rsidRPr="00E54E0F">
        <w:rPr>
          <w:rFonts w:eastAsiaTheme="minorHAnsi"/>
          <w:sz w:val="26"/>
          <w:szCs w:val="26"/>
        </w:rPr>
        <w:tab/>
        <w:t xml:space="preserve">The ALJ further found that this precise issue has been addressed by the Commission before.  </w:t>
      </w:r>
      <w:r w:rsidR="007A3316">
        <w:rPr>
          <w:rFonts w:eastAsiaTheme="minorHAnsi"/>
          <w:sz w:val="26"/>
          <w:szCs w:val="26"/>
        </w:rPr>
        <w:t xml:space="preserve">I.D. at 6.  </w:t>
      </w:r>
      <w:r w:rsidRPr="00E54E0F">
        <w:rPr>
          <w:rFonts w:eastAsiaTheme="minorHAnsi"/>
          <w:sz w:val="26"/>
          <w:szCs w:val="26"/>
        </w:rPr>
        <w:t xml:space="preserve">In </w:t>
      </w:r>
      <w:r w:rsidRPr="00E54E0F">
        <w:rPr>
          <w:rFonts w:eastAsiaTheme="minorHAnsi"/>
          <w:i/>
          <w:sz w:val="26"/>
          <w:szCs w:val="26"/>
        </w:rPr>
        <w:t>Maria Povacz v. PECO Energy Company</w:t>
      </w:r>
      <w:r w:rsidRPr="00E54E0F">
        <w:rPr>
          <w:rFonts w:eastAsiaTheme="minorHAnsi"/>
          <w:sz w:val="26"/>
          <w:szCs w:val="26"/>
        </w:rPr>
        <w:t xml:space="preserve">, Docket No. </w:t>
      </w:r>
      <w:r w:rsidR="006900D1">
        <w:rPr>
          <w:rFonts w:eastAsiaTheme="minorHAnsi"/>
          <w:sz w:val="26"/>
          <w:szCs w:val="26"/>
        </w:rPr>
        <w:br/>
      </w:r>
      <w:r w:rsidRPr="00E54E0F">
        <w:rPr>
          <w:rFonts w:eastAsiaTheme="minorHAnsi"/>
          <w:sz w:val="26"/>
          <w:szCs w:val="26"/>
        </w:rPr>
        <w:t>C-2012-23171</w:t>
      </w:r>
      <w:r w:rsidR="00854D82">
        <w:rPr>
          <w:rFonts w:eastAsiaTheme="minorHAnsi"/>
          <w:sz w:val="26"/>
          <w:szCs w:val="26"/>
        </w:rPr>
        <w:t>76</w:t>
      </w:r>
      <w:r w:rsidRPr="00E54E0F">
        <w:rPr>
          <w:rFonts w:eastAsiaTheme="minorHAnsi"/>
          <w:sz w:val="26"/>
          <w:szCs w:val="26"/>
        </w:rPr>
        <w:t xml:space="preserve"> (Order entered January 24, 2013) (</w:t>
      </w:r>
      <w:r w:rsidRPr="00E54E0F">
        <w:rPr>
          <w:rFonts w:eastAsiaTheme="minorHAnsi"/>
          <w:i/>
          <w:sz w:val="26"/>
          <w:szCs w:val="26"/>
        </w:rPr>
        <w:t>Povacz</w:t>
      </w:r>
      <w:r w:rsidRPr="00E54E0F">
        <w:rPr>
          <w:rFonts w:eastAsiaTheme="minorHAnsi"/>
          <w:sz w:val="26"/>
          <w:szCs w:val="26"/>
        </w:rPr>
        <w:t xml:space="preserve">), </w:t>
      </w:r>
      <w:r w:rsidR="004024C3" w:rsidRPr="00E54E0F">
        <w:rPr>
          <w:rFonts w:eastAsiaTheme="minorHAnsi"/>
          <w:sz w:val="26"/>
          <w:szCs w:val="26"/>
        </w:rPr>
        <w:t>the Complainant argued that she did not give permission for the installa</w:t>
      </w:r>
      <w:r w:rsidR="003F0560" w:rsidRPr="00E54E0F">
        <w:rPr>
          <w:rFonts w:eastAsiaTheme="minorHAnsi"/>
          <w:sz w:val="26"/>
          <w:szCs w:val="26"/>
        </w:rPr>
        <w:t xml:space="preserve">tion of a smart meter and requested that she be allowed to opt out of the program.  PECO filed Preliminary Objections, citing Section 2807(f)(2) of the Code and the </w:t>
      </w:r>
      <w:r w:rsidR="003F0560" w:rsidRPr="00E54E0F">
        <w:rPr>
          <w:rFonts w:eastAsiaTheme="minorHAnsi"/>
          <w:i/>
          <w:sz w:val="26"/>
          <w:szCs w:val="26"/>
        </w:rPr>
        <w:t>Smart Meter Procurement Order</w:t>
      </w:r>
      <w:r w:rsidR="003F0560" w:rsidRPr="00E54E0F">
        <w:rPr>
          <w:rFonts w:eastAsiaTheme="minorHAnsi"/>
          <w:sz w:val="26"/>
          <w:szCs w:val="26"/>
        </w:rPr>
        <w:t>.  This Commission granted PECO’s Preliminary Objection and dismissed that Complaint stating:</w:t>
      </w:r>
    </w:p>
    <w:p w:rsidR="006900D1" w:rsidRDefault="006900D1">
      <w:pPr>
        <w:widowControl/>
        <w:ind w:left="1440" w:right="1440"/>
        <w:rPr>
          <w:rFonts w:eastAsiaTheme="minorHAnsi"/>
          <w:sz w:val="26"/>
          <w:szCs w:val="26"/>
        </w:rPr>
      </w:pPr>
    </w:p>
    <w:p w:rsidR="003F0560" w:rsidRPr="00E54E0F" w:rsidRDefault="003F0560">
      <w:pPr>
        <w:widowControl/>
        <w:ind w:left="1440" w:right="1440"/>
        <w:rPr>
          <w:rFonts w:eastAsiaTheme="minorHAnsi"/>
          <w:sz w:val="26"/>
          <w:szCs w:val="26"/>
        </w:rPr>
      </w:pPr>
      <w:r w:rsidRPr="00E54E0F">
        <w:rPr>
          <w:rFonts w:eastAsiaTheme="minorHAnsi"/>
          <w:sz w:val="26"/>
          <w:szCs w:val="26"/>
        </w:rPr>
        <w:t xml:space="preserve">Additionally, as noted by the ALJ, Section 2807(f)(2) of the Code, </w:t>
      </w:r>
      <w:r w:rsidRPr="00E54E0F">
        <w:rPr>
          <w:rFonts w:eastAsiaTheme="minorHAnsi"/>
          <w:i/>
          <w:sz w:val="26"/>
          <w:szCs w:val="26"/>
        </w:rPr>
        <w:t>supra</w:t>
      </w:r>
      <w:r w:rsidRPr="00E54E0F">
        <w:rPr>
          <w:rFonts w:eastAsiaTheme="minorHAnsi"/>
          <w:sz w:val="26"/>
          <w:szCs w:val="26"/>
        </w:rPr>
        <w:t>, is controlling here, and the use of the word “shall” in the statute indicates the General Assembly’s direction that all customers will receive a smart meter.  The Complainant’s smart meter was installed by PECO in accordance with a plan approved by this Commission.  Therefore, installation of the smart meter was consistent with, rather than a violation of, the Code, a Commission regulation or Order.</w:t>
      </w:r>
    </w:p>
    <w:p w:rsidR="003F0560" w:rsidRPr="00E54E0F" w:rsidRDefault="003F0560">
      <w:pPr>
        <w:widowControl/>
        <w:spacing w:line="480" w:lineRule="auto"/>
        <w:ind w:left="1440" w:right="1440"/>
        <w:rPr>
          <w:rFonts w:eastAsiaTheme="minorHAnsi"/>
          <w:sz w:val="26"/>
          <w:szCs w:val="26"/>
        </w:rPr>
      </w:pPr>
    </w:p>
    <w:p w:rsidR="003F0560" w:rsidRPr="00E54E0F" w:rsidRDefault="003F0560">
      <w:pPr>
        <w:widowControl/>
        <w:spacing w:line="360" w:lineRule="auto"/>
        <w:rPr>
          <w:rFonts w:eastAsiaTheme="minorHAnsi"/>
          <w:sz w:val="26"/>
          <w:szCs w:val="26"/>
        </w:rPr>
      </w:pPr>
      <w:r w:rsidRPr="00E54E0F">
        <w:rPr>
          <w:rFonts w:eastAsiaTheme="minorHAnsi"/>
          <w:i/>
          <w:sz w:val="26"/>
          <w:szCs w:val="26"/>
        </w:rPr>
        <w:t>Id</w:t>
      </w:r>
      <w:r w:rsidRPr="00E54E0F">
        <w:rPr>
          <w:rFonts w:eastAsiaTheme="minorHAnsi"/>
          <w:sz w:val="26"/>
          <w:szCs w:val="26"/>
        </w:rPr>
        <w:t>. at 10 (citations omitted).</w:t>
      </w:r>
      <w:r w:rsidR="006F7063" w:rsidRPr="00E54E0F">
        <w:rPr>
          <w:rFonts w:eastAsiaTheme="minorHAnsi"/>
          <w:sz w:val="26"/>
          <w:szCs w:val="26"/>
        </w:rPr>
        <w:t xml:space="preserve">  The ALJ also noted that the Commission stated in </w:t>
      </w:r>
      <w:r w:rsidR="006F7063" w:rsidRPr="00E54E0F">
        <w:rPr>
          <w:rFonts w:eastAsiaTheme="minorHAnsi"/>
          <w:i/>
          <w:sz w:val="26"/>
          <w:szCs w:val="26"/>
        </w:rPr>
        <w:t>Povacz</w:t>
      </w:r>
      <w:r w:rsidR="006F7063" w:rsidRPr="00E54E0F">
        <w:rPr>
          <w:rFonts w:eastAsiaTheme="minorHAnsi"/>
          <w:sz w:val="26"/>
          <w:szCs w:val="26"/>
        </w:rPr>
        <w:t xml:space="preserve"> that there was no provision for a customer to opt out of PECO’s smart meter installation program.  </w:t>
      </w:r>
      <w:r w:rsidR="006F7063" w:rsidRPr="00E54E0F">
        <w:rPr>
          <w:rFonts w:eastAsiaTheme="minorHAnsi"/>
          <w:i/>
          <w:sz w:val="26"/>
          <w:szCs w:val="26"/>
        </w:rPr>
        <w:t>Id</w:t>
      </w:r>
      <w:r w:rsidR="006F7063" w:rsidRPr="00E54E0F">
        <w:rPr>
          <w:rFonts w:eastAsiaTheme="minorHAnsi"/>
          <w:sz w:val="26"/>
          <w:szCs w:val="26"/>
        </w:rPr>
        <w:t>.</w:t>
      </w:r>
    </w:p>
    <w:p w:rsidR="006F7063" w:rsidRPr="00E54E0F" w:rsidRDefault="006F7063">
      <w:pPr>
        <w:widowControl/>
        <w:spacing w:line="360" w:lineRule="auto"/>
        <w:rPr>
          <w:rFonts w:eastAsiaTheme="minorHAnsi"/>
          <w:sz w:val="26"/>
          <w:szCs w:val="26"/>
        </w:rPr>
      </w:pPr>
    </w:p>
    <w:p w:rsidR="006F7063" w:rsidRPr="00E54E0F" w:rsidRDefault="006F7063">
      <w:pPr>
        <w:widowControl/>
        <w:spacing w:line="360" w:lineRule="auto"/>
        <w:rPr>
          <w:rFonts w:eastAsiaTheme="minorHAnsi"/>
          <w:sz w:val="26"/>
          <w:szCs w:val="26"/>
        </w:rPr>
      </w:pPr>
      <w:r w:rsidRPr="00E54E0F">
        <w:rPr>
          <w:rFonts w:eastAsiaTheme="minorHAnsi"/>
          <w:sz w:val="26"/>
          <w:szCs w:val="26"/>
        </w:rPr>
        <w:tab/>
      </w:r>
      <w:r w:rsidRPr="00E54E0F">
        <w:rPr>
          <w:rFonts w:eastAsiaTheme="minorHAnsi"/>
          <w:sz w:val="26"/>
          <w:szCs w:val="26"/>
        </w:rPr>
        <w:tab/>
        <w:t xml:space="preserve">The ALJ discussed this Commission’s policy announced in </w:t>
      </w:r>
      <w:r w:rsidRPr="00E54E0F">
        <w:rPr>
          <w:rFonts w:eastAsiaTheme="minorHAnsi"/>
          <w:i/>
          <w:sz w:val="26"/>
          <w:szCs w:val="26"/>
        </w:rPr>
        <w:t xml:space="preserve">Carlock v. </w:t>
      </w:r>
      <w:r w:rsidRPr="00E54E0F">
        <w:rPr>
          <w:rFonts w:eastAsiaTheme="minorHAnsi"/>
          <w:i/>
          <w:sz w:val="26"/>
          <w:szCs w:val="26"/>
        </w:rPr>
        <w:br/>
        <w:t>United Telephone Company of Pennsylvania</w:t>
      </w:r>
      <w:r w:rsidRPr="00E54E0F">
        <w:rPr>
          <w:rFonts w:eastAsiaTheme="minorHAnsi"/>
          <w:sz w:val="26"/>
          <w:szCs w:val="26"/>
        </w:rPr>
        <w:t>, Docket No. F-00163617 (Order entered July 14, 1993) (</w:t>
      </w:r>
      <w:r w:rsidRPr="00E54E0F">
        <w:rPr>
          <w:rFonts w:eastAsiaTheme="minorHAnsi"/>
          <w:i/>
          <w:sz w:val="26"/>
          <w:szCs w:val="26"/>
        </w:rPr>
        <w:t>Carlock</w:t>
      </w:r>
      <w:r w:rsidRPr="00E54E0F">
        <w:rPr>
          <w:rFonts w:eastAsiaTheme="minorHAnsi"/>
          <w:sz w:val="26"/>
          <w:szCs w:val="26"/>
        </w:rPr>
        <w:t xml:space="preserve">).  In </w:t>
      </w:r>
      <w:r w:rsidRPr="00E54E0F">
        <w:rPr>
          <w:rFonts w:eastAsiaTheme="minorHAnsi"/>
          <w:i/>
          <w:sz w:val="26"/>
          <w:szCs w:val="26"/>
        </w:rPr>
        <w:t>Carlock</w:t>
      </w:r>
      <w:r w:rsidRPr="00E54E0F">
        <w:rPr>
          <w:rFonts w:eastAsiaTheme="minorHAnsi"/>
          <w:sz w:val="26"/>
          <w:szCs w:val="26"/>
        </w:rPr>
        <w:t>, the Commission held that</w:t>
      </w:r>
      <w:r w:rsidR="002456B9">
        <w:rPr>
          <w:rFonts w:eastAsiaTheme="minorHAnsi"/>
          <w:sz w:val="26"/>
          <w:szCs w:val="26"/>
        </w:rPr>
        <w:t>,</w:t>
      </w:r>
      <w:r w:rsidRPr="00E54E0F">
        <w:rPr>
          <w:rFonts w:eastAsiaTheme="minorHAnsi"/>
          <w:sz w:val="26"/>
          <w:szCs w:val="26"/>
        </w:rPr>
        <w:t xml:space="preserve"> in the ordinary course, the Commission would not dismiss a complaint filed by a </w:t>
      </w:r>
      <w:r w:rsidRPr="00E54E0F">
        <w:rPr>
          <w:rFonts w:eastAsiaTheme="minorHAnsi"/>
          <w:i/>
          <w:sz w:val="26"/>
          <w:szCs w:val="26"/>
        </w:rPr>
        <w:t>pro se</w:t>
      </w:r>
      <w:r w:rsidRPr="00E54E0F">
        <w:rPr>
          <w:rFonts w:eastAsiaTheme="minorHAnsi"/>
          <w:sz w:val="26"/>
          <w:szCs w:val="26"/>
        </w:rPr>
        <w:t xml:space="preserve"> complainant without </w:t>
      </w:r>
      <w:r w:rsidRPr="00E54E0F">
        <w:rPr>
          <w:rFonts w:eastAsiaTheme="minorHAnsi"/>
          <w:sz w:val="26"/>
          <w:szCs w:val="26"/>
        </w:rPr>
        <w:lastRenderedPageBreak/>
        <w:t xml:space="preserve">first providing a hearing during which the complainant could explain the factual basis for his complaint.  The Commission subsequently clarified </w:t>
      </w:r>
      <w:r w:rsidRPr="00E54E0F">
        <w:rPr>
          <w:rFonts w:eastAsiaTheme="minorHAnsi"/>
          <w:i/>
          <w:sz w:val="26"/>
          <w:szCs w:val="26"/>
        </w:rPr>
        <w:t>Carlock</w:t>
      </w:r>
      <w:r w:rsidRPr="00E54E0F">
        <w:rPr>
          <w:rFonts w:eastAsiaTheme="minorHAnsi"/>
          <w:sz w:val="26"/>
          <w:szCs w:val="26"/>
        </w:rPr>
        <w:t xml:space="preserve"> and held that ALJs had the discretion to dispose of the pleadings in a proceeding provided the action was neither arbitrary nor capricious, and that it was in accordance with the law.  </w:t>
      </w:r>
      <w:r w:rsidRPr="00E54E0F">
        <w:rPr>
          <w:rFonts w:eastAsiaTheme="minorHAnsi"/>
          <w:i/>
          <w:sz w:val="26"/>
          <w:szCs w:val="26"/>
        </w:rPr>
        <w:t>John Graham, Jr. v. Philadelphia Suburban Water Company and Bell Atlantic-Pennsylvania</w:t>
      </w:r>
      <w:r w:rsidRPr="00E54E0F">
        <w:rPr>
          <w:rFonts w:eastAsiaTheme="minorHAnsi"/>
          <w:sz w:val="26"/>
          <w:szCs w:val="26"/>
        </w:rPr>
        <w:t xml:space="preserve">, Docket No. </w:t>
      </w:r>
      <w:r w:rsidR="006C4D2D">
        <w:rPr>
          <w:rFonts w:eastAsiaTheme="minorHAnsi"/>
          <w:sz w:val="26"/>
          <w:szCs w:val="26"/>
        </w:rPr>
        <w:br/>
      </w:r>
      <w:r w:rsidRPr="00E54E0F">
        <w:rPr>
          <w:rFonts w:eastAsiaTheme="minorHAnsi"/>
          <w:sz w:val="26"/>
          <w:szCs w:val="26"/>
        </w:rPr>
        <w:t>C-00957557 (Order entered June 12, 1996).  The ALJ also found that</w:t>
      </w:r>
      <w:r w:rsidR="006C4D2D">
        <w:rPr>
          <w:rFonts w:eastAsiaTheme="minorHAnsi"/>
          <w:sz w:val="26"/>
          <w:szCs w:val="26"/>
        </w:rPr>
        <w:t>,</w:t>
      </w:r>
      <w:r w:rsidRPr="00E54E0F">
        <w:rPr>
          <w:rFonts w:eastAsiaTheme="minorHAnsi"/>
          <w:sz w:val="26"/>
          <w:szCs w:val="26"/>
        </w:rPr>
        <w:t xml:space="preserve"> in </w:t>
      </w:r>
      <w:r w:rsidRPr="00E54E0F">
        <w:rPr>
          <w:rFonts w:eastAsiaTheme="minorHAnsi"/>
          <w:i/>
          <w:sz w:val="26"/>
          <w:szCs w:val="26"/>
        </w:rPr>
        <w:t>Povacz</w:t>
      </w:r>
      <w:r w:rsidRPr="00E54E0F">
        <w:rPr>
          <w:rFonts w:eastAsiaTheme="minorHAnsi"/>
          <w:sz w:val="26"/>
          <w:szCs w:val="26"/>
        </w:rPr>
        <w:t xml:space="preserve">, the Commission held “that there are some cases where a hearing would not enable the complainant to better explain his position or provide additional facts such as alter inevitable conclusions and, in those cases, a hearing need not be held.”  I.D. at 7, citing </w:t>
      </w:r>
      <w:r w:rsidRPr="00E54E0F">
        <w:rPr>
          <w:rFonts w:eastAsiaTheme="minorHAnsi"/>
          <w:i/>
          <w:sz w:val="26"/>
          <w:szCs w:val="26"/>
        </w:rPr>
        <w:t>Povacz</w:t>
      </w:r>
      <w:r w:rsidRPr="00E54E0F">
        <w:rPr>
          <w:rFonts w:eastAsiaTheme="minorHAnsi"/>
          <w:sz w:val="26"/>
          <w:szCs w:val="26"/>
        </w:rPr>
        <w:t xml:space="preserve"> at 9.</w:t>
      </w:r>
    </w:p>
    <w:p w:rsidR="00426104" w:rsidRPr="00E54E0F" w:rsidRDefault="00426104">
      <w:pPr>
        <w:widowControl/>
        <w:spacing w:line="360" w:lineRule="auto"/>
        <w:rPr>
          <w:rFonts w:eastAsiaTheme="minorHAnsi"/>
          <w:sz w:val="26"/>
          <w:szCs w:val="26"/>
        </w:rPr>
      </w:pPr>
    </w:p>
    <w:p w:rsidR="00426104" w:rsidRPr="00E54E0F" w:rsidRDefault="00426104">
      <w:pPr>
        <w:widowControl/>
        <w:spacing w:line="360" w:lineRule="auto"/>
        <w:rPr>
          <w:rFonts w:eastAsiaTheme="minorHAnsi"/>
          <w:sz w:val="26"/>
          <w:szCs w:val="26"/>
        </w:rPr>
      </w:pPr>
      <w:r w:rsidRPr="00E54E0F">
        <w:rPr>
          <w:rFonts w:eastAsiaTheme="minorHAnsi"/>
          <w:sz w:val="26"/>
          <w:szCs w:val="26"/>
        </w:rPr>
        <w:tab/>
      </w:r>
      <w:r w:rsidRPr="00E54E0F">
        <w:rPr>
          <w:rFonts w:eastAsiaTheme="minorHAnsi"/>
          <w:sz w:val="26"/>
          <w:szCs w:val="26"/>
        </w:rPr>
        <w:tab/>
        <w:t xml:space="preserve">The ALJ held that the Commission’s holding in </w:t>
      </w:r>
      <w:r w:rsidRPr="00E54E0F">
        <w:rPr>
          <w:rFonts w:eastAsiaTheme="minorHAnsi"/>
          <w:i/>
          <w:sz w:val="26"/>
          <w:szCs w:val="26"/>
        </w:rPr>
        <w:t>Povacz</w:t>
      </w:r>
      <w:r w:rsidRPr="00E54E0F">
        <w:rPr>
          <w:rFonts w:eastAsiaTheme="minorHAnsi"/>
          <w:sz w:val="26"/>
          <w:szCs w:val="26"/>
        </w:rPr>
        <w:t xml:space="preserve"> controlled this proceeding, both as to PECO’s Preliminary Objections and the dismissal of a </w:t>
      </w:r>
      <w:r w:rsidRPr="00E54E0F">
        <w:rPr>
          <w:rFonts w:eastAsiaTheme="minorHAnsi"/>
          <w:i/>
          <w:sz w:val="26"/>
          <w:szCs w:val="26"/>
        </w:rPr>
        <w:t>pro se</w:t>
      </w:r>
      <w:r w:rsidRPr="00E54E0F">
        <w:rPr>
          <w:rFonts w:eastAsiaTheme="minorHAnsi"/>
          <w:sz w:val="26"/>
          <w:szCs w:val="26"/>
        </w:rPr>
        <w:t xml:space="preserve"> complaint without a hearing.  The ALJ stated:</w:t>
      </w:r>
    </w:p>
    <w:p w:rsidR="006C4D2D" w:rsidRDefault="006C4D2D">
      <w:pPr>
        <w:widowControl/>
        <w:ind w:left="1440" w:right="1440"/>
        <w:rPr>
          <w:rFonts w:eastAsiaTheme="minorHAnsi"/>
          <w:sz w:val="26"/>
          <w:szCs w:val="26"/>
        </w:rPr>
      </w:pPr>
    </w:p>
    <w:p w:rsidR="00426104" w:rsidRPr="00E54E0F" w:rsidRDefault="00426104">
      <w:pPr>
        <w:widowControl/>
        <w:ind w:left="1440" w:right="1440"/>
        <w:rPr>
          <w:rFonts w:eastAsiaTheme="minorHAnsi"/>
          <w:sz w:val="26"/>
          <w:szCs w:val="26"/>
        </w:rPr>
      </w:pPr>
      <w:r w:rsidRPr="00E54E0F">
        <w:rPr>
          <w:rFonts w:eastAsiaTheme="minorHAnsi"/>
          <w:sz w:val="26"/>
          <w:szCs w:val="26"/>
        </w:rPr>
        <w:t>Such is the case with the Complaint filed by the McCarey’s in this case where it is clear that, even when viewing the Complaint in the light most favorable to the McCarey’s, and accepting as true all well pleaded material facts, as well as every reasonable inference from those facts, the McCarey’s would not be entitled to relief under any circumstances as a matter of law.  PECO’s Preliminary Objection should therefore be granted, and the McCarey’s Complaint dismissed, without a hearing.</w:t>
      </w:r>
    </w:p>
    <w:p w:rsidR="00426104" w:rsidRPr="00E54E0F" w:rsidRDefault="00426104">
      <w:pPr>
        <w:widowControl/>
        <w:spacing w:line="360" w:lineRule="auto"/>
        <w:rPr>
          <w:rFonts w:eastAsiaTheme="minorHAnsi"/>
          <w:sz w:val="26"/>
          <w:szCs w:val="26"/>
        </w:rPr>
      </w:pPr>
    </w:p>
    <w:p w:rsidR="00426104" w:rsidRPr="00E54E0F" w:rsidRDefault="00426104">
      <w:pPr>
        <w:widowControl/>
        <w:spacing w:line="360" w:lineRule="auto"/>
        <w:rPr>
          <w:rFonts w:eastAsiaTheme="minorHAnsi"/>
          <w:sz w:val="26"/>
          <w:szCs w:val="26"/>
        </w:rPr>
      </w:pPr>
      <w:r w:rsidRPr="00E54E0F">
        <w:rPr>
          <w:rFonts w:eastAsiaTheme="minorHAnsi"/>
          <w:sz w:val="26"/>
          <w:szCs w:val="26"/>
        </w:rPr>
        <w:t>I.D. at 7.</w:t>
      </w:r>
    </w:p>
    <w:p w:rsidR="00426104" w:rsidRPr="00E54E0F" w:rsidRDefault="00426104">
      <w:pPr>
        <w:widowControl/>
        <w:spacing w:line="360" w:lineRule="auto"/>
        <w:rPr>
          <w:rFonts w:eastAsiaTheme="minorHAnsi"/>
          <w:sz w:val="26"/>
          <w:szCs w:val="26"/>
        </w:rPr>
      </w:pPr>
    </w:p>
    <w:p w:rsidR="00426104" w:rsidRPr="00E54E0F" w:rsidRDefault="00426104">
      <w:pPr>
        <w:widowControl/>
        <w:spacing w:line="360" w:lineRule="auto"/>
        <w:rPr>
          <w:rFonts w:eastAsiaTheme="minorHAnsi"/>
          <w:sz w:val="26"/>
          <w:szCs w:val="26"/>
        </w:rPr>
      </w:pPr>
      <w:r w:rsidRPr="00E54E0F">
        <w:rPr>
          <w:rFonts w:eastAsiaTheme="minorHAnsi"/>
          <w:sz w:val="26"/>
          <w:szCs w:val="26"/>
        </w:rPr>
        <w:tab/>
      </w:r>
      <w:r w:rsidRPr="00E54E0F">
        <w:rPr>
          <w:rFonts w:eastAsiaTheme="minorHAnsi"/>
          <w:sz w:val="26"/>
          <w:szCs w:val="26"/>
        </w:rPr>
        <w:tab/>
      </w:r>
      <w:r w:rsidRPr="00E54E0F">
        <w:rPr>
          <w:rFonts w:eastAsiaTheme="minorHAnsi"/>
          <w:b/>
          <w:sz w:val="26"/>
          <w:szCs w:val="26"/>
        </w:rPr>
        <w:t>Exceptions</w:t>
      </w:r>
      <w:r w:rsidR="00032AA1">
        <w:rPr>
          <w:rFonts w:eastAsiaTheme="minorHAnsi"/>
          <w:b/>
          <w:sz w:val="26"/>
          <w:szCs w:val="26"/>
        </w:rPr>
        <w:t>,</w:t>
      </w:r>
      <w:r w:rsidRPr="00E54E0F">
        <w:rPr>
          <w:rFonts w:eastAsiaTheme="minorHAnsi"/>
          <w:b/>
          <w:sz w:val="26"/>
          <w:szCs w:val="26"/>
        </w:rPr>
        <w:t xml:space="preserve"> Replies</w:t>
      </w:r>
      <w:r w:rsidR="00032AA1">
        <w:rPr>
          <w:rFonts w:eastAsiaTheme="minorHAnsi"/>
          <w:b/>
          <w:sz w:val="26"/>
          <w:szCs w:val="26"/>
        </w:rPr>
        <w:t xml:space="preserve"> and Disposition</w:t>
      </w:r>
    </w:p>
    <w:p w:rsidR="00D82179" w:rsidRPr="00E54E0F" w:rsidRDefault="00D82179">
      <w:pPr>
        <w:widowControl/>
        <w:spacing w:line="360" w:lineRule="auto"/>
        <w:rPr>
          <w:rFonts w:eastAsiaTheme="minorHAnsi"/>
          <w:b/>
          <w:sz w:val="26"/>
          <w:szCs w:val="26"/>
        </w:rPr>
      </w:pPr>
    </w:p>
    <w:p w:rsidR="004771E7" w:rsidRPr="00E54E0F" w:rsidRDefault="004771E7">
      <w:pPr>
        <w:widowControl/>
        <w:spacing w:line="360" w:lineRule="auto"/>
        <w:rPr>
          <w:rFonts w:eastAsiaTheme="minorHAnsi"/>
          <w:sz w:val="26"/>
          <w:szCs w:val="26"/>
        </w:rPr>
      </w:pPr>
      <w:r w:rsidRPr="00E54E0F">
        <w:rPr>
          <w:rFonts w:eastAsiaTheme="minorHAnsi"/>
          <w:sz w:val="26"/>
          <w:szCs w:val="26"/>
        </w:rPr>
        <w:tab/>
      </w:r>
      <w:r w:rsidRPr="00E54E0F">
        <w:rPr>
          <w:rFonts w:eastAsiaTheme="minorHAnsi"/>
          <w:sz w:val="26"/>
          <w:szCs w:val="26"/>
        </w:rPr>
        <w:tab/>
        <w:t xml:space="preserve">The Complainants’ first Exception argues that the ALJ erred when he found that the Complainants had failed to respond to PECO’s Preliminary Objection.  The Complainants aver that they sent an Answer to PECO’s counsel because that is </w:t>
      </w:r>
      <w:r w:rsidR="00032AA1">
        <w:rPr>
          <w:rFonts w:eastAsiaTheme="minorHAnsi"/>
          <w:sz w:val="26"/>
          <w:szCs w:val="26"/>
        </w:rPr>
        <w:t xml:space="preserve">who </w:t>
      </w:r>
      <w:r w:rsidRPr="00E54E0F">
        <w:rPr>
          <w:rFonts w:eastAsiaTheme="minorHAnsi"/>
          <w:sz w:val="26"/>
          <w:szCs w:val="26"/>
        </w:rPr>
        <w:t xml:space="preserve">sent </w:t>
      </w:r>
      <w:r w:rsidRPr="00E54E0F">
        <w:rPr>
          <w:rFonts w:eastAsiaTheme="minorHAnsi"/>
          <w:sz w:val="26"/>
          <w:szCs w:val="26"/>
        </w:rPr>
        <w:lastRenderedPageBreak/>
        <w:t xml:space="preserve">them PECO’s Preliminary Objections.  PECO responds that its Preliminary Objection contained a “Notice to Plead” which gave notice to the Complainants that a response to the Preliminary Objection must be filed with the Commission.  R.Exc. at 2.  </w:t>
      </w:r>
    </w:p>
    <w:p w:rsidR="004771E7" w:rsidRPr="00E54E0F" w:rsidRDefault="004771E7">
      <w:pPr>
        <w:widowControl/>
        <w:spacing w:line="360" w:lineRule="auto"/>
        <w:rPr>
          <w:rFonts w:eastAsiaTheme="minorHAnsi"/>
          <w:sz w:val="26"/>
          <w:szCs w:val="26"/>
        </w:rPr>
      </w:pPr>
    </w:p>
    <w:p w:rsidR="004771E7" w:rsidRPr="00E54E0F" w:rsidRDefault="004771E7">
      <w:pPr>
        <w:widowControl/>
        <w:spacing w:line="360" w:lineRule="auto"/>
        <w:rPr>
          <w:rFonts w:eastAsiaTheme="minorHAnsi"/>
          <w:sz w:val="26"/>
          <w:szCs w:val="26"/>
        </w:rPr>
      </w:pPr>
      <w:r w:rsidRPr="00E54E0F">
        <w:rPr>
          <w:rFonts w:eastAsiaTheme="minorHAnsi"/>
          <w:sz w:val="26"/>
          <w:szCs w:val="26"/>
        </w:rPr>
        <w:tab/>
      </w:r>
      <w:r w:rsidRPr="00E54E0F">
        <w:rPr>
          <w:rFonts w:eastAsiaTheme="minorHAnsi"/>
          <w:sz w:val="26"/>
          <w:szCs w:val="26"/>
        </w:rPr>
        <w:tab/>
        <w:t>We will deny this Exception.  The record clearly reflects that the Complainants did not file a response to the Preliminary Objection with this Commission</w:t>
      </w:r>
      <w:r w:rsidR="000A7DAA">
        <w:rPr>
          <w:rFonts w:eastAsiaTheme="minorHAnsi"/>
          <w:sz w:val="26"/>
          <w:szCs w:val="26"/>
        </w:rPr>
        <w:t>, as required by our Regulations</w:t>
      </w:r>
      <w:r w:rsidRPr="00E54E0F">
        <w:rPr>
          <w:rFonts w:eastAsiaTheme="minorHAnsi"/>
          <w:sz w:val="26"/>
          <w:szCs w:val="26"/>
        </w:rPr>
        <w:t xml:space="preserve">.  </w:t>
      </w:r>
      <w:r w:rsidR="000A7DAA">
        <w:rPr>
          <w:rFonts w:eastAsiaTheme="minorHAnsi"/>
          <w:sz w:val="26"/>
          <w:szCs w:val="26"/>
        </w:rPr>
        <w:t xml:space="preserve">52 Pa. Code §§ 5.101(f) and 1.4.  </w:t>
      </w:r>
      <w:r w:rsidRPr="00E54E0F">
        <w:rPr>
          <w:rFonts w:eastAsiaTheme="minorHAnsi"/>
          <w:sz w:val="26"/>
          <w:szCs w:val="26"/>
        </w:rPr>
        <w:t>The ALJ committed no error.</w:t>
      </w:r>
    </w:p>
    <w:p w:rsidR="004771E7" w:rsidRPr="00E54E0F" w:rsidRDefault="004771E7">
      <w:pPr>
        <w:widowControl/>
        <w:spacing w:line="360" w:lineRule="auto"/>
        <w:rPr>
          <w:rFonts w:eastAsiaTheme="minorHAnsi"/>
          <w:sz w:val="26"/>
          <w:szCs w:val="26"/>
        </w:rPr>
      </w:pPr>
    </w:p>
    <w:p w:rsidR="005A68B3" w:rsidRPr="00E54E0F" w:rsidRDefault="004771E7">
      <w:pPr>
        <w:widowControl/>
        <w:spacing w:line="360" w:lineRule="auto"/>
        <w:rPr>
          <w:rFonts w:eastAsiaTheme="minorHAnsi"/>
          <w:sz w:val="26"/>
          <w:szCs w:val="26"/>
        </w:rPr>
      </w:pPr>
      <w:r w:rsidRPr="00E54E0F">
        <w:rPr>
          <w:rFonts w:eastAsiaTheme="minorHAnsi"/>
          <w:sz w:val="26"/>
          <w:szCs w:val="26"/>
        </w:rPr>
        <w:tab/>
      </w:r>
      <w:r w:rsidRPr="00E54E0F">
        <w:rPr>
          <w:rFonts w:eastAsiaTheme="minorHAnsi"/>
          <w:sz w:val="26"/>
          <w:szCs w:val="26"/>
        </w:rPr>
        <w:tab/>
        <w:t xml:space="preserve">The Complainants’ next Exception argues that they will refuse a smart meter until 2017, at which point their analog meter will be fifteen years old.  According to the Complainants, that places them in compliance with Section 2807(f)(2) of the </w:t>
      </w:r>
      <w:r w:rsidR="00AD6C40" w:rsidRPr="00E54E0F">
        <w:rPr>
          <w:rFonts w:eastAsiaTheme="minorHAnsi"/>
          <w:sz w:val="26"/>
          <w:szCs w:val="26"/>
        </w:rPr>
        <w:t xml:space="preserve">Code, 66 Pa. C.S. § 2807(f)(2).  </w:t>
      </w:r>
      <w:r w:rsidR="001219DE" w:rsidRPr="00E54E0F">
        <w:rPr>
          <w:rFonts w:eastAsiaTheme="minorHAnsi"/>
          <w:sz w:val="26"/>
          <w:szCs w:val="26"/>
        </w:rPr>
        <w:t>We will deny this Exception.  Contrary to the Complainant’s assertion, Section 28</w:t>
      </w:r>
      <w:r w:rsidR="005A68B3" w:rsidRPr="00E54E0F">
        <w:rPr>
          <w:rFonts w:eastAsiaTheme="minorHAnsi"/>
          <w:sz w:val="26"/>
          <w:szCs w:val="26"/>
        </w:rPr>
        <w:t>07(f)(2) provides the time within which PECO must complete its system-wide deployment</w:t>
      </w:r>
      <w:r w:rsidR="000A7DAA">
        <w:rPr>
          <w:rFonts w:eastAsiaTheme="minorHAnsi"/>
          <w:sz w:val="26"/>
          <w:szCs w:val="26"/>
        </w:rPr>
        <w:t xml:space="preserve"> of smart meters</w:t>
      </w:r>
      <w:r w:rsidR="005A68B3" w:rsidRPr="00E54E0F">
        <w:rPr>
          <w:rFonts w:eastAsiaTheme="minorHAnsi"/>
          <w:sz w:val="26"/>
          <w:szCs w:val="26"/>
        </w:rPr>
        <w:t xml:space="preserve">.  </w:t>
      </w:r>
      <w:r w:rsidR="005A68B3" w:rsidRPr="00E54E0F">
        <w:rPr>
          <w:rFonts w:eastAsiaTheme="minorHAnsi"/>
          <w:i/>
          <w:sz w:val="26"/>
          <w:szCs w:val="26"/>
        </w:rPr>
        <w:t>See</w:t>
      </w:r>
      <w:r w:rsidR="005A68B3" w:rsidRPr="00E54E0F">
        <w:rPr>
          <w:rFonts w:eastAsiaTheme="minorHAnsi"/>
          <w:sz w:val="26"/>
          <w:szCs w:val="26"/>
        </w:rPr>
        <w:t xml:space="preserve">, </w:t>
      </w:r>
      <w:r w:rsidR="005A68B3" w:rsidRPr="00E54E0F">
        <w:rPr>
          <w:rFonts w:eastAsiaTheme="minorHAnsi"/>
          <w:i/>
          <w:sz w:val="26"/>
          <w:szCs w:val="26"/>
        </w:rPr>
        <w:t>Smart Meter Procurement Order</w:t>
      </w:r>
      <w:r w:rsidR="005A68B3" w:rsidRPr="00E54E0F">
        <w:rPr>
          <w:rFonts w:eastAsiaTheme="minorHAnsi"/>
          <w:sz w:val="26"/>
          <w:szCs w:val="26"/>
        </w:rPr>
        <w:t xml:space="preserve"> at 15.  It is not intended to provide a customer with the ability to postpone that customer’s installation </w:t>
      </w:r>
      <w:r w:rsidR="000A7DAA">
        <w:rPr>
          <w:rFonts w:eastAsiaTheme="minorHAnsi"/>
          <w:sz w:val="26"/>
          <w:szCs w:val="26"/>
        </w:rPr>
        <w:t xml:space="preserve">of a smart meter </w:t>
      </w:r>
      <w:r w:rsidR="005A68B3" w:rsidRPr="00E54E0F">
        <w:rPr>
          <w:rFonts w:eastAsiaTheme="minorHAnsi"/>
          <w:sz w:val="26"/>
          <w:szCs w:val="26"/>
        </w:rPr>
        <w:t xml:space="preserve">according to a depreciation schedule.  Section 2807(f)(2)(i) does provide that a customer may request installation of a smart meter, but that is intended to provide customers with the opportunity to obtain a smart meter in advance of the electric distribution company’s schedule for system-wide deployment.  </w:t>
      </w:r>
      <w:r w:rsidR="005A68B3" w:rsidRPr="00E54E0F">
        <w:rPr>
          <w:rFonts w:eastAsiaTheme="minorHAnsi"/>
          <w:i/>
          <w:sz w:val="26"/>
          <w:szCs w:val="26"/>
        </w:rPr>
        <w:t>Id</w:t>
      </w:r>
      <w:r w:rsidR="005A68B3" w:rsidRPr="00E54E0F">
        <w:rPr>
          <w:rFonts w:eastAsiaTheme="minorHAnsi"/>
          <w:sz w:val="26"/>
          <w:szCs w:val="26"/>
        </w:rPr>
        <w:t>. at 10.</w:t>
      </w:r>
    </w:p>
    <w:p w:rsidR="005A68B3" w:rsidRPr="00E54E0F" w:rsidRDefault="005A68B3">
      <w:pPr>
        <w:widowControl/>
        <w:spacing w:line="360" w:lineRule="auto"/>
        <w:rPr>
          <w:rFonts w:eastAsiaTheme="minorHAnsi"/>
          <w:sz w:val="26"/>
          <w:szCs w:val="26"/>
        </w:rPr>
      </w:pPr>
    </w:p>
    <w:p w:rsidR="00984FBC" w:rsidRPr="00E54E0F" w:rsidRDefault="005A68B3">
      <w:pPr>
        <w:widowControl/>
        <w:spacing w:line="360" w:lineRule="auto"/>
        <w:rPr>
          <w:rFonts w:eastAsiaTheme="minorHAnsi"/>
          <w:sz w:val="26"/>
          <w:szCs w:val="26"/>
        </w:rPr>
      </w:pPr>
      <w:r w:rsidRPr="00E54E0F">
        <w:rPr>
          <w:rFonts w:eastAsiaTheme="minorHAnsi"/>
          <w:sz w:val="26"/>
          <w:szCs w:val="26"/>
        </w:rPr>
        <w:tab/>
      </w:r>
      <w:r w:rsidRPr="00E54E0F">
        <w:rPr>
          <w:rFonts w:eastAsiaTheme="minorHAnsi"/>
          <w:sz w:val="26"/>
          <w:szCs w:val="26"/>
        </w:rPr>
        <w:tab/>
        <w:t xml:space="preserve">The Complainants next argue that Act 129 “is contrary to the Federal Mandate.”  They further assert that PECO must obtain their permission to install a smart meter, again referencing a federal mandate.  PECO replies that the Complainants have failed to show how PECO has violated any portion of the Code, Commission Regulations or Orders.  </w:t>
      </w:r>
      <w:r w:rsidR="00984FBC" w:rsidRPr="00E54E0F">
        <w:rPr>
          <w:rFonts w:eastAsiaTheme="minorHAnsi"/>
          <w:sz w:val="26"/>
          <w:szCs w:val="26"/>
        </w:rPr>
        <w:t>PECO states that</w:t>
      </w:r>
      <w:r w:rsidR="000A7DAA">
        <w:rPr>
          <w:rFonts w:eastAsiaTheme="minorHAnsi"/>
          <w:sz w:val="26"/>
          <w:szCs w:val="26"/>
        </w:rPr>
        <w:t>,</w:t>
      </w:r>
      <w:r w:rsidR="00984FBC" w:rsidRPr="00E54E0F">
        <w:rPr>
          <w:rFonts w:eastAsiaTheme="minorHAnsi"/>
          <w:sz w:val="26"/>
          <w:szCs w:val="26"/>
        </w:rPr>
        <w:t xml:space="preserve"> absent any allegation that they have acted in violation of any of those authorities, the Complaint is legally insufficient</w:t>
      </w:r>
      <w:r w:rsidR="00AE4427" w:rsidRPr="00E54E0F">
        <w:rPr>
          <w:rFonts w:eastAsiaTheme="minorHAnsi"/>
          <w:sz w:val="26"/>
          <w:szCs w:val="26"/>
        </w:rPr>
        <w:t xml:space="preserve"> and must be dismissed.  R.Exc.</w:t>
      </w:r>
      <w:r w:rsidR="00984FBC" w:rsidRPr="00E54E0F">
        <w:rPr>
          <w:rFonts w:eastAsiaTheme="minorHAnsi"/>
          <w:sz w:val="26"/>
          <w:szCs w:val="26"/>
        </w:rPr>
        <w:t xml:space="preserve"> </w:t>
      </w:r>
      <w:r w:rsidR="00984FBC" w:rsidRPr="00E54E0F">
        <w:rPr>
          <w:rFonts w:eastAsiaTheme="minorHAnsi"/>
          <w:i/>
          <w:sz w:val="26"/>
          <w:szCs w:val="26"/>
        </w:rPr>
        <w:t>passim</w:t>
      </w:r>
      <w:r w:rsidR="00984FBC" w:rsidRPr="00E54E0F">
        <w:rPr>
          <w:rFonts w:eastAsiaTheme="minorHAnsi"/>
          <w:sz w:val="26"/>
          <w:szCs w:val="26"/>
        </w:rPr>
        <w:t>.</w:t>
      </w:r>
    </w:p>
    <w:p w:rsidR="00984FBC" w:rsidRPr="00E54E0F" w:rsidRDefault="00984FBC">
      <w:pPr>
        <w:widowControl/>
        <w:spacing w:line="360" w:lineRule="auto"/>
        <w:rPr>
          <w:rFonts w:eastAsiaTheme="minorHAnsi"/>
          <w:sz w:val="26"/>
          <w:szCs w:val="26"/>
        </w:rPr>
      </w:pPr>
    </w:p>
    <w:p w:rsidR="00AE4427" w:rsidRPr="00E54E0F" w:rsidRDefault="00984FBC">
      <w:pPr>
        <w:widowControl/>
        <w:spacing w:line="360" w:lineRule="auto"/>
        <w:rPr>
          <w:rFonts w:eastAsiaTheme="minorHAnsi"/>
          <w:sz w:val="26"/>
          <w:szCs w:val="26"/>
        </w:rPr>
      </w:pPr>
      <w:r w:rsidRPr="00E54E0F">
        <w:rPr>
          <w:rFonts w:eastAsiaTheme="minorHAnsi"/>
          <w:sz w:val="26"/>
          <w:szCs w:val="26"/>
        </w:rPr>
        <w:lastRenderedPageBreak/>
        <w:tab/>
      </w:r>
      <w:r w:rsidRPr="00E54E0F">
        <w:rPr>
          <w:rFonts w:eastAsiaTheme="minorHAnsi"/>
          <w:sz w:val="26"/>
          <w:szCs w:val="26"/>
        </w:rPr>
        <w:tab/>
        <w:t xml:space="preserve">We will deny this Exception.  In their Complaint and their Exceptions, the Complainants refer to a federal mandate, but do not identify what the mandate is or in what manner various federal pronouncements on smart grid applications conflict with either Act 129 or our </w:t>
      </w:r>
      <w:r w:rsidRPr="00E54E0F">
        <w:rPr>
          <w:rFonts w:eastAsiaTheme="minorHAnsi"/>
          <w:i/>
          <w:sz w:val="26"/>
          <w:szCs w:val="26"/>
        </w:rPr>
        <w:t>Smart Meter Procurement Order</w:t>
      </w:r>
      <w:r w:rsidRPr="00E54E0F">
        <w:rPr>
          <w:rFonts w:eastAsiaTheme="minorHAnsi"/>
          <w:sz w:val="26"/>
          <w:szCs w:val="26"/>
        </w:rPr>
        <w:t>.  To the contrary, our research reveals a wide array of federal programs designed to support and advance the development and deployment of smart grid technology.  However, none of the federal actions serve to restrict in any way t</w:t>
      </w:r>
      <w:r w:rsidR="00AE4427" w:rsidRPr="00E54E0F">
        <w:rPr>
          <w:rFonts w:eastAsiaTheme="minorHAnsi"/>
          <w:sz w:val="26"/>
          <w:szCs w:val="26"/>
        </w:rPr>
        <w:t xml:space="preserve">he deployment of smart meters.  </w:t>
      </w:r>
    </w:p>
    <w:p w:rsidR="00AE4427" w:rsidRPr="00E54E0F" w:rsidRDefault="00AE4427">
      <w:pPr>
        <w:widowControl/>
        <w:spacing w:line="360" w:lineRule="auto"/>
        <w:rPr>
          <w:rFonts w:eastAsiaTheme="minorHAnsi"/>
          <w:sz w:val="26"/>
          <w:szCs w:val="26"/>
        </w:rPr>
      </w:pPr>
    </w:p>
    <w:p w:rsidR="001E33FF" w:rsidRPr="00E54E0F" w:rsidRDefault="00AE4427">
      <w:pPr>
        <w:widowControl/>
        <w:spacing w:line="360" w:lineRule="auto"/>
        <w:rPr>
          <w:rFonts w:eastAsiaTheme="minorHAnsi"/>
          <w:sz w:val="26"/>
          <w:szCs w:val="26"/>
        </w:rPr>
      </w:pPr>
      <w:r w:rsidRPr="00E54E0F">
        <w:rPr>
          <w:rFonts w:eastAsiaTheme="minorHAnsi"/>
          <w:sz w:val="26"/>
          <w:szCs w:val="26"/>
        </w:rPr>
        <w:tab/>
      </w:r>
      <w:r w:rsidRPr="00E54E0F">
        <w:rPr>
          <w:rFonts w:eastAsiaTheme="minorHAnsi"/>
          <w:sz w:val="26"/>
          <w:szCs w:val="26"/>
        </w:rPr>
        <w:tab/>
        <w:t>The Complainants</w:t>
      </w:r>
      <w:r w:rsidR="003216B0">
        <w:rPr>
          <w:rFonts w:eastAsiaTheme="minorHAnsi"/>
          <w:sz w:val="26"/>
          <w:szCs w:val="26"/>
        </w:rPr>
        <w:t>’</w:t>
      </w:r>
      <w:r w:rsidRPr="00E54E0F">
        <w:rPr>
          <w:rFonts w:eastAsiaTheme="minorHAnsi"/>
          <w:sz w:val="26"/>
          <w:szCs w:val="26"/>
        </w:rPr>
        <w:t xml:space="preserve"> fourth Exception asserts that our </w:t>
      </w:r>
      <w:r w:rsidR="00EE2D9F" w:rsidRPr="00E54E0F">
        <w:rPr>
          <w:rFonts w:eastAsiaTheme="minorHAnsi"/>
          <w:sz w:val="26"/>
          <w:szCs w:val="26"/>
        </w:rPr>
        <w:t xml:space="preserve">holdings in </w:t>
      </w:r>
      <w:r w:rsidR="00EE2D9F" w:rsidRPr="00E54E0F">
        <w:rPr>
          <w:rFonts w:eastAsiaTheme="minorHAnsi"/>
          <w:i/>
          <w:sz w:val="26"/>
          <w:szCs w:val="26"/>
        </w:rPr>
        <w:t>Povacz</w:t>
      </w:r>
      <w:r w:rsidR="00EE2D9F" w:rsidRPr="00E54E0F">
        <w:rPr>
          <w:rFonts w:eastAsiaTheme="minorHAnsi"/>
          <w:sz w:val="26"/>
          <w:szCs w:val="26"/>
        </w:rPr>
        <w:t xml:space="preserve"> are</w:t>
      </w:r>
      <w:r w:rsidRPr="00E54E0F">
        <w:rPr>
          <w:rFonts w:eastAsiaTheme="minorHAnsi"/>
          <w:sz w:val="26"/>
          <w:szCs w:val="26"/>
        </w:rPr>
        <w:t xml:space="preserve"> inapplicable to their situation.  The Complainants state that</w:t>
      </w:r>
      <w:r w:rsidR="00C57288">
        <w:rPr>
          <w:rFonts w:eastAsiaTheme="minorHAnsi"/>
          <w:sz w:val="26"/>
          <w:szCs w:val="26"/>
        </w:rPr>
        <w:t>,</w:t>
      </w:r>
      <w:r w:rsidRPr="00E54E0F">
        <w:rPr>
          <w:rFonts w:eastAsiaTheme="minorHAnsi"/>
          <w:sz w:val="26"/>
          <w:szCs w:val="26"/>
        </w:rPr>
        <w:t xml:space="preserve"> unlike the complainant in </w:t>
      </w:r>
      <w:r w:rsidRPr="00E54E0F">
        <w:rPr>
          <w:rFonts w:eastAsiaTheme="minorHAnsi"/>
          <w:i/>
          <w:sz w:val="26"/>
          <w:szCs w:val="26"/>
        </w:rPr>
        <w:t>Povacz</w:t>
      </w:r>
      <w:r w:rsidRPr="00E54E0F">
        <w:rPr>
          <w:rFonts w:eastAsiaTheme="minorHAnsi"/>
          <w:sz w:val="26"/>
          <w:szCs w:val="26"/>
        </w:rPr>
        <w:t>, they are not seeking</w:t>
      </w:r>
      <w:r w:rsidR="00EE2D9F" w:rsidRPr="00E54E0F">
        <w:rPr>
          <w:rFonts w:eastAsiaTheme="minorHAnsi"/>
          <w:sz w:val="26"/>
          <w:szCs w:val="26"/>
        </w:rPr>
        <w:t xml:space="preserve"> to</w:t>
      </w:r>
      <w:r w:rsidRPr="00E54E0F">
        <w:rPr>
          <w:rFonts w:eastAsiaTheme="minorHAnsi"/>
          <w:sz w:val="26"/>
          <w:szCs w:val="26"/>
        </w:rPr>
        <w:t xml:space="preserve"> opt out of the advanced meter deployment.  Rather, the Complainants argue they are refusing permission for PECO to install a smart meter.  The Complainants are engaged in semantics.  We find that the circumstances in </w:t>
      </w:r>
      <w:r w:rsidRPr="00E54E0F">
        <w:rPr>
          <w:rFonts w:eastAsiaTheme="minorHAnsi"/>
          <w:i/>
          <w:sz w:val="26"/>
          <w:szCs w:val="26"/>
        </w:rPr>
        <w:t>Povacz</w:t>
      </w:r>
      <w:r w:rsidRPr="00E54E0F">
        <w:rPr>
          <w:rFonts w:eastAsiaTheme="minorHAnsi"/>
          <w:sz w:val="26"/>
          <w:szCs w:val="26"/>
        </w:rPr>
        <w:t xml:space="preserve"> are on all fours with the Complainants</w:t>
      </w:r>
      <w:r w:rsidR="00C57288">
        <w:rPr>
          <w:rFonts w:eastAsiaTheme="minorHAnsi"/>
          <w:sz w:val="26"/>
          <w:szCs w:val="26"/>
        </w:rPr>
        <w:t>’</w:t>
      </w:r>
      <w:r w:rsidRPr="00E54E0F">
        <w:rPr>
          <w:rFonts w:eastAsiaTheme="minorHAnsi"/>
          <w:sz w:val="26"/>
          <w:szCs w:val="26"/>
        </w:rPr>
        <w:t xml:space="preserve"> Complaint.  There is simply no provision in the Code, Act 129 or our </w:t>
      </w:r>
      <w:r w:rsidR="00C57288">
        <w:rPr>
          <w:rFonts w:eastAsiaTheme="minorHAnsi"/>
          <w:sz w:val="26"/>
          <w:szCs w:val="26"/>
        </w:rPr>
        <w:t>O</w:t>
      </w:r>
      <w:r w:rsidRPr="00E54E0F">
        <w:rPr>
          <w:rFonts w:eastAsiaTheme="minorHAnsi"/>
          <w:sz w:val="26"/>
          <w:szCs w:val="26"/>
        </w:rPr>
        <w:t xml:space="preserve">rders on smart meter deployment which provide for the Complainants to opt out or refuse permission to PECO to update its meters in accordance with Act 129 and our directives.  Our holdings in </w:t>
      </w:r>
      <w:r w:rsidRPr="00E54E0F">
        <w:rPr>
          <w:rFonts w:eastAsiaTheme="minorHAnsi"/>
          <w:i/>
          <w:sz w:val="26"/>
          <w:szCs w:val="26"/>
        </w:rPr>
        <w:t>Povacz</w:t>
      </w:r>
      <w:r w:rsidRPr="00E54E0F">
        <w:rPr>
          <w:rFonts w:eastAsiaTheme="minorHAnsi"/>
          <w:sz w:val="26"/>
          <w:szCs w:val="26"/>
        </w:rPr>
        <w:t xml:space="preserve"> do control this case.  This Exception is denied.</w:t>
      </w:r>
    </w:p>
    <w:p w:rsidR="001E33FF" w:rsidRPr="00E54E0F" w:rsidRDefault="001E33FF">
      <w:pPr>
        <w:widowControl/>
        <w:spacing w:line="360" w:lineRule="auto"/>
        <w:rPr>
          <w:rFonts w:eastAsiaTheme="minorHAnsi"/>
          <w:sz w:val="26"/>
          <w:szCs w:val="26"/>
        </w:rPr>
      </w:pPr>
    </w:p>
    <w:p w:rsidR="004771E7" w:rsidRPr="00E54E0F" w:rsidRDefault="001E33FF">
      <w:pPr>
        <w:widowControl/>
        <w:spacing w:line="360" w:lineRule="auto"/>
        <w:rPr>
          <w:rFonts w:eastAsiaTheme="minorHAnsi"/>
          <w:sz w:val="26"/>
          <w:szCs w:val="26"/>
        </w:rPr>
      </w:pPr>
      <w:r w:rsidRPr="00E54E0F">
        <w:rPr>
          <w:rFonts w:eastAsiaTheme="minorHAnsi"/>
          <w:sz w:val="26"/>
          <w:szCs w:val="26"/>
        </w:rPr>
        <w:tab/>
      </w:r>
      <w:r w:rsidRPr="00E54E0F">
        <w:rPr>
          <w:rFonts w:eastAsiaTheme="minorHAnsi"/>
          <w:sz w:val="26"/>
          <w:szCs w:val="26"/>
        </w:rPr>
        <w:tab/>
        <w:t>The Complainants</w:t>
      </w:r>
      <w:r w:rsidR="009A2351">
        <w:rPr>
          <w:rFonts w:eastAsiaTheme="minorHAnsi"/>
          <w:sz w:val="26"/>
          <w:szCs w:val="26"/>
        </w:rPr>
        <w:t>’</w:t>
      </w:r>
      <w:r w:rsidRPr="00E54E0F">
        <w:rPr>
          <w:rFonts w:eastAsiaTheme="minorHAnsi"/>
          <w:sz w:val="26"/>
          <w:szCs w:val="26"/>
        </w:rPr>
        <w:t xml:space="preserve"> final two Exceptions assert that wireless smart meter technology increase the likelihood of cancer and other health risks associated with microwave broadcast signals.  The Complainants also complain that PECO’s smart meter technology do</w:t>
      </w:r>
      <w:r w:rsidR="00C71D4D">
        <w:rPr>
          <w:rFonts w:eastAsiaTheme="minorHAnsi"/>
          <w:sz w:val="26"/>
          <w:szCs w:val="26"/>
        </w:rPr>
        <w:t>es</w:t>
      </w:r>
      <w:r w:rsidRPr="00E54E0F">
        <w:rPr>
          <w:rFonts w:eastAsiaTheme="minorHAnsi"/>
          <w:sz w:val="26"/>
          <w:szCs w:val="26"/>
        </w:rPr>
        <w:t xml:space="preserve"> not meet the Federal Communication</w:t>
      </w:r>
      <w:r w:rsidR="009105B2">
        <w:rPr>
          <w:rFonts w:eastAsiaTheme="minorHAnsi"/>
          <w:sz w:val="26"/>
          <w:szCs w:val="26"/>
        </w:rPr>
        <w:t>s</w:t>
      </w:r>
      <w:r w:rsidRPr="00E54E0F">
        <w:rPr>
          <w:rFonts w:eastAsiaTheme="minorHAnsi"/>
          <w:sz w:val="26"/>
          <w:szCs w:val="26"/>
        </w:rPr>
        <w:t xml:space="preserve"> Commission’s guidelines for safe levels of radiation exposure.  PECO responds that the Complainants do not assert any error in the ALJ’s Initial </w:t>
      </w:r>
      <w:r w:rsidR="00EE2D9F" w:rsidRPr="00E54E0F">
        <w:rPr>
          <w:rFonts w:eastAsiaTheme="minorHAnsi"/>
          <w:sz w:val="26"/>
          <w:szCs w:val="26"/>
        </w:rPr>
        <w:t>Decision;</w:t>
      </w:r>
      <w:r w:rsidRPr="00E54E0F">
        <w:rPr>
          <w:rFonts w:eastAsiaTheme="minorHAnsi"/>
          <w:sz w:val="26"/>
          <w:szCs w:val="26"/>
        </w:rPr>
        <w:t xml:space="preserve"> rather, the Complainants are attempting to make basic policy arguments already decided by the General Assembly and this Commission.  PECO reiterates its position that the Complainants have failed to identify any act on the part of PECO which violates the Code, including Act 129, this Commission’s Regulations or our Orders.  </w:t>
      </w:r>
      <w:r w:rsidR="00EE2D9F" w:rsidRPr="00E54E0F">
        <w:rPr>
          <w:rFonts w:eastAsiaTheme="minorHAnsi"/>
          <w:sz w:val="26"/>
          <w:szCs w:val="26"/>
        </w:rPr>
        <w:t xml:space="preserve">R.Exc. 2-3.  </w:t>
      </w:r>
      <w:r w:rsidRPr="00E54E0F">
        <w:rPr>
          <w:rFonts w:eastAsiaTheme="minorHAnsi"/>
          <w:sz w:val="26"/>
          <w:szCs w:val="26"/>
        </w:rPr>
        <w:t>We agree and will deny this Exception.</w:t>
      </w:r>
    </w:p>
    <w:p w:rsidR="00CA43A5" w:rsidRPr="00B83D4C" w:rsidRDefault="00CA43A5" w:rsidP="00E54E0F">
      <w:pPr>
        <w:widowControl/>
        <w:spacing w:line="360" w:lineRule="auto"/>
        <w:jc w:val="center"/>
        <w:rPr>
          <w:b/>
          <w:sz w:val="26"/>
          <w:szCs w:val="26"/>
        </w:rPr>
      </w:pPr>
      <w:r w:rsidRPr="0030429E">
        <w:rPr>
          <w:b/>
          <w:sz w:val="26"/>
          <w:szCs w:val="26"/>
        </w:rPr>
        <w:lastRenderedPageBreak/>
        <w:t>Conclusion</w:t>
      </w:r>
    </w:p>
    <w:p w:rsidR="00CA43A5" w:rsidRPr="0030429E" w:rsidRDefault="00CA43A5" w:rsidP="00E54E0F">
      <w:pPr>
        <w:widowControl/>
        <w:spacing w:line="360" w:lineRule="auto"/>
        <w:ind w:firstLine="1440"/>
        <w:rPr>
          <w:sz w:val="26"/>
          <w:szCs w:val="26"/>
        </w:rPr>
      </w:pPr>
    </w:p>
    <w:p w:rsidR="00CA43A5" w:rsidRPr="0030429E" w:rsidRDefault="00CA43A5" w:rsidP="00E54E0F">
      <w:pPr>
        <w:widowControl/>
        <w:spacing w:line="360" w:lineRule="auto"/>
        <w:ind w:firstLine="1440"/>
        <w:rPr>
          <w:sz w:val="26"/>
          <w:szCs w:val="26"/>
        </w:rPr>
      </w:pPr>
      <w:r w:rsidRPr="0030429E">
        <w:rPr>
          <w:sz w:val="26"/>
          <w:szCs w:val="26"/>
        </w:rPr>
        <w:t xml:space="preserve">Based upon the foregoing discussion, we shall </w:t>
      </w:r>
      <w:r w:rsidR="001E33FF" w:rsidRPr="0030429E">
        <w:rPr>
          <w:sz w:val="26"/>
          <w:szCs w:val="26"/>
        </w:rPr>
        <w:t>deny the Complainants’ Exceptions and adopt the Initial Decision</w:t>
      </w:r>
      <w:r w:rsidRPr="0030429E">
        <w:rPr>
          <w:sz w:val="26"/>
          <w:szCs w:val="26"/>
        </w:rPr>
        <w:t xml:space="preserve"> consistent with the foregoing discussion; </w:t>
      </w:r>
      <w:r w:rsidRPr="0030429E">
        <w:rPr>
          <w:b/>
          <w:sz w:val="26"/>
          <w:szCs w:val="26"/>
        </w:rPr>
        <w:t>THEREFORE,</w:t>
      </w:r>
      <w:r w:rsidRPr="0030429E">
        <w:rPr>
          <w:sz w:val="26"/>
          <w:szCs w:val="26"/>
        </w:rPr>
        <w:t xml:space="preserve"> </w:t>
      </w:r>
    </w:p>
    <w:p w:rsidR="00CA43A5" w:rsidRPr="0030429E" w:rsidRDefault="00CA43A5" w:rsidP="00E54E0F">
      <w:pPr>
        <w:widowControl/>
        <w:rPr>
          <w:sz w:val="26"/>
          <w:szCs w:val="26"/>
        </w:rPr>
      </w:pPr>
    </w:p>
    <w:p w:rsidR="00CA43A5" w:rsidRPr="0030429E" w:rsidRDefault="00CA43A5" w:rsidP="00E54E0F">
      <w:pPr>
        <w:widowControl/>
        <w:ind w:firstLine="1440"/>
        <w:rPr>
          <w:b/>
          <w:sz w:val="26"/>
          <w:szCs w:val="26"/>
        </w:rPr>
      </w:pPr>
      <w:r w:rsidRPr="0030429E">
        <w:rPr>
          <w:b/>
          <w:sz w:val="26"/>
          <w:szCs w:val="26"/>
        </w:rPr>
        <w:t>IT IS ORDERED:</w:t>
      </w:r>
    </w:p>
    <w:p w:rsidR="00CA43A5" w:rsidRPr="0030429E" w:rsidRDefault="00CA43A5" w:rsidP="00E54E0F">
      <w:pPr>
        <w:widowControl/>
        <w:spacing w:line="360" w:lineRule="auto"/>
        <w:rPr>
          <w:sz w:val="26"/>
          <w:szCs w:val="26"/>
        </w:rPr>
      </w:pPr>
    </w:p>
    <w:p w:rsidR="009155F7" w:rsidRPr="0030429E" w:rsidRDefault="009155F7" w:rsidP="00E54E0F">
      <w:pPr>
        <w:widowControl/>
        <w:numPr>
          <w:ilvl w:val="0"/>
          <w:numId w:val="1"/>
        </w:numPr>
        <w:tabs>
          <w:tab w:val="clear" w:pos="2160"/>
          <w:tab w:val="num" w:pos="0"/>
        </w:tabs>
        <w:spacing w:line="360" w:lineRule="auto"/>
        <w:ind w:left="0" w:firstLine="1440"/>
        <w:rPr>
          <w:sz w:val="26"/>
          <w:szCs w:val="26"/>
        </w:rPr>
      </w:pPr>
      <w:r w:rsidRPr="0030429E">
        <w:rPr>
          <w:sz w:val="26"/>
          <w:szCs w:val="26"/>
        </w:rPr>
        <w:t xml:space="preserve">That the Exceptions of </w:t>
      </w:r>
      <w:r w:rsidR="00A77195" w:rsidRPr="0030429E">
        <w:rPr>
          <w:sz w:val="26"/>
          <w:szCs w:val="26"/>
        </w:rPr>
        <w:t xml:space="preserve">Thomas A. McCarey and Margery H. McCarey </w:t>
      </w:r>
      <w:r w:rsidRPr="0030429E">
        <w:rPr>
          <w:sz w:val="26"/>
          <w:szCs w:val="26"/>
        </w:rPr>
        <w:t xml:space="preserve">are </w:t>
      </w:r>
      <w:r w:rsidR="00A77195" w:rsidRPr="0030429E">
        <w:rPr>
          <w:sz w:val="26"/>
          <w:szCs w:val="26"/>
        </w:rPr>
        <w:t>denied</w:t>
      </w:r>
      <w:r w:rsidR="003F51F4" w:rsidRPr="0030429E">
        <w:rPr>
          <w:sz w:val="26"/>
          <w:szCs w:val="26"/>
        </w:rPr>
        <w:t xml:space="preserve">, consistent with this Opinion </w:t>
      </w:r>
      <w:r w:rsidR="00B80C43" w:rsidRPr="0030429E">
        <w:rPr>
          <w:sz w:val="26"/>
          <w:szCs w:val="26"/>
        </w:rPr>
        <w:t>and Order</w:t>
      </w:r>
      <w:r w:rsidRPr="0030429E">
        <w:rPr>
          <w:sz w:val="26"/>
          <w:szCs w:val="26"/>
        </w:rPr>
        <w:t>.</w:t>
      </w:r>
    </w:p>
    <w:p w:rsidR="003F51F4" w:rsidRPr="0030429E" w:rsidRDefault="003F51F4" w:rsidP="00E54E0F">
      <w:pPr>
        <w:widowControl/>
        <w:spacing w:line="360" w:lineRule="auto"/>
        <w:ind w:left="1440"/>
        <w:rPr>
          <w:sz w:val="26"/>
          <w:szCs w:val="26"/>
        </w:rPr>
      </w:pPr>
    </w:p>
    <w:p w:rsidR="00CA43A5" w:rsidRPr="0030429E" w:rsidRDefault="00CA43A5" w:rsidP="00E54E0F">
      <w:pPr>
        <w:widowControl/>
        <w:numPr>
          <w:ilvl w:val="0"/>
          <w:numId w:val="1"/>
        </w:numPr>
        <w:tabs>
          <w:tab w:val="clear" w:pos="2160"/>
          <w:tab w:val="num" w:pos="0"/>
        </w:tabs>
        <w:spacing w:line="360" w:lineRule="auto"/>
        <w:ind w:left="0" w:firstLine="1440"/>
        <w:rPr>
          <w:sz w:val="26"/>
          <w:szCs w:val="26"/>
        </w:rPr>
      </w:pPr>
      <w:r w:rsidRPr="0030429E">
        <w:rPr>
          <w:sz w:val="26"/>
          <w:szCs w:val="26"/>
        </w:rPr>
        <w:t xml:space="preserve">That the Initial Decision of Administrative Law Judge </w:t>
      </w:r>
      <w:r w:rsidR="00A77195" w:rsidRPr="0030429E">
        <w:rPr>
          <w:sz w:val="26"/>
          <w:szCs w:val="26"/>
        </w:rPr>
        <w:t>Joel H. Cheskis</w:t>
      </w:r>
      <w:r w:rsidRPr="0030429E">
        <w:rPr>
          <w:sz w:val="26"/>
          <w:szCs w:val="26"/>
        </w:rPr>
        <w:t xml:space="preserve"> is </w:t>
      </w:r>
      <w:r w:rsidR="00A77195" w:rsidRPr="0030429E">
        <w:rPr>
          <w:sz w:val="26"/>
          <w:szCs w:val="26"/>
        </w:rPr>
        <w:t>adopted</w:t>
      </w:r>
      <w:r w:rsidRPr="0030429E">
        <w:rPr>
          <w:sz w:val="26"/>
          <w:szCs w:val="26"/>
        </w:rPr>
        <w:t>, consistent with this Opinion and Order.</w:t>
      </w:r>
    </w:p>
    <w:p w:rsidR="003F51F4" w:rsidRPr="0030429E" w:rsidRDefault="003F51F4" w:rsidP="00E54E0F">
      <w:pPr>
        <w:widowControl/>
        <w:spacing w:line="360" w:lineRule="auto"/>
        <w:ind w:left="1440"/>
        <w:rPr>
          <w:sz w:val="26"/>
          <w:szCs w:val="26"/>
        </w:rPr>
      </w:pPr>
    </w:p>
    <w:p w:rsidR="00CA43A5" w:rsidRPr="0030429E" w:rsidRDefault="00A77195" w:rsidP="00E54E0F">
      <w:pPr>
        <w:widowControl/>
        <w:spacing w:line="360" w:lineRule="auto"/>
        <w:rPr>
          <w:sz w:val="26"/>
          <w:szCs w:val="26"/>
        </w:rPr>
      </w:pPr>
      <w:r w:rsidRPr="0030429E">
        <w:rPr>
          <w:sz w:val="26"/>
          <w:szCs w:val="26"/>
        </w:rPr>
        <w:tab/>
      </w:r>
      <w:r w:rsidRPr="0030429E">
        <w:rPr>
          <w:sz w:val="26"/>
          <w:szCs w:val="26"/>
        </w:rPr>
        <w:tab/>
        <w:t>3.</w:t>
      </w:r>
      <w:r w:rsidRPr="0030429E">
        <w:rPr>
          <w:sz w:val="26"/>
          <w:szCs w:val="26"/>
        </w:rPr>
        <w:tab/>
        <w:t>That the Complaint filed at Dock</w:t>
      </w:r>
      <w:r w:rsidR="001F2E25">
        <w:rPr>
          <w:sz w:val="26"/>
          <w:szCs w:val="26"/>
        </w:rPr>
        <w:t>et No. C-2013-2354862 by Thomas </w:t>
      </w:r>
      <w:r w:rsidRPr="0030429E">
        <w:rPr>
          <w:sz w:val="26"/>
          <w:szCs w:val="26"/>
        </w:rPr>
        <w:t>A. McCarey and Margery H. McCarey is dismissed with prejudice.</w:t>
      </w:r>
    </w:p>
    <w:p w:rsidR="00A77195" w:rsidRPr="0030429E" w:rsidRDefault="00A77195" w:rsidP="00E54E0F">
      <w:pPr>
        <w:widowControl/>
        <w:spacing w:line="360" w:lineRule="auto"/>
        <w:rPr>
          <w:sz w:val="26"/>
          <w:szCs w:val="26"/>
        </w:rPr>
      </w:pPr>
    </w:p>
    <w:p w:rsidR="00A77195" w:rsidRPr="0030429E" w:rsidRDefault="00A77195" w:rsidP="0030429E">
      <w:pPr>
        <w:keepNext/>
        <w:keepLines/>
        <w:widowControl/>
        <w:spacing w:line="360" w:lineRule="auto"/>
        <w:rPr>
          <w:sz w:val="26"/>
          <w:szCs w:val="26"/>
        </w:rPr>
      </w:pPr>
      <w:r w:rsidRPr="0030429E">
        <w:rPr>
          <w:sz w:val="26"/>
          <w:szCs w:val="26"/>
        </w:rPr>
        <w:tab/>
      </w:r>
      <w:r w:rsidRPr="0030429E">
        <w:rPr>
          <w:sz w:val="26"/>
          <w:szCs w:val="26"/>
        </w:rPr>
        <w:tab/>
        <w:t>4.</w:t>
      </w:r>
      <w:r w:rsidRPr="0030429E">
        <w:rPr>
          <w:sz w:val="26"/>
          <w:szCs w:val="26"/>
        </w:rPr>
        <w:tab/>
        <w:t>That the record in this proceeding be marked closed.</w:t>
      </w:r>
    </w:p>
    <w:p w:rsidR="00A77195" w:rsidRPr="0030429E" w:rsidRDefault="00825111" w:rsidP="00B83D4C">
      <w:pPr>
        <w:keepNext/>
        <w:keepLines/>
        <w:widowControl/>
        <w:spacing w:line="360" w:lineRule="auto"/>
        <w:rPr>
          <w:sz w:val="26"/>
          <w:szCs w:val="26"/>
        </w:rPr>
      </w:pPr>
      <w:r>
        <w:rPr>
          <w:noProof/>
        </w:rPr>
        <w:drawing>
          <wp:anchor distT="0" distB="0" distL="114300" distR="114300" simplePos="0" relativeHeight="251658240" behindDoc="1" locked="0" layoutInCell="1" allowOverlap="1" wp14:anchorId="1EC27F0E" wp14:editId="2691104F">
            <wp:simplePos x="0" y="0"/>
            <wp:positionH relativeFrom="column">
              <wp:posOffset>3022600</wp:posOffset>
            </wp:positionH>
            <wp:positionV relativeFrom="paragraph">
              <wp:posOffset>271145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CA43A5" w:rsidRPr="0030429E" w:rsidRDefault="00CA43A5">
      <w:pPr>
        <w:keepNext/>
        <w:keepLines/>
        <w:widowControl/>
        <w:tabs>
          <w:tab w:val="left" w:pos="-720"/>
        </w:tabs>
        <w:ind w:firstLine="5040"/>
        <w:rPr>
          <w:sz w:val="26"/>
          <w:szCs w:val="26"/>
        </w:rPr>
      </w:pPr>
      <w:r w:rsidRPr="0030429E">
        <w:rPr>
          <w:b/>
          <w:sz w:val="26"/>
          <w:szCs w:val="26"/>
        </w:rPr>
        <w:t>BY THE COMMISSION,</w:t>
      </w:r>
    </w:p>
    <w:p w:rsidR="00CA43A5" w:rsidRPr="0030429E" w:rsidRDefault="00CA43A5">
      <w:pPr>
        <w:keepNext/>
        <w:keepLines/>
        <w:widowControl/>
        <w:tabs>
          <w:tab w:val="left" w:pos="-720"/>
        </w:tabs>
        <w:rPr>
          <w:sz w:val="26"/>
          <w:szCs w:val="26"/>
        </w:rPr>
      </w:pPr>
    </w:p>
    <w:p w:rsidR="00CA43A5" w:rsidRPr="0030429E" w:rsidRDefault="00CA43A5">
      <w:pPr>
        <w:keepNext/>
        <w:keepLines/>
        <w:widowControl/>
        <w:tabs>
          <w:tab w:val="left" w:pos="-720"/>
        </w:tabs>
        <w:rPr>
          <w:sz w:val="26"/>
          <w:szCs w:val="26"/>
        </w:rPr>
      </w:pPr>
    </w:p>
    <w:p w:rsidR="00CA43A5" w:rsidRPr="0030429E" w:rsidRDefault="00CA43A5">
      <w:pPr>
        <w:keepNext/>
        <w:keepLines/>
        <w:widowControl/>
        <w:tabs>
          <w:tab w:val="left" w:pos="-720"/>
        </w:tabs>
        <w:rPr>
          <w:sz w:val="26"/>
          <w:szCs w:val="26"/>
        </w:rPr>
      </w:pPr>
    </w:p>
    <w:p w:rsidR="00CA43A5" w:rsidRPr="0030429E" w:rsidRDefault="00564565">
      <w:pPr>
        <w:keepNext/>
        <w:keepLines/>
        <w:widowControl/>
        <w:tabs>
          <w:tab w:val="left" w:pos="-720"/>
        </w:tabs>
        <w:ind w:firstLine="5040"/>
        <w:rPr>
          <w:b/>
          <w:sz w:val="26"/>
          <w:szCs w:val="26"/>
        </w:rPr>
      </w:pPr>
      <w:r w:rsidRPr="0030429E">
        <w:rPr>
          <w:sz w:val="26"/>
          <w:szCs w:val="26"/>
        </w:rPr>
        <w:t>Rosemary Chiavetta</w:t>
      </w:r>
    </w:p>
    <w:p w:rsidR="00CA43A5" w:rsidRPr="0030429E" w:rsidRDefault="00CA43A5">
      <w:pPr>
        <w:keepNext/>
        <w:keepLines/>
        <w:widowControl/>
        <w:tabs>
          <w:tab w:val="left" w:pos="-720"/>
        </w:tabs>
        <w:ind w:firstLine="5040"/>
        <w:rPr>
          <w:sz w:val="26"/>
          <w:szCs w:val="26"/>
        </w:rPr>
      </w:pPr>
      <w:r w:rsidRPr="0030429E">
        <w:rPr>
          <w:sz w:val="26"/>
          <w:szCs w:val="26"/>
        </w:rPr>
        <w:t>Secretary</w:t>
      </w:r>
    </w:p>
    <w:p w:rsidR="00CA43A5" w:rsidRPr="0030429E" w:rsidRDefault="00CA43A5">
      <w:pPr>
        <w:keepNext/>
        <w:keepLines/>
        <w:widowControl/>
        <w:tabs>
          <w:tab w:val="left" w:pos="-720"/>
        </w:tabs>
        <w:rPr>
          <w:sz w:val="26"/>
          <w:szCs w:val="26"/>
        </w:rPr>
      </w:pPr>
    </w:p>
    <w:p w:rsidR="00CA43A5" w:rsidRPr="0030429E" w:rsidRDefault="00CA43A5">
      <w:pPr>
        <w:keepNext/>
        <w:keepLines/>
        <w:widowControl/>
        <w:tabs>
          <w:tab w:val="left" w:pos="-720"/>
        </w:tabs>
        <w:rPr>
          <w:sz w:val="26"/>
          <w:szCs w:val="26"/>
        </w:rPr>
      </w:pPr>
      <w:r w:rsidRPr="0030429E">
        <w:rPr>
          <w:sz w:val="26"/>
          <w:szCs w:val="26"/>
        </w:rPr>
        <w:t>(SEAL)</w:t>
      </w:r>
    </w:p>
    <w:p w:rsidR="00CA43A5" w:rsidRPr="0030429E" w:rsidRDefault="00CA43A5">
      <w:pPr>
        <w:keepNext/>
        <w:keepLines/>
        <w:widowControl/>
        <w:tabs>
          <w:tab w:val="left" w:pos="-720"/>
        </w:tabs>
        <w:rPr>
          <w:sz w:val="26"/>
          <w:szCs w:val="26"/>
        </w:rPr>
      </w:pPr>
    </w:p>
    <w:p w:rsidR="00857172" w:rsidRPr="0030429E" w:rsidRDefault="00A77195">
      <w:pPr>
        <w:keepNext/>
        <w:keepLines/>
        <w:widowControl/>
        <w:tabs>
          <w:tab w:val="left" w:pos="-720"/>
        </w:tabs>
        <w:rPr>
          <w:sz w:val="26"/>
          <w:szCs w:val="26"/>
        </w:rPr>
      </w:pPr>
      <w:r w:rsidRPr="0030429E">
        <w:rPr>
          <w:sz w:val="26"/>
          <w:szCs w:val="26"/>
        </w:rPr>
        <w:t>ORDER ADOPTED:  September 26, 2013</w:t>
      </w:r>
    </w:p>
    <w:p w:rsidR="00A77195" w:rsidRPr="0030429E" w:rsidRDefault="00A77195">
      <w:pPr>
        <w:keepNext/>
        <w:keepLines/>
        <w:widowControl/>
        <w:tabs>
          <w:tab w:val="left" w:pos="-720"/>
        </w:tabs>
        <w:rPr>
          <w:sz w:val="26"/>
          <w:szCs w:val="26"/>
        </w:rPr>
      </w:pPr>
    </w:p>
    <w:p w:rsidR="00CA43A5" w:rsidRPr="0030429E" w:rsidRDefault="00CA43A5">
      <w:pPr>
        <w:keepNext/>
        <w:keepLines/>
        <w:widowControl/>
        <w:tabs>
          <w:tab w:val="left" w:pos="-720"/>
        </w:tabs>
        <w:rPr>
          <w:sz w:val="26"/>
          <w:szCs w:val="26"/>
        </w:rPr>
      </w:pPr>
      <w:r w:rsidRPr="0030429E">
        <w:rPr>
          <w:sz w:val="26"/>
          <w:szCs w:val="26"/>
        </w:rPr>
        <w:t xml:space="preserve">ORDER ENTERED:  </w:t>
      </w:r>
      <w:r w:rsidR="00825111">
        <w:rPr>
          <w:sz w:val="26"/>
          <w:szCs w:val="26"/>
        </w:rPr>
        <w:t>September 26, 2013</w:t>
      </w:r>
      <w:bookmarkStart w:id="3" w:name="_GoBack"/>
      <w:bookmarkEnd w:id="3"/>
    </w:p>
    <w:p w:rsidR="00344804" w:rsidRPr="0030429E" w:rsidRDefault="00344804">
      <w:pPr>
        <w:keepNext/>
        <w:keepLines/>
        <w:widowControl/>
        <w:ind w:right="360"/>
        <w:rPr>
          <w:sz w:val="26"/>
          <w:szCs w:val="26"/>
        </w:rPr>
      </w:pPr>
    </w:p>
    <w:sectPr w:rsidR="00344804" w:rsidRPr="0030429E" w:rsidSect="00515118">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700" w:rsidRDefault="00176700" w:rsidP="00515118">
      <w:r>
        <w:separator/>
      </w:r>
    </w:p>
  </w:endnote>
  <w:endnote w:type="continuationSeparator" w:id="0">
    <w:p w:rsidR="00176700" w:rsidRDefault="00176700" w:rsidP="00515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9140593"/>
      <w:docPartObj>
        <w:docPartGallery w:val="Page Numbers (Bottom of Page)"/>
        <w:docPartUnique/>
      </w:docPartObj>
    </w:sdtPr>
    <w:sdtEndPr>
      <w:rPr>
        <w:noProof/>
        <w:sz w:val="26"/>
        <w:szCs w:val="26"/>
      </w:rPr>
    </w:sdtEndPr>
    <w:sdtContent>
      <w:p w:rsidR="001E33FF" w:rsidRPr="00237CF9" w:rsidRDefault="001E33FF">
        <w:pPr>
          <w:pStyle w:val="Footer"/>
          <w:jc w:val="center"/>
          <w:rPr>
            <w:sz w:val="26"/>
            <w:szCs w:val="26"/>
          </w:rPr>
        </w:pPr>
        <w:r w:rsidRPr="00237CF9">
          <w:rPr>
            <w:sz w:val="26"/>
            <w:szCs w:val="26"/>
          </w:rPr>
          <w:fldChar w:fldCharType="begin"/>
        </w:r>
        <w:r w:rsidRPr="00237CF9">
          <w:rPr>
            <w:sz w:val="26"/>
            <w:szCs w:val="26"/>
          </w:rPr>
          <w:instrText xml:space="preserve"> PAGE   \* MERGEFORMAT </w:instrText>
        </w:r>
        <w:r w:rsidRPr="00237CF9">
          <w:rPr>
            <w:sz w:val="26"/>
            <w:szCs w:val="26"/>
          </w:rPr>
          <w:fldChar w:fldCharType="separate"/>
        </w:r>
        <w:r w:rsidR="00825111">
          <w:rPr>
            <w:noProof/>
            <w:sz w:val="26"/>
            <w:szCs w:val="26"/>
          </w:rPr>
          <w:t>11</w:t>
        </w:r>
        <w:r w:rsidRPr="00237CF9">
          <w:rPr>
            <w:noProof/>
            <w:sz w:val="26"/>
            <w:szCs w:val="26"/>
          </w:rPr>
          <w:fldChar w:fldCharType="end"/>
        </w:r>
      </w:p>
    </w:sdtContent>
  </w:sdt>
  <w:p w:rsidR="001E33FF" w:rsidRDefault="001E33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700" w:rsidRDefault="00176700" w:rsidP="00515118">
      <w:r>
        <w:separator/>
      </w:r>
    </w:p>
  </w:footnote>
  <w:footnote w:type="continuationSeparator" w:id="0">
    <w:p w:rsidR="00176700" w:rsidRDefault="00176700" w:rsidP="00515118">
      <w:r>
        <w:continuationSeparator/>
      </w:r>
    </w:p>
  </w:footnote>
  <w:footnote w:id="1">
    <w:p w:rsidR="001E33FF" w:rsidRPr="004011CB" w:rsidRDefault="001E33FF" w:rsidP="00515118">
      <w:pPr>
        <w:pStyle w:val="FootnoteText"/>
        <w:rPr>
          <w:rFonts w:ascii="Times New Roman" w:hAnsi="Times New Roman" w:cs="Times New Roman"/>
          <w:sz w:val="26"/>
          <w:szCs w:val="26"/>
        </w:rPr>
      </w:pPr>
      <w:r>
        <w:rPr>
          <w:rFonts w:ascii="Times New Roman" w:hAnsi="Times New Roman" w:cs="Times New Roman"/>
          <w:sz w:val="26"/>
          <w:szCs w:val="26"/>
        </w:rPr>
        <w:tab/>
      </w:r>
      <w:r w:rsidRPr="004011CB">
        <w:rPr>
          <w:rStyle w:val="FootnoteReference"/>
          <w:rFonts w:ascii="Times New Roman" w:hAnsi="Times New Roman" w:cs="Times New Roman"/>
          <w:sz w:val="26"/>
          <w:szCs w:val="26"/>
        </w:rPr>
        <w:footnoteRef/>
      </w:r>
      <w:r w:rsidRPr="004011CB">
        <w:rPr>
          <w:rFonts w:ascii="Times New Roman" w:hAnsi="Times New Roman" w:cs="Times New Roman"/>
          <w:sz w:val="26"/>
          <w:szCs w:val="26"/>
        </w:rPr>
        <w:t xml:space="preserve"> </w:t>
      </w:r>
      <w:r w:rsidRPr="004011CB">
        <w:rPr>
          <w:rFonts w:ascii="Times New Roman" w:hAnsi="Times New Roman" w:cs="Times New Roman"/>
          <w:sz w:val="26"/>
          <w:szCs w:val="26"/>
        </w:rPr>
        <w:tab/>
        <w:t>A “smart meter” is an electric meter that records consumption of electric energy in increments of an hour or less and communicates that information at least daily back to the utility for monitoring and billing purposes.</w:t>
      </w:r>
    </w:p>
  </w:footnote>
  <w:footnote w:id="2">
    <w:p w:rsidR="00B83D4C" w:rsidRPr="00CB6777" w:rsidRDefault="00B83D4C" w:rsidP="00B83D4C">
      <w:pPr>
        <w:pStyle w:val="FootnoteText"/>
        <w:rPr>
          <w:rFonts w:ascii="Times New Roman" w:hAnsi="Times New Roman" w:cs="Times New Roman"/>
          <w:sz w:val="26"/>
          <w:szCs w:val="26"/>
        </w:rPr>
      </w:pPr>
      <w:r>
        <w:rPr>
          <w:rFonts w:ascii="Times New Roman" w:hAnsi="Times New Roman" w:cs="Times New Roman"/>
          <w:sz w:val="26"/>
          <w:szCs w:val="26"/>
        </w:rPr>
        <w:tab/>
      </w:r>
      <w:r w:rsidRPr="00CB6777">
        <w:rPr>
          <w:rStyle w:val="FootnoteReference"/>
          <w:rFonts w:ascii="Times New Roman" w:hAnsi="Times New Roman" w:cs="Times New Roman"/>
          <w:sz w:val="26"/>
          <w:szCs w:val="26"/>
        </w:rPr>
        <w:footnoteRef/>
      </w:r>
      <w:r>
        <w:rPr>
          <w:rFonts w:ascii="Times New Roman" w:hAnsi="Times New Roman" w:cs="Times New Roman"/>
          <w:sz w:val="26"/>
          <w:szCs w:val="26"/>
        </w:rPr>
        <w:tab/>
        <w:t xml:space="preserve">The Complainants attached a document purporting to address health risks from the use of smart meters to their Exceptions.  Subsequent to the filing of their Exceptions, the Complainants filed “Additional Information to Exceptions” on May 10, 2013, and a “Special Report Regarding Exceptions” on June 26, 2013.  </w:t>
      </w:r>
      <w:r w:rsidR="003E74DE">
        <w:rPr>
          <w:rFonts w:ascii="Times New Roman" w:hAnsi="Times New Roman" w:cs="Times New Roman"/>
          <w:sz w:val="26"/>
          <w:szCs w:val="26"/>
        </w:rPr>
        <w:t xml:space="preserve">A party </w:t>
      </w:r>
      <w:r>
        <w:rPr>
          <w:rFonts w:ascii="Times New Roman" w:hAnsi="Times New Roman" w:cs="Times New Roman"/>
          <w:sz w:val="26"/>
          <w:szCs w:val="26"/>
        </w:rPr>
        <w:t>cannot introduce new evidenc</w:t>
      </w:r>
      <w:r w:rsidR="003E74DE">
        <w:rPr>
          <w:rFonts w:ascii="Times New Roman" w:hAnsi="Times New Roman" w:cs="Times New Roman"/>
          <w:sz w:val="26"/>
          <w:szCs w:val="26"/>
        </w:rPr>
        <w:t>e at the exceptions stage of the</w:t>
      </w:r>
      <w:r>
        <w:rPr>
          <w:rFonts w:ascii="Times New Roman" w:hAnsi="Times New Roman" w:cs="Times New Roman"/>
          <w:sz w:val="26"/>
          <w:szCs w:val="26"/>
        </w:rPr>
        <w:t xml:space="preserve"> proceeding.  </w:t>
      </w:r>
      <w:r w:rsidRPr="00CB6777">
        <w:rPr>
          <w:rFonts w:ascii="Times New Roman" w:hAnsi="Times New Roman" w:cs="Times New Roman"/>
          <w:i/>
          <w:iCs/>
          <w:sz w:val="26"/>
          <w:szCs w:val="26"/>
        </w:rPr>
        <w:t>Pa. PUC v. Philadelphia Gas and Water Company Water Division</w:t>
      </w:r>
      <w:r w:rsidRPr="00CB6777">
        <w:rPr>
          <w:rFonts w:ascii="Times New Roman" w:hAnsi="Times New Roman" w:cs="Times New Roman"/>
          <w:sz w:val="26"/>
          <w:szCs w:val="26"/>
        </w:rPr>
        <w:t>, 1988 Pa. PUC LEXIS 511</w:t>
      </w:r>
      <w:r>
        <w:rPr>
          <w:rFonts w:ascii="Times New Roman" w:hAnsi="Times New Roman" w:cs="Times New Roman"/>
          <w:sz w:val="26"/>
          <w:szCs w:val="26"/>
        </w:rPr>
        <w:t xml:space="preserve">.  </w:t>
      </w:r>
      <w:r w:rsidR="007B0313">
        <w:rPr>
          <w:rFonts w:ascii="Times New Roman" w:hAnsi="Times New Roman" w:cs="Times New Roman"/>
          <w:sz w:val="26"/>
          <w:szCs w:val="26"/>
        </w:rPr>
        <w:t>We may, however, take judicial notice of published articles and reports.  Consequently, the unpublished</w:t>
      </w:r>
      <w:r>
        <w:rPr>
          <w:rFonts w:ascii="Times New Roman" w:hAnsi="Times New Roman" w:cs="Times New Roman"/>
          <w:sz w:val="26"/>
          <w:szCs w:val="26"/>
        </w:rPr>
        <w:t xml:space="preserve"> documents </w:t>
      </w:r>
      <w:r w:rsidR="007B0313">
        <w:rPr>
          <w:rFonts w:ascii="Times New Roman" w:hAnsi="Times New Roman" w:cs="Times New Roman"/>
          <w:sz w:val="26"/>
          <w:szCs w:val="26"/>
        </w:rPr>
        <w:t xml:space="preserve">submitted by the Complainants </w:t>
      </w:r>
      <w:r>
        <w:rPr>
          <w:rFonts w:ascii="Times New Roman" w:hAnsi="Times New Roman" w:cs="Times New Roman"/>
          <w:sz w:val="26"/>
          <w:szCs w:val="26"/>
        </w:rPr>
        <w:t>were not considered in our disposition of the Complainant’s Exceptions.</w:t>
      </w:r>
      <w:r w:rsidRPr="00CB6777">
        <w:rPr>
          <w:rFonts w:ascii="Times New Roman" w:hAnsi="Times New Roman" w:cs="Times New Roman"/>
          <w:sz w:val="26"/>
          <w:szCs w:val="2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D47"/>
    <w:rsid w:val="00001FC8"/>
    <w:rsid w:val="00006685"/>
    <w:rsid w:val="00006F35"/>
    <w:rsid w:val="00016D57"/>
    <w:rsid w:val="00017852"/>
    <w:rsid w:val="00021E46"/>
    <w:rsid w:val="00022B74"/>
    <w:rsid w:val="0002524C"/>
    <w:rsid w:val="00025B8D"/>
    <w:rsid w:val="00025F3F"/>
    <w:rsid w:val="00026CD2"/>
    <w:rsid w:val="00032AA1"/>
    <w:rsid w:val="00040A8E"/>
    <w:rsid w:val="00040AEA"/>
    <w:rsid w:val="00047874"/>
    <w:rsid w:val="00047F4A"/>
    <w:rsid w:val="000523D1"/>
    <w:rsid w:val="00052B8F"/>
    <w:rsid w:val="00054612"/>
    <w:rsid w:val="0005572E"/>
    <w:rsid w:val="00056286"/>
    <w:rsid w:val="000612FD"/>
    <w:rsid w:val="000642AA"/>
    <w:rsid w:val="000649EC"/>
    <w:rsid w:val="00066EE5"/>
    <w:rsid w:val="00067260"/>
    <w:rsid w:val="00072808"/>
    <w:rsid w:val="00076F35"/>
    <w:rsid w:val="00084573"/>
    <w:rsid w:val="00084AF9"/>
    <w:rsid w:val="000918D4"/>
    <w:rsid w:val="00093164"/>
    <w:rsid w:val="0009612D"/>
    <w:rsid w:val="00097504"/>
    <w:rsid w:val="000A25D6"/>
    <w:rsid w:val="000A365D"/>
    <w:rsid w:val="000A7DAA"/>
    <w:rsid w:val="000B216D"/>
    <w:rsid w:val="000B2755"/>
    <w:rsid w:val="000B4EAE"/>
    <w:rsid w:val="000B5238"/>
    <w:rsid w:val="000B607A"/>
    <w:rsid w:val="000B6B15"/>
    <w:rsid w:val="000C2AE3"/>
    <w:rsid w:val="000C709A"/>
    <w:rsid w:val="000F179E"/>
    <w:rsid w:val="000F4307"/>
    <w:rsid w:val="0010158F"/>
    <w:rsid w:val="00101F51"/>
    <w:rsid w:val="001026CA"/>
    <w:rsid w:val="00104D9B"/>
    <w:rsid w:val="00117CB2"/>
    <w:rsid w:val="00120B39"/>
    <w:rsid w:val="001219DE"/>
    <w:rsid w:val="001238E5"/>
    <w:rsid w:val="00123A2E"/>
    <w:rsid w:val="00124071"/>
    <w:rsid w:val="001267D4"/>
    <w:rsid w:val="00135972"/>
    <w:rsid w:val="001360FC"/>
    <w:rsid w:val="00140F0A"/>
    <w:rsid w:val="001447A0"/>
    <w:rsid w:val="0014497F"/>
    <w:rsid w:val="00146DDD"/>
    <w:rsid w:val="00146E58"/>
    <w:rsid w:val="00147145"/>
    <w:rsid w:val="00150096"/>
    <w:rsid w:val="001508E4"/>
    <w:rsid w:val="0015380A"/>
    <w:rsid w:val="00154CB6"/>
    <w:rsid w:val="001618F1"/>
    <w:rsid w:val="00164DA4"/>
    <w:rsid w:val="00166298"/>
    <w:rsid w:val="001663C8"/>
    <w:rsid w:val="00174D3D"/>
    <w:rsid w:val="00176700"/>
    <w:rsid w:val="00182478"/>
    <w:rsid w:val="00186A97"/>
    <w:rsid w:val="00192E5C"/>
    <w:rsid w:val="00192F49"/>
    <w:rsid w:val="0019530E"/>
    <w:rsid w:val="00195F2E"/>
    <w:rsid w:val="001B1DB4"/>
    <w:rsid w:val="001B3882"/>
    <w:rsid w:val="001B7B87"/>
    <w:rsid w:val="001C4978"/>
    <w:rsid w:val="001D0ED2"/>
    <w:rsid w:val="001E0B61"/>
    <w:rsid w:val="001E0CE6"/>
    <w:rsid w:val="001E1276"/>
    <w:rsid w:val="001E33FF"/>
    <w:rsid w:val="001F285E"/>
    <w:rsid w:val="001F2E25"/>
    <w:rsid w:val="00202524"/>
    <w:rsid w:val="00210736"/>
    <w:rsid w:val="00210F81"/>
    <w:rsid w:val="00211622"/>
    <w:rsid w:val="00214B3E"/>
    <w:rsid w:val="0022698E"/>
    <w:rsid w:val="00227912"/>
    <w:rsid w:val="002311EE"/>
    <w:rsid w:val="002370F5"/>
    <w:rsid w:val="00237CF9"/>
    <w:rsid w:val="00240ACA"/>
    <w:rsid w:val="00240D7B"/>
    <w:rsid w:val="00241299"/>
    <w:rsid w:val="002456B9"/>
    <w:rsid w:val="00255462"/>
    <w:rsid w:val="00260957"/>
    <w:rsid w:val="00264646"/>
    <w:rsid w:val="0027232D"/>
    <w:rsid w:val="00274D0F"/>
    <w:rsid w:val="00277500"/>
    <w:rsid w:val="00281A5F"/>
    <w:rsid w:val="00291F68"/>
    <w:rsid w:val="002A060A"/>
    <w:rsid w:val="002A4450"/>
    <w:rsid w:val="002A6750"/>
    <w:rsid w:val="002B2296"/>
    <w:rsid w:val="002B4407"/>
    <w:rsid w:val="002B67B7"/>
    <w:rsid w:val="002C0429"/>
    <w:rsid w:val="002C19E4"/>
    <w:rsid w:val="002C6CC4"/>
    <w:rsid w:val="002D13C4"/>
    <w:rsid w:val="002D275E"/>
    <w:rsid w:val="002D4E12"/>
    <w:rsid w:val="002D6357"/>
    <w:rsid w:val="002D7584"/>
    <w:rsid w:val="002E3026"/>
    <w:rsid w:val="002E3F06"/>
    <w:rsid w:val="002E6FFA"/>
    <w:rsid w:val="002E7F8F"/>
    <w:rsid w:val="002F3F04"/>
    <w:rsid w:val="002F41BA"/>
    <w:rsid w:val="003018AA"/>
    <w:rsid w:val="00303B99"/>
    <w:rsid w:val="0030429E"/>
    <w:rsid w:val="0030714F"/>
    <w:rsid w:val="003073E2"/>
    <w:rsid w:val="00307DDF"/>
    <w:rsid w:val="00314A43"/>
    <w:rsid w:val="003216B0"/>
    <w:rsid w:val="00322040"/>
    <w:rsid w:val="003240B8"/>
    <w:rsid w:val="00325422"/>
    <w:rsid w:val="00333FDA"/>
    <w:rsid w:val="003340DE"/>
    <w:rsid w:val="00340D19"/>
    <w:rsid w:val="00344804"/>
    <w:rsid w:val="003518C8"/>
    <w:rsid w:val="003533B5"/>
    <w:rsid w:val="003622CA"/>
    <w:rsid w:val="00363030"/>
    <w:rsid w:val="0036462C"/>
    <w:rsid w:val="00364A42"/>
    <w:rsid w:val="00371DAB"/>
    <w:rsid w:val="003755FB"/>
    <w:rsid w:val="0037577C"/>
    <w:rsid w:val="00385502"/>
    <w:rsid w:val="00391A43"/>
    <w:rsid w:val="003B0611"/>
    <w:rsid w:val="003B42D9"/>
    <w:rsid w:val="003C3140"/>
    <w:rsid w:val="003C3E02"/>
    <w:rsid w:val="003C3FE8"/>
    <w:rsid w:val="003C73F9"/>
    <w:rsid w:val="003D5F07"/>
    <w:rsid w:val="003D6AB5"/>
    <w:rsid w:val="003E3FF5"/>
    <w:rsid w:val="003E5354"/>
    <w:rsid w:val="003E74DE"/>
    <w:rsid w:val="003F0560"/>
    <w:rsid w:val="003F51F4"/>
    <w:rsid w:val="003F52C6"/>
    <w:rsid w:val="003F558E"/>
    <w:rsid w:val="004011CB"/>
    <w:rsid w:val="004024C3"/>
    <w:rsid w:val="00403D6E"/>
    <w:rsid w:val="00407AC0"/>
    <w:rsid w:val="00412E30"/>
    <w:rsid w:val="004170AF"/>
    <w:rsid w:val="00421F01"/>
    <w:rsid w:val="00426104"/>
    <w:rsid w:val="00426BF7"/>
    <w:rsid w:val="00432BB7"/>
    <w:rsid w:val="004331E9"/>
    <w:rsid w:val="00433E8D"/>
    <w:rsid w:val="0043592C"/>
    <w:rsid w:val="004411B9"/>
    <w:rsid w:val="00441207"/>
    <w:rsid w:val="004422CA"/>
    <w:rsid w:val="00443807"/>
    <w:rsid w:val="004462F7"/>
    <w:rsid w:val="0046019D"/>
    <w:rsid w:val="00464536"/>
    <w:rsid w:val="0046514E"/>
    <w:rsid w:val="0046623C"/>
    <w:rsid w:val="00467739"/>
    <w:rsid w:val="00470D0C"/>
    <w:rsid w:val="00474E22"/>
    <w:rsid w:val="0047608F"/>
    <w:rsid w:val="00476554"/>
    <w:rsid w:val="004765CE"/>
    <w:rsid w:val="004771E7"/>
    <w:rsid w:val="004813D4"/>
    <w:rsid w:val="00491D91"/>
    <w:rsid w:val="0049580C"/>
    <w:rsid w:val="0049768F"/>
    <w:rsid w:val="004A04E5"/>
    <w:rsid w:val="004A1495"/>
    <w:rsid w:val="004A2165"/>
    <w:rsid w:val="004A5F74"/>
    <w:rsid w:val="004B1052"/>
    <w:rsid w:val="004B6B14"/>
    <w:rsid w:val="004E47EC"/>
    <w:rsid w:val="004E514F"/>
    <w:rsid w:val="004E737F"/>
    <w:rsid w:val="004F03DE"/>
    <w:rsid w:val="004F22DA"/>
    <w:rsid w:val="00502165"/>
    <w:rsid w:val="00504834"/>
    <w:rsid w:val="00504C7A"/>
    <w:rsid w:val="00505AEE"/>
    <w:rsid w:val="0050632E"/>
    <w:rsid w:val="0050752D"/>
    <w:rsid w:val="00511EF3"/>
    <w:rsid w:val="00514507"/>
    <w:rsid w:val="00515118"/>
    <w:rsid w:val="00521350"/>
    <w:rsid w:val="005351B9"/>
    <w:rsid w:val="00536011"/>
    <w:rsid w:val="00550B79"/>
    <w:rsid w:val="0055150B"/>
    <w:rsid w:val="005532F9"/>
    <w:rsid w:val="0055440B"/>
    <w:rsid w:val="0055708D"/>
    <w:rsid w:val="00561CA6"/>
    <w:rsid w:val="00564565"/>
    <w:rsid w:val="005647BE"/>
    <w:rsid w:val="00566299"/>
    <w:rsid w:val="005725F6"/>
    <w:rsid w:val="00586817"/>
    <w:rsid w:val="00586D92"/>
    <w:rsid w:val="00587507"/>
    <w:rsid w:val="00596A0B"/>
    <w:rsid w:val="00596E05"/>
    <w:rsid w:val="00596F85"/>
    <w:rsid w:val="005970FA"/>
    <w:rsid w:val="005A0176"/>
    <w:rsid w:val="005A088E"/>
    <w:rsid w:val="005A2298"/>
    <w:rsid w:val="005A28C1"/>
    <w:rsid w:val="005A68B3"/>
    <w:rsid w:val="005A72FC"/>
    <w:rsid w:val="005B0388"/>
    <w:rsid w:val="005B109A"/>
    <w:rsid w:val="005C2FD5"/>
    <w:rsid w:val="005C4795"/>
    <w:rsid w:val="005C5378"/>
    <w:rsid w:val="005D2AB9"/>
    <w:rsid w:val="005D34E2"/>
    <w:rsid w:val="005D496E"/>
    <w:rsid w:val="005D7C20"/>
    <w:rsid w:val="005E6960"/>
    <w:rsid w:val="005E7EB8"/>
    <w:rsid w:val="005F18D6"/>
    <w:rsid w:val="00603024"/>
    <w:rsid w:val="006116E3"/>
    <w:rsid w:val="00624400"/>
    <w:rsid w:val="00624E51"/>
    <w:rsid w:val="00626162"/>
    <w:rsid w:val="00634719"/>
    <w:rsid w:val="006503E8"/>
    <w:rsid w:val="00654A4A"/>
    <w:rsid w:val="0065545A"/>
    <w:rsid w:val="006661CF"/>
    <w:rsid w:val="00670BFD"/>
    <w:rsid w:val="00671E4C"/>
    <w:rsid w:val="00672D3F"/>
    <w:rsid w:val="00674295"/>
    <w:rsid w:val="006818A8"/>
    <w:rsid w:val="00681A51"/>
    <w:rsid w:val="00682469"/>
    <w:rsid w:val="00683D97"/>
    <w:rsid w:val="00684FCA"/>
    <w:rsid w:val="00686B5C"/>
    <w:rsid w:val="006900D1"/>
    <w:rsid w:val="00696997"/>
    <w:rsid w:val="006A758C"/>
    <w:rsid w:val="006C10C1"/>
    <w:rsid w:val="006C1EEC"/>
    <w:rsid w:val="006C3FEA"/>
    <w:rsid w:val="006C4D2D"/>
    <w:rsid w:val="006C69E7"/>
    <w:rsid w:val="006D10AE"/>
    <w:rsid w:val="006D29F2"/>
    <w:rsid w:val="006D7CA2"/>
    <w:rsid w:val="006E065B"/>
    <w:rsid w:val="006E09D3"/>
    <w:rsid w:val="006E1E6C"/>
    <w:rsid w:val="006E5505"/>
    <w:rsid w:val="006F240A"/>
    <w:rsid w:val="006F2FB3"/>
    <w:rsid w:val="006F531B"/>
    <w:rsid w:val="006F62BC"/>
    <w:rsid w:val="006F7063"/>
    <w:rsid w:val="00702493"/>
    <w:rsid w:val="00714F3B"/>
    <w:rsid w:val="007166F7"/>
    <w:rsid w:val="00716AEF"/>
    <w:rsid w:val="00717076"/>
    <w:rsid w:val="00717296"/>
    <w:rsid w:val="00720C85"/>
    <w:rsid w:val="00727370"/>
    <w:rsid w:val="00735D9E"/>
    <w:rsid w:val="0074109C"/>
    <w:rsid w:val="00742335"/>
    <w:rsid w:val="00742842"/>
    <w:rsid w:val="00753376"/>
    <w:rsid w:val="007543B0"/>
    <w:rsid w:val="007568A9"/>
    <w:rsid w:val="00761514"/>
    <w:rsid w:val="00763CE7"/>
    <w:rsid w:val="00772177"/>
    <w:rsid w:val="00775C65"/>
    <w:rsid w:val="0077639A"/>
    <w:rsid w:val="0078100C"/>
    <w:rsid w:val="0078157F"/>
    <w:rsid w:val="00786E4C"/>
    <w:rsid w:val="00786F48"/>
    <w:rsid w:val="0078772C"/>
    <w:rsid w:val="007878E4"/>
    <w:rsid w:val="007963BD"/>
    <w:rsid w:val="007A3316"/>
    <w:rsid w:val="007A4783"/>
    <w:rsid w:val="007A5191"/>
    <w:rsid w:val="007B0313"/>
    <w:rsid w:val="007B0500"/>
    <w:rsid w:val="007B111B"/>
    <w:rsid w:val="007B3AE8"/>
    <w:rsid w:val="007B4418"/>
    <w:rsid w:val="007B5F62"/>
    <w:rsid w:val="007B66B3"/>
    <w:rsid w:val="007B7077"/>
    <w:rsid w:val="007C3003"/>
    <w:rsid w:val="007C6B60"/>
    <w:rsid w:val="007C6F85"/>
    <w:rsid w:val="007D3AA0"/>
    <w:rsid w:val="007D3FE2"/>
    <w:rsid w:val="007D5690"/>
    <w:rsid w:val="007D69FA"/>
    <w:rsid w:val="007E1600"/>
    <w:rsid w:val="00810603"/>
    <w:rsid w:val="00814283"/>
    <w:rsid w:val="00820209"/>
    <w:rsid w:val="00820F35"/>
    <w:rsid w:val="00820FEC"/>
    <w:rsid w:val="0082393D"/>
    <w:rsid w:val="00825111"/>
    <w:rsid w:val="0083324D"/>
    <w:rsid w:val="00841733"/>
    <w:rsid w:val="00844D38"/>
    <w:rsid w:val="00844D85"/>
    <w:rsid w:val="008524BE"/>
    <w:rsid w:val="00853BC2"/>
    <w:rsid w:val="00854278"/>
    <w:rsid w:val="00854D82"/>
    <w:rsid w:val="00856063"/>
    <w:rsid w:val="00857172"/>
    <w:rsid w:val="0086236A"/>
    <w:rsid w:val="0087035A"/>
    <w:rsid w:val="0087347D"/>
    <w:rsid w:val="00881B32"/>
    <w:rsid w:val="00882BCE"/>
    <w:rsid w:val="00882DAD"/>
    <w:rsid w:val="00885263"/>
    <w:rsid w:val="00892DA5"/>
    <w:rsid w:val="008949B1"/>
    <w:rsid w:val="0089713E"/>
    <w:rsid w:val="008A10F3"/>
    <w:rsid w:val="008A5C0F"/>
    <w:rsid w:val="008B1596"/>
    <w:rsid w:val="008C09C4"/>
    <w:rsid w:val="008C1F44"/>
    <w:rsid w:val="008C646F"/>
    <w:rsid w:val="008E3E4B"/>
    <w:rsid w:val="008E4EF9"/>
    <w:rsid w:val="008E6DFC"/>
    <w:rsid w:val="008E7710"/>
    <w:rsid w:val="008F7E7D"/>
    <w:rsid w:val="00900D4D"/>
    <w:rsid w:val="00903F34"/>
    <w:rsid w:val="00905C0A"/>
    <w:rsid w:val="009105B2"/>
    <w:rsid w:val="009122F8"/>
    <w:rsid w:val="00915520"/>
    <w:rsid w:val="009155F7"/>
    <w:rsid w:val="00921131"/>
    <w:rsid w:val="009247F5"/>
    <w:rsid w:val="00926AB2"/>
    <w:rsid w:val="009407FE"/>
    <w:rsid w:val="00942436"/>
    <w:rsid w:val="00957603"/>
    <w:rsid w:val="00957A1D"/>
    <w:rsid w:val="00957BC0"/>
    <w:rsid w:val="0096487B"/>
    <w:rsid w:val="009757D1"/>
    <w:rsid w:val="00980754"/>
    <w:rsid w:val="00981535"/>
    <w:rsid w:val="009825C8"/>
    <w:rsid w:val="0098409F"/>
    <w:rsid w:val="009840A0"/>
    <w:rsid w:val="00984FBC"/>
    <w:rsid w:val="00985537"/>
    <w:rsid w:val="00991698"/>
    <w:rsid w:val="00991C17"/>
    <w:rsid w:val="00992D1E"/>
    <w:rsid w:val="00997EB2"/>
    <w:rsid w:val="009A06F5"/>
    <w:rsid w:val="009A0788"/>
    <w:rsid w:val="009A0E92"/>
    <w:rsid w:val="009A17EC"/>
    <w:rsid w:val="009A2351"/>
    <w:rsid w:val="009B03DF"/>
    <w:rsid w:val="009B6AF0"/>
    <w:rsid w:val="009C292D"/>
    <w:rsid w:val="009C5F0C"/>
    <w:rsid w:val="009C6605"/>
    <w:rsid w:val="009C67C0"/>
    <w:rsid w:val="009C7E50"/>
    <w:rsid w:val="009D1035"/>
    <w:rsid w:val="009D13D0"/>
    <w:rsid w:val="009D2068"/>
    <w:rsid w:val="009D7D33"/>
    <w:rsid w:val="009E4DD4"/>
    <w:rsid w:val="009E4E3F"/>
    <w:rsid w:val="009E698B"/>
    <w:rsid w:val="009F1547"/>
    <w:rsid w:val="009F4ABA"/>
    <w:rsid w:val="00A066AE"/>
    <w:rsid w:val="00A10DD9"/>
    <w:rsid w:val="00A12C6B"/>
    <w:rsid w:val="00A14117"/>
    <w:rsid w:val="00A149FA"/>
    <w:rsid w:val="00A17DF0"/>
    <w:rsid w:val="00A20F78"/>
    <w:rsid w:val="00A218F1"/>
    <w:rsid w:val="00A27DEE"/>
    <w:rsid w:val="00A31B93"/>
    <w:rsid w:val="00A375EF"/>
    <w:rsid w:val="00A46F11"/>
    <w:rsid w:val="00A528C2"/>
    <w:rsid w:val="00A54AFD"/>
    <w:rsid w:val="00A54E69"/>
    <w:rsid w:val="00A61B06"/>
    <w:rsid w:val="00A62113"/>
    <w:rsid w:val="00A6759C"/>
    <w:rsid w:val="00A67923"/>
    <w:rsid w:val="00A713ED"/>
    <w:rsid w:val="00A714B8"/>
    <w:rsid w:val="00A74901"/>
    <w:rsid w:val="00A75733"/>
    <w:rsid w:val="00A76308"/>
    <w:rsid w:val="00A77195"/>
    <w:rsid w:val="00A77C08"/>
    <w:rsid w:val="00A81527"/>
    <w:rsid w:val="00A82058"/>
    <w:rsid w:val="00A84AE7"/>
    <w:rsid w:val="00A869B0"/>
    <w:rsid w:val="00A9289F"/>
    <w:rsid w:val="00A92C1D"/>
    <w:rsid w:val="00AA0C77"/>
    <w:rsid w:val="00AA1D27"/>
    <w:rsid w:val="00AA204C"/>
    <w:rsid w:val="00AA2D57"/>
    <w:rsid w:val="00AA3941"/>
    <w:rsid w:val="00AA56D0"/>
    <w:rsid w:val="00AB0C9F"/>
    <w:rsid w:val="00AB143A"/>
    <w:rsid w:val="00AC003C"/>
    <w:rsid w:val="00AC0103"/>
    <w:rsid w:val="00AC1404"/>
    <w:rsid w:val="00AD039F"/>
    <w:rsid w:val="00AD3902"/>
    <w:rsid w:val="00AD6010"/>
    <w:rsid w:val="00AD6C40"/>
    <w:rsid w:val="00AE33FF"/>
    <w:rsid w:val="00AE4427"/>
    <w:rsid w:val="00AF06D5"/>
    <w:rsid w:val="00AF09DD"/>
    <w:rsid w:val="00B02655"/>
    <w:rsid w:val="00B05102"/>
    <w:rsid w:val="00B16A34"/>
    <w:rsid w:val="00B25453"/>
    <w:rsid w:val="00B31B9C"/>
    <w:rsid w:val="00B34D6C"/>
    <w:rsid w:val="00B5544F"/>
    <w:rsid w:val="00B55E5D"/>
    <w:rsid w:val="00B60A36"/>
    <w:rsid w:val="00B66867"/>
    <w:rsid w:val="00B66994"/>
    <w:rsid w:val="00B71AFB"/>
    <w:rsid w:val="00B71F3A"/>
    <w:rsid w:val="00B72768"/>
    <w:rsid w:val="00B73C97"/>
    <w:rsid w:val="00B76340"/>
    <w:rsid w:val="00B80C43"/>
    <w:rsid w:val="00B83D4C"/>
    <w:rsid w:val="00B94786"/>
    <w:rsid w:val="00BA78B6"/>
    <w:rsid w:val="00BB26AD"/>
    <w:rsid w:val="00BB79BD"/>
    <w:rsid w:val="00BC7208"/>
    <w:rsid w:val="00BD0B48"/>
    <w:rsid w:val="00BD2A0A"/>
    <w:rsid w:val="00BD5D0F"/>
    <w:rsid w:val="00BD7C68"/>
    <w:rsid w:val="00BE1CBC"/>
    <w:rsid w:val="00BE29DC"/>
    <w:rsid w:val="00BF697A"/>
    <w:rsid w:val="00BF6ADB"/>
    <w:rsid w:val="00C03776"/>
    <w:rsid w:val="00C13821"/>
    <w:rsid w:val="00C14051"/>
    <w:rsid w:val="00C15F73"/>
    <w:rsid w:val="00C2037B"/>
    <w:rsid w:val="00C22FF7"/>
    <w:rsid w:val="00C27F76"/>
    <w:rsid w:val="00C30DA4"/>
    <w:rsid w:val="00C33904"/>
    <w:rsid w:val="00C44719"/>
    <w:rsid w:val="00C50108"/>
    <w:rsid w:val="00C57288"/>
    <w:rsid w:val="00C6572C"/>
    <w:rsid w:val="00C70CFF"/>
    <w:rsid w:val="00C71D4D"/>
    <w:rsid w:val="00C75655"/>
    <w:rsid w:val="00C837C3"/>
    <w:rsid w:val="00C84497"/>
    <w:rsid w:val="00C868F6"/>
    <w:rsid w:val="00C9137C"/>
    <w:rsid w:val="00C91644"/>
    <w:rsid w:val="00C9663B"/>
    <w:rsid w:val="00CA43A5"/>
    <w:rsid w:val="00CA7C0B"/>
    <w:rsid w:val="00CB6777"/>
    <w:rsid w:val="00CB6E2B"/>
    <w:rsid w:val="00CB6FF7"/>
    <w:rsid w:val="00CB7302"/>
    <w:rsid w:val="00CC1E9F"/>
    <w:rsid w:val="00CC5896"/>
    <w:rsid w:val="00CE0C35"/>
    <w:rsid w:val="00CE3810"/>
    <w:rsid w:val="00CE52B4"/>
    <w:rsid w:val="00CE5DCD"/>
    <w:rsid w:val="00CE701C"/>
    <w:rsid w:val="00CE7599"/>
    <w:rsid w:val="00CF414A"/>
    <w:rsid w:val="00CF4FF0"/>
    <w:rsid w:val="00CF5B47"/>
    <w:rsid w:val="00D104F9"/>
    <w:rsid w:val="00D14323"/>
    <w:rsid w:val="00D16008"/>
    <w:rsid w:val="00D166D4"/>
    <w:rsid w:val="00D1738E"/>
    <w:rsid w:val="00D235E3"/>
    <w:rsid w:val="00D30254"/>
    <w:rsid w:val="00D33768"/>
    <w:rsid w:val="00D33D87"/>
    <w:rsid w:val="00D35077"/>
    <w:rsid w:val="00D35A6E"/>
    <w:rsid w:val="00D408A8"/>
    <w:rsid w:val="00D46DAE"/>
    <w:rsid w:val="00D51C8F"/>
    <w:rsid w:val="00D5204B"/>
    <w:rsid w:val="00D54C10"/>
    <w:rsid w:val="00D55191"/>
    <w:rsid w:val="00D55CD0"/>
    <w:rsid w:val="00D57544"/>
    <w:rsid w:val="00D57973"/>
    <w:rsid w:val="00D60CE2"/>
    <w:rsid w:val="00D612EC"/>
    <w:rsid w:val="00D6153E"/>
    <w:rsid w:val="00D623C4"/>
    <w:rsid w:val="00D722DF"/>
    <w:rsid w:val="00D82179"/>
    <w:rsid w:val="00D84675"/>
    <w:rsid w:val="00D8526A"/>
    <w:rsid w:val="00D86252"/>
    <w:rsid w:val="00D917F3"/>
    <w:rsid w:val="00D97BAA"/>
    <w:rsid w:val="00DA3AF3"/>
    <w:rsid w:val="00DA5455"/>
    <w:rsid w:val="00DA5C2B"/>
    <w:rsid w:val="00DB5EFB"/>
    <w:rsid w:val="00DB6EF1"/>
    <w:rsid w:val="00DC19BB"/>
    <w:rsid w:val="00DC6404"/>
    <w:rsid w:val="00DD7FDF"/>
    <w:rsid w:val="00DE1703"/>
    <w:rsid w:val="00DE25AC"/>
    <w:rsid w:val="00DF568D"/>
    <w:rsid w:val="00E00CCB"/>
    <w:rsid w:val="00E042C7"/>
    <w:rsid w:val="00E0781A"/>
    <w:rsid w:val="00E11475"/>
    <w:rsid w:val="00E175A7"/>
    <w:rsid w:val="00E20168"/>
    <w:rsid w:val="00E20740"/>
    <w:rsid w:val="00E20E92"/>
    <w:rsid w:val="00E245DA"/>
    <w:rsid w:val="00E24645"/>
    <w:rsid w:val="00E31BCB"/>
    <w:rsid w:val="00E32963"/>
    <w:rsid w:val="00E337BC"/>
    <w:rsid w:val="00E350CD"/>
    <w:rsid w:val="00E372A9"/>
    <w:rsid w:val="00E4001B"/>
    <w:rsid w:val="00E51FDE"/>
    <w:rsid w:val="00E534B2"/>
    <w:rsid w:val="00E54E0F"/>
    <w:rsid w:val="00E56B66"/>
    <w:rsid w:val="00E579AF"/>
    <w:rsid w:val="00E705B7"/>
    <w:rsid w:val="00E7086E"/>
    <w:rsid w:val="00E70ECC"/>
    <w:rsid w:val="00E71A89"/>
    <w:rsid w:val="00E75B7E"/>
    <w:rsid w:val="00E77197"/>
    <w:rsid w:val="00E81B1A"/>
    <w:rsid w:val="00E84FB3"/>
    <w:rsid w:val="00E87037"/>
    <w:rsid w:val="00EA0F03"/>
    <w:rsid w:val="00EA1EF9"/>
    <w:rsid w:val="00EA2CA0"/>
    <w:rsid w:val="00EA7237"/>
    <w:rsid w:val="00EB055B"/>
    <w:rsid w:val="00EB112A"/>
    <w:rsid w:val="00EC1212"/>
    <w:rsid w:val="00EC1D3D"/>
    <w:rsid w:val="00EC3331"/>
    <w:rsid w:val="00EC677E"/>
    <w:rsid w:val="00EC7E67"/>
    <w:rsid w:val="00ED5B5C"/>
    <w:rsid w:val="00ED70BD"/>
    <w:rsid w:val="00EE0B3E"/>
    <w:rsid w:val="00EE2D9F"/>
    <w:rsid w:val="00EE37BB"/>
    <w:rsid w:val="00EF4099"/>
    <w:rsid w:val="00EF6BDC"/>
    <w:rsid w:val="00F01C4C"/>
    <w:rsid w:val="00F02786"/>
    <w:rsid w:val="00F0434F"/>
    <w:rsid w:val="00F0670F"/>
    <w:rsid w:val="00F07FA6"/>
    <w:rsid w:val="00F11BB3"/>
    <w:rsid w:val="00F13036"/>
    <w:rsid w:val="00F21D1A"/>
    <w:rsid w:val="00F22865"/>
    <w:rsid w:val="00F24D75"/>
    <w:rsid w:val="00F261E3"/>
    <w:rsid w:val="00F34B2F"/>
    <w:rsid w:val="00F34F33"/>
    <w:rsid w:val="00F36D1F"/>
    <w:rsid w:val="00F3769E"/>
    <w:rsid w:val="00F40F06"/>
    <w:rsid w:val="00F42669"/>
    <w:rsid w:val="00F43824"/>
    <w:rsid w:val="00F4749B"/>
    <w:rsid w:val="00F514FB"/>
    <w:rsid w:val="00F56CE9"/>
    <w:rsid w:val="00F60909"/>
    <w:rsid w:val="00F61151"/>
    <w:rsid w:val="00F64ECE"/>
    <w:rsid w:val="00F67B6E"/>
    <w:rsid w:val="00F77765"/>
    <w:rsid w:val="00F77EC3"/>
    <w:rsid w:val="00F85E98"/>
    <w:rsid w:val="00FA7C8B"/>
    <w:rsid w:val="00FB0249"/>
    <w:rsid w:val="00FB793A"/>
    <w:rsid w:val="00FC5915"/>
    <w:rsid w:val="00FC5D6D"/>
    <w:rsid w:val="00FD6657"/>
    <w:rsid w:val="00FF1A54"/>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uiPriority w:val="99"/>
    <w:semiHidden/>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515118"/>
    <w:pPr>
      <w:widowControl/>
    </w:pPr>
    <w:rPr>
      <w:rFonts w:asciiTheme="minorHAnsi" w:eastAsiaTheme="minorEastAsia" w:hAnsiTheme="minorHAnsi" w:cstheme="minorBidi"/>
    </w:rPr>
  </w:style>
  <w:style w:type="character" w:customStyle="1" w:styleId="FootnoteTextChar">
    <w:name w:val="Footnote Text Char"/>
    <w:basedOn w:val="DefaultParagraphFont"/>
    <w:link w:val="FootnoteText"/>
    <w:uiPriority w:val="99"/>
    <w:semiHidden/>
    <w:rsid w:val="00515118"/>
    <w:rPr>
      <w:rFonts w:eastAsiaTheme="minorEastAsia"/>
      <w:sz w:val="20"/>
      <w:szCs w:val="20"/>
    </w:rPr>
  </w:style>
  <w:style w:type="paragraph" w:styleId="Header">
    <w:name w:val="header"/>
    <w:basedOn w:val="Normal"/>
    <w:link w:val="HeaderChar"/>
    <w:uiPriority w:val="99"/>
    <w:unhideWhenUsed/>
    <w:rsid w:val="00515118"/>
    <w:pPr>
      <w:tabs>
        <w:tab w:val="center" w:pos="4680"/>
        <w:tab w:val="right" w:pos="9360"/>
      </w:tabs>
    </w:pPr>
  </w:style>
  <w:style w:type="character" w:customStyle="1" w:styleId="HeaderChar">
    <w:name w:val="Header Char"/>
    <w:basedOn w:val="DefaultParagraphFont"/>
    <w:link w:val="Header"/>
    <w:uiPriority w:val="99"/>
    <w:rsid w:val="00515118"/>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15118"/>
    <w:pPr>
      <w:tabs>
        <w:tab w:val="center" w:pos="4680"/>
        <w:tab w:val="right" w:pos="9360"/>
      </w:tabs>
    </w:pPr>
  </w:style>
  <w:style w:type="character" w:customStyle="1" w:styleId="FooterChar">
    <w:name w:val="Footer Char"/>
    <w:basedOn w:val="DefaultParagraphFont"/>
    <w:link w:val="Footer"/>
    <w:uiPriority w:val="99"/>
    <w:rsid w:val="00515118"/>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uiPriority w:val="99"/>
    <w:semiHidden/>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515118"/>
    <w:pPr>
      <w:widowControl/>
    </w:pPr>
    <w:rPr>
      <w:rFonts w:asciiTheme="minorHAnsi" w:eastAsiaTheme="minorEastAsia" w:hAnsiTheme="minorHAnsi" w:cstheme="minorBidi"/>
    </w:rPr>
  </w:style>
  <w:style w:type="character" w:customStyle="1" w:styleId="FootnoteTextChar">
    <w:name w:val="Footnote Text Char"/>
    <w:basedOn w:val="DefaultParagraphFont"/>
    <w:link w:val="FootnoteText"/>
    <w:uiPriority w:val="99"/>
    <w:semiHidden/>
    <w:rsid w:val="00515118"/>
    <w:rPr>
      <w:rFonts w:eastAsiaTheme="minorEastAsia"/>
      <w:sz w:val="20"/>
      <w:szCs w:val="20"/>
    </w:rPr>
  </w:style>
  <w:style w:type="paragraph" w:styleId="Header">
    <w:name w:val="header"/>
    <w:basedOn w:val="Normal"/>
    <w:link w:val="HeaderChar"/>
    <w:uiPriority w:val="99"/>
    <w:unhideWhenUsed/>
    <w:rsid w:val="00515118"/>
    <w:pPr>
      <w:tabs>
        <w:tab w:val="center" w:pos="4680"/>
        <w:tab w:val="right" w:pos="9360"/>
      </w:tabs>
    </w:pPr>
  </w:style>
  <w:style w:type="character" w:customStyle="1" w:styleId="HeaderChar">
    <w:name w:val="Header Char"/>
    <w:basedOn w:val="DefaultParagraphFont"/>
    <w:link w:val="Header"/>
    <w:uiPriority w:val="99"/>
    <w:rsid w:val="00515118"/>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15118"/>
    <w:pPr>
      <w:tabs>
        <w:tab w:val="center" w:pos="4680"/>
        <w:tab w:val="right" w:pos="9360"/>
      </w:tabs>
    </w:pPr>
  </w:style>
  <w:style w:type="character" w:customStyle="1" w:styleId="FooterChar">
    <w:name w:val="Footer Char"/>
    <w:basedOn w:val="DefaultParagraphFont"/>
    <w:link w:val="Footer"/>
    <w:uiPriority w:val="99"/>
    <w:rsid w:val="0051511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52803-8C26-411A-A68C-59EDFA566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11</Pages>
  <Words>2671</Words>
  <Characters>15225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17861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jnase</dc:creator>
  <cp:lastModifiedBy>Hinds, Margaret</cp:lastModifiedBy>
  <cp:revision>53</cp:revision>
  <cp:lastPrinted>2013-09-26T15:33:00Z</cp:lastPrinted>
  <dcterms:created xsi:type="dcterms:W3CDTF">2013-09-10T12:45:00Z</dcterms:created>
  <dcterms:modified xsi:type="dcterms:W3CDTF">2013-09-26T15:33:00Z</dcterms:modified>
</cp:coreProperties>
</file>