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FE" w:rsidRDefault="000223FE" w:rsidP="000223FE">
      <w:pPr>
        <w:jc w:val="center"/>
        <w:rPr>
          <w:b/>
          <w:sz w:val="24"/>
          <w:szCs w:val="24"/>
        </w:rPr>
      </w:pPr>
      <w:r>
        <w:rPr>
          <w:b/>
          <w:sz w:val="24"/>
          <w:szCs w:val="24"/>
        </w:rPr>
        <w:t>BEFORE THE</w:t>
      </w:r>
    </w:p>
    <w:p w:rsidR="000223FE" w:rsidRDefault="000223FE" w:rsidP="000223FE">
      <w:pPr>
        <w:jc w:val="center"/>
        <w:rPr>
          <w:b/>
          <w:sz w:val="24"/>
          <w:szCs w:val="24"/>
        </w:rPr>
      </w:pPr>
      <w:r>
        <w:rPr>
          <w:b/>
          <w:sz w:val="24"/>
          <w:szCs w:val="24"/>
        </w:rPr>
        <w:t>PENNSYLVANIA PUBLIC UTILITY COMMISSION</w:t>
      </w:r>
    </w:p>
    <w:p w:rsidR="000223FE" w:rsidRDefault="000223FE" w:rsidP="000223FE">
      <w:pPr>
        <w:jc w:val="center"/>
        <w:rPr>
          <w:b/>
          <w:sz w:val="24"/>
          <w:szCs w:val="24"/>
        </w:rPr>
      </w:pPr>
    </w:p>
    <w:p w:rsidR="000223FE" w:rsidRDefault="000223FE" w:rsidP="000223FE">
      <w:pPr>
        <w:jc w:val="center"/>
        <w:rPr>
          <w:b/>
          <w:sz w:val="24"/>
          <w:szCs w:val="24"/>
        </w:rPr>
      </w:pPr>
    </w:p>
    <w:p w:rsidR="000223FE" w:rsidRDefault="000223FE" w:rsidP="000223FE">
      <w:pPr>
        <w:jc w:val="center"/>
        <w:rPr>
          <w:b/>
          <w:sz w:val="24"/>
          <w:szCs w:val="24"/>
        </w:rPr>
      </w:pPr>
    </w:p>
    <w:p w:rsidR="000223FE" w:rsidRDefault="000223FE" w:rsidP="000223FE">
      <w:r>
        <w:rPr>
          <w:sz w:val="24"/>
          <w:szCs w:val="24"/>
        </w:rPr>
        <w:t>Lisa Martin</w:t>
      </w:r>
      <w:r>
        <w:rPr>
          <w:sz w:val="24"/>
          <w:szCs w:val="24"/>
        </w:rPr>
        <w:tab/>
      </w:r>
      <w:r>
        <w:rPr>
          <w:sz w:val="24"/>
          <w:szCs w:val="24"/>
        </w:rPr>
        <w:tab/>
      </w:r>
      <w:r>
        <w:tab/>
      </w:r>
      <w:r>
        <w:tab/>
      </w:r>
      <w:r>
        <w:tab/>
      </w:r>
      <w:r>
        <w:tab/>
        <w:t>:</w:t>
      </w:r>
    </w:p>
    <w:p w:rsidR="000223FE" w:rsidRDefault="000223FE" w:rsidP="000223F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223FE" w:rsidRDefault="000223FE" w:rsidP="000223FE">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F-2013-2360697</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223FE" w:rsidRDefault="000223FE" w:rsidP="000223FE">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0223FE" w:rsidRDefault="000223FE" w:rsidP="000223FE">
      <w:pPr>
        <w:rPr>
          <w:sz w:val="24"/>
          <w:szCs w:val="24"/>
        </w:rPr>
      </w:pPr>
    </w:p>
    <w:p w:rsidR="000223FE" w:rsidRDefault="000223FE" w:rsidP="000223FE">
      <w:pPr>
        <w:rPr>
          <w:sz w:val="24"/>
          <w:szCs w:val="24"/>
        </w:rPr>
      </w:pPr>
    </w:p>
    <w:p w:rsidR="000223FE" w:rsidRDefault="000223FE" w:rsidP="000223FE">
      <w:pPr>
        <w:rPr>
          <w:sz w:val="24"/>
          <w:szCs w:val="24"/>
        </w:rPr>
      </w:pPr>
    </w:p>
    <w:p w:rsidR="000223FE" w:rsidRDefault="000223FE" w:rsidP="000223FE">
      <w:pPr>
        <w:jc w:val="center"/>
        <w:rPr>
          <w:b/>
          <w:sz w:val="24"/>
          <w:szCs w:val="24"/>
          <w:u w:val="single"/>
        </w:rPr>
      </w:pPr>
      <w:r>
        <w:rPr>
          <w:b/>
          <w:sz w:val="24"/>
          <w:szCs w:val="24"/>
          <w:u w:val="single"/>
        </w:rPr>
        <w:t>INITIAL DECISION</w:t>
      </w:r>
    </w:p>
    <w:p w:rsidR="000223FE" w:rsidRDefault="000223FE" w:rsidP="000223FE">
      <w:pPr>
        <w:jc w:val="center"/>
        <w:rPr>
          <w:b/>
          <w:sz w:val="24"/>
          <w:szCs w:val="24"/>
          <w:u w:val="single"/>
        </w:rPr>
      </w:pPr>
    </w:p>
    <w:p w:rsidR="000223FE" w:rsidRDefault="000223FE" w:rsidP="000223FE">
      <w:pPr>
        <w:jc w:val="center"/>
        <w:rPr>
          <w:b/>
          <w:sz w:val="24"/>
          <w:szCs w:val="24"/>
          <w:u w:val="single"/>
        </w:rPr>
      </w:pPr>
    </w:p>
    <w:p w:rsidR="000223FE" w:rsidRDefault="000223FE" w:rsidP="000223FE">
      <w:pPr>
        <w:jc w:val="center"/>
        <w:rPr>
          <w:sz w:val="24"/>
          <w:szCs w:val="24"/>
        </w:rPr>
      </w:pPr>
      <w:r>
        <w:rPr>
          <w:sz w:val="24"/>
          <w:szCs w:val="24"/>
        </w:rPr>
        <w:t>Before</w:t>
      </w:r>
    </w:p>
    <w:p w:rsidR="000223FE" w:rsidRDefault="000223FE" w:rsidP="000223FE">
      <w:pPr>
        <w:jc w:val="center"/>
        <w:rPr>
          <w:sz w:val="24"/>
          <w:szCs w:val="24"/>
        </w:rPr>
      </w:pPr>
      <w:r>
        <w:rPr>
          <w:sz w:val="24"/>
          <w:szCs w:val="24"/>
        </w:rPr>
        <w:t>Elizabeth H. Barnes</w:t>
      </w:r>
    </w:p>
    <w:p w:rsidR="000223FE" w:rsidRDefault="000223FE" w:rsidP="000223FE">
      <w:pPr>
        <w:jc w:val="center"/>
        <w:rPr>
          <w:sz w:val="24"/>
          <w:szCs w:val="24"/>
        </w:rPr>
      </w:pPr>
      <w:r>
        <w:rPr>
          <w:sz w:val="24"/>
          <w:szCs w:val="24"/>
        </w:rPr>
        <w:t>Administrative Law Judge</w:t>
      </w:r>
    </w:p>
    <w:p w:rsidR="000223FE" w:rsidRDefault="000223FE" w:rsidP="000223FE">
      <w:pPr>
        <w:jc w:val="center"/>
        <w:rPr>
          <w:sz w:val="24"/>
          <w:szCs w:val="24"/>
        </w:rPr>
      </w:pPr>
    </w:p>
    <w:p w:rsidR="000223FE" w:rsidRDefault="000223FE" w:rsidP="000223FE">
      <w:pPr>
        <w:jc w:val="center"/>
        <w:rPr>
          <w:sz w:val="24"/>
          <w:szCs w:val="24"/>
        </w:rPr>
      </w:pPr>
    </w:p>
    <w:p w:rsidR="000223FE" w:rsidRDefault="000223FE" w:rsidP="000223FE">
      <w:pPr>
        <w:jc w:val="center"/>
        <w:rPr>
          <w:sz w:val="24"/>
          <w:szCs w:val="24"/>
          <w:u w:val="single"/>
        </w:rPr>
      </w:pPr>
      <w:r>
        <w:rPr>
          <w:sz w:val="24"/>
          <w:szCs w:val="24"/>
          <w:u w:val="single"/>
        </w:rPr>
        <w:t>HISTORY OF THE PROCEEDING</w:t>
      </w:r>
    </w:p>
    <w:p w:rsidR="000223FE" w:rsidRDefault="000223FE" w:rsidP="000223FE">
      <w:pPr>
        <w:jc w:val="center"/>
        <w:rPr>
          <w:sz w:val="24"/>
          <w:szCs w:val="24"/>
          <w:u w:val="single"/>
        </w:rPr>
      </w:pPr>
    </w:p>
    <w:p w:rsidR="000223FE" w:rsidRDefault="000223FE" w:rsidP="000223FE">
      <w:pPr>
        <w:jc w:val="center"/>
        <w:rPr>
          <w:sz w:val="24"/>
          <w:szCs w:val="24"/>
          <w:u w:val="single"/>
        </w:rPr>
      </w:pPr>
    </w:p>
    <w:p w:rsidR="000223FE" w:rsidRDefault="000223FE" w:rsidP="000223FE">
      <w:pPr>
        <w:spacing w:line="360" w:lineRule="auto"/>
        <w:rPr>
          <w:sz w:val="24"/>
          <w:szCs w:val="24"/>
        </w:rPr>
      </w:pPr>
      <w:r>
        <w:rPr>
          <w:sz w:val="24"/>
          <w:szCs w:val="24"/>
        </w:rPr>
        <w:tab/>
      </w:r>
      <w:r>
        <w:rPr>
          <w:sz w:val="24"/>
          <w:szCs w:val="24"/>
        </w:rPr>
        <w:tab/>
        <w:t>On April 29, 2013, Lisa Martin (Complainant) filed a formal Complaint with the Commission against PECO Energy Company (PECO or Respondent or Company) alleging improper billing and requesting that she not be held financially responsible for charges to a rear apartment unit at 242 New Galena Road, Chalfont, Pennsylvania, because she claims she did not own the property and did not reside in the rear unit.  Complainant requested installation of electric service at her new residence at 63 Sellersville Road, Chalfont, PA, which had been denied to her by Respondent because of her arrears on her old account.  This is an appeal of a Bureau of Consumer Services (BCS) decision issued at Case No. 3056300 on March 26, 2013.  The Commission's Secretary served the Complaint on the utility on May 1, 2013.</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 xml:space="preserve">On May 13, 2013, PECO filed its Answer denying that there are incorrect charges on Complainant’s account.  Respondent avers that Complainant owes $9,592.07, all of which is CAP arrears.  Respondent contends that Complainant established an account with PECO for electric service at 242 New Galena Road, Rear, </w:t>
      </w:r>
      <w:proofErr w:type="gramStart"/>
      <w:r>
        <w:rPr>
          <w:sz w:val="24"/>
          <w:szCs w:val="24"/>
        </w:rPr>
        <w:t>Chalfont</w:t>
      </w:r>
      <w:proofErr w:type="gramEnd"/>
      <w:r>
        <w:rPr>
          <w:sz w:val="24"/>
          <w:szCs w:val="24"/>
        </w:rPr>
        <w:t xml:space="preserve">, PA on June 12, 2006 under account number 64344-00109 and that she established another account at 242 New Galena Road, Rear, </w:t>
      </w:r>
      <w:r>
        <w:rPr>
          <w:sz w:val="24"/>
          <w:szCs w:val="24"/>
        </w:rPr>
        <w:lastRenderedPageBreak/>
        <w:t xml:space="preserve">Chalfont, PA on February 2, 2007 under account number 64344-04052.  On November 5, 2008, Complainant established a third account for service at 242 New Galena Road, Front, </w:t>
      </w:r>
      <w:proofErr w:type="gramStart"/>
      <w:r>
        <w:rPr>
          <w:sz w:val="24"/>
          <w:szCs w:val="24"/>
        </w:rPr>
        <w:t>Chalfont</w:t>
      </w:r>
      <w:proofErr w:type="gramEnd"/>
      <w:r>
        <w:rPr>
          <w:sz w:val="24"/>
          <w:szCs w:val="24"/>
        </w:rPr>
        <w:t xml:space="preserve">, PA under account number 77007-49012.  </w:t>
      </w:r>
      <w:proofErr w:type="gramStart"/>
      <w:r>
        <w:rPr>
          <w:sz w:val="24"/>
          <w:szCs w:val="24"/>
        </w:rPr>
        <w:t>When Complainant established the last account, an unpaid balance of $3,242.37 from 242 New Galena Road, Rear, transferred into the account on November 5, 2008.</w:t>
      </w:r>
      <w:proofErr w:type="gramEnd"/>
      <w:r>
        <w:rPr>
          <w:sz w:val="24"/>
          <w:szCs w:val="24"/>
        </w:rPr>
        <w:t xml:space="preserve">  On or about June 9, 2010, Complainant requested discontinuance of service at 242 </w:t>
      </w:r>
      <w:proofErr w:type="gramStart"/>
      <w:r>
        <w:rPr>
          <w:sz w:val="24"/>
          <w:szCs w:val="24"/>
        </w:rPr>
        <w:t>New</w:t>
      </w:r>
      <w:proofErr w:type="gramEnd"/>
      <w:r>
        <w:rPr>
          <w:sz w:val="24"/>
          <w:szCs w:val="24"/>
        </w:rPr>
        <w:t xml:space="preserve"> Galena Road, Front.  A final bill was issued in the amount of $9,427.45.  On December 31, 2012, Complainant requested new electric service at 63 Sellersville Road, Chalfont, PA.  PECO advised she was denied new service because she had a $9,595.07 unpaid balance from account 77007-49012 for service at 242 New Galena Rd., Front, Chalfont, PA.  </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 xml:space="preserve"> </w:t>
      </w:r>
      <w:r>
        <w:rPr>
          <w:sz w:val="24"/>
          <w:szCs w:val="24"/>
        </w:rPr>
        <w:tab/>
      </w:r>
      <w:r>
        <w:rPr>
          <w:sz w:val="24"/>
          <w:szCs w:val="24"/>
        </w:rPr>
        <w:tab/>
        <w:t>A telephone hearing notice was issued on May 31, 2013, setting the hearing date for August 1, 2013, and assigning the matter to me.  A prehearing order was issued on June 11, 2013.  On July 29, 2013, counsel for the Company submitted a packet of eight proposed exhibits.  Counsel provided Complainant with a copy via mail, but did not mail Complainant’s counsel a copy.</w:t>
      </w:r>
    </w:p>
    <w:p w:rsidR="000223FE" w:rsidRDefault="000223FE" w:rsidP="000223FE">
      <w:pPr>
        <w:spacing w:line="360" w:lineRule="auto"/>
        <w:rPr>
          <w:sz w:val="24"/>
          <w:szCs w:val="24"/>
        </w:rPr>
      </w:pPr>
      <w:r>
        <w:rPr>
          <w:sz w:val="24"/>
          <w:szCs w:val="24"/>
        </w:rPr>
        <w:tab/>
      </w:r>
      <w:r>
        <w:rPr>
          <w:sz w:val="24"/>
          <w:szCs w:val="24"/>
        </w:rPr>
        <w:tab/>
      </w:r>
    </w:p>
    <w:p w:rsidR="000223FE" w:rsidRDefault="000223FE" w:rsidP="000223FE">
      <w:pPr>
        <w:spacing w:line="360" w:lineRule="auto"/>
        <w:rPr>
          <w:sz w:val="24"/>
          <w:szCs w:val="24"/>
        </w:rPr>
      </w:pPr>
      <w:r>
        <w:rPr>
          <w:sz w:val="24"/>
          <w:szCs w:val="24"/>
        </w:rPr>
        <w:tab/>
      </w:r>
      <w:r>
        <w:rPr>
          <w:sz w:val="24"/>
          <w:szCs w:val="24"/>
        </w:rPr>
        <w:tab/>
        <w:t xml:space="preserve">The hearing was held as scheduled, with PECO represented by </w:t>
      </w:r>
      <w:proofErr w:type="spellStart"/>
      <w:r>
        <w:rPr>
          <w:sz w:val="24"/>
          <w:szCs w:val="24"/>
        </w:rPr>
        <w:t>Shawane</w:t>
      </w:r>
      <w:proofErr w:type="spellEnd"/>
      <w:r>
        <w:rPr>
          <w:sz w:val="24"/>
          <w:szCs w:val="24"/>
        </w:rPr>
        <w:t xml:space="preserve"> Lee, Esquire, who presented the testimony of one witness, Elsa Leung, Regulatory Assessor.  PECO Exhibits 1-5 and 7-8 were sponsored by the witness and admitted into the record.  Complainant was represented by Harry Cooper, Esquire and Complainant testified on her behalf.  Respondent submitted two late-filed exhibits: (1) Exhibit 6 entitled, “Final Bill for 242 New Galena Road – Issued 9/29/2008 mailed to 242 New Galena Road, Chalfont, PA 18914-1318; and (2) Exhibit 9 – Customer Contact Activity – 1/4/2010 – 5/27/2010 which was received by the Office of Administrative Law Judge on August 5, 2013.  These additional two exhibits were admitted into the record.  A transcript of 62 pages was generated and filed on August 15, 2013, and the record closed on August 15, 2013.</w:t>
      </w:r>
    </w:p>
    <w:p w:rsidR="000223FE" w:rsidRDefault="000223FE" w:rsidP="000223FE">
      <w:pPr>
        <w:spacing w:line="360" w:lineRule="auto"/>
        <w:rPr>
          <w:sz w:val="24"/>
          <w:szCs w:val="24"/>
        </w:rPr>
      </w:pPr>
    </w:p>
    <w:p w:rsidR="000223FE" w:rsidRDefault="000223FE" w:rsidP="000223FE">
      <w:pPr>
        <w:spacing w:line="360" w:lineRule="auto"/>
        <w:jc w:val="center"/>
        <w:rPr>
          <w:sz w:val="24"/>
          <w:szCs w:val="24"/>
          <w:u w:val="single"/>
        </w:rPr>
      </w:pPr>
      <w:r>
        <w:rPr>
          <w:sz w:val="24"/>
          <w:szCs w:val="24"/>
          <w:u w:val="single"/>
        </w:rPr>
        <w:t>FINDINGS OF FACT</w:t>
      </w:r>
    </w:p>
    <w:p w:rsidR="000223FE" w:rsidRDefault="000223FE" w:rsidP="000223FE">
      <w:pPr>
        <w:spacing w:line="360" w:lineRule="auto"/>
        <w:jc w:val="center"/>
        <w:rPr>
          <w:sz w:val="24"/>
          <w:szCs w:val="24"/>
          <w:u w:val="single"/>
        </w:rPr>
      </w:pPr>
    </w:p>
    <w:p w:rsidR="000223FE" w:rsidRDefault="000223FE" w:rsidP="000223FE">
      <w:pPr>
        <w:spacing w:line="360" w:lineRule="auto"/>
        <w:rPr>
          <w:sz w:val="24"/>
          <w:szCs w:val="24"/>
        </w:rPr>
      </w:pPr>
      <w:r>
        <w:rPr>
          <w:sz w:val="24"/>
          <w:szCs w:val="24"/>
        </w:rPr>
        <w:tab/>
      </w:r>
      <w:r>
        <w:rPr>
          <w:sz w:val="24"/>
          <w:szCs w:val="24"/>
        </w:rPr>
        <w:tab/>
        <w:t>1.</w:t>
      </w:r>
      <w:r>
        <w:rPr>
          <w:sz w:val="24"/>
          <w:szCs w:val="24"/>
        </w:rPr>
        <w:tab/>
        <w:t>Complainant is Lisa Martin, who currently resides at 63 Sellersville Road, Chalfont, PA 18914.</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2.</w:t>
      </w:r>
      <w:r>
        <w:rPr>
          <w:sz w:val="24"/>
          <w:szCs w:val="24"/>
        </w:rPr>
        <w:tab/>
        <w:t>Respondent is PECO Energy Company, a jurisdictional electric distribution company providing residential electric service in the Commonwealth.</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3.</w:t>
      </w:r>
      <w:r>
        <w:rPr>
          <w:sz w:val="24"/>
          <w:szCs w:val="24"/>
        </w:rPr>
        <w:tab/>
        <w:t xml:space="preserve">Complainant lived at 242 New Galena Road, Chalfont, PA in 2006 in one of two rental units. Complainant lived in the Front unit, but not the Rear unit.  </w:t>
      </w:r>
      <w:proofErr w:type="gramStart"/>
      <w:r>
        <w:rPr>
          <w:sz w:val="24"/>
          <w:szCs w:val="24"/>
        </w:rPr>
        <w:t>Tr. 7, 11.</w:t>
      </w:r>
      <w:proofErr w:type="gramEnd"/>
      <w:r>
        <w:rPr>
          <w:sz w:val="24"/>
          <w:szCs w:val="24"/>
        </w:rPr>
        <w:t xml:space="preserve"> </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4.</w:t>
      </w:r>
      <w:r>
        <w:rPr>
          <w:sz w:val="24"/>
          <w:szCs w:val="24"/>
        </w:rPr>
        <w:tab/>
        <w:t xml:space="preserve">Complainant was not on the deed to the service property at New Galena Road; however, her name and David </w:t>
      </w:r>
      <w:proofErr w:type="spellStart"/>
      <w:r>
        <w:rPr>
          <w:sz w:val="24"/>
          <w:szCs w:val="24"/>
        </w:rPr>
        <w:t>Bushong’s</w:t>
      </w:r>
      <w:proofErr w:type="spellEnd"/>
      <w:r>
        <w:rPr>
          <w:sz w:val="24"/>
          <w:szCs w:val="24"/>
        </w:rPr>
        <w:t xml:space="preserve"> name were on the mortgage for the property.  David </w:t>
      </w:r>
      <w:proofErr w:type="spellStart"/>
      <w:r>
        <w:rPr>
          <w:sz w:val="24"/>
          <w:szCs w:val="24"/>
        </w:rPr>
        <w:t>Bushong</w:t>
      </w:r>
      <w:proofErr w:type="spellEnd"/>
      <w:r>
        <w:rPr>
          <w:sz w:val="24"/>
          <w:szCs w:val="24"/>
        </w:rPr>
        <w:t xml:space="preserve"> owned the property and it was deeded in his name in 2006.  </w:t>
      </w:r>
      <w:proofErr w:type="gramStart"/>
      <w:r>
        <w:rPr>
          <w:sz w:val="24"/>
          <w:szCs w:val="24"/>
        </w:rPr>
        <w:t>Tr. 16.</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5.</w:t>
      </w:r>
      <w:r>
        <w:rPr>
          <w:sz w:val="24"/>
          <w:szCs w:val="24"/>
        </w:rPr>
        <w:tab/>
        <w:t xml:space="preserve">Mr. </w:t>
      </w:r>
      <w:proofErr w:type="spellStart"/>
      <w:r>
        <w:rPr>
          <w:sz w:val="24"/>
          <w:szCs w:val="24"/>
        </w:rPr>
        <w:t>Bushong</w:t>
      </w:r>
      <w:proofErr w:type="spellEnd"/>
      <w:r>
        <w:rPr>
          <w:sz w:val="24"/>
          <w:szCs w:val="24"/>
        </w:rPr>
        <w:t xml:space="preserve"> rented an apartment for the rear unit of 242 New Galena Road and Complainant believes Mr. </w:t>
      </w:r>
      <w:proofErr w:type="spellStart"/>
      <w:r>
        <w:rPr>
          <w:sz w:val="24"/>
          <w:szCs w:val="24"/>
        </w:rPr>
        <w:t>Bushong</w:t>
      </w:r>
      <w:proofErr w:type="spellEnd"/>
      <w:r>
        <w:rPr>
          <w:sz w:val="24"/>
          <w:szCs w:val="24"/>
        </w:rPr>
        <w:t xml:space="preserve"> or one of the tenants may have used her information to establish electric service in Complainant’s name.  N.T. 17-18.</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6.</w:t>
      </w:r>
      <w:r>
        <w:rPr>
          <w:sz w:val="24"/>
          <w:szCs w:val="24"/>
        </w:rPr>
        <w:tab/>
        <w:t xml:space="preserve">Complainant claims that the first time she received a bill for service to the rear unit was when she received a denial of new service letter for her current residence on December 31, 2012.  She was told that she had an outstanding balance of $9,000 to pay before service would be connected to her new address.  </w:t>
      </w:r>
      <w:proofErr w:type="gramStart"/>
      <w:r>
        <w:rPr>
          <w:sz w:val="24"/>
          <w:szCs w:val="24"/>
        </w:rPr>
        <w:t>Tr. 18, PECO Exhibit 5.</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7.</w:t>
      </w:r>
      <w:r>
        <w:rPr>
          <w:sz w:val="24"/>
          <w:szCs w:val="24"/>
        </w:rPr>
        <w:tab/>
        <w:t xml:space="preserve">Complainant received a bill for service to the rear unit earlier, on at least two instances: in October, 2008 and again in June, 2010.  </w:t>
      </w:r>
      <w:proofErr w:type="gramStart"/>
      <w:r>
        <w:rPr>
          <w:sz w:val="24"/>
          <w:szCs w:val="24"/>
        </w:rPr>
        <w:t>PECO Exhibit 6.</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8.</w:t>
      </w:r>
      <w:r>
        <w:rPr>
          <w:sz w:val="24"/>
          <w:szCs w:val="24"/>
        </w:rPr>
        <w:tab/>
        <w:t xml:space="preserve">Complainant asked for termination of service to 242 New Galena Rd. on May 27, 2010, because a bank owned the property.  </w:t>
      </w:r>
      <w:proofErr w:type="gramStart"/>
      <w:r>
        <w:rPr>
          <w:sz w:val="24"/>
          <w:szCs w:val="24"/>
        </w:rPr>
        <w:t>PECO Exhibit 9.</w:t>
      </w:r>
      <w:proofErr w:type="gramEnd"/>
      <w:r>
        <w:rPr>
          <w:sz w:val="24"/>
          <w:szCs w:val="24"/>
        </w:rPr>
        <w:t xml:space="preserve"> </w:t>
      </w:r>
      <w:proofErr w:type="gramStart"/>
      <w:r>
        <w:rPr>
          <w:sz w:val="24"/>
          <w:szCs w:val="24"/>
        </w:rPr>
        <w:t>Tr. 19-20, 32.</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9.</w:t>
      </w:r>
      <w:r>
        <w:rPr>
          <w:sz w:val="24"/>
          <w:szCs w:val="24"/>
        </w:rPr>
        <w:tab/>
        <w:t xml:space="preserve">The total unpaid balance on the Front account was $9,437.45 which included the balance of $3,242.37 that was transferred to the account from the Rear account that was not paid in November, 2008, in addition to the new charges of usage that accumulated between November of 2008 and May of 2010 for the Front unit.  </w:t>
      </w:r>
      <w:proofErr w:type="gramStart"/>
      <w:r>
        <w:rPr>
          <w:sz w:val="24"/>
          <w:szCs w:val="24"/>
        </w:rPr>
        <w:t>Tr. 30.</w:t>
      </w:r>
      <w:proofErr w:type="gramEnd"/>
      <w:r>
        <w:rPr>
          <w:sz w:val="24"/>
          <w:szCs w:val="24"/>
        </w:rPr>
        <w:t xml:space="preserve"> </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lastRenderedPageBreak/>
        <w:tab/>
      </w:r>
      <w:r>
        <w:rPr>
          <w:sz w:val="24"/>
          <w:szCs w:val="24"/>
        </w:rPr>
        <w:tab/>
        <w:t>10.</w:t>
      </w:r>
      <w:r>
        <w:rPr>
          <w:sz w:val="24"/>
          <w:szCs w:val="24"/>
        </w:rPr>
        <w:tab/>
        <w:t xml:space="preserve">Elsa Leung is a regulatory assessor at PECO.  </w:t>
      </w:r>
      <w:proofErr w:type="gramStart"/>
      <w:r>
        <w:rPr>
          <w:sz w:val="24"/>
          <w:szCs w:val="24"/>
        </w:rPr>
        <w:t>Tr. 21.</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11.</w:t>
      </w:r>
      <w:r>
        <w:rPr>
          <w:sz w:val="24"/>
          <w:szCs w:val="24"/>
        </w:rPr>
        <w:tab/>
        <w:t xml:space="preserve">PECO and Complainant have an agreement regarding service at Complainant’s current address (Sellersville Rd.) whereby the Company will place service in Complainant’s name as of April 12, 2013, and will issue a payment arrangement for the initial bill at account number 70532-07030.  </w:t>
      </w:r>
      <w:proofErr w:type="gramStart"/>
      <w:r>
        <w:rPr>
          <w:sz w:val="24"/>
          <w:szCs w:val="24"/>
        </w:rPr>
        <w:t>Tr. 23.</w:t>
      </w:r>
      <w:proofErr w:type="gramEnd"/>
      <w:r>
        <w:rPr>
          <w:sz w:val="24"/>
          <w:szCs w:val="24"/>
        </w:rPr>
        <w:t xml:space="preserve">  </w:t>
      </w:r>
      <w:r>
        <w:rPr>
          <w:sz w:val="24"/>
          <w:szCs w:val="24"/>
        </w:rPr>
        <w:tab/>
      </w:r>
      <w:r>
        <w:rPr>
          <w:sz w:val="24"/>
          <w:szCs w:val="24"/>
        </w:rPr>
        <w:tab/>
      </w:r>
      <w:r>
        <w:rPr>
          <w:sz w:val="24"/>
          <w:szCs w:val="24"/>
        </w:rPr>
        <w:tab/>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12.</w:t>
      </w:r>
      <w:r>
        <w:rPr>
          <w:sz w:val="24"/>
          <w:szCs w:val="24"/>
        </w:rPr>
        <w:tab/>
        <w:t xml:space="preserve">Complainant began receiving electric service in her name at her current residence of 63 Sellersville Road, Chalfont, PA 18914, as of July 26, 2013.  </w:t>
      </w:r>
      <w:proofErr w:type="gramStart"/>
      <w:r>
        <w:rPr>
          <w:sz w:val="24"/>
          <w:szCs w:val="24"/>
        </w:rPr>
        <w:t>Tr. 12.</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13.</w:t>
      </w:r>
      <w:r>
        <w:rPr>
          <w:sz w:val="24"/>
          <w:szCs w:val="24"/>
        </w:rPr>
        <w:tab/>
        <w:t xml:space="preserve">Complainant’s final bill for service charges regarding account number 77007-49012, and the service property at New Galena Road was mailed on June 9, 2010 to 63 Sellersville Rd., Chalfont, PA, and the entire charges consisted of customer assistance program (CAP) arrears.  </w:t>
      </w:r>
      <w:proofErr w:type="gramStart"/>
      <w:r>
        <w:rPr>
          <w:sz w:val="24"/>
          <w:szCs w:val="24"/>
        </w:rPr>
        <w:t>Tr. 37.</w:t>
      </w:r>
      <w:proofErr w:type="gramEnd"/>
      <w:r>
        <w:rPr>
          <w:sz w:val="24"/>
          <w:szCs w:val="24"/>
        </w:rPr>
        <w:t xml:space="preserve">  </w:t>
      </w:r>
      <w:proofErr w:type="gramStart"/>
      <w:r>
        <w:rPr>
          <w:sz w:val="24"/>
          <w:szCs w:val="24"/>
        </w:rPr>
        <w:t>PECO Exhibit 6.</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r>
      <w:r>
        <w:rPr>
          <w:sz w:val="24"/>
          <w:szCs w:val="24"/>
        </w:rPr>
        <w:tab/>
      </w:r>
    </w:p>
    <w:p w:rsidR="000223FE" w:rsidRDefault="000223FE" w:rsidP="000223FE">
      <w:pPr>
        <w:spacing w:line="360" w:lineRule="auto"/>
        <w:jc w:val="center"/>
        <w:rPr>
          <w:sz w:val="24"/>
          <w:szCs w:val="24"/>
          <w:u w:val="single"/>
        </w:rPr>
      </w:pPr>
      <w:r>
        <w:rPr>
          <w:sz w:val="24"/>
          <w:szCs w:val="24"/>
          <w:u w:val="single"/>
        </w:rPr>
        <w:t>DISCUSSION</w:t>
      </w:r>
    </w:p>
    <w:p w:rsidR="000223FE" w:rsidRDefault="000223FE" w:rsidP="000223FE">
      <w:pPr>
        <w:spacing w:line="360" w:lineRule="auto"/>
        <w:jc w:val="center"/>
        <w:rPr>
          <w:sz w:val="24"/>
          <w:szCs w:val="24"/>
          <w:u w:val="single"/>
        </w:rPr>
      </w:pPr>
    </w:p>
    <w:p w:rsidR="000223FE" w:rsidRDefault="000223FE" w:rsidP="000223FE">
      <w:pPr>
        <w:spacing w:line="360" w:lineRule="auto"/>
        <w:rPr>
          <w:sz w:val="24"/>
          <w:szCs w:val="24"/>
        </w:rPr>
      </w:pPr>
      <w:r>
        <w:rPr>
          <w:sz w:val="24"/>
          <w:szCs w:val="24"/>
        </w:rPr>
        <w:tab/>
      </w:r>
      <w:r>
        <w:rPr>
          <w:sz w:val="24"/>
          <w:szCs w:val="24"/>
        </w:rPr>
        <w:tab/>
        <w:t xml:space="preserve">The Complainant alleges a disagreement with PECO regarding an arrearage which accrued from Complainant’s prior residence, which prevented her from obtaining service in her name at her present address.  At the time of the filing of the Complaint, PECO required that Complainant pay the arrearage before service could be placed in her name.  Complainant states that at least a portion of the arrearage accrued after she directed PECO to terminate service to the prior address as the bank was foreclosing on the property and she did not live there anymore.  </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 xml:space="preserve">Prior to the evidentiary hearing, the parties reached a partial settlement regarding the issue of service provided to the service address of 63 Sellersville Road, Chalfont, PA, where Complainant currently resides.  PECO will place service in Complainant’s name as of April 12, 2013, and will issue a payment arrangement for the initial bill at account number 70532-07030.  Tr. 22-23.  One issue remaining is whether the electric usage at 242 New Galena Road from </w:t>
      </w:r>
      <w:r>
        <w:rPr>
          <w:sz w:val="24"/>
          <w:szCs w:val="24"/>
        </w:rPr>
        <w:lastRenderedPageBreak/>
        <w:t>January, 2010, when Complainant claims she contacted Respondent and requested discontinuation of service, through May 26, 2010, when PECO terminated service, should be the financial responsibility of Complainant.  Another issue whether Complainant is financially responsible for arrearages accrued regarding the 242 New Galena Rd., Rear unit because she claims never resided in the rear unit and that she was unaware the rear unit was in her name or under her social security number until she received a denial of service letter at her new address.</w:t>
      </w:r>
    </w:p>
    <w:p w:rsidR="000223FE" w:rsidRDefault="000223FE" w:rsidP="000223FE">
      <w:pPr>
        <w:spacing w:line="360" w:lineRule="auto"/>
        <w:rPr>
          <w:sz w:val="24"/>
          <w:szCs w:val="24"/>
        </w:rPr>
      </w:pPr>
      <w:r>
        <w:rPr>
          <w:sz w:val="24"/>
          <w:szCs w:val="24"/>
        </w:rPr>
        <w:t xml:space="preserve"> </w:t>
      </w:r>
      <w:r>
        <w:rPr>
          <w:sz w:val="24"/>
          <w:szCs w:val="24"/>
        </w:rPr>
        <w:tab/>
      </w:r>
      <w:r>
        <w:rPr>
          <w:sz w:val="24"/>
          <w:szCs w:val="24"/>
        </w:rPr>
        <w:tab/>
      </w:r>
      <w:r>
        <w:rPr>
          <w:sz w:val="24"/>
          <w:szCs w:val="24"/>
        </w:rPr>
        <w:tab/>
      </w:r>
    </w:p>
    <w:p w:rsidR="000223FE" w:rsidRDefault="000223FE" w:rsidP="000223FE">
      <w:pPr>
        <w:spacing w:line="360" w:lineRule="auto"/>
        <w:ind w:firstLine="1440"/>
        <w:rPr>
          <w:spacing w:val="-3"/>
          <w:sz w:val="24"/>
          <w:szCs w:val="24"/>
        </w:rPr>
      </w:pPr>
      <w:r>
        <w:rPr>
          <w:sz w:val="24"/>
          <w:szCs w:val="24"/>
        </w:rPr>
        <w:t>C</w:t>
      </w:r>
      <w:r>
        <w:rPr>
          <w:spacing w:val="-3"/>
          <w:sz w:val="24"/>
          <w:szCs w:val="24"/>
        </w:rPr>
        <w:t xml:space="preserve">omplainant carries the burden of showing that the utility is responsible or accountable for the problem described in the Complaint in order to prevail.  </w:t>
      </w:r>
      <w:proofErr w:type="gramStart"/>
      <w:r>
        <w:rPr>
          <w:i/>
          <w:spacing w:val="-3"/>
          <w:sz w:val="24"/>
          <w:szCs w:val="24"/>
        </w:rPr>
        <w:t>Patterson v. Bell Telephone Company of Pennsylvania</w:t>
      </w:r>
      <w:r>
        <w:rPr>
          <w:spacing w:val="-3"/>
          <w:sz w:val="24"/>
          <w:szCs w:val="24"/>
        </w:rPr>
        <w:t xml:space="preserve">, 72 Pa. PUC 196 (1990); </w:t>
      </w:r>
      <w:r>
        <w:rPr>
          <w:i/>
          <w:spacing w:val="-3"/>
          <w:sz w:val="24"/>
          <w:szCs w:val="24"/>
        </w:rPr>
        <w:t>Feinstein v. Philadelphia Suburban Water Company</w:t>
      </w:r>
      <w:r>
        <w:rPr>
          <w:spacing w:val="-3"/>
          <w:sz w:val="24"/>
          <w:szCs w:val="24"/>
        </w:rPr>
        <w:t>, 50 Pa. PUC 300 (1976).</w:t>
      </w:r>
      <w:proofErr w:type="gramEnd"/>
      <w:r>
        <w:rPr>
          <w:spacing w:val="-3"/>
          <w:sz w:val="24"/>
          <w:szCs w:val="24"/>
        </w:rPr>
        <w:t xml:space="preserve">  This must be shown by a preponderance of the evidence.  </w:t>
      </w:r>
      <w:proofErr w:type="gramStart"/>
      <w:r>
        <w:rPr>
          <w:i/>
          <w:spacing w:val="-3"/>
          <w:sz w:val="24"/>
          <w:szCs w:val="24"/>
        </w:rPr>
        <w:t xml:space="preserve">Samuel J. </w:t>
      </w:r>
      <w:proofErr w:type="spellStart"/>
      <w:r>
        <w:rPr>
          <w:i/>
          <w:spacing w:val="-3"/>
          <w:sz w:val="24"/>
          <w:szCs w:val="24"/>
        </w:rPr>
        <w:t>Lansberry</w:t>
      </w:r>
      <w:proofErr w:type="spellEnd"/>
      <w:r>
        <w:rPr>
          <w:i/>
          <w:spacing w:val="-3"/>
          <w:sz w:val="24"/>
          <w:szCs w:val="24"/>
        </w:rPr>
        <w:t xml:space="preserve">, Inc. v. PA Public Utility </w:t>
      </w:r>
      <w:proofErr w:type="spellStart"/>
      <w:r>
        <w:rPr>
          <w:i/>
          <w:spacing w:val="-3"/>
          <w:sz w:val="24"/>
          <w:szCs w:val="24"/>
        </w:rPr>
        <w:t>Comm’n</w:t>
      </w:r>
      <w:proofErr w:type="spellEnd"/>
      <w:r>
        <w:rPr>
          <w:spacing w:val="-3"/>
          <w:sz w:val="24"/>
          <w:szCs w:val="24"/>
        </w:rPr>
        <w:t xml:space="preserve">, 578 A.2d 600 (Pa. Cmwlth.1990), </w:t>
      </w:r>
      <w:proofErr w:type="spellStart"/>
      <w:r>
        <w:rPr>
          <w:i/>
          <w:spacing w:val="-3"/>
          <w:sz w:val="24"/>
          <w:szCs w:val="24"/>
        </w:rPr>
        <w:t>alloc</w:t>
      </w:r>
      <w:proofErr w:type="spellEnd"/>
      <w:r>
        <w:rPr>
          <w:i/>
          <w:spacing w:val="-3"/>
          <w:sz w:val="24"/>
          <w:szCs w:val="24"/>
        </w:rPr>
        <w:t>.</w:t>
      </w:r>
      <w:proofErr w:type="gramEnd"/>
      <w:r>
        <w:rPr>
          <w:i/>
          <w:spacing w:val="-3"/>
          <w:sz w:val="24"/>
          <w:szCs w:val="24"/>
        </w:rPr>
        <w:t xml:space="preserve"> </w:t>
      </w:r>
      <w:proofErr w:type="gramStart"/>
      <w:r>
        <w:rPr>
          <w:i/>
          <w:spacing w:val="-3"/>
          <w:sz w:val="24"/>
          <w:szCs w:val="24"/>
        </w:rPr>
        <w:t>den.</w:t>
      </w:r>
      <w:r>
        <w:rPr>
          <w:spacing w:val="-3"/>
          <w:sz w:val="24"/>
          <w:szCs w:val="24"/>
        </w:rPr>
        <w:t>, 529 A.2d 654, 602 A.2d 863 (1992).</w:t>
      </w:r>
      <w:proofErr w:type="gramEnd"/>
      <w:r>
        <w:rPr>
          <w:spacing w:val="-3"/>
          <w:sz w:val="24"/>
          <w:szCs w:val="24"/>
        </w:rPr>
        <w:t xml:space="preserve">  That is, by presenting evidence more convincing, by even the smallest amount, than that presented by the other party.  </w:t>
      </w:r>
      <w:proofErr w:type="gramStart"/>
      <w:r>
        <w:rPr>
          <w:i/>
          <w:spacing w:val="-3"/>
          <w:sz w:val="24"/>
          <w:szCs w:val="24"/>
        </w:rPr>
        <w:t>Se-Ling Hosiery v. Margulies</w:t>
      </w:r>
      <w:r>
        <w:rPr>
          <w:spacing w:val="-3"/>
          <w:sz w:val="24"/>
          <w:szCs w:val="24"/>
        </w:rPr>
        <w:t>, 364 Pa. 45, 70 A.2d 854 (1950).</w:t>
      </w:r>
      <w:proofErr w:type="gramEnd"/>
    </w:p>
    <w:p w:rsidR="000223FE" w:rsidRDefault="000223FE" w:rsidP="000223FE">
      <w:pPr>
        <w:spacing w:line="360" w:lineRule="auto"/>
        <w:ind w:firstLine="1440"/>
        <w:rPr>
          <w:spacing w:val="-3"/>
          <w:sz w:val="24"/>
          <w:szCs w:val="24"/>
        </w:rPr>
      </w:pPr>
    </w:p>
    <w:p w:rsidR="000223FE" w:rsidRDefault="000223FE" w:rsidP="000223FE">
      <w:pPr>
        <w:spacing w:line="360" w:lineRule="auto"/>
        <w:ind w:firstLine="1440"/>
        <w:rPr>
          <w:spacing w:val="-3"/>
          <w:sz w:val="24"/>
          <w:szCs w:val="24"/>
        </w:rPr>
      </w:pPr>
      <w:r>
        <w:rPr>
          <w:spacing w:val="-3"/>
          <w:sz w:val="24"/>
          <w:szCs w:val="24"/>
        </w:rPr>
        <w:t xml:space="preserve">Additionally, any finding of fact necessary to support the Commission’s adjudication must be based upon substantial evidence.  </w:t>
      </w:r>
      <w:proofErr w:type="gramStart"/>
      <w:r>
        <w:rPr>
          <w:i/>
          <w:spacing w:val="-3"/>
          <w:sz w:val="24"/>
          <w:szCs w:val="24"/>
        </w:rPr>
        <w:t xml:space="preserve">Mill v. </w:t>
      </w:r>
      <w:proofErr w:type="spellStart"/>
      <w:r>
        <w:rPr>
          <w:i/>
          <w:spacing w:val="-3"/>
          <w:sz w:val="24"/>
          <w:szCs w:val="24"/>
        </w:rPr>
        <w:t>Comm’w</w:t>
      </w:r>
      <w:proofErr w:type="spellEnd"/>
      <w:r>
        <w:rPr>
          <w:i/>
          <w:spacing w:val="-3"/>
          <w:sz w:val="24"/>
          <w:szCs w:val="24"/>
        </w:rPr>
        <w:t xml:space="preserve">., PA Public Utility </w:t>
      </w:r>
      <w:proofErr w:type="spellStart"/>
      <w:r>
        <w:rPr>
          <w:i/>
          <w:spacing w:val="-3"/>
          <w:sz w:val="24"/>
          <w:szCs w:val="24"/>
        </w:rPr>
        <w:t>Comm’n</w:t>
      </w:r>
      <w:proofErr w:type="spellEnd"/>
      <w:r>
        <w:rPr>
          <w:spacing w:val="-3"/>
          <w:sz w:val="24"/>
          <w:szCs w:val="24"/>
        </w:rPr>
        <w:t xml:space="preserve">, 447 A.2d 1100 (Pa. Cmwlth.1982); </w:t>
      </w:r>
      <w:proofErr w:type="spellStart"/>
      <w:r>
        <w:rPr>
          <w:i/>
          <w:spacing w:val="-3"/>
          <w:sz w:val="24"/>
          <w:szCs w:val="24"/>
        </w:rPr>
        <w:t>Edan</w:t>
      </w:r>
      <w:proofErr w:type="spellEnd"/>
      <w:r>
        <w:rPr>
          <w:i/>
          <w:spacing w:val="-3"/>
          <w:sz w:val="24"/>
          <w:szCs w:val="24"/>
        </w:rPr>
        <w:t xml:space="preserve"> Transportation Corp. v. PA Public Utility </w:t>
      </w:r>
      <w:proofErr w:type="spellStart"/>
      <w:r>
        <w:rPr>
          <w:i/>
          <w:spacing w:val="-3"/>
          <w:sz w:val="24"/>
          <w:szCs w:val="24"/>
        </w:rPr>
        <w:t>Comm’n</w:t>
      </w:r>
      <w:proofErr w:type="spellEnd"/>
      <w:r>
        <w:rPr>
          <w:i/>
          <w:spacing w:val="-3"/>
          <w:sz w:val="24"/>
          <w:szCs w:val="24"/>
        </w:rPr>
        <w:t>,</w:t>
      </w:r>
      <w:r>
        <w:rPr>
          <w:spacing w:val="-3"/>
          <w:sz w:val="24"/>
          <w:szCs w:val="24"/>
        </w:rPr>
        <w:t xml:space="preserve"> 623 A.2d 6 (Pa. Cmwlth.1993), 2 </w:t>
      </w:r>
      <w:proofErr w:type="spellStart"/>
      <w:r>
        <w:rPr>
          <w:spacing w:val="-3"/>
          <w:sz w:val="24"/>
          <w:szCs w:val="24"/>
        </w:rPr>
        <w:t>Pa.C.S</w:t>
      </w:r>
      <w:proofErr w:type="spellEnd"/>
      <w:r>
        <w:rPr>
          <w:spacing w:val="-3"/>
          <w:sz w:val="24"/>
          <w:szCs w:val="24"/>
        </w:rPr>
        <w:t>.</w:t>
      </w:r>
      <w:proofErr w:type="gramEnd"/>
      <w:r>
        <w:rPr>
          <w:spacing w:val="-3"/>
          <w:sz w:val="24"/>
          <w:szCs w:val="24"/>
        </w:rPr>
        <w:t xml:space="preserve"> §704.  More is required than a mere trace of evidence or a suspicion of the existence of a fact sought to be established.  </w:t>
      </w:r>
      <w:proofErr w:type="gramStart"/>
      <w:r>
        <w:rPr>
          <w:i/>
          <w:spacing w:val="-3"/>
          <w:sz w:val="24"/>
          <w:szCs w:val="24"/>
        </w:rPr>
        <w:t xml:space="preserve">Norfolk and Western Ry. v. PA Public Utility </w:t>
      </w:r>
      <w:proofErr w:type="spellStart"/>
      <w:r>
        <w:rPr>
          <w:i/>
          <w:spacing w:val="-3"/>
          <w:sz w:val="24"/>
          <w:szCs w:val="24"/>
        </w:rPr>
        <w:t>Comm’n</w:t>
      </w:r>
      <w:proofErr w:type="spellEnd"/>
      <w:r>
        <w:rPr>
          <w:spacing w:val="-3"/>
          <w:sz w:val="24"/>
          <w:szCs w:val="24"/>
        </w:rPr>
        <w:t xml:space="preserve">, 489 Pa. 109, 413 A.2d 1037 (1980); </w:t>
      </w:r>
      <w:r>
        <w:rPr>
          <w:i/>
          <w:spacing w:val="-3"/>
          <w:sz w:val="24"/>
          <w:szCs w:val="24"/>
        </w:rPr>
        <w:t>Erie Resistor Corp. v. Unemployment Compensation Bd. of Review</w:t>
      </w:r>
      <w:r>
        <w:rPr>
          <w:spacing w:val="-3"/>
          <w:sz w:val="24"/>
          <w:szCs w:val="24"/>
        </w:rPr>
        <w:t xml:space="preserve">, 166 A.2d 96 (Pa. Super.1960); </w:t>
      </w:r>
      <w:r>
        <w:rPr>
          <w:i/>
          <w:spacing w:val="-3"/>
          <w:sz w:val="24"/>
          <w:szCs w:val="24"/>
        </w:rPr>
        <w:t>Murphy v. Commonwealth, Dep’t.</w:t>
      </w:r>
      <w:proofErr w:type="gramEnd"/>
      <w:r>
        <w:rPr>
          <w:i/>
          <w:spacing w:val="-3"/>
          <w:sz w:val="24"/>
          <w:szCs w:val="24"/>
        </w:rPr>
        <w:t xml:space="preserve"> </w:t>
      </w:r>
      <w:proofErr w:type="gramStart"/>
      <w:r>
        <w:rPr>
          <w:i/>
          <w:spacing w:val="-3"/>
          <w:sz w:val="24"/>
          <w:szCs w:val="24"/>
        </w:rPr>
        <w:t>of</w:t>
      </w:r>
      <w:proofErr w:type="gramEnd"/>
      <w:r>
        <w:rPr>
          <w:i/>
          <w:spacing w:val="-3"/>
          <w:sz w:val="24"/>
          <w:szCs w:val="24"/>
        </w:rPr>
        <w:t xml:space="preserve"> Public Welfare, White Haven Center</w:t>
      </w:r>
      <w:r>
        <w:rPr>
          <w:spacing w:val="-3"/>
          <w:sz w:val="24"/>
          <w:szCs w:val="24"/>
        </w:rPr>
        <w:t>, 480 A.2d 382 (Pa. Cmwlth.1984).</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Certain provisions of Chapter 56 of the Pennsylvania Code apply regarding standards and billing practices apply to the instant case.  Specifically, Section 56.16 provides in pertinent part:</w:t>
      </w:r>
    </w:p>
    <w:p w:rsidR="000223FE" w:rsidRDefault="000223FE" w:rsidP="000223FE">
      <w:pPr>
        <w:spacing w:line="360" w:lineRule="auto"/>
        <w:rPr>
          <w:sz w:val="24"/>
          <w:szCs w:val="24"/>
        </w:rPr>
      </w:pPr>
    </w:p>
    <w:p w:rsidR="000223FE" w:rsidRDefault="000223FE" w:rsidP="000223FE">
      <w:pPr>
        <w:ind w:left="720" w:right="720"/>
        <w:rPr>
          <w:sz w:val="24"/>
          <w:szCs w:val="24"/>
        </w:rPr>
      </w:pPr>
      <w:r>
        <w:rPr>
          <w:sz w:val="24"/>
          <w:szCs w:val="24"/>
        </w:rPr>
        <w:t>(a)</w:t>
      </w:r>
      <w:r>
        <w:rPr>
          <w:sz w:val="24"/>
          <w:szCs w:val="24"/>
        </w:rPr>
        <w:tab/>
        <w:t xml:space="preserve">A customer who is about to vacate premises supplied with public utility service or who wishes to have service discontinued shall give at least 7 </w:t>
      </w:r>
      <w:proofErr w:type="spellStart"/>
      <w:r>
        <w:rPr>
          <w:sz w:val="24"/>
          <w:szCs w:val="24"/>
        </w:rPr>
        <w:t>days notice</w:t>
      </w:r>
      <w:proofErr w:type="spellEnd"/>
      <w:r>
        <w:rPr>
          <w:sz w:val="24"/>
          <w:szCs w:val="24"/>
        </w:rPr>
        <w:t xml:space="preserve"> to the public utility and a noncustomer occupant specifying the date on </w:t>
      </w:r>
      <w:r>
        <w:rPr>
          <w:sz w:val="24"/>
          <w:szCs w:val="24"/>
        </w:rPr>
        <w:lastRenderedPageBreak/>
        <w:t xml:space="preserve">which it desired that service be discontinued.  In the absence of a notice, the customer shall be responsible for services rendered.  </w:t>
      </w:r>
    </w:p>
    <w:p w:rsidR="000223FE" w:rsidRDefault="000223FE" w:rsidP="000223FE">
      <w:pPr>
        <w:ind w:left="720" w:right="720"/>
        <w:rPr>
          <w:sz w:val="24"/>
          <w:szCs w:val="24"/>
        </w:rPr>
      </w:pPr>
    </w:p>
    <w:p w:rsidR="000223FE" w:rsidRDefault="000223FE" w:rsidP="000223FE">
      <w:pPr>
        <w:ind w:left="720" w:right="720"/>
        <w:rPr>
          <w:sz w:val="24"/>
          <w:szCs w:val="24"/>
        </w:rPr>
      </w:pPr>
      <w:r>
        <w:rPr>
          <w:sz w:val="24"/>
          <w:szCs w:val="24"/>
        </w:rPr>
        <w:t>(b)</w:t>
      </w:r>
      <w:r>
        <w:rPr>
          <w:sz w:val="24"/>
          <w:szCs w:val="24"/>
        </w:rPr>
        <w:tab/>
        <w:t>In the event of discontinuance or termination of service at a residence or dwelling in accordance with this chapter, a public utility may transfer an unpaid balance to a new residential service account of the same customer.</w:t>
      </w:r>
    </w:p>
    <w:p w:rsidR="000223FE" w:rsidRDefault="000223FE" w:rsidP="000223FE">
      <w:pPr>
        <w:ind w:left="720" w:right="720"/>
        <w:rPr>
          <w:sz w:val="24"/>
          <w:szCs w:val="24"/>
        </w:rPr>
      </w:pPr>
    </w:p>
    <w:p w:rsidR="000223FE" w:rsidRDefault="000223FE" w:rsidP="000223FE">
      <w:pPr>
        <w:ind w:left="720" w:right="720"/>
        <w:rPr>
          <w:sz w:val="24"/>
          <w:szCs w:val="24"/>
        </w:rPr>
      </w:pPr>
    </w:p>
    <w:p w:rsidR="000223FE" w:rsidRDefault="000223FE" w:rsidP="000223FE">
      <w:pPr>
        <w:ind w:right="720"/>
        <w:rPr>
          <w:sz w:val="24"/>
          <w:szCs w:val="24"/>
        </w:rPr>
      </w:pPr>
      <w:r>
        <w:rPr>
          <w:sz w:val="24"/>
          <w:szCs w:val="24"/>
        </w:rPr>
        <w:t>52 Pa. Code § 56.16(a)</w:t>
      </w:r>
      <w:proofErr w:type="gramStart"/>
      <w:r>
        <w:rPr>
          <w:sz w:val="24"/>
          <w:szCs w:val="24"/>
        </w:rPr>
        <w:t>,(</w:t>
      </w:r>
      <w:proofErr w:type="gramEnd"/>
      <w:r>
        <w:rPr>
          <w:sz w:val="24"/>
          <w:szCs w:val="24"/>
        </w:rPr>
        <w:t>b).</w:t>
      </w:r>
    </w:p>
    <w:p w:rsidR="000223FE" w:rsidRDefault="000223FE" w:rsidP="000223FE">
      <w:pPr>
        <w:ind w:right="720"/>
        <w:rPr>
          <w:sz w:val="24"/>
          <w:szCs w:val="24"/>
        </w:rPr>
      </w:pPr>
    </w:p>
    <w:p w:rsidR="000223FE" w:rsidRDefault="000223FE" w:rsidP="000223FE">
      <w:pPr>
        <w:ind w:left="720" w:right="720"/>
        <w:rPr>
          <w:sz w:val="24"/>
          <w:szCs w:val="24"/>
        </w:rPr>
      </w:pPr>
    </w:p>
    <w:p w:rsidR="000223FE" w:rsidRDefault="000223FE" w:rsidP="000223FE">
      <w:pPr>
        <w:ind w:left="720" w:right="720"/>
        <w:rPr>
          <w:sz w:val="24"/>
          <w:szCs w:val="24"/>
        </w:rPr>
      </w:pPr>
      <w:r>
        <w:rPr>
          <w:sz w:val="24"/>
          <w:szCs w:val="24"/>
        </w:rPr>
        <w:t>Section 56.36(b</w:t>
      </w:r>
      <w:proofErr w:type="gramStart"/>
      <w:r>
        <w:rPr>
          <w:sz w:val="24"/>
          <w:szCs w:val="24"/>
        </w:rPr>
        <w:t>)(</w:t>
      </w:r>
      <w:proofErr w:type="gramEnd"/>
      <w:r>
        <w:rPr>
          <w:sz w:val="24"/>
          <w:szCs w:val="24"/>
        </w:rPr>
        <w:t>2) provides in pertinent part:</w:t>
      </w:r>
    </w:p>
    <w:p w:rsidR="000223FE" w:rsidRDefault="000223FE" w:rsidP="000223FE">
      <w:pPr>
        <w:ind w:left="720" w:right="720"/>
        <w:rPr>
          <w:sz w:val="24"/>
          <w:szCs w:val="24"/>
        </w:rPr>
      </w:pPr>
    </w:p>
    <w:p w:rsidR="000223FE" w:rsidRDefault="000223FE" w:rsidP="000223FE">
      <w:pPr>
        <w:ind w:left="720" w:right="720"/>
        <w:rPr>
          <w:sz w:val="24"/>
          <w:szCs w:val="24"/>
        </w:rPr>
      </w:pPr>
      <w:r>
        <w:rPr>
          <w:sz w:val="24"/>
          <w:szCs w:val="24"/>
        </w:rPr>
        <w:t>(2)</w:t>
      </w:r>
      <w:r>
        <w:rPr>
          <w:sz w:val="24"/>
          <w:szCs w:val="24"/>
        </w:rPr>
        <w:tab/>
        <w:t xml:space="preserve">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p>
    <w:p w:rsidR="000223FE" w:rsidRDefault="000223FE" w:rsidP="000223FE">
      <w:pPr>
        <w:ind w:left="720" w:right="720"/>
        <w:rPr>
          <w:sz w:val="24"/>
          <w:szCs w:val="24"/>
        </w:rPr>
      </w:pPr>
    </w:p>
    <w:p w:rsidR="000223FE" w:rsidRDefault="000223FE" w:rsidP="000223FE">
      <w:pPr>
        <w:ind w:right="720"/>
        <w:rPr>
          <w:sz w:val="24"/>
          <w:szCs w:val="24"/>
        </w:rPr>
      </w:pPr>
      <w:r>
        <w:rPr>
          <w:sz w:val="24"/>
          <w:szCs w:val="24"/>
        </w:rPr>
        <w:t>52 Pa. Code § 56.36(b</w:t>
      </w:r>
      <w:proofErr w:type="gramStart"/>
      <w:r>
        <w:rPr>
          <w:sz w:val="24"/>
          <w:szCs w:val="24"/>
        </w:rPr>
        <w:t>)(</w:t>
      </w:r>
      <w:proofErr w:type="gramEnd"/>
      <w:r>
        <w:rPr>
          <w:sz w:val="24"/>
          <w:szCs w:val="24"/>
        </w:rPr>
        <w:t>2).</w:t>
      </w:r>
    </w:p>
    <w:p w:rsidR="000223FE" w:rsidRDefault="000223FE" w:rsidP="000223FE">
      <w:pPr>
        <w:ind w:right="720"/>
        <w:rPr>
          <w:sz w:val="24"/>
          <w:szCs w:val="24"/>
        </w:rPr>
      </w:pPr>
    </w:p>
    <w:p w:rsidR="000223FE" w:rsidRDefault="000223FE" w:rsidP="000223FE">
      <w:pPr>
        <w:ind w:left="720" w:right="720"/>
        <w:rPr>
          <w:sz w:val="24"/>
          <w:szCs w:val="24"/>
        </w:rPr>
      </w:pPr>
      <w:r>
        <w:rPr>
          <w:sz w:val="24"/>
          <w:szCs w:val="24"/>
        </w:rPr>
        <w:t xml:space="preserve"> </w:t>
      </w:r>
    </w:p>
    <w:p w:rsidR="000223FE" w:rsidRDefault="000223FE" w:rsidP="000223FE">
      <w:pPr>
        <w:spacing w:line="360" w:lineRule="auto"/>
        <w:rPr>
          <w:sz w:val="24"/>
          <w:szCs w:val="24"/>
        </w:rPr>
      </w:pPr>
      <w:r>
        <w:rPr>
          <w:sz w:val="24"/>
          <w:szCs w:val="24"/>
        </w:rPr>
        <w:tab/>
        <w:t>Additionally, Section 1405(c) of the Pennsylvania Public Utility Code provides:</w:t>
      </w:r>
    </w:p>
    <w:p w:rsidR="000223FE" w:rsidRDefault="000223FE" w:rsidP="000223FE">
      <w:pPr>
        <w:spacing w:line="360" w:lineRule="auto"/>
        <w:rPr>
          <w:sz w:val="24"/>
          <w:szCs w:val="24"/>
        </w:rPr>
      </w:pPr>
    </w:p>
    <w:p w:rsidR="000223FE" w:rsidRDefault="000223FE" w:rsidP="000223FE">
      <w:pPr>
        <w:ind w:left="720" w:right="720"/>
        <w:rPr>
          <w:sz w:val="24"/>
          <w:szCs w:val="24"/>
        </w:rPr>
      </w:pPr>
      <w:r>
        <w:rPr>
          <w:sz w:val="24"/>
          <w:szCs w:val="24"/>
        </w:rPr>
        <w:t xml:space="preserve">(c) </w:t>
      </w:r>
      <w:r>
        <w:rPr>
          <w:sz w:val="24"/>
          <w:szCs w:val="24"/>
        </w:rPr>
        <w:tab/>
      </w:r>
      <w:r>
        <w:rPr>
          <w:b/>
          <w:sz w:val="24"/>
          <w:szCs w:val="24"/>
        </w:rPr>
        <w:t>Customer assistance programs</w:t>
      </w:r>
      <w:r>
        <w:rPr>
          <w:sz w:val="24"/>
          <w:szCs w:val="24"/>
        </w:rPr>
        <w:t xml:space="preserve">. – Customer assistance program rates shall be timely paid and shall not be the subject of payment agreements negotiated or approved by the commission. </w:t>
      </w:r>
    </w:p>
    <w:p w:rsidR="000223FE" w:rsidRDefault="000223FE" w:rsidP="000223FE">
      <w:pPr>
        <w:ind w:left="720" w:right="720"/>
        <w:rPr>
          <w:sz w:val="24"/>
          <w:szCs w:val="24"/>
        </w:rPr>
      </w:pPr>
    </w:p>
    <w:p w:rsidR="000223FE" w:rsidRDefault="000223FE" w:rsidP="000223FE">
      <w:pPr>
        <w:spacing w:line="360" w:lineRule="auto"/>
        <w:rPr>
          <w:sz w:val="24"/>
          <w:szCs w:val="24"/>
        </w:rPr>
      </w:pPr>
    </w:p>
    <w:p w:rsidR="000223FE" w:rsidRDefault="000223FE" w:rsidP="000223FE">
      <w:pPr>
        <w:spacing w:line="360" w:lineRule="auto"/>
        <w:rPr>
          <w:sz w:val="24"/>
          <w:szCs w:val="24"/>
        </w:rPr>
      </w:pP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1405(c).</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 xml:space="preserve">Although Complainant claims she contacted PECO and asked for a discontinuance of service in January, 2010, the same month that the bank foreclosed on the property at 242 New Galena Rd. and she does not believe she called PECO in May, 2010, the testimony of Ms. Leung and PECO’s exhibits of customer-contact business records support a finding that Complainant did not request a discontinuance of service in January, but rather on May 27, 2010, and that the Company did discontinue service in a timely manner thereafter.  </w:t>
      </w:r>
      <w:proofErr w:type="gramStart"/>
      <w:r>
        <w:rPr>
          <w:sz w:val="24"/>
          <w:szCs w:val="24"/>
        </w:rPr>
        <w:t>Tr. 19-28, PECO Exhibits 6 and 9.</w:t>
      </w:r>
      <w:proofErr w:type="gramEnd"/>
      <w:r>
        <w:rPr>
          <w:sz w:val="24"/>
          <w:szCs w:val="24"/>
        </w:rPr>
        <w:t xml:space="preserve">  The record further supports a finding that Complainant held a mortgage on the property of 242 New Galena Rd., and that her name and social security numbers were identical on the accounts for the front and rear units at 242 New Galena Rd., PECO </w:t>
      </w:r>
      <w:r>
        <w:rPr>
          <w:sz w:val="24"/>
          <w:szCs w:val="24"/>
        </w:rPr>
        <w:lastRenderedPageBreak/>
        <w:t xml:space="preserve">Exhibits 2 and 3.   Thus, Complainant has failed to show she did not reside at 242 New Galena Road, or that there was an unauthorized use of her name and social security number to establish electric service accounts in her name for the Rear unit.  Her admission that she held a mortgage for the property until it was foreclosed in January, 2010 is further evidence that the Company accurately billed the Complainant. </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 xml:space="preserve">On October 7, 2010, there was a charge off in the amount of $9,592.07 from the account being finalized in May of 2010.  </w:t>
      </w:r>
      <w:proofErr w:type="gramStart"/>
      <w:r>
        <w:rPr>
          <w:sz w:val="24"/>
          <w:szCs w:val="24"/>
        </w:rPr>
        <w:t>N.T. 25.</w:t>
      </w:r>
      <w:proofErr w:type="gramEnd"/>
      <w:r>
        <w:rPr>
          <w:sz w:val="24"/>
          <w:szCs w:val="24"/>
        </w:rPr>
        <w:t xml:space="preserve">  The entire amount in dispute is Customer Assistance Program (CAP) arrears which are not subject to a Commission-ordered payment arrangement. </w:t>
      </w:r>
      <w:proofErr w:type="gramStart"/>
      <w:r>
        <w:rPr>
          <w:sz w:val="24"/>
          <w:szCs w:val="24"/>
        </w:rPr>
        <w:t>66 Pa. C.S. § 1405(c).</w:t>
      </w:r>
      <w:proofErr w:type="gramEnd"/>
      <w:r>
        <w:rPr>
          <w:sz w:val="24"/>
          <w:szCs w:val="24"/>
        </w:rPr>
        <w:t xml:space="preserve">  </w:t>
      </w:r>
      <w:proofErr w:type="gramStart"/>
      <w:r>
        <w:rPr>
          <w:sz w:val="24"/>
          <w:szCs w:val="24"/>
        </w:rPr>
        <w:t>N.T. 29.</w:t>
      </w:r>
      <w:proofErr w:type="gramEnd"/>
      <w:r>
        <w:rPr>
          <w:sz w:val="24"/>
          <w:szCs w:val="24"/>
        </w:rPr>
        <w:t xml:space="preserve">  I find the amount of $9,592.07 to be </w:t>
      </w:r>
      <w:proofErr w:type="gramStart"/>
      <w:r>
        <w:rPr>
          <w:sz w:val="24"/>
          <w:szCs w:val="24"/>
        </w:rPr>
        <w:t>appropriate  because</w:t>
      </w:r>
      <w:proofErr w:type="gramEnd"/>
      <w:r>
        <w:rPr>
          <w:sz w:val="24"/>
          <w:szCs w:val="24"/>
        </w:rPr>
        <w:t xml:space="preserve"> it includes the $3,242.37 that was transferred to the account on November 2008 that came from the rear account that was not paid and because PECO discontinued service shortly after Complainant requested discontinuation in May, 2010.  N.T. 30-32.  </w:t>
      </w:r>
      <w:proofErr w:type="gramStart"/>
      <w:r>
        <w:rPr>
          <w:sz w:val="24"/>
          <w:szCs w:val="24"/>
        </w:rPr>
        <w:t>PECO Exhibit 5.</w:t>
      </w:r>
      <w:proofErr w:type="gramEnd"/>
      <w:r>
        <w:rPr>
          <w:sz w:val="24"/>
          <w:szCs w:val="24"/>
        </w:rPr>
        <w:t xml:space="preserve">  It is reasonable that PECO believed Complainant was the responsible account holder for both the front and rear properties given the social security numbers and name of Lisa A. Martin are the same on the accounts for both units as well as for an account held by Complainant from November 3, 2005 through March 2, 2007 at 123 Mary Street, Doylestown, PA. </w:t>
      </w:r>
      <w:proofErr w:type="gramStart"/>
      <w:r>
        <w:rPr>
          <w:sz w:val="24"/>
          <w:szCs w:val="24"/>
        </w:rPr>
        <w:t>PECO Exhibit 3.</w:t>
      </w:r>
      <w:proofErr w:type="gramEnd"/>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ab/>
      </w:r>
      <w:r>
        <w:rPr>
          <w:sz w:val="24"/>
          <w:szCs w:val="24"/>
        </w:rPr>
        <w:tab/>
        <w:t>Complainant bears the burden of proving that she told the utility to discontinue service in January, 2010.  Evidence to support this claim is comprised entirely of her testimony.  In contrast, PECO’s evidence includes its customer contact sheet, which is a business record indicating that the Complainant called on May 27, 2010 and indicated that service should be taken out of her name because the bank had foreclosed upon the property and she did not live there anymore.  Accordingly, I find Complainant has not sustained her burden of proving that PECO has violated an order, regulation or statute of the Commission.</w:t>
      </w:r>
    </w:p>
    <w:p w:rsidR="000223FE" w:rsidRDefault="000223FE" w:rsidP="000223FE">
      <w:pPr>
        <w:spacing w:line="360" w:lineRule="auto"/>
        <w:rPr>
          <w:sz w:val="24"/>
          <w:szCs w:val="24"/>
        </w:rPr>
      </w:pPr>
    </w:p>
    <w:p w:rsidR="000223FE" w:rsidRDefault="000223FE" w:rsidP="000223FE">
      <w:pPr>
        <w:spacing w:line="360" w:lineRule="auto"/>
        <w:rPr>
          <w:sz w:val="24"/>
          <w:szCs w:val="24"/>
        </w:rPr>
      </w:pPr>
      <w:r>
        <w:rPr>
          <w:sz w:val="24"/>
          <w:szCs w:val="24"/>
        </w:rPr>
        <w:t xml:space="preserve"> </w:t>
      </w:r>
    </w:p>
    <w:p w:rsidR="000223FE" w:rsidRDefault="000223FE" w:rsidP="000223FE">
      <w:pPr>
        <w:spacing w:line="360" w:lineRule="auto"/>
        <w:jc w:val="center"/>
        <w:rPr>
          <w:sz w:val="24"/>
          <w:szCs w:val="24"/>
          <w:u w:val="single"/>
        </w:rPr>
      </w:pPr>
      <w:r>
        <w:rPr>
          <w:sz w:val="24"/>
          <w:szCs w:val="24"/>
          <w:u w:val="single"/>
        </w:rPr>
        <w:t>CONCLUSIONS OF LAW</w:t>
      </w:r>
    </w:p>
    <w:p w:rsidR="000223FE" w:rsidRDefault="000223FE" w:rsidP="000223FE">
      <w:pPr>
        <w:spacing w:line="360" w:lineRule="auto"/>
        <w:jc w:val="center"/>
        <w:rPr>
          <w:sz w:val="24"/>
          <w:szCs w:val="24"/>
          <w:u w:val="single"/>
        </w:rPr>
      </w:pPr>
    </w:p>
    <w:p w:rsidR="000223FE" w:rsidRDefault="000223FE" w:rsidP="000223FE">
      <w:pPr>
        <w:spacing w:line="360" w:lineRule="auto"/>
        <w:rPr>
          <w:sz w:val="24"/>
          <w:szCs w:val="24"/>
        </w:rPr>
      </w:pPr>
      <w:r>
        <w:rPr>
          <w:sz w:val="24"/>
          <w:szCs w:val="24"/>
        </w:rPr>
        <w:tab/>
      </w:r>
      <w:r>
        <w:rPr>
          <w:sz w:val="24"/>
          <w:szCs w:val="24"/>
        </w:rPr>
        <w:tab/>
        <w:t>1.</w:t>
      </w:r>
      <w:r>
        <w:rPr>
          <w:sz w:val="24"/>
          <w:szCs w:val="24"/>
        </w:rPr>
        <w:tab/>
        <w:t xml:space="preserve">The proponent of a rule or order carries the burden of proof.  </w:t>
      </w:r>
      <w:proofErr w:type="gramStart"/>
      <w:r>
        <w:rPr>
          <w:sz w:val="24"/>
          <w:szCs w:val="24"/>
        </w:rPr>
        <w:t>66 Pa. C.S.</w:t>
      </w:r>
      <w:proofErr w:type="gramEnd"/>
      <w:r>
        <w:rPr>
          <w:sz w:val="24"/>
          <w:szCs w:val="24"/>
        </w:rPr>
        <w:t xml:space="preserve"> </w:t>
      </w:r>
    </w:p>
    <w:p w:rsidR="000223FE" w:rsidRDefault="000223FE" w:rsidP="000223FE">
      <w:pPr>
        <w:spacing w:line="360" w:lineRule="auto"/>
        <w:rPr>
          <w:spacing w:val="-3"/>
          <w:sz w:val="24"/>
          <w:szCs w:val="24"/>
        </w:rPr>
      </w:pPr>
      <w:r>
        <w:rPr>
          <w:sz w:val="24"/>
          <w:szCs w:val="24"/>
        </w:rPr>
        <w:lastRenderedPageBreak/>
        <w:t>§ 332(a).</w:t>
      </w:r>
      <w:r>
        <w:rPr>
          <w:spacing w:val="-3"/>
          <w:sz w:val="24"/>
          <w:szCs w:val="24"/>
        </w:rPr>
        <w:t xml:space="preserve">  This must be shown by a preponderance of the evidence.  </w:t>
      </w:r>
      <w:proofErr w:type="gramStart"/>
      <w:r>
        <w:rPr>
          <w:i/>
          <w:spacing w:val="-3"/>
          <w:sz w:val="24"/>
          <w:szCs w:val="24"/>
        </w:rPr>
        <w:t xml:space="preserve">Samuel J. </w:t>
      </w:r>
      <w:proofErr w:type="spellStart"/>
      <w:r>
        <w:rPr>
          <w:i/>
          <w:spacing w:val="-3"/>
          <w:sz w:val="24"/>
          <w:szCs w:val="24"/>
        </w:rPr>
        <w:t>Lansberry</w:t>
      </w:r>
      <w:proofErr w:type="spellEnd"/>
      <w:r>
        <w:rPr>
          <w:i/>
          <w:spacing w:val="-3"/>
          <w:sz w:val="24"/>
          <w:szCs w:val="24"/>
        </w:rPr>
        <w:t xml:space="preserve">, Inc. v. PA Public Utility </w:t>
      </w:r>
      <w:proofErr w:type="spellStart"/>
      <w:r>
        <w:rPr>
          <w:i/>
          <w:spacing w:val="-3"/>
          <w:sz w:val="24"/>
          <w:szCs w:val="24"/>
        </w:rPr>
        <w:t>Comm’n</w:t>
      </w:r>
      <w:proofErr w:type="spellEnd"/>
      <w:r>
        <w:rPr>
          <w:spacing w:val="-3"/>
          <w:sz w:val="24"/>
          <w:szCs w:val="24"/>
        </w:rPr>
        <w:t xml:space="preserve">, 578 A.2d 600 (Pa. Cmwlth.1990), </w:t>
      </w:r>
      <w:proofErr w:type="spellStart"/>
      <w:r>
        <w:rPr>
          <w:i/>
          <w:spacing w:val="-3"/>
          <w:sz w:val="24"/>
          <w:szCs w:val="24"/>
        </w:rPr>
        <w:t>alloc</w:t>
      </w:r>
      <w:proofErr w:type="spellEnd"/>
      <w:r>
        <w:rPr>
          <w:i/>
          <w:spacing w:val="-3"/>
          <w:sz w:val="24"/>
          <w:szCs w:val="24"/>
        </w:rPr>
        <w:t>.</w:t>
      </w:r>
      <w:proofErr w:type="gramEnd"/>
      <w:r>
        <w:rPr>
          <w:i/>
          <w:spacing w:val="-3"/>
          <w:sz w:val="24"/>
          <w:szCs w:val="24"/>
        </w:rPr>
        <w:t xml:space="preserve"> </w:t>
      </w:r>
      <w:proofErr w:type="gramStart"/>
      <w:r>
        <w:rPr>
          <w:i/>
          <w:spacing w:val="-3"/>
          <w:sz w:val="24"/>
          <w:szCs w:val="24"/>
        </w:rPr>
        <w:t>den.</w:t>
      </w:r>
      <w:r>
        <w:rPr>
          <w:spacing w:val="-3"/>
          <w:sz w:val="24"/>
          <w:szCs w:val="24"/>
        </w:rPr>
        <w:t>, 529 Pa. 654, 602 A.2d 863 (1992).</w:t>
      </w:r>
      <w:proofErr w:type="gramEnd"/>
      <w:r>
        <w:rPr>
          <w:spacing w:val="-3"/>
          <w:sz w:val="24"/>
          <w:szCs w:val="24"/>
        </w:rPr>
        <w:t xml:space="preserve">  That is, by presenting evidence more convincing, by even the smallest amount, than that presented by the other party.  </w:t>
      </w:r>
      <w:proofErr w:type="gramStart"/>
      <w:r>
        <w:rPr>
          <w:i/>
          <w:spacing w:val="-3"/>
          <w:sz w:val="24"/>
          <w:szCs w:val="24"/>
        </w:rPr>
        <w:t>Se-Ling Hosiery v. Margulies</w:t>
      </w:r>
      <w:r>
        <w:rPr>
          <w:spacing w:val="-3"/>
          <w:sz w:val="24"/>
          <w:szCs w:val="24"/>
        </w:rPr>
        <w:t>, 364 Pa. 45, 70 A.2d 854 (1950).</w:t>
      </w:r>
      <w:proofErr w:type="gramEnd"/>
    </w:p>
    <w:p w:rsidR="000223FE" w:rsidRDefault="000223FE" w:rsidP="000223FE">
      <w:pPr>
        <w:spacing w:line="360" w:lineRule="auto"/>
        <w:ind w:firstLine="1440"/>
        <w:rPr>
          <w:spacing w:val="-3"/>
          <w:sz w:val="24"/>
          <w:szCs w:val="24"/>
        </w:rPr>
      </w:pPr>
    </w:p>
    <w:p w:rsidR="000223FE" w:rsidRDefault="000223FE" w:rsidP="000223FE">
      <w:pPr>
        <w:spacing w:line="360" w:lineRule="auto"/>
        <w:ind w:firstLine="1440"/>
        <w:rPr>
          <w:spacing w:val="-3"/>
          <w:sz w:val="24"/>
          <w:szCs w:val="24"/>
        </w:rPr>
      </w:pPr>
      <w:r>
        <w:rPr>
          <w:spacing w:val="-3"/>
          <w:sz w:val="24"/>
          <w:szCs w:val="24"/>
        </w:rPr>
        <w:t>2.</w:t>
      </w:r>
      <w:r>
        <w:rPr>
          <w:spacing w:val="-3"/>
          <w:sz w:val="24"/>
          <w:szCs w:val="24"/>
        </w:rPr>
        <w:tab/>
        <w:t xml:space="preserve">Additionally, any finding of fact necessary to support the Commission’s adjudication must be based upon substantial evidence.  </w:t>
      </w:r>
      <w:proofErr w:type="gramStart"/>
      <w:r>
        <w:rPr>
          <w:i/>
          <w:spacing w:val="-3"/>
          <w:sz w:val="24"/>
          <w:szCs w:val="24"/>
        </w:rPr>
        <w:t xml:space="preserve">Mill v. </w:t>
      </w:r>
      <w:proofErr w:type="spellStart"/>
      <w:r>
        <w:rPr>
          <w:i/>
          <w:spacing w:val="-3"/>
          <w:sz w:val="24"/>
          <w:szCs w:val="24"/>
        </w:rPr>
        <w:t>Comm’w</w:t>
      </w:r>
      <w:proofErr w:type="spellEnd"/>
      <w:r>
        <w:rPr>
          <w:i/>
          <w:spacing w:val="-3"/>
          <w:sz w:val="24"/>
          <w:szCs w:val="24"/>
        </w:rPr>
        <w:t xml:space="preserve">., PA Public Utility </w:t>
      </w:r>
      <w:proofErr w:type="spellStart"/>
      <w:r>
        <w:rPr>
          <w:i/>
          <w:spacing w:val="-3"/>
          <w:sz w:val="24"/>
          <w:szCs w:val="24"/>
        </w:rPr>
        <w:t>Comm’n</w:t>
      </w:r>
      <w:proofErr w:type="spellEnd"/>
      <w:r>
        <w:rPr>
          <w:spacing w:val="-3"/>
          <w:sz w:val="24"/>
          <w:szCs w:val="24"/>
        </w:rPr>
        <w:t xml:space="preserve">, 447 A.2d 1100 (Pa. Cmwlth.1982); </w:t>
      </w:r>
      <w:proofErr w:type="spellStart"/>
      <w:r>
        <w:rPr>
          <w:i/>
          <w:spacing w:val="-3"/>
          <w:sz w:val="24"/>
          <w:szCs w:val="24"/>
        </w:rPr>
        <w:t>Edan</w:t>
      </w:r>
      <w:proofErr w:type="spellEnd"/>
      <w:r>
        <w:rPr>
          <w:i/>
          <w:spacing w:val="-3"/>
          <w:sz w:val="24"/>
          <w:szCs w:val="24"/>
        </w:rPr>
        <w:t xml:space="preserve"> Transportation Corp. v. PA Public Utility </w:t>
      </w:r>
      <w:proofErr w:type="spellStart"/>
      <w:r>
        <w:rPr>
          <w:i/>
          <w:spacing w:val="-3"/>
          <w:sz w:val="24"/>
          <w:szCs w:val="24"/>
        </w:rPr>
        <w:t>Comm’n</w:t>
      </w:r>
      <w:proofErr w:type="spellEnd"/>
      <w:r>
        <w:rPr>
          <w:i/>
          <w:spacing w:val="-3"/>
          <w:sz w:val="24"/>
          <w:szCs w:val="24"/>
        </w:rPr>
        <w:t>,</w:t>
      </w:r>
      <w:r>
        <w:rPr>
          <w:spacing w:val="-3"/>
          <w:sz w:val="24"/>
          <w:szCs w:val="24"/>
        </w:rPr>
        <w:t xml:space="preserve"> 623 A.2d 6 (Pa. Cmwlth.1993), 2 </w:t>
      </w:r>
      <w:proofErr w:type="spellStart"/>
      <w:r>
        <w:rPr>
          <w:spacing w:val="-3"/>
          <w:sz w:val="24"/>
          <w:szCs w:val="24"/>
        </w:rPr>
        <w:t>Pa.C.S</w:t>
      </w:r>
      <w:proofErr w:type="spellEnd"/>
      <w:r>
        <w:rPr>
          <w:spacing w:val="-3"/>
          <w:sz w:val="24"/>
          <w:szCs w:val="24"/>
        </w:rPr>
        <w:t>.</w:t>
      </w:r>
      <w:proofErr w:type="gramEnd"/>
      <w:r>
        <w:rPr>
          <w:spacing w:val="-3"/>
          <w:sz w:val="24"/>
          <w:szCs w:val="24"/>
        </w:rPr>
        <w:t xml:space="preserve"> §704.</w:t>
      </w:r>
    </w:p>
    <w:p w:rsidR="000223FE" w:rsidRDefault="000223FE" w:rsidP="000223FE">
      <w:pPr>
        <w:spacing w:line="360" w:lineRule="auto"/>
        <w:ind w:firstLine="1440"/>
        <w:rPr>
          <w:spacing w:val="-3"/>
          <w:sz w:val="24"/>
          <w:szCs w:val="24"/>
        </w:rPr>
      </w:pPr>
    </w:p>
    <w:p w:rsidR="000223FE" w:rsidRDefault="000223FE" w:rsidP="000223FE">
      <w:pPr>
        <w:spacing w:line="360" w:lineRule="auto"/>
        <w:ind w:firstLine="1440"/>
        <w:rPr>
          <w:spacing w:val="-3"/>
          <w:sz w:val="24"/>
          <w:szCs w:val="24"/>
        </w:rPr>
      </w:pPr>
      <w:r>
        <w:rPr>
          <w:spacing w:val="-3"/>
          <w:sz w:val="24"/>
          <w:szCs w:val="24"/>
        </w:rPr>
        <w:t>3.</w:t>
      </w:r>
      <w:r>
        <w:rPr>
          <w:spacing w:val="-3"/>
          <w:sz w:val="24"/>
          <w:szCs w:val="24"/>
        </w:rPr>
        <w:tab/>
        <w:t xml:space="preserve">More is required than a mere trace of evidence or a suspicion of the existence of a fact sought to be established.  </w:t>
      </w:r>
      <w:proofErr w:type="gramStart"/>
      <w:r>
        <w:rPr>
          <w:i/>
          <w:spacing w:val="-3"/>
          <w:sz w:val="24"/>
          <w:szCs w:val="24"/>
        </w:rPr>
        <w:t xml:space="preserve">Norfolk and Western Ry. v. PA Public Utility </w:t>
      </w:r>
      <w:proofErr w:type="spellStart"/>
      <w:r>
        <w:rPr>
          <w:i/>
          <w:spacing w:val="-3"/>
          <w:sz w:val="24"/>
          <w:szCs w:val="24"/>
        </w:rPr>
        <w:t>Comm’n</w:t>
      </w:r>
      <w:proofErr w:type="spellEnd"/>
      <w:r>
        <w:rPr>
          <w:spacing w:val="-3"/>
          <w:sz w:val="24"/>
          <w:szCs w:val="24"/>
        </w:rPr>
        <w:t xml:space="preserve">, 489 Pa. 109, 413 A.2d 1037 (1980); </w:t>
      </w:r>
      <w:r>
        <w:rPr>
          <w:i/>
          <w:spacing w:val="-3"/>
          <w:sz w:val="24"/>
          <w:szCs w:val="24"/>
        </w:rPr>
        <w:t>Erie Resistor Corp. v. Unemployment Compensation Bd. of Review</w:t>
      </w:r>
      <w:r>
        <w:rPr>
          <w:spacing w:val="-3"/>
          <w:sz w:val="24"/>
          <w:szCs w:val="24"/>
        </w:rPr>
        <w:t xml:space="preserve">, 166 A.2d 96 (Pa. Super.1960); </w:t>
      </w:r>
      <w:r>
        <w:rPr>
          <w:i/>
          <w:spacing w:val="-3"/>
          <w:sz w:val="24"/>
          <w:szCs w:val="24"/>
        </w:rPr>
        <w:t>Murphy v. Commonwealth, Dep’t.</w:t>
      </w:r>
      <w:proofErr w:type="gramEnd"/>
      <w:r>
        <w:rPr>
          <w:i/>
          <w:spacing w:val="-3"/>
          <w:sz w:val="24"/>
          <w:szCs w:val="24"/>
        </w:rPr>
        <w:t xml:space="preserve"> </w:t>
      </w:r>
      <w:proofErr w:type="gramStart"/>
      <w:r>
        <w:rPr>
          <w:i/>
          <w:spacing w:val="-3"/>
          <w:sz w:val="24"/>
          <w:szCs w:val="24"/>
        </w:rPr>
        <w:t>of</w:t>
      </w:r>
      <w:proofErr w:type="gramEnd"/>
      <w:r>
        <w:rPr>
          <w:i/>
          <w:spacing w:val="-3"/>
          <w:sz w:val="24"/>
          <w:szCs w:val="24"/>
        </w:rPr>
        <w:t xml:space="preserve"> Public Welfare, White Haven Center</w:t>
      </w:r>
      <w:r>
        <w:rPr>
          <w:spacing w:val="-3"/>
          <w:sz w:val="24"/>
          <w:szCs w:val="24"/>
        </w:rPr>
        <w:t>, 480 A.2d 382 (Pa. Cmwlth.1984).</w:t>
      </w:r>
    </w:p>
    <w:p w:rsidR="000223FE" w:rsidRDefault="000223FE" w:rsidP="000223FE">
      <w:pPr>
        <w:spacing w:line="360" w:lineRule="auto"/>
        <w:ind w:firstLine="1440"/>
        <w:rPr>
          <w:spacing w:val="-3"/>
          <w:sz w:val="24"/>
          <w:szCs w:val="24"/>
        </w:rPr>
      </w:pPr>
    </w:p>
    <w:p w:rsidR="000223FE" w:rsidRDefault="000223FE" w:rsidP="000223FE">
      <w:pPr>
        <w:spacing w:line="360" w:lineRule="auto"/>
        <w:ind w:firstLine="1440"/>
        <w:rPr>
          <w:spacing w:val="-3"/>
          <w:sz w:val="24"/>
          <w:szCs w:val="24"/>
        </w:rPr>
      </w:pPr>
      <w:r>
        <w:rPr>
          <w:sz w:val="24"/>
          <w:szCs w:val="24"/>
        </w:rPr>
        <w:t>4.</w:t>
      </w:r>
      <w:r>
        <w:rPr>
          <w:sz w:val="24"/>
          <w:szCs w:val="24"/>
        </w:rPr>
        <w:tab/>
      </w:r>
      <w:r>
        <w:rPr>
          <w:spacing w:val="-3"/>
          <w:sz w:val="24"/>
          <w:szCs w:val="24"/>
        </w:rPr>
        <w:t xml:space="preserve">  </w:t>
      </w:r>
      <w:r>
        <w:rPr>
          <w:sz w:val="24"/>
          <w:szCs w:val="24"/>
        </w:rPr>
        <w:t xml:space="preserve">Customer assistance program rates shall be timely paid and shall not be the subject of payment agreements negotiated or approved by the commission. </w:t>
      </w:r>
      <w:proofErr w:type="gramStart"/>
      <w:r>
        <w:rPr>
          <w:spacing w:val="-3"/>
          <w:sz w:val="24"/>
          <w:szCs w:val="24"/>
        </w:rPr>
        <w:t>66 Pa. C.S. § 1405(c).</w:t>
      </w:r>
      <w:proofErr w:type="gramEnd"/>
    </w:p>
    <w:p w:rsidR="000223FE" w:rsidRDefault="000223FE" w:rsidP="000223FE">
      <w:pPr>
        <w:spacing w:line="360" w:lineRule="auto"/>
        <w:ind w:firstLine="1440"/>
        <w:rPr>
          <w:spacing w:val="-3"/>
          <w:sz w:val="24"/>
          <w:szCs w:val="24"/>
        </w:rPr>
      </w:pPr>
    </w:p>
    <w:p w:rsidR="000223FE" w:rsidRDefault="000223FE" w:rsidP="000223FE">
      <w:pPr>
        <w:spacing w:line="360" w:lineRule="auto"/>
        <w:ind w:firstLine="1440"/>
        <w:rPr>
          <w:sz w:val="24"/>
          <w:szCs w:val="24"/>
        </w:rPr>
      </w:pPr>
      <w:r>
        <w:rPr>
          <w:spacing w:val="-3"/>
          <w:sz w:val="24"/>
          <w:szCs w:val="24"/>
        </w:rPr>
        <w:t>5.</w:t>
      </w:r>
      <w:r>
        <w:rPr>
          <w:spacing w:val="-3"/>
          <w:sz w:val="24"/>
          <w:szCs w:val="24"/>
        </w:rPr>
        <w:tab/>
      </w:r>
      <w:r>
        <w:rPr>
          <w:sz w:val="24"/>
          <w:szCs w:val="24"/>
        </w:rPr>
        <w:t>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52 Pa. Code § 56.36(b</w:t>
      </w:r>
      <w:proofErr w:type="gramStart"/>
      <w:r>
        <w:rPr>
          <w:sz w:val="24"/>
          <w:szCs w:val="24"/>
        </w:rPr>
        <w:t>)(</w:t>
      </w:r>
      <w:proofErr w:type="gramEnd"/>
      <w:r>
        <w:rPr>
          <w:sz w:val="24"/>
          <w:szCs w:val="24"/>
        </w:rPr>
        <w:t>2).</w:t>
      </w:r>
    </w:p>
    <w:p w:rsidR="000223FE" w:rsidRDefault="000223FE" w:rsidP="000223FE">
      <w:pPr>
        <w:spacing w:line="360" w:lineRule="auto"/>
        <w:rPr>
          <w:sz w:val="24"/>
          <w:szCs w:val="24"/>
        </w:rPr>
      </w:pPr>
    </w:p>
    <w:p w:rsidR="000223FE" w:rsidRDefault="000223FE" w:rsidP="000223FE">
      <w:pPr>
        <w:spacing w:line="360" w:lineRule="auto"/>
        <w:ind w:right="720"/>
        <w:rPr>
          <w:sz w:val="24"/>
          <w:szCs w:val="24"/>
        </w:rPr>
      </w:pPr>
      <w:r>
        <w:rPr>
          <w:sz w:val="24"/>
          <w:szCs w:val="24"/>
        </w:rPr>
        <w:tab/>
      </w:r>
      <w:r>
        <w:rPr>
          <w:sz w:val="24"/>
          <w:szCs w:val="24"/>
        </w:rPr>
        <w:tab/>
        <w:t>6.</w:t>
      </w:r>
      <w:r>
        <w:rPr>
          <w:sz w:val="24"/>
          <w:szCs w:val="24"/>
        </w:rPr>
        <w:tab/>
        <w:t xml:space="preserve">A customer who is about to vacate premises supplied with public utility service or who wishes to have service discontinued shall give at least 7 </w:t>
      </w:r>
      <w:proofErr w:type="spellStart"/>
      <w:r>
        <w:rPr>
          <w:sz w:val="24"/>
          <w:szCs w:val="24"/>
        </w:rPr>
        <w:t>days notice</w:t>
      </w:r>
      <w:proofErr w:type="spellEnd"/>
      <w:r>
        <w:rPr>
          <w:sz w:val="24"/>
          <w:szCs w:val="24"/>
        </w:rPr>
        <w:t xml:space="preserve"> to the public utility and a noncustomer occupant specifying the date on which it desired that service be discontinued.  In the absence of a notice, the customer shall be responsible for services rendered.  52 Pa. Code § 56.16(a)</w:t>
      </w:r>
      <w:proofErr w:type="gramStart"/>
      <w:r>
        <w:rPr>
          <w:sz w:val="24"/>
          <w:szCs w:val="24"/>
        </w:rPr>
        <w:t>,(</w:t>
      </w:r>
      <w:proofErr w:type="gramEnd"/>
      <w:r>
        <w:rPr>
          <w:sz w:val="24"/>
          <w:szCs w:val="24"/>
        </w:rPr>
        <w:t>b).</w:t>
      </w:r>
    </w:p>
    <w:p w:rsidR="000223FE" w:rsidRDefault="000223FE" w:rsidP="000223FE">
      <w:pPr>
        <w:spacing w:line="360" w:lineRule="auto"/>
        <w:ind w:left="720" w:right="720"/>
        <w:rPr>
          <w:sz w:val="24"/>
          <w:szCs w:val="24"/>
        </w:rPr>
      </w:pPr>
    </w:p>
    <w:p w:rsidR="000223FE" w:rsidRDefault="000223FE" w:rsidP="000223FE">
      <w:pPr>
        <w:spacing w:line="360" w:lineRule="auto"/>
        <w:ind w:right="720"/>
        <w:rPr>
          <w:sz w:val="24"/>
          <w:szCs w:val="24"/>
        </w:rPr>
      </w:pPr>
      <w:r>
        <w:rPr>
          <w:sz w:val="24"/>
          <w:szCs w:val="24"/>
        </w:rPr>
        <w:lastRenderedPageBreak/>
        <w:tab/>
      </w:r>
      <w:r>
        <w:rPr>
          <w:sz w:val="24"/>
          <w:szCs w:val="24"/>
        </w:rPr>
        <w:tab/>
        <w:t>7.</w:t>
      </w:r>
      <w:r>
        <w:rPr>
          <w:sz w:val="24"/>
          <w:szCs w:val="24"/>
        </w:rPr>
        <w:tab/>
        <w:t>In the event of discontinuance or termination of service at a residence or dwelling in accordance with this chapter, a public utility may transfer an unpaid balance to a new residential service account of the same customer.  52 Pa. Code §56.16(a)</w:t>
      </w:r>
      <w:proofErr w:type="gramStart"/>
      <w:r>
        <w:rPr>
          <w:sz w:val="24"/>
          <w:szCs w:val="24"/>
        </w:rPr>
        <w:t>,(</w:t>
      </w:r>
      <w:proofErr w:type="gramEnd"/>
      <w:r>
        <w:rPr>
          <w:sz w:val="24"/>
          <w:szCs w:val="24"/>
        </w:rPr>
        <w:t>b).</w:t>
      </w:r>
    </w:p>
    <w:p w:rsidR="000223FE" w:rsidRDefault="000223FE" w:rsidP="000223FE">
      <w:pPr>
        <w:spacing w:line="360" w:lineRule="auto"/>
        <w:rPr>
          <w:spacing w:val="-3"/>
          <w:sz w:val="24"/>
          <w:szCs w:val="24"/>
        </w:rPr>
      </w:pPr>
    </w:p>
    <w:p w:rsidR="000223FE" w:rsidRDefault="000223FE" w:rsidP="000223FE">
      <w:pPr>
        <w:spacing w:line="360" w:lineRule="auto"/>
        <w:jc w:val="center"/>
        <w:rPr>
          <w:b/>
          <w:spacing w:val="-3"/>
          <w:sz w:val="24"/>
          <w:szCs w:val="24"/>
          <w:u w:val="single"/>
        </w:rPr>
      </w:pPr>
      <w:r>
        <w:rPr>
          <w:b/>
          <w:spacing w:val="-3"/>
          <w:sz w:val="24"/>
          <w:szCs w:val="24"/>
          <w:u w:val="single"/>
        </w:rPr>
        <w:t>ORDER</w:t>
      </w:r>
    </w:p>
    <w:p w:rsidR="000223FE" w:rsidRDefault="000223FE" w:rsidP="000223FE">
      <w:pPr>
        <w:spacing w:line="360" w:lineRule="auto"/>
        <w:jc w:val="center"/>
        <w:rPr>
          <w:b/>
          <w:spacing w:val="-3"/>
          <w:sz w:val="24"/>
          <w:szCs w:val="24"/>
          <w:u w:val="single"/>
        </w:rPr>
      </w:pPr>
    </w:p>
    <w:p w:rsidR="000223FE" w:rsidRDefault="000223FE" w:rsidP="000223FE">
      <w:pPr>
        <w:spacing w:line="360" w:lineRule="auto"/>
        <w:jc w:val="center"/>
        <w:rPr>
          <w:b/>
          <w:spacing w:val="-3"/>
          <w:sz w:val="24"/>
          <w:szCs w:val="24"/>
          <w:u w:val="single"/>
        </w:rPr>
      </w:pPr>
    </w:p>
    <w:p w:rsidR="000223FE" w:rsidRDefault="000223FE" w:rsidP="000223FE">
      <w:pPr>
        <w:spacing w:line="360" w:lineRule="auto"/>
        <w:rPr>
          <w:spacing w:val="-3"/>
          <w:sz w:val="24"/>
          <w:szCs w:val="24"/>
        </w:rPr>
      </w:pPr>
      <w:r>
        <w:rPr>
          <w:spacing w:val="-3"/>
          <w:sz w:val="24"/>
          <w:szCs w:val="24"/>
        </w:rPr>
        <w:tab/>
      </w:r>
      <w:r>
        <w:rPr>
          <w:spacing w:val="-3"/>
          <w:sz w:val="24"/>
          <w:szCs w:val="24"/>
        </w:rPr>
        <w:tab/>
        <w:t>THEREFORE,</w:t>
      </w:r>
    </w:p>
    <w:p w:rsidR="000223FE" w:rsidRDefault="000223FE" w:rsidP="000223FE">
      <w:pPr>
        <w:spacing w:line="360" w:lineRule="auto"/>
        <w:rPr>
          <w:spacing w:val="-3"/>
          <w:sz w:val="24"/>
          <w:szCs w:val="24"/>
        </w:rPr>
      </w:pPr>
    </w:p>
    <w:p w:rsidR="000223FE" w:rsidRDefault="000223FE" w:rsidP="000223FE">
      <w:pPr>
        <w:spacing w:line="360" w:lineRule="auto"/>
        <w:rPr>
          <w:spacing w:val="-3"/>
          <w:sz w:val="24"/>
          <w:szCs w:val="24"/>
        </w:rPr>
      </w:pPr>
      <w:r>
        <w:rPr>
          <w:spacing w:val="-3"/>
          <w:sz w:val="24"/>
          <w:szCs w:val="24"/>
        </w:rPr>
        <w:tab/>
      </w:r>
      <w:r>
        <w:rPr>
          <w:spacing w:val="-3"/>
          <w:sz w:val="24"/>
          <w:szCs w:val="24"/>
        </w:rPr>
        <w:tab/>
        <w:t>IT IS ORDERED:</w:t>
      </w:r>
    </w:p>
    <w:p w:rsidR="000223FE" w:rsidRDefault="000223FE" w:rsidP="000223FE">
      <w:pPr>
        <w:spacing w:line="360" w:lineRule="auto"/>
        <w:rPr>
          <w:spacing w:val="-3"/>
          <w:sz w:val="24"/>
          <w:szCs w:val="24"/>
        </w:rPr>
      </w:pPr>
    </w:p>
    <w:p w:rsidR="000223FE" w:rsidRDefault="000223FE" w:rsidP="000223FE">
      <w:pPr>
        <w:spacing w:line="360" w:lineRule="auto"/>
        <w:rPr>
          <w:spacing w:val="-3"/>
          <w:sz w:val="24"/>
          <w:szCs w:val="24"/>
        </w:rPr>
      </w:pPr>
      <w:r>
        <w:rPr>
          <w:spacing w:val="-3"/>
          <w:sz w:val="24"/>
          <w:szCs w:val="24"/>
        </w:rPr>
        <w:tab/>
      </w:r>
      <w:r>
        <w:rPr>
          <w:spacing w:val="-3"/>
          <w:sz w:val="24"/>
          <w:szCs w:val="24"/>
        </w:rPr>
        <w:tab/>
        <w:t>1.</w:t>
      </w:r>
      <w:r>
        <w:rPr>
          <w:spacing w:val="-3"/>
          <w:sz w:val="24"/>
          <w:szCs w:val="24"/>
        </w:rPr>
        <w:tab/>
        <w:t>That the Complaint filed by Lisa A. Martin against PECO Energy Company at Docket No. F-2013-2360697 is denied and dismissed.</w:t>
      </w:r>
    </w:p>
    <w:p w:rsidR="000223FE" w:rsidRDefault="000223FE" w:rsidP="000223FE">
      <w:pPr>
        <w:spacing w:line="360" w:lineRule="auto"/>
        <w:rPr>
          <w:spacing w:val="-3"/>
          <w:sz w:val="24"/>
          <w:szCs w:val="24"/>
        </w:rPr>
      </w:pPr>
    </w:p>
    <w:p w:rsidR="000223FE" w:rsidRDefault="000223FE" w:rsidP="000223FE">
      <w:pPr>
        <w:spacing w:line="360" w:lineRule="auto"/>
        <w:rPr>
          <w:spacing w:val="-3"/>
          <w:sz w:val="24"/>
          <w:szCs w:val="24"/>
        </w:rPr>
      </w:pPr>
      <w:r>
        <w:rPr>
          <w:spacing w:val="-3"/>
          <w:sz w:val="24"/>
          <w:szCs w:val="24"/>
        </w:rPr>
        <w:tab/>
      </w:r>
      <w:r>
        <w:rPr>
          <w:spacing w:val="-3"/>
          <w:sz w:val="24"/>
          <w:szCs w:val="24"/>
        </w:rPr>
        <w:tab/>
        <w:t>2.</w:t>
      </w:r>
      <w:r>
        <w:rPr>
          <w:spacing w:val="-3"/>
          <w:sz w:val="24"/>
          <w:szCs w:val="24"/>
        </w:rPr>
        <w:tab/>
        <w:t xml:space="preserve">That the Secretary </w:t>
      </w:r>
      <w:proofErr w:type="gramStart"/>
      <w:r>
        <w:rPr>
          <w:spacing w:val="-3"/>
          <w:sz w:val="24"/>
          <w:szCs w:val="24"/>
        </w:rPr>
        <w:t>mark</w:t>
      </w:r>
      <w:proofErr w:type="gramEnd"/>
      <w:r>
        <w:rPr>
          <w:spacing w:val="-3"/>
          <w:sz w:val="24"/>
          <w:szCs w:val="24"/>
        </w:rPr>
        <w:t xml:space="preserve"> this docket closed.</w:t>
      </w:r>
    </w:p>
    <w:p w:rsidR="000223FE" w:rsidRDefault="000223FE" w:rsidP="000223FE">
      <w:pPr>
        <w:spacing w:line="360" w:lineRule="auto"/>
        <w:rPr>
          <w:spacing w:val="-3"/>
          <w:sz w:val="24"/>
          <w:szCs w:val="24"/>
        </w:rPr>
      </w:pPr>
    </w:p>
    <w:p w:rsidR="000223FE" w:rsidRDefault="000223FE" w:rsidP="000223FE">
      <w:pPr>
        <w:spacing w:line="360" w:lineRule="auto"/>
        <w:rPr>
          <w:spacing w:val="-3"/>
          <w:sz w:val="24"/>
          <w:szCs w:val="24"/>
        </w:rPr>
      </w:pPr>
    </w:p>
    <w:p w:rsidR="000223FE" w:rsidRDefault="000223FE" w:rsidP="000223FE">
      <w:pPr>
        <w:rPr>
          <w:spacing w:val="-3"/>
          <w:sz w:val="24"/>
          <w:szCs w:val="24"/>
        </w:rPr>
      </w:pPr>
      <w:r>
        <w:rPr>
          <w:spacing w:val="-3"/>
          <w:sz w:val="24"/>
          <w:szCs w:val="24"/>
        </w:rPr>
        <w:t>Dated:</w:t>
      </w:r>
      <w:r>
        <w:rPr>
          <w:spacing w:val="-3"/>
          <w:sz w:val="24"/>
          <w:szCs w:val="24"/>
        </w:rPr>
        <w:tab/>
      </w:r>
      <w:r>
        <w:rPr>
          <w:spacing w:val="-3"/>
          <w:sz w:val="24"/>
          <w:szCs w:val="24"/>
          <w:u w:val="single"/>
        </w:rPr>
        <w:t>September 18, 2013</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u w:val="single"/>
        </w:rPr>
        <w:t>___/s/____________________________</w:t>
      </w:r>
    </w:p>
    <w:p w:rsidR="000223FE" w:rsidRDefault="000223FE" w:rsidP="000223FE">
      <w:pPr>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Elizabeth H. Barnes</w:t>
      </w:r>
    </w:p>
    <w:p w:rsidR="000223FE" w:rsidRDefault="000223FE" w:rsidP="000223FE">
      <w:pPr>
        <w:rPr>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Administrative Law Judge</w:t>
      </w:r>
    </w:p>
    <w:p w:rsidR="00E56B55" w:rsidRPr="000223FE" w:rsidRDefault="00E56B55" w:rsidP="000223FE">
      <w:bookmarkStart w:id="0" w:name="_GoBack"/>
      <w:bookmarkEnd w:id="0"/>
    </w:p>
    <w:sectPr w:rsidR="00E56B55" w:rsidRPr="000223FE" w:rsidSect="00DC72D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551" w:rsidRDefault="00797551" w:rsidP="00DB47C3">
      <w:r>
        <w:separator/>
      </w:r>
    </w:p>
  </w:endnote>
  <w:endnote w:type="continuationSeparator" w:id="0">
    <w:p w:rsidR="00797551" w:rsidRDefault="00797551" w:rsidP="00D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58626"/>
      <w:docPartObj>
        <w:docPartGallery w:val="Page Numbers (Bottom of Page)"/>
        <w:docPartUnique/>
      </w:docPartObj>
    </w:sdtPr>
    <w:sdtEndPr>
      <w:rPr>
        <w:noProof/>
        <w:sz w:val="20"/>
        <w:szCs w:val="20"/>
      </w:rPr>
    </w:sdtEndPr>
    <w:sdtContent>
      <w:p w:rsidR="00DC72DD" w:rsidRPr="00130925" w:rsidRDefault="00DC72DD" w:rsidP="00130925">
        <w:pPr>
          <w:pStyle w:val="Footer"/>
          <w:jc w:val="center"/>
          <w:rPr>
            <w:sz w:val="20"/>
            <w:szCs w:val="20"/>
          </w:rPr>
        </w:pPr>
        <w:r w:rsidRPr="00130925">
          <w:rPr>
            <w:sz w:val="20"/>
            <w:szCs w:val="20"/>
          </w:rPr>
          <w:fldChar w:fldCharType="begin"/>
        </w:r>
        <w:r w:rsidRPr="00130925">
          <w:rPr>
            <w:sz w:val="20"/>
            <w:szCs w:val="20"/>
          </w:rPr>
          <w:instrText xml:space="preserve"> PAGE   \* MERGEFORMAT </w:instrText>
        </w:r>
        <w:r w:rsidRPr="00130925">
          <w:rPr>
            <w:sz w:val="20"/>
            <w:szCs w:val="20"/>
          </w:rPr>
          <w:fldChar w:fldCharType="separate"/>
        </w:r>
        <w:r w:rsidR="000223FE">
          <w:rPr>
            <w:noProof/>
            <w:sz w:val="20"/>
            <w:szCs w:val="20"/>
          </w:rPr>
          <w:t>2</w:t>
        </w:r>
        <w:r w:rsidRPr="0013092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551" w:rsidRDefault="00797551" w:rsidP="00DB47C3">
      <w:r>
        <w:separator/>
      </w:r>
    </w:p>
  </w:footnote>
  <w:footnote w:type="continuationSeparator" w:id="0">
    <w:p w:rsidR="00797551" w:rsidRDefault="00797551" w:rsidP="00DB4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6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3FE"/>
    <w:rsid w:val="00022B3F"/>
    <w:rsid w:val="00025D7A"/>
    <w:rsid w:val="000273B1"/>
    <w:rsid w:val="000304BF"/>
    <w:rsid w:val="00032379"/>
    <w:rsid w:val="0003306B"/>
    <w:rsid w:val="00033303"/>
    <w:rsid w:val="000338CD"/>
    <w:rsid w:val="000349F3"/>
    <w:rsid w:val="00035BB8"/>
    <w:rsid w:val="000372C5"/>
    <w:rsid w:val="00037484"/>
    <w:rsid w:val="000377F5"/>
    <w:rsid w:val="00037E0F"/>
    <w:rsid w:val="00040EB6"/>
    <w:rsid w:val="00044B8B"/>
    <w:rsid w:val="00044FC0"/>
    <w:rsid w:val="0004643F"/>
    <w:rsid w:val="000466BF"/>
    <w:rsid w:val="00046714"/>
    <w:rsid w:val="00046940"/>
    <w:rsid w:val="000478E2"/>
    <w:rsid w:val="000500E3"/>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469"/>
    <w:rsid w:val="000A770B"/>
    <w:rsid w:val="000B1BFC"/>
    <w:rsid w:val="000B2575"/>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3828"/>
    <w:rsid w:val="000F3E6C"/>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925"/>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4BB"/>
    <w:rsid w:val="00154F0C"/>
    <w:rsid w:val="0015569F"/>
    <w:rsid w:val="00155E87"/>
    <w:rsid w:val="0015737B"/>
    <w:rsid w:val="00157490"/>
    <w:rsid w:val="00157E46"/>
    <w:rsid w:val="001627EF"/>
    <w:rsid w:val="00162A12"/>
    <w:rsid w:val="00162D2F"/>
    <w:rsid w:val="001630AA"/>
    <w:rsid w:val="0016332A"/>
    <w:rsid w:val="0016435F"/>
    <w:rsid w:val="0016521D"/>
    <w:rsid w:val="001658B2"/>
    <w:rsid w:val="00170FE6"/>
    <w:rsid w:val="00171416"/>
    <w:rsid w:val="00172857"/>
    <w:rsid w:val="00172B0B"/>
    <w:rsid w:val="00172E8C"/>
    <w:rsid w:val="00173570"/>
    <w:rsid w:val="00173C70"/>
    <w:rsid w:val="00174D83"/>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50E"/>
    <w:rsid w:val="001B06B8"/>
    <w:rsid w:val="001B1B1D"/>
    <w:rsid w:val="001B3572"/>
    <w:rsid w:val="001B3D6F"/>
    <w:rsid w:val="001B477B"/>
    <w:rsid w:val="001B4B2B"/>
    <w:rsid w:val="001B4EC8"/>
    <w:rsid w:val="001B6470"/>
    <w:rsid w:val="001B760E"/>
    <w:rsid w:val="001C0410"/>
    <w:rsid w:val="001C054D"/>
    <w:rsid w:val="001C2234"/>
    <w:rsid w:val="001C537D"/>
    <w:rsid w:val="001C638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169"/>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0EA"/>
    <w:rsid w:val="00236C44"/>
    <w:rsid w:val="00240343"/>
    <w:rsid w:val="002403E6"/>
    <w:rsid w:val="00240B0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651"/>
    <w:rsid w:val="00263AD5"/>
    <w:rsid w:val="00264BC8"/>
    <w:rsid w:val="00266ADE"/>
    <w:rsid w:val="0026705F"/>
    <w:rsid w:val="002704DD"/>
    <w:rsid w:val="00270AF3"/>
    <w:rsid w:val="0027207B"/>
    <w:rsid w:val="0027210A"/>
    <w:rsid w:val="00272173"/>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77B"/>
    <w:rsid w:val="002A4E7E"/>
    <w:rsid w:val="002A5F4D"/>
    <w:rsid w:val="002A70E9"/>
    <w:rsid w:val="002A7A0A"/>
    <w:rsid w:val="002B0D61"/>
    <w:rsid w:val="002B1F4E"/>
    <w:rsid w:val="002B2AF4"/>
    <w:rsid w:val="002B3E20"/>
    <w:rsid w:val="002B541A"/>
    <w:rsid w:val="002B754D"/>
    <w:rsid w:val="002C0694"/>
    <w:rsid w:val="002C1023"/>
    <w:rsid w:val="002C4F02"/>
    <w:rsid w:val="002C69AD"/>
    <w:rsid w:val="002D0E4D"/>
    <w:rsid w:val="002D11F2"/>
    <w:rsid w:val="002D1E71"/>
    <w:rsid w:val="002D29B0"/>
    <w:rsid w:val="002D4B67"/>
    <w:rsid w:val="002D6B36"/>
    <w:rsid w:val="002D7136"/>
    <w:rsid w:val="002D7978"/>
    <w:rsid w:val="002D79D7"/>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2F"/>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37BA"/>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5F0"/>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91F"/>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502"/>
    <w:rsid w:val="0041082C"/>
    <w:rsid w:val="00411425"/>
    <w:rsid w:val="00411DBB"/>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1B57"/>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1FB1"/>
    <w:rsid w:val="0046238B"/>
    <w:rsid w:val="004625E8"/>
    <w:rsid w:val="00464B18"/>
    <w:rsid w:val="00465D71"/>
    <w:rsid w:val="00466D15"/>
    <w:rsid w:val="0047070D"/>
    <w:rsid w:val="00475E7C"/>
    <w:rsid w:val="00477A71"/>
    <w:rsid w:val="00481269"/>
    <w:rsid w:val="004839FC"/>
    <w:rsid w:val="00483C70"/>
    <w:rsid w:val="00484589"/>
    <w:rsid w:val="00484BCE"/>
    <w:rsid w:val="00487E8F"/>
    <w:rsid w:val="00491F39"/>
    <w:rsid w:val="004938B5"/>
    <w:rsid w:val="00493AC3"/>
    <w:rsid w:val="0049422F"/>
    <w:rsid w:val="00494252"/>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5D6C"/>
    <w:rsid w:val="005078B3"/>
    <w:rsid w:val="00510A28"/>
    <w:rsid w:val="00511C54"/>
    <w:rsid w:val="0051292E"/>
    <w:rsid w:val="00516207"/>
    <w:rsid w:val="00517AF4"/>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5D31"/>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0C2"/>
    <w:rsid w:val="005A2923"/>
    <w:rsid w:val="005A3759"/>
    <w:rsid w:val="005A44D9"/>
    <w:rsid w:val="005A5765"/>
    <w:rsid w:val="005A5826"/>
    <w:rsid w:val="005A6ADE"/>
    <w:rsid w:val="005B3D45"/>
    <w:rsid w:val="005B78C4"/>
    <w:rsid w:val="005C373B"/>
    <w:rsid w:val="005C3DD2"/>
    <w:rsid w:val="005C4AAA"/>
    <w:rsid w:val="005C610A"/>
    <w:rsid w:val="005C68A3"/>
    <w:rsid w:val="005D1442"/>
    <w:rsid w:val="005D1922"/>
    <w:rsid w:val="005D2788"/>
    <w:rsid w:val="005D4281"/>
    <w:rsid w:val="005D6E32"/>
    <w:rsid w:val="005E06D4"/>
    <w:rsid w:val="005E1521"/>
    <w:rsid w:val="005E3768"/>
    <w:rsid w:val="005E448D"/>
    <w:rsid w:val="005F064D"/>
    <w:rsid w:val="005F512E"/>
    <w:rsid w:val="005F5A21"/>
    <w:rsid w:val="005F6962"/>
    <w:rsid w:val="005F6A04"/>
    <w:rsid w:val="00600458"/>
    <w:rsid w:val="0060118D"/>
    <w:rsid w:val="0060369E"/>
    <w:rsid w:val="006036C3"/>
    <w:rsid w:val="00603824"/>
    <w:rsid w:val="00603C97"/>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56EF"/>
    <w:rsid w:val="006273ED"/>
    <w:rsid w:val="00630C84"/>
    <w:rsid w:val="0063256A"/>
    <w:rsid w:val="006326D0"/>
    <w:rsid w:val="0063340B"/>
    <w:rsid w:val="00634EB5"/>
    <w:rsid w:val="0063516D"/>
    <w:rsid w:val="00635AE1"/>
    <w:rsid w:val="00635DA6"/>
    <w:rsid w:val="006416B8"/>
    <w:rsid w:val="0064349A"/>
    <w:rsid w:val="00643E46"/>
    <w:rsid w:val="006466B3"/>
    <w:rsid w:val="0064692D"/>
    <w:rsid w:val="00646FCC"/>
    <w:rsid w:val="0064750C"/>
    <w:rsid w:val="00651935"/>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4E1"/>
    <w:rsid w:val="00680B65"/>
    <w:rsid w:val="00681287"/>
    <w:rsid w:val="006815A6"/>
    <w:rsid w:val="00681FD9"/>
    <w:rsid w:val="0068285E"/>
    <w:rsid w:val="006841B1"/>
    <w:rsid w:val="00684EF6"/>
    <w:rsid w:val="006856E2"/>
    <w:rsid w:val="00690E46"/>
    <w:rsid w:val="00693743"/>
    <w:rsid w:val="00693995"/>
    <w:rsid w:val="00693C61"/>
    <w:rsid w:val="0069474C"/>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31E"/>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16E"/>
    <w:rsid w:val="007517A4"/>
    <w:rsid w:val="0075585E"/>
    <w:rsid w:val="00755A77"/>
    <w:rsid w:val="007631D1"/>
    <w:rsid w:val="007635AC"/>
    <w:rsid w:val="00771716"/>
    <w:rsid w:val="00772458"/>
    <w:rsid w:val="00775812"/>
    <w:rsid w:val="0078061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4B1"/>
    <w:rsid w:val="0079360E"/>
    <w:rsid w:val="00795245"/>
    <w:rsid w:val="007969E6"/>
    <w:rsid w:val="00796DA1"/>
    <w:rsid w:val="00797551"/>
    <w:rsid w:val="007A0A83"/>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356"/>
    <w:rsid w:val="007E5866"/>
    <w:rsid w:val="007E65C8"/>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16C20"/>
    <w:rsid w:val="00820421"/>
    <w:rsid w:val="008213E7"/>
    <w:rsid w:val="00821687"/>
    <w:rsid w:val="00821FA4"/>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337A"/>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3F46"/>
    <w:rsid w:val="00884366"/>
    <w:rsid w:val="00884650"/>
    <w:rsid w:val="008851B9"/>
    <w:rsid w:val="00885F50"/>
    <w:rsid w:val="00887314"/>
    <w:rsid w:val="00890265"/>
    <w:rsid w:val="00890EB4"/>
    <w:rsid w:val="00891D35"/>
    <w:rsid w:val="00893901"/>
    <w:rsid w:val="0089667B"/>
    <w:rsid w:val="00896E2A"/>
    <w:rsid w:val="0089728F"/>
    <w:rsid w:val="008A0874"/>
    <w:rsid w:val="008A0FF6"/>
    <w:rsid w:val="008A28F5"/>
    <w:rsid w:val="008A51AD"/>
    <w:rsid w:val="008A6302"/>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600"/>
    <w:rsid w:val="008C668F"/>
    <w:rsid w:val="008D2DBA"/>
    <w:rsid w:val="008D530C"/>
    <w:rsid w:val="008D56D1"/>
    <w:rsid w:val="008D638B"/>
    <w:rsid w:val="008D7ECE"/>
    <w:rsid w:val="008E01A0"/>
    <w:rsid w:val="008E1BF6"/>
    <w:rsid w:val="008E42B4"/>
    <w:rsid w:val="008E44FF"/>
    <w:rsid w:val="008E4608"/>
    <w:rsid w:val="008E5A58"/>
    <w:rsid w:val="008E5F96"/>
    <w:rsid w:val="008E6FB7"/>
    <w:rsid w:val="008E7557"/>
    <w:rsid w:val="008E7FE5"/>
    <w:rsid w:val="008F17D8"/>
    <w:rsid w:val="008F1874"/>
    <w:rsid w:val="008F25DF"/>
    <w:rsid w:val="008F29E0"/>
    <w:rsid w:val="008F3737"/>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2B42"/>
    <w:rsid w:val="00934728"/>
    <w:rsid w:val="009347A5"/>
    <w:rsid w:val="00935580"/>
    <w:rsid w:val="009366E0"/>
    <w:rsid w:val="00936EB3"/>
    <w:rsid w:val="0093742F"/>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4BC5"/>
    <w:rsid w:val="00997443"/>
    <w:rsid w:val="009A0CA4"/>
    <w:rsid w:val="009A18E8"/>
    <w:rsid w:val="009A1A8A"/>
    <w:rsid w:val="009A1BA1"/>
    <w:rsid w:val="009A2A81"/>
    <w:rsid w:val="009A2AFB"/>
    <w:rsid w:val="009A2DE2"/>
    <w:rsid w:val="009A317B"/>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53C"/>
    <w:rsid w:val="009E362F"/>
    <w:rsid w:val="009E40DF"/>
    <w:rsid w:val="009E462A"/>
    <w:rsid w:val="009E59CA"/>
    <w:rsid w:val="009F1AEE"/>
    <w:rsid w:val="009F1DB1"/>
    <w:rsid w:val="009F1EA5"/>
    <w:rsid w:val="009F5E68"/>
    <w:rsid w:val="009F69E5"/>
    <w:rsid w:val="009F7476"/>
    <w:rsid w:val="009F768D"/>
    <w:rsid w:val="009F7B54"/>
    <w:rsid w:val="00A00F26"/>
    <w:rsid w:val="00A018F7"/>
    <w:rsid w:val="00A02ABC"/>
    <w:rsid w:val="00A039B4"/>
    <w:rsid w:val="00A0555A"/>
    <w:rsid w:val="00A063F2"/>
    <w:rsid w:val="00A0799C"/>
    <w:rsid w:val="00A07D8F"/>
    <w:rsid w:val="00A106E3"/>
    <w:rsid w:val="00A12531"/>
    <w:rsid w:val="00A13C95"/>
    <w:rsid w:val="00A15615"/>
    <w:rsid w:val="00A1707A"/>
    <w:rsid w:val="00A215E2"/>
    <w:rsid w:val="00A2164F"/>
    <w:rsid w:val="00A23803"/>
    <w:rsid w:val="00A249F6"/>
    <w:rsid w:val="00A2509D"/>
    <w:rsid w:val="00A250AD"/>
    <w:rsid w:val="00A26704"/>
    <w:rsid w:val="00A27248"/>
    <w:rsid w:val="00A27289"/>
    <w:rsid w:val="00A31EF8"/>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6BB6"/>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B54"/>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196"/>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6360"/>
    <w:rsid w:val="00AD7989"/>
    <w:rsid w:val="00AE0BFC"/>
    <w:rsid w:val="00AE1A08"/>
    <w:rsid w:val="00AE1BBA"/>
    <w:rsid w:val="00AE4BA3"/>
    <w:rsid w:val="00AE7E8A"/>
    <w:rsid w:val="00AF0450"/>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1830"/>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97DF7"/>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4103"/>
    <w:rsid w:val="00BC60A6"/>
    <w:rsid w:val="00BC62E0"/>
    <w:rsid w:val="00BC6FBF"/>
    <w:rsid w:val="00BD00D9"/>
    <w:rsid w:val="00BD1886"/>
    <w:rsid w:val="00BD23E3"/>
    <w:rsid w:val="00BD40BC"/>
    <w:rsid w:val="00BD42C9"/>
    <w:rsid w:val="00BD44F4"/>
    <w:rsid w:val="00BD5E8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A52"/>
    <w:rsid w:val="00BF635B"/>
    <w:rsid w:val="00BF7D51"/>
    <w:rsid w:val="00C00699"/>
    <w:rsid w:val="00C01975"/>
    <w:rsid w:val="00C02723"/>
    <w:rsid w:val="00C02A91"/>
    <w:rsid w:val="00C037F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1A8"/>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88C"/>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9C7"/>
    <w:rsid w:val="00CE665D"/>
    <w:rsid w:val="00CE6758"/>
    <w:rsid w:val="00CE7731"/>
    <w:rsid w:val="00CF096F"/>
    <w:rsid w:val="00CF1226"/>
    <w:rsid w:val="00CF329F"/>
    <w:rsid w:val="00CF6106"/>
    <w:rsid w:val="00CF6A79"/>
    <w:rsid w:val="00CF73D7"/>
    <w:rsid w:val="00D00AAE"/>
    <w:rsid w:val="00D02D5A"/>
    <w:rsid w:val="00D032EF"/>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17BF"/>
    <w:rsid w:val="00D438DC"/>
    <w:rsid w:val="00D43EF1"/>
    <w:rsid w:val="00D43F6F"/>
    <w:rsid w:val="00D44015"/>
    <w:rsid w:val="00D46755"/>
    <w:rsid w:val="00D46CFF"/>
    <w:rsid w:val="00D46FBF"/>
    <w:rsid w:val="00D47A7B"/>
    <w:rsid w:val="00D47BB6"/>
    <w:rsid w:val="00D54C37"/>
    <w:rsid w:val="00D5779A"/>
    <w:rsid w:val="00D612B5"/>
    <w:rsid w:val="00D62214"/>
    <w:rsid w:val="00D62ADB"/>
    <w:rsid w:val="00D632D1"/>
    <w:rsid w:val="00D6349D"/>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7C3"/>
    <w:rsid w:val="00DB4F49"/>
    <w:rsid w:val="00DB6D5A"/>
    <w:rsid w:val="00DC1ACA"/>
    <w:rsid w:val="00DC4772"/>
    <w:rsid w:val="00DC48CF"/>
    <w:rsid w:val="00DC5BB0"/>
    <w:rsid w:val="00DC6711"/>
    <w:rsid w:val="00DC6826"/>
    <w:rsid w:val="00DC72DD"/>
    <w:rsid w:val="00DD20E3"/>
    <w:rsid w:val="00DD2605"/>
    <w:rsid w:val="00DD2AAA"/>
    <w:rsid w:val="00DD50B5"/>
    <w:rsid w:val="00DD5275"/>
    <w:rsid w:val="00DD5F86"/>
    <w:rsid w:val="00DD6047"/>
    <w:rsid w:val="00DD60D6"/>
    <w:rsid w:val="00DD7205"/>
    <w:rsid w:val="00DD771A"/>
    <w:rsid w:val="00DD7F78"/>
    <w:rsid w:val="00DE262A"/>
    <w:rsid w:val="00DE2759"/>
    <w:rsid w:val="00DE2977"/>
    <w:rsid w:val="00DE4037"/>
    <w:rsid w:val="00DE43F4"/>
    <w:rsid w:val="00DE466B"/>
    <w:rsid w:val="00DE4A72"/>
    <w:rsid w:val="00DE5D8B"/>
    <w:rsid w:val="00DE7607"/>
    <w:rsid w:val="00DE761A"/>
    <w:rsid w:val="00DF0A39"/>
    <w:rsid w:val="00DF149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39D"/>
    <w:rsid w:val="00E12954"/>
    <w:rsid w:val="00E12A2F"/>
    <w:rsid w:val="00E12D9F"/>
    <w:rsid w:val="00E12FAE"/>
    <w:rsid w:val="00E13468"/>
    <w:rsid w:val="00E1638A"/>
    <w:rsid w:val="00E23382"/>
    <w:rsid w:val="00E24543"/>
    <w:rsid w:val="00E2457B"/>
    <w:rsid w:val="00E247DE"/>
    <w:rsid w:val="00E257AB"/>
    <w:rsid w:val="00E3212A"/>
    <w:rsid w:val="00E32221"/>
    <w:rsid w:val="00E322C2"/>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033"/>
    <w:rsid w:val="00E536DE"/>
    <w:rsid w:val="00E538E6"/>
    <w:rsid w:val="00E5535A"/>
    <w:rsid w:val="00E553E9"/>
    <w:rsid w:val="00E563DF"/>
    <w:rsid w:val="00E569B2"/>
    <w:rsid w:val="00E56B55"/>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56FD"/>
    <w:rsid w:val="00E865F0"/>
    <w:rsid w:val="00E868E7"/>
    <w:rsid w:val="00E9310C"/>
    <w:rsid w:val="00E93979"/>
    <w:rsid w:val="00E93CD3"/>
    <w:rsid w:val="00E93F61"/>
    <w:rsid w:val="00E9501F"/>
    <w:rsid w:val="00E962BC"/>
    <w:rsid w:val="00E9676A"/>
    <w:rsid w:val="00EA379C"/>
    <w:rsid w:val="00EA4CB5"/>
    <w:rsid w:val="00EA67B2"/>
    <w:rsid w:val="00EA6B94"/>
    <w:rsid w:val="00EB0757"/>
    <w:rsid w:val="00EB3C74"/>
    <w:rsid w:val="00EB5926"/>
    <w:rsid w:val="00EB5D98"/>
    <w:rsid w:val="00EB6084"/>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0B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378E4"/>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6139"/>
    <w:rsid w:val="00F70887"/>
    <w:rsid w:val="00F70A7D"/>
    <w:rsid w:val="00F71F45"/>
    <w:rsid w:val="00F748DD"/>
    <w:rsid w:val="00F76633"/>
    <w:rsid w:val="00F77EEC"/>
    <w:rsid w:val="00F81082"/>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2563"/>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6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7C3"/>
    <w:rPr>
      <w:sz w:val="20"/>
      <w:szCs w:val="20"/>
    </w:rPr>
  </w:style>
  <w:style w:type="character" w:customStyle="1" w:styleId="FootnoteTextChar">
    <w:name w:val="Footnote Text Char"/>
    <w:basedOn w:val="DefaultParagraphFont"/>
    <w:link w:val="FootnoteText"/>
    <w:uiPriority w:val="99"/>
    <w:semiHidden/>
    <w:rsid w:val="00DB47C3"/>
    <w:rPr>
      <w:rFonts w:eastAsia="Times New Roman"/>
      <w:sz w:val="20"/>
      <w:szCs w:val="20"/>
    </w:rPr>
  </w:style>
  <w:style w:type="character" w:styleId="FootnoteReference">
    <w:name w:val="footnote reference"/>
    <w:basedOn w:val="DefaultParagraphFont"/>
    <w:uiPriority w:val="99"/>
    <w:semiHidden/>
    <w:unhideWhenUsed/>
    <w:rsid w:val="00DB47C3"/>
    <w:rPr>
      <w:vertAlign w:val="superscript"/>
    </w:rPr>
  </w:style>
  <w:style w:type="paragraph" w:styleId="Header">
    <w:name w:val="header"/>
    <w:basedOn w:val="Normal"/>
    <w:link w:val="HeaderChar"/>
    <w:uiPriority w:val="99"/>
    <w:unhideWhenUsed/>
    <w:rsid w:val="00DC72DD"/>
    <w:pPr>
      <w:tabs>
        <w:tab w:val="center" w:pos="4680"/>
        <w:tab w:val="right" w:pos="9360"/>
      </w:tabs>
    </w:pPr>
  </w:style>
  <w:style w:type="character" w:customStyle="1" w:styleId="HeaderChar">
    <w:name w:val="Header Char"/>
    <w:basedOn w:val="DefaultParagraphFont"/>
    <w:link w:val="Header"/>
    <w:uiPriority w:val="99"/>
    <w:rsid w:val="00DC72DD"/>
    <w:rPr>
      <w:rFonts w:eastAsia="Times New Roman"/>
      <w:sz w:val="26"/>
      <w:szCs w:val="26"/>
    </w:rPr>
  </w:style>
  <w:style w:type="paragraph" w:styleId="Footer">
    <w:name w:val="footer"/>
    <w:basedOn w:val="Normal"/>
    <w:link w:val="FooterChar"/>
    <w:uiPriority w:val="99"/>
    <w:unhideWhenUsed/>
    <w:rsid w:val="00DC72DD"/>
    <w:pPr>
      <w:tabs>
        <w:tab w:val="center" w:pos="4680"/>
        <w:tab w:val="right" w:pos="9360"/>
      </w:tabs>
    </w:pPr>
  </w:style>
  <w:style w:type="character" w:customStyle="1" w:styleId="FooterChar">
    <w:name w:val="Footer Char"/>
    <w:basedOn w:val="DefaultParagraphFont"/>
    <w:link w:val="Footer"/>
    <w:uiPriority w:val="99"/>
    <w:rsid w:val="00DC72DD"/>
    <w:rPr>
      <w:rFonts w:eastAsia="Times New Roman"/>
      <w:sz w:val="26"/>
      <w:szCs w:val="26"/>
    </w:rPr>
  </w:style>
  <w:style w:type="paragraph" w:styleId="BalloonText">
    <w:name w:val="Balloon Text"/>
    <w:basedOn w:val="Normal"/>
    <w:link w:val="BalloonTextChar"/>
    <w:uiPriority w:val="99"/>
    <w:semiHidden/>
    <w:unhideWhenUsed/>
    <w:rsid w:val="00535D31"/>
    <w:rPr>
      <w:rFonts w:ascii="Tahoma" w:hAnsi="Tahoma" w:cs="Tahoma"/>
      <w:sz w:val="16"/>
      <w:szCs w:val="16"/>
    </w:rPr>
  </w:style>
  <w:style w:type="character" w:customStyle="1" w:styleId="BalloonTextChar">
    <w:name w:val="Balloon Text Char"/>
    <w:basedOn w:val="DefaultParagraphFont"/>
    <w:link w:val="BalloonText"/>
    <w:uiPriority w:val="99"/>
    <w:semiHidden/>
    <w:rsid w:val="00535D31"/>
    <w:rPr>
      <w:rFonts w:ascii="Tahoma" w:eastAsia="Times New Roman" w:hAnsi="Tahoma" w:cs="Tahoma"/>
      <w:sz w:val="16"/>
      <w:szCs w:val="16"/>
    </w:rPr>
  </w:style>
  <w:style w:type="paragraph" w:styleId="Revision">
    <w:name w:val="Revision"/>
    <w:hidden/>
    <w:uiPriority w:val="99"/>
    <w:semiHidden/>
    <w:rsid w:val="008E4608"/>
    <w:pPr>
      <w:spacing w:line="240" w:lineRule="auto"/>
      <w:jc w:val="left"/>
    </w:pPr>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6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7C3"/>
    <w:rPr>
      <w:sz w:val="20"/>
      <w:szCs w:val="20"/>
    </w:rPr>
  </w:style>
  <w:style w:type="character" w:customStyle="1" w:styleId="FootnoteTextChar">
    <w:name w:val="Footnote Text Char"/>
    <w:basedOn w:val="DefaultParagraphFont"/>
    <w:link w:val="FootnoteText"/>
    <w:uiPriority w:val="99"/>
    <w:semiHidden/>
    <w:rsid w:val="00DB47C3"/>
    <w:rPr>
      <w:rFonts w:eastAsia="Times New Roman"/>
      <w:sz w:val="20"/>
      <w:szCs w:val="20"/>
    </w:rPr>
  </w:style>
  <w:style w:type="character" w:styleId="FootnoteReference">
    <w:name w:val="footnote reference"/>
    <w:basedOn w:val="DefaultParagraphFont"/>
    <w:uiPriority w:val="99"/>
    <w:semiHidden/>
    <w:unhideWhenUsed/>
    <w:rsid w:val="00DB47C3"/>
    <w:rPr>
      <w:vertAlign w:val="superscript"/>
    </w:rPr>
  </w:style>
  <w:style w:type="paragraph" w:styleId="Header">
    <w:name w:val="header"/>
    <w:basedOn w:val="Normal"/>
    <w:link w:val="HeaderChar"/>
    <w:uiPriority w:val="99"/>
    <w:unhideWhenUsed/>
    <w:rsid w:val="00DC72DD"/>
    <w:pPr>
      <w:tabs>
        <w:tab w:val="center" w:pos="4680"/>
        <w:tab w:val="right" w:pos="9360"/>
      </w:tabs>
    </w:pPr>
  </w:style>
  <w:style w:type="character" w:customStyle="1" w:styleId="HeaderChar">
    <w:name w:val="Header Char"/>
    <w:basedOn w:val="DefaultParagraphFont"/>
    <w:link w:val="Header"/>
    <w:uiPriority w:val="99"/>
    <w:rsid w:val="00DC72DD"/>
    <w:rPr>
      <w:rFonts w:eastAsia="Times New Roman"/>
      <w:sz w:val="26"/>
      <w:szCs w:val="26"/>
    </w:rPr>
  </w:style>
  <w:style w:type="paragraph" w:styleId="Footer">
    <w:name w:val="footer"/>
    <w:basedOn w:val="Normal"/>
    <w:link w:val="FooterChar"/>
    <w:uiPriority w:val="99"/>
    <w:unhideWhenUsed/>
    <w:rsid w:val="00DC72DD"/>
    <w:pPr>
      <w:tabs>
        <w:tab w:val="center" w:pos="4680"/>
        <w:tab w:val="right" w:pos="9360"/>
      </w:tabs>
    </w:pPr>
  </w:style>
  <w:style w:type="character" w:customStyle="1" w:styleId="FooterChar">
    <w:name w:val="Footer Char"/>
    <w:basedOn w:val="DefaultParagraphFont"/>
    <w:link w:val="Footer"/>
    <w:uiPriority w:val="99"/>
    <w:rsid w:val="00DC72DD"/>
    <w:rPr>
      <w:rFonts w:eastAsia="Times New Roman"/>
      <w:sz w:val="26"/>
      <w:szCs w:val="26"/>
    </w:rPr>
  </w:style>
  <w:style w:type="paragraph" w:styleId="BalloonText">
    <w:name w:val="Balloon Text"/>
    <w:basedOn w:val="Normal"/>
    <w:link w:val="BalloonTextChar"/>
    <w:uiPriority w:val="99"/>
    <w:semiHidden/>
    <w:unhideWhenUsed/>
    <w:rsid w:val="00535D31"/>
    <w:rPr>
      <w:rFonts w:ascii="Tahoma" w:hAnsi="Tahoma" w:cs="Tahoma"/>
      <w:sz w:val="16"/>
      <w:szCs w:val="16"/>
    </w:rPr>
  </w:style>
  <w:style w:type="character" w:customStyle="1" w:styleId="BalloonTextChar">
    <w:name w:val="Balloon Text Char"/>
    <w:basedOn w:val="DefaultParagraphFont"/>
    <w:link w:val="BalloonText"/>
    <w:uiPriority w:val="99"/>
    <w:semiHidden/>
    <w:rsid w:val="00535D31"/>
    <w:rPr>
      <w:rFonts w:ascii="Tahoma" w:eastAsia="Times New Roman" w:hAnsi="Tahoma" w:cs="Tahoma"/>
      <w:sz w:val="16"/>
      <w:szCs w:val="16"/>
    </w:rPr>
  </w:style>
  <w:style w:type="paragraph" w:styleId="Revision">
    <w:name w:val="Revision"/>
    <w:hidden/>
    <w:uiPriority w:val="99"/>
    <w:semiHidden/>
    <w:rsid w:val="008E4608"/>
    <w:pPr>
      <w:spacing w:line="240" w:lineRule="auto"/>
      <w:jc w:val="left"/>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35F4-F547-4825-81F1-0AF84273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Park, Pokim</cp:lastModifiedBy>
  <cp:revision>3</cp:revision>
  <cp:lastPrinted>2013-08-30T15:05:00Z</cp:lastPrinted>
  <dcterms:created xsi:type="dcterms:W3CDTF">2013-09-03T18:40:00Z</dcterms:created>
  <dcterms:modified xsi:type="dcterms:W3CDTF">2013-09-26T17:46:00Z</dcterms:modified>
</cp:coreProperties>
</file>