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C04960"/>
    <w:p w:rsidR="00530802" w:rsidRDefault="00530802" w:rsidP="00530802">
      <w:pPr>
        <w:spacing w:line="240" w:lineRule="auto"/>
        <w:rPr>
          <w:b/>
        </w:rPr>
      </w:pPr>
      <w:r>
        <w:rPr>
          <w:b/>
        </w:rPr>
        <w:t>BEFORE THE</w:t>
      </w:r>
    </w:p>
    <w:p w:rsidR="00530802" w:rsidRDefault="00530802" w:rsidP="00530802">
      <w:pPr>
        <w:spacing w:line="240" w:lineRule="auto"/>
        <w:rPr>
          <w:b/>
        </w:rPr>
      </w:pPr>
      <w:r>
        <w:rPr>
          <w:b/>
        </w:rPr>
        <w:t>PENNSYLVANIA PUBLIC UTILITY COMMISSION</w:t>
      </w:r>
    </w:p>
    <w:p w:rsidR="00530802" w:rsidRDefault="00530802" w:rsidP="00530802">
      <w:pPr>
        <w:spacing w:line="240" w:lineRule="auto"/>
        <w:rPr>
          <w:b/>
        </w:rPr>
      </w:pPr>
    </w:p>
    <w:p w:rsidR="00530802" w:rsidRDefault="00530802" w:rsidP="00530802">
      <w:pPr>
        <w:spacing w:line="240" w:lineRule="auto"/>
        <w:jc w:val="left"/>
      </w:pPr>
      <w:r>
        <w:tab/>
      </w:r>
    </w:p>
    <w:p w:rsidR="00530802" w:rsidRDefault="00530802" w:rsidP="00530802">
      <w:pPr>
        <w:spacing w:line="240" w:lineRule="auto"/>
        <w:jc w:val="left"/>
      </w:pPr>
      <w:r>
        <w:t xml:space="preserve">Harry </w:t>
      </w:r>
      <w:proofErr w:type="spellStart"/>
      <w:r>
        <w:t>Robinholt</w:t>
      </w:r>
      <w:proofErr w:type="spellEnd"/>
      <w:r>
        <w:tab/>
      </w:r>
      <w:r>
        <w:tab/>
      </w:r>
      <w:r>
        <w:tab/>
      </w:r>
      <w:r>
        <w:tab/>
      </w:r>
      <w:r>
        <w:tab/>
        <w:t>:</w:t>
      </w:r>
    </w:p>
    <w:p w:rsidR="00530802" w:rsidRDefault="00530802" w:rsidP="00530802">
      <w:pPr>
        <w:spacing w:line="240" w:lineRule="auto"/>
        <w:jc w:val="left"/>
      </w:pPr>
      <w:r>
        <w:tab/>
      </w:r>
      <w:r>
        <w:tab/>
      </w:r>
      <w:r>
        <w:tab/>
      </w:r>
      <w:r>
        <w:tab/>
      </w:r>
      <w:r>
        <w:tab/>
      </w:r>
      <w:r>
        <w:tab/>
      </w:r>
      <w:r>
        <w:tab/>
        <w:t>:</w:t>
      </w:r>
    </w:p>
    <w:p w:rsidR="00530802" w:rsidRDefault="00530802" w:rsidP="00530802">
      <w:pPr>
        <w:spacing w:line="240" w:lineRule="auto"/>
        <w:jc w:val="left"/>
      </w:pPr>
      <w:r>
        <w:tab/>
        <w:t>v.</w:t>
      </w:r>
      <w:r>
        <w:tab/>
      </w:r>
      <w:r>
        <w:tab/>
      </w:r>
      <w:r>
        <w:tab/>
      </w:r>
      <w:r>
        <w:tab/>
      </w:r>
      <w:r>
        <w:tab/>
      </w:r>
      <w:r>
        <w:tab/>
        <w:t>:</w:t>
      </w:r>
      <w:r>
        <w:tab/>
      </w:r>
      <w:r>
        <w:tab/>
      </w:r>
      <w:r>
        <w:tab/>
        <w:t>C-2013-2371043</w:t>
      </w:r>
    </w:p>
    <w:p w:rsidR="00530802" w:rsidRDefault="00530802" w:rsidP="00530802">
      <w:pPr>
        <w:spacing w:line="240" w:lineRule="auto"/>
        <w:jc w:val="left"/>
      </w:pPr>
      <w:r>
        <w:tab/>
      </w:r>
      <w:r>
        <w:tab/>
      </w:r>
      <w:r>
        <w:tab/>
      </w:r>
      <w:r>
        <w:tab/>
      </w:r>
      <w:r>
        <w:tab/>
      </w:r>
      <w:r>
        <w:tab/>
      </w:r>
      <w:r>
        <w:tab/>
        <w:t>:</w:t>
      </w:r>
    </w:p>
    <w:p w:rsidR="00530802" w:rsidRDefault="00530802" w:rsidP="00530802">
      <w:pPr>
        <w:spacing w:line="240" w:lineRule="auto"/>
        <w:jc w:val="left"/>
      </w:pPr>
      <w:r>
        <w:t>UGI Utilities, Inc.</w:t>
      </w:r>
      <w:r>
        <w:tab/>
      </w:r>
      <w:r>
        <w:tab/>
      </w:r>
      <w:r>
        <w:tab/>
      </w:r>
      <w:r>
        <w:tab/>
      </w:r>
      <w:r>
        <w:tab/>
        <w:t>:</w:t>
      </w:r>
    </w:p>
    <w:p w:rsidR="00530802" w:rsidRDefault="00530802" w:rsidP="00530802">
      <w:pPr>
        <w:spacing w:line="240" w:lineRule="auto"/>
        <w:jc w:val="left"/>
      </w:pPr>
    </w:p>
    <w:p w:rsidR="00530802" w:rsidRDefault="00530802" w:rsidP="00530802">
      <w:pPr>
        <w:spacing w:line="240" w:lineRule="auto"/>
        <w:jc w:val="left"/>
      </w:pPr>
    </w:p>
    <w:p w:rsidR="00530802" w:rsidRDefault="00530802" w:rsidP="00530802">
      <w:pPr>
        <w:spacing w:line="240" w:lineRule="auto"/>
        <w:rPr>
          <w:b/>
        </w:rPr>
      </w:pPr>
      <w:r>
        <w:rPr>
          <w:b/>
        </w:rPr>
        <w:t>ORDER DIRECTING THE SUBMISSION OF SUPPORTING</w:t>
      </w:r>
    </w:p>
    <w:p w:rsidR="00530802" w:rsidRDefault="00530802" w:rsidP="00530802">
      <w:pPr>
        <w:spacing w:line="240" w:lineRule="auto"/>
        <w:rPr>
          <w:b/>
        </w:rPr>
      </w:pPr>
      <w:r>
        <w:rPr>
          <w:b/>
        </w:rPr>
        <w:t xml:space="preserve"> DOCUMENTATION AND SIGNED COMPLAINT</w:t>
      </w:r>
    </w:p>
    <w:p w:rsidR="00530802" w:rsidRDefault="00530802" w:rsidP="00530802">
      <w:pPr>
        <w:spacing w:line="240" w:lineRule="auto"/>
        <w:rPr>
          <w:b/>
        </w:rPr>
      </w:pPr>
    </w:p>
    <w:p w:rsidR="00530802" w:rsidRDefault="00530802" w:rsidP="00530802">
      <w:pPr>
        <w:spacing w:line="240" w:lineRule="auto"/>
        <w:rPr>
          <w:b/>
        </w:rPr>
      </w:pPr>
    </w:p>
    <w:p w:rsidR="009C4685" w:rsidRPr="009C4685" w:rsidRDefault="009C4685" w:rsidP="009C4685">
      <w:pPr>
        <w:jc w:val="left"/>
      </w:pPr>
      <w:r>
        <w:tab/>
      </w:r>
      <w:r>
        <w:tab/>
        <w:t>This Order directs actions which the Complainant's witness agreed to undertake</w:t>
      </w:r>
      <w:r w:rsidR="0038600C">
        <w:t xml:space="preserve"> during the evidentiary hearing</w:t>
      </w:r>
      <w:r>
        <w:t>.  If they have already been taken, no further action is necessary.</w:t>
      </w:r>
    </w:p>
    <w:p w:rsidR="009C4685" w:rsidRDefault="009C4685" w:rsidP="00530802">
      <w:pPr>
        <w:spacing w:line="240" w:lineRule="auto"/>
        <w:rPr>
          <w:b/>
        </w:rPr>
      </w:pPr>
    </w:p>
    <w:p w:rsidR="00530802" w:rsidRDefault="00530802" w:rsidP="00530802">
      <w:pPr>
        <w:jc w:val="left"/>
      </w:pPr>
      <w:r>
        <w:tab/>
      </w:r>
      <w:r>
        <w:tab/>
        <w:t xml:space="preserve">On September 27, 2013, an evidentiary hearing was convened in the above-captioned case which revealed two issues:  </w:t>
      </w:r>
      <w:r w:rsidR="00CC2C82">
        <w:t xml:space="preserve">the formal Complaint was not signed by the Complainant, and the household had a member who was protected by a Protection </w:t>
      </w:r>
      <w:proofErr w:type="gramStart"/>
      <w:r w:rsidR="00CC2C82">
        <w:t>From</w:t>
      </w:r>
      <w:proofErr w:type="gramEnd"/>
      <w:r w:rsidR="00CC2C82">
        <w:t xml:space="preserve"> Abuse (PFA) order.  </w:t>
      </w:r>
    </w:p>
    <w:p w:rsidR="00CC2C82" w:rsidRDefault="00CC2C82" w:rsidP="00530802">
      <w:pPr>
        <w:jc w:val="left"/>
      </w:pPr>
    </w:p>
    <w:p w:rsidR="00CC2C82" w:rsidRDefault="00CC2C82" w:rsidP="00530802">
      <w:pPr>
        <w:jc w:val="left"/>
      </w:pPr>
      <w:r>
        <w:tab/>
      </w:r>
      <w:r>
        <w:tab/>
        <w:t xml:space="preserve">The formal Complaint lists Harry </w:t>
      </w:r>
      <w:proofErr w:type="spellStart"/>
      <w:r>
        <w:t>Robinholt</w:t>
      </w:r>
      <w:proofErr w:type="spellEnd"/>
      <w:r>
        <w:t xml:space="preserve"> as the Complainant, as he is the ratepayer of record.  However, the signature line reflects the name of Jill </w:t>
      </w:r>
      <w:proofErr w:type="spellStart"/>
      <w:r>
        <w:t>Robinholt</w:t>
      </w:r>
      <w:proofErr w:type="spellEnd"/>
      <w:r>
        <w:t xml:space="preserve">, the Complainant's daughter-in-law, who explained that she handles utility matters for him because he cannot read or write.  </w:t>
      </w:r>
    </w:p>
    <w:p w:rsidR="00CC2C82" w:rsidRDefault="00CC2C82" w:rsidP="00530802">
      <w:pPr>
        <w:jc w:val="left"/>
      </w:pPr>
    </w:p>
    <w:p w:rsidR="00CC2C82" w:rsidRDefault="00CC2C82" w:rsidP="00530802">
      <w:pPr>
        <w:jc w:val="left"/>
      </w:pPr>
      <w:r>
        <w:tab/>
      </w:r>
      <w:r>
        <w:tab/>
        <w:t>The Public Utility Code reads:</w:t>
      </w:r>
    </w:p>
    <w:p w:rsidR="00CC2C82" w:rsidRDefault="00CC2C82" w:rsidP="00530802">
      <w:pPr>
        <w:jc w:val="left"/>
      </w:pPr>
    </w:p>
    <w:p w:rsidR="00CC2C82" w:rsidRDefault="00CC2C82" w:rsidP="00CC2C82">
      <w:pPr>
        <w:spacing w:line="240" w:lineRule="auto"/>
        <w:ind w:left="1440" w:right="1440"/>
        <w:jc w:val="left"/>
        <w:rPr>
          <w:b/>
        </w:rPr>
      </w:pPr>
      <w:r>
        <w:rPr>
          <w:b/>
        </w:rPr>
        <w:t>§ 1410.  Complaints filed with commission</w:t>
      </w:r>
    </w:p>
    <w:p w:rsidR="00CC2C82" w:rsidRDefault="00CC2C82" w:rsidP="00CC2C82">
      <w:pPr>
        <w:spacing w:line="240" w:lineRule="auto"/>
        <w:ind w:left="1440" w:right="1440"/>
      </w:pPr>
      <w:r>
        <w:t>*</w:t>
      </w:r>
    </w:p>
    <w:p w:rsidR="00CC2C82" w:rsidRDefault="00CC2C82" w:rsidP="00CC2C82">
      <w:pPr>
        <w:spacing w:line="240" w:lineRule="auto"/>
        <w:ind w:left="1440" w:right="1440"/>
        <w:jc w:val="left"/>
      </w:pPr>
      <w:r>
        <w:t>(3)</w:t>
      </w:r>
      <w:r>
        <w:tab/>
        <w:t>For a formal complaint filing to be valid, the customer needs to provide a statement attesting to the truth as to the facts alleged in the complaint.  All testimony in formal complaint proceedings must be under oath.</w:t>
      </w:r>
    </w:p>
    <w:p w:rsidR="00CC2C82" w:rsidRDefault="00CC2C82" w:rsidP="00CC2C82">
      <w:pPr>
        <w:jc w:val="left"/>
      </w:pPr>
      <w:proofErr w:type="gramStart"/>
      <w:r>
        <w:t>66 Pa. C.S. § 1405(3).</w:t>
      </w:r>
      <w:proofErr w:type="gramEnd"/>
    </w:p>
    <w:p w:rsidR="00CC2C82" w:rsidRDefault="00CC2C82" w:rsidP="00CC2C82">
      <w:pPr>
        <w:jc w:val="left"/>
      </w:pPr>
    </w:p>
    <w:p w:rsidR="007D6464" w:rsidRDefault="00CC2C82" w:rsidP="00CC2C82">
      <w:pPr>
        <w:jc w:val="left"/>
      </w:pPr>
      <w:r>
        <w:tab/>
      </w:r>
      <w:r>
        <w:tab/>
        <w:t xml:space="preserve">Therefore, in order to proceed, Harry </w:t>
      </w:r>
      <w:proofErr w:type="spellStart"/>
      <w:r>
        <w:t>Robinholt</w:t>
      </w:r>
      <w:proofErr w:type="spellEnd"/>
      <w:r>
        <w:t xml:space="preserve"> must sign or make his mark on the signature line of the formal Complaint</w:t>
      </w:r>
      <w:r w:rsidR="007D6464">
        <w:t xml:space="preserve"> and return it to the Commission for inclusion in the Commission file</w:t>
      </w:r>
      <w:r>
        <w:t>.</w:t>
      </w:r>
      <w:r w:rsidR="007D6464">
        <w:t xml:space="preserve">  </w:t>
      </w:r>
    </w:p>
    <w:p w:rsidR="007D6464" w:rsidRDefault="007D6464" w:rsidP="00CC2C82">
      <w:pPr>
        <w:jc w:val="left"/>
      </w:pPr>
    </w:p>
    <w:p w:rsidR="00BA4E28" w:rsidRDefault="007D6464" w:rsidP="00CC2C82">
      <w:pPr>
        <w:jc w:val="left"/>
      </w:pPr>
      <w:r>
        <w:tab/>
      </w:r>
      <w:r>
        <w:tab/>
        <w:t xml:space="preserve">Next, the </w:t>
      </w:r>
      <w:r w:rsidR="00BA4E28">
        <w:t xml:space="preserve">testimony that there is a member of the household who is protected by a PFA triggers the statutory section which provides that the statutory requirements of Chapter 14 shall not apply to victims covered by a protection from abuse order.  </w:t>
      </w:r>
      <w:proofErr w:type="gramStart"/>
      <w:r w:rsidR="00BA4E28">
        <w:t>66 Pa. C.S. § 1417.</w:t>
      </w:r>
      <w:proofErr w:type="gramEnd"/>
      <w:r w:rsidR="00BA4E28">
        <w:t xml:space="preserve">  </w:t>
      </w:r>
      <w:r w:rsidR="00CC2C82">
        <w:t xml:space="preserve"> </w:t>
      </w:r>
      <w:r w:rsidR="00BA4E28">
        <w:t>The standard of law applied to a non-PFA case which is covered by Chapter 14 is different from that applied to a PFA situation, and different evidence must be taken at a hearing.  The presence of a valid</w:t>
      </w:r>
      <w:r w:rsidR="009C4685">
        <w:t>,</w:t>
      </w:r>
      <w:r w:rsidR="00BA4E28">
        <w:t xml:space="preserve"> current PFA also triggers treatment at the Commission which protects the victim's identifying information from reaching the public domain, and these steps needed to be taken by Commission staff.  </w:t>
      </w:r>
    </w:p>
    <w:p w:rsidR="00BA4E28" w:rsidRDefault="00BA4E28" w:rsidP="00CC2C82">
      <w:pPr>
        <w:jc w:val="left"/>
      </w:pPr>
    </w:p>
    <w:p w:rsidR="00082BBF" w:rsidRDefault="00BA4E28" w:rsidP="00CC2C82">
      <w:pPr>
        <w:jc w:val="left"/>
      </w:pPr>
      <w:r>
        <w:tab/>
      </w:r>
      <w:r>
        <w:tab/>
        <w:t xml:space="preserve">Accordingly, </w:t>
      </w:r>
      <w:r w:rsidR="00082BBF">
        <w:t xml:space="preserve">the Complainant will be required to produce a copy of a valid, current PFA for a person living at the subject residence within thirty days.  After that time, another hearing will be held to complete the taking of evidence.  </w:t>
      </w:r>
      <w:r w:rsidR="0038600C">
        <w:t xml:space="preserve">To facilitate this scheduling, Complainant and Respondent are directed to confer and to submit THREE (3) dates which are acceptable to both for the rescheduled evidentiary hearing.  Failure to submit these three dates will result in the scheduling of the next available hearing date without the possibility of a continuance.  </w:t>
      </w:r>
    </w:p>
    <w:p w:rsidR="00082BBF" w:rsidRDefault="00082BBF" w:rsidP="00CC2C82">
      <w:pPr>
        <w:jc w:val="left"/>
      </w:pPr>
    </w:p>
    <w:p w:rsidR="00082BBF" w:rsidRDefault="00082BBF" w:rsidP="00CC2C82">
      <w:pPr>
        <w:jc w:val="left"/>
      </w:pPr>
      <w:r>
        <w:tab/>
      </w:r>
      <w:r>
        <w:tab/>
        <w:t>THEREFORE,</w:t>
      </w:r>
    </w:p>
    <w:p w:rsidR="00082BBF" w:rsidRDefault="00082BBF" w:rsidP="00CC2C82">
      <w:pPr>
        <w:jc w:val="left"/>
      </w:pPr>
    </w:p>
    <w:p w:rsidR="00082BBF" w:rsidRDefault="00082BBF" w:rsidP="00CC2C82">
      <w:pPr>
        <w:jc w:val="left"/>
      </w:pPr>
      <w:r>
        <w:tab/>
      </w:r>
      <w:r>
        <w:tab/>
        <w:t>IT IS ORDERED:</w:t>
      </w:r>
    </w:p>
    <w:p w:rsidR="00082BBF" w:rsidRDefault="00082BBF" w:rsidP="00CC2C82">
      <w:pPr>
        <w:jc w:val="left"/>
      </w:pPr>
    </w:p>
    <w:p w:rsidR="00082BBF" w:rsidRDefault="00082BBF" w:rsidP="00CC2C82">
      <w:pPr>
        <w:jc w:val="left"/>
      </w:pPr>
      <w:r>
        <w:tab/>
      </w:r>
      <w:r>
        <w:tab/>
        <w:t>1.</w:t>
      </w:r>
      <w:r>
        <w:tab/>
        <w:t xml:space="preserve">That Harry </w:t>
      </w:r>
      <w:proofErr w:type="spellStart"/>
      <w:r>
        <w:t>Robinholt</w:t>
      </w:r>
      <w:proofErr w:type="spellEnd"/>
      <w:r>
        <w:t xml:space="preserve"> shall submit</w:t>
      </w:r>
      <w:r w:rsidR="009C4685">
        <w:t>, or have submitted on his behalf,</w:t>
      </w:r>
      <w:r>
        <w:t xml:space="preserve"> a copy of the formal Complaint with his signature or mark on the signature line indicating that the information appearing on the Complaint is true to the Commission on or before October 21, 2013.</w:t>
      </w:r>
    </w:p>
    <w:p w:rsidR="00082BBF" w:rsidRDefault="00082BBF" w:rsidP="00CC2C82">
      <w:pPr>
        <w:jc w:val="left"/>
      </w:pPr>
    </w:p>
    <w:p w:rsidR="00082BBF" w:rsidRDefault="00082BBF" w:rsidP="00CC2C82">
      <w:pPr>
        <w:jc w:val="left"/>
      </w:pPr>
      <w:r>
        <w:lastRenderedPageBreak/>
        <w:tab/>
      </w:r>
      <w:r>
        <w:tab/>
        <w:t>2.</w:t>
      </w:r>
      <w:r>
        <w:tab/>
        <w:t xml:space="preserve">That Harry </w:t>
      </w:r>
      <w:proofErr w:type="spellStart"/>
      <w:r>
        <w:t>Robinholt</w:t>
      </w:r>
      <w:proofErr w:type="spellEnd"/>
      <w:r>
        <w:t xml:space="preserve"> shall submit</w:t>
      </w:r>
      <w:r w:rsidR="009C4685">
        <w:t>, or have submitted on his behalf,</w:t>
      </w:r>
      <w:r>
        <w:t xml:space="preserve"> a copy of a valid, current Protection from Abuse Order from a court of common pleas on or before October 21, 2013, with a copy being sent to counsel for UGI Utilities, Inc.</w:t>
      </w:r>
      <w:r w:rsidR="0038600C">
        <w:t>, on or before October 21, 2013:</w:t>
      </w:r>
    </w:p>
    <w:p w:rsidR="0038600C" w:rsidRDefault="0038600C" w:rsidP="00CC2C82">
      <w:pPr>
        <w:jc w:val="left"/>
      </w:pPr>
    </w:p>
    <w:p w:rsidR="0038600C" w:rsidRDefault="0038600C" w:rsidP="0038600C">
      <w:pPr>
        <w:spacing w:line="240" w:lineRule="auto"/>
        <w:jc w:val="left"/>
      </w:pPr>
      <w:r>
        <w:t>Susan D. Colwell, Administrative Law Judge</w:t>
      </w:r>
      <w:r>
        <w:tab/>
      </w:r>
      <w:r>
        <w:tab/>
        <w:t>Larry R. Crayne, Esq.</w:t>
      </w:r>
    </w:p>
    <w:p w:rsidR="0038600C" w:rsidRDefault="0038600C" w:rsidP="0038600C">
      <w:pPr>
        <w:spacing w:line="240" w:lineRule="auto"/>
        <w:jc w:val="left"/>
      </w:pPr>
      <w:r>
        <w:t>PA Public Utility Commission</w:t>
      </w:r>
      <w:r>
        <w:tab/>
      </w:r>
      <w:r>
        <w:tab/>
      </w:r>
      <w:r>
        <w:tab/>
      </w:r>
      <w:r>
        <w:tab/>
        <w:t>238 Johnston Road</w:t>
      </w:r>
    </w:p>
    <w:p w:rsidR="0038600C" w:rsidRDefault="0038600C" w:rsidP="0038600C">
      <w:pPr>
        <w:spacing w:line="240" w:lineRule="auto"/>
        <w:jc w:val="left"/>
      </w:pPr>
      <w:r>
        <w:t>PO Box 3265</w:t>
      </w:r>
      <w:r>
        <w:tab/>
      </w:r>
      <w:r>
        <w:tab/>
      </w:r>
      <w:r>
        <w:tab/>
      </w:r>
      <w:r>
        <w:tab/>
      </w:r>
      <w:r>
        <w:tab/>
      </w:r>
      <w:r>
        <w:tab/>
      </w:r>
      <w:r>
        <w:tab/>
        <w:t>Pittsburgh PA 15241</w:t>
      </w:r>
    </w:p>
    <w:p w:rsidR="0038600C" w:rsidRDefault="0038600C" w:rsidP="0038600C">
      <w:pPr>
        <w:spacing w:line="240" w:lineRule="auto"/>
        <w:jc w:val="left"/>
      </w:pPr>
      <w:r>
        <w:t>Harrisburg PA 17105-3265</w:t>
      </w:r>
    </w:p>
    <w:p w:rsidR="00082BBF" w:rsidRDefault="00082BBF" w:rsidP="00CC2C82">
      <w:pPr>
        <w:jc w:val="left"/>
      </w:pPr>
    </w:p>
    <w:p w:rsidR="00082BBF" w:rsidRDefault="00082BBF" w:rsidP="00CC2C82">
      <w:pPr>
        <w:jc w:val="left"/>
      </w:pPr>
      <w:r>
        <w:tab/>
      </w:r>
      <w:r>
        <w:tab/>
        <w:t>3.</w:t>
      </w:r>
      <w:r>
        <w:tab/>
        <w:t xml:space="preserve">That Harry </w:t>
      </w:r>
      <w:proofErr w:type="spellStart"/>
      <w:r>
        <w:t>Robinholt</w:t>
      </w:r>
      <w:proofErr w:type="spellEnd"/>
      <w:r>
        <w:t xml:space="preserve"> and counsel for UGI Utilities, Inc., shall collaborate to develop a list of three dates upon which both can attend a second evidentiary hearing in this matter, and counsel for UGI Utilities, Inc., shall convey those dates to the presiding officer as soon as possible but no later than October 21, 2013, to facilitate the scheduling of the hearing.</w:t>
      </w:r>
    </w:p>
    <w:p w:rsidR="00082BBF" w:rsidRDefault="00082BBF" w:rsidP="00CC2C82">
      <w:pPr>
        <w:jc w:val="left"/>
      </w:pPr>
    </w:p>
    <w:p w:rsidR="00082BBF" w:rsidRDefault="00082BBF" w:rsidP="00CC2C82">
      <w:pPr>
        <w:jc w:val="left"/>
      </w:pPr>
      <w:r>
        <w:tab/>
      </w:r>
      <w:r>
        <w:tab/>
        <w:t>4.</w:t>
      </w:r>
      <w:r>
        <w:tab/>
        <w:t>That failure to comply with this order may result in appropriate sanctions, including but not limited to the dismissal of the complaint.</w:t>
      </w:r>
    </w:p>
    <w:p w:rsidR="00082BBF" w:rsidRDefault="00082BBF" w:rsidP="00CC2C82">
      <w:pPr>
        <w:jc w:val="left"/>
      </w:pPr>
    </w:p>
    <w:p w:rsidR="00082BBF" w:rsidRDefault="00082BBF" w:rsidP="00CC2C82">
      <w:pPr>
        <w:jc w:val="left"/>
      </w:pPr>
    </w:p>
    <w:p w:rsidR="007C36C8" w:rsidRDefault="00082BBF" w:rsidP="007C36C8">
      <w:pPr>
        <w:spacing w:line="240" w:lineRule="auto"/>
        <w:jc w:val="left"/>
      </w:pPr>
      <w:r>
        <w:t>Dated:</w:t>
      </w:r>
      <w:r>
        <w:tab/>
      </w:r>
      <w:r>
        <w:rPr>
          <w:u w:val="single"/>
        </w:rPr>
        <w:t>September 30, 2013</w:t>
      </w:r>
      <w:r>
        <w:tab/>
      </w:r>
      <w:r>
        <w:tab/>
      </w:r>
      <w:r>
        <w:tab/>
      </w:r>
      <w:r>
        <w:tab/>
      </w:r>
      <w:r w:rsidR="007C36C8">
        <w:t>________________________________</w:t>
      </w:r>
    </w:p>
    <w:p w:rsidR="007C36C8" w:rsidRDefault="007C36C8" w:rsidP="007C36C8">
      <w:pPr>
        <w:spacing w:line="240" w:lineRule="auto"/>
        <w:jc w:val="left"/>
      </w:pPr>
      <w:r>
        <w:tab/>
      </w:r>
      <w:r>
        <w:tab/>
      </w:r>
      <w:r>
        <w:tab/>
      </w:r>
      <w:r>
        <w:tab/>
      </w:r>
      <w:r>
        <w:tab/>
      </w:r>
      <w:r>
        <w:tab/>
      </w:r>
      <w:r>
        <w:tab/>
        <w:t>Susan D. Colwell</w:t>
      </w:r>
    </w:p>
    <w:p w:rsidR="008536E3" w:rsidRDefault="007C36C8" w:rsidP="007C36C8">
      <w:pPr>
        <w:spacing w:line="240" w:lineRule="auto"/>
        <w:jc w:val="left"/>
        <w:sectPr w:rsidR="008536E3" w:rsidSect="007C36C8">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8536E3" w:rsidRDefault="008536E3" w:rsidP="008536E3">
      <w:pPr>
        <w:spacing w:line="240" w:lineRule="auto"/>
        <w:jc w:val="left"/>
        <w:rPr>
          <w:rFonts w:ascii="Microsoft Sans Serif"/>
          <w:b/>
          <w:u w:val="single"/>
        </w:rPr>
      </w:pPr>
      <w:r>
        <w:rPr>
          <w:rFonts w:ascii="Microsoft Sans Serif"/>
          <w:b/>
          <w:u w:val="single"/>
        </w:rPr>
        <w:lastRenderedPageBreak/>
        <w:t>C-2013-2371043 - HARRY ROBINHOLT v. UGI UTILITIES INC-ELECTRIC DIVISION</w:t>
      </w:r>
      <w:r>
        <w:rPr>
          <w:rFonts w:ascii="Microsoft Sans Serif"/>
          <w:b/>
          <w:u w:val="single"/>
        </w:rPr>
        <w:cr/>
      </w:r>
      <w:r>
        <w:rPr>
          <w:rFonts w:ascii="Microsoft Sans Serif"/>
          <w:b/>
          <w:u w:val="single"/>
        </w:rPr>
        <w:cr/>
      </w:r>
    </w:p>
    <w:p w:rsidR="008536E3" w:rsidRDefault="008536E3" w:rsidP="008536E3">
      <w:pPr>
        <w:spacing w:line="240" w:lineRule="auto"/>
        <w:jc w:val="left"/>
        <w:rPr>
          <w:rFonts w:ascii="Microsoft Sans Serif"/>
          <w:b/>
          <w:u w:val="single"/>
        </w:rPr>
      </w:pPr>
    </w:p>
    <w:p w:rsidR="008536E3" w:rsidRDefault="008536E3" w:rsidP="008536E3">
      <w:pPr>
        <w:spacing w:line="240" w:lineRule="auto"/>
        <w:jc w:val="left"/>
        <w:rPr>
          <w:rFonts w:ascii="Microsoft Sans Serif"/>
          <w:b/>
        </w:rPr>
      </w:pPr>
      <w:r w:rsidRPr="008536E3">
        <w:rPr>
          <w:rFonts w:ascii="Microsoft Sans Serif"/>
          <w:highlight w:val="black"/>
        </w:rPr>
        <w:t>HARRY ROBINHOLT</w:t>
      </w:r>
      <w:r w:rsidRPr="008536E3">
        <w:rPr>
          <w:rFonts w:ascii="Microsoft Sans Serif"/>
          <w:highlight w:val="black"/>
        </w:rPr>
        <w:cr/>
        <w:t>35 RUTTER STREET</w:t>
      </w:r>
      <w:r w:rsidRPr="008536E3">
        <w:rPr>
          <w:rFonts w:ascii="Microsoft Sans Serif"/>
          <w:highlight w:val="black"/>
        </w:rPr>
        <w:cr/>
      </w:r>
      <w:bookmarkStart w:id="0" w:name="_GoBack"/>
      <w:bookmarkEnd w:id="0"/>
      <w:r w:rsidRPr="008536E3">
        <w:rPr>
          <w:rFonts w:ascii="Microsoft Sans Serif"/>
          <w:highlight w:val="black"/>
        </w:rPr>
        <w:t>HANOVER PA  18706</w:t>
      </w:r>
      <w:r w:rsidRPr="008536E3">
        <w:rPr>
          <w:rFonts w:ascii="Microsoft Sans Serif"/>
          <w:highlight w:val="black"/>
        </w:rPr>
        <w:cr/>
      </w:r>
      <w:r w:rsidRPr="008536E3">
        <w:rPr>
          <w:rFonts w:ascii="Microsoft Sans Serif"/>
          <w:b/>
          <w:highlight w:val="black"/>
        </w:rPr>
        <w:t>570.332.5358</w:t>
      </w:r>
      <w:r w:rsidRPr="00BC2548">
        <w:rPr>
          <w:rFonts w:ascii="Microsoft Sans Serif"/>
          <w:b/>
        </w:rPr>
        <w:cr/>
      </w:r>
    </w:p>
    <w:p w:rsidR="008536E3" w:rsidRDefault="008536E3" w:rsidP="008536E3">
      <w:pPr>
        <w:spacing w:line="240" w:lineRule="auto"/>
        <w:jc w:val="left"/>
        <w:rPr>
          <w:rFonts w:ascii="Microsoft Sans Serif"/>
        </w:rPr>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r>
      <w:r>
        <w:rPr>
          <w:rFonts w:ascii="Microsoft Sans Serif"/>
          <w:b/>
        </w:rPr>
        <w:t>412.831.</w:t>
      </w:r>
      <w:r w:rsidRPr="00BC2548">
        <w:rPr>
          <w:rFonts w:ascii="Microsoft Sans Serif"/>
          <w:b/>
        </w:rPr>
        <w:t>5462</w:t>
      </w:r>
    </w:p>
    <w:p w:rsidR="008536E3" w:rsidRPr="00366890" w:rsidRDefault="008536E3" w:rsidP="008536E3">
      <w:pPr>
        <w:spacing w:line="240" w:lineRule="auto"/>
        <w:jc w:val="left"/>
        <w:rPr>
          <w:b/>
          <w:i/>
          <w:u w:val="single"/>
        </w:rPr>
      </w:pPr>
      <w:proofErr w:type="spellStart"/>
      <w:proofErr w:type="gramStart"/>
      <w:r>
        <w:rPr>
          <w:rFonts w:ascii="Microsoft Sans Serif"/>
          <w:b/>
          <w:i/>
          <w:u w:val="single"/>
        </w:rPr>
        <w:t>eServe</w:t>
      </w:r>
      <w:proofErr w:type="spellEnd"/>
      <w:proofErr w:type="gramEnd"/>
    </w:p>
    <w:p w:rsidR="00CC2C82" w:rsidRPr="00CC2C82" w:rsidRDefault="00CC2C82" w:rsidP="007C36C8">
      <w:pPr>
        <w:spacing w:line="240" w:lineRule="auto"/>
        <w:jc w:val="left"/>
      </w:pPr>
    </w:p>
    <w:sectPr w:rsidR="00CC2C82" w:rsidRPr="00CC2C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9D" w:rsidRDefault="003A389D" w:rsidP="007C36C8">
      <w:pPr>
        <w:spacing w:line="240" w:lineRule="auto"/>
      </w:pPr>
      <w:r>
        <w:separator/>
      </w:r>
    </w:p>
  </w:endnote>
  <w:endnote w:type="continuationSeparator" w:id="0">
    <w:p w:rsidR="003A389D" w:rsidRDefault="003A389D" w:rsidP="007C3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038272"/>
      <w:docPartObj>
        <w:docPartGallery w:val="Page Numbers (Bottom of Page)"/>
        <w:docPartUnique/>
      </w:docPartObj>
    </w:sdtPr>
    <w:sdtEndPr>
      <w:rPr>
        <w:noProof/>
      </w:rPr>
    </w:sdtEndPr>
    <w:sdtContent>
      <w:p w:rsidR="007C36C8" w:rsidRDefault="007C36C8">
        <w:pPr>
          <w:pStyle w:val="Footer"/>
        </w:pPr>
        <w:r>
          <w:fldChar w:fldCharType="begin"/>
        </w:r>
        <w:r>
          <w:instrText xml:space="preserve"> PAGE   \* MERGEFORMAT </w:instrText>
        </w:r>
        <w:r>
          <w:fldChar w:fldCharType="separate"/>
        </w:r>
        <w:r w:rsidR="008536E3">
          <w:rPr>
            <w:noProof/>
          </w:rPr>
          <w:t>3</w:t>
        </w:r>
        <w:r>
          <w:rPr>
            <w:noProof/>
          </w:rPr>
          <w:fldChar w:fldCharType="end"/>
        </w:r>
      </w:p>
    </w:sdtContent>
  </w:sdt>
  <w:p w:rsidR="007C36C8" w:rsidRDefault="007C3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E3" w:rsidRDefault="008536E3">
    <w:pPr>
      <w:pStyle w:val="Footer"/>
    </w:pPr>
  </w:p>
  <w:p w:rsidR="008536E3" w:rsidRDefault="00853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9D" w:rsidRDefault="003A389D" w:rsidP="007C36C8">
      <w:pPr>
        <w:spacing w:line="240" w:lineRule="auto"/>
      </w:pPr>
      <w:r>
        <w:separator/>
      </w:r>
    </w:p>
  </w:footnote>
  <w:footnote w:type="continuationSeparator" w:id="0">
    <w:p w:rsidR="003A389D" w:rsidRDefault="003A389D" w:rsidP="007C36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0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BBF"/>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4D63"/>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00C"/>
    <w:rsid w:val="00386626"/>
    <w:rsid w:val="003908D7"/>
    <w:rsid w:val="00390929"/>
    <w:rsid w:val="00390DBB"/>
    <w:rsid w:val="00391CFF"/>
    <w:rsid w:val="003924CC"/>
    <w:rsid w:val="00396333"/>
    <w:rsid w:val="00396ADD"/>
    <w:rsid w:val="0039716B"/>
    <w:rsid w:val="003A0B9C"/>
    <w:rsid w:val="003A0E5A"/>
    <w:rsid w:val="003A0F8D"/>
    <w:rsid w:val="003A389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802"/>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7AA"/>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6C8"/>
    <w:rsid w:val="007C3C7F"/>
    <w:rsid w:val="007C4BF1"/>
    <w:rsid w:val="007C51EB"/>
    <w:rsid w:val="007C60E2"/>
    <w:rsid w:val="007C7435"/>
    <w:rsid w:val="007D158A"/>
    <w:rsid w:val="007D5B1C"/>
    <w:rsid w:val="007D6464"/>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6E3"/>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7A"/>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685"/>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67EE4"/>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E28"/>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2C82"/>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6C8"/>
    <w:pPr>
      <w:tabs>
        <w:tab w:val="center" w:pos="4680"/>
        <w:tab w:val="right" w:pos="9360"/>
      </w:tabs>
      <w:spacing w:line="240" w:lineRule="auto"/>
    </w:pPr>
  </w:style>
  <w:style w:type="character" w:customStyle="1" w:styleId="HeaderChar">
    <w:name w:val="Header Char"/>
    <w:basedOn w:val="DefaultParagraphFont"/>
    <w:link w:val="Header"/>
    <w:uiPriority w:val="99"/>
    <w:rsid w:val="007C36C8"/>
  </w:style>
  <w:style w:type="paragraph" w:styleId="Footer">
    <w:name w:val="footer"/>
    <w:basedOn w:val="Normal"/>
    <w:link w:val="FooterChar"/>
    <w:uiPriority w:val="99"/>
    <w:unhideWhenUsed/>
    <w:rsid w:val="007C36C8"/>
    <w:pPr>
      <w:tabs>
        <w:tab w:val="center" w:pos="4680"/>
        <w:tab w:val="right" w:pos="9360"/>
      </w:tabs>
      <w:spacing w:line="240" w:lineRule="auto"/>
    </w:pPr>
  </w:style>
  <w:style w:type="character" w:customStyle="1" w:styleId="FooterChar">
    <w:name w:val="Footer Char"/>
    <w:basedOn w:val="DefaultParagraphFont"/>
    <w:link w:val="Footer"/>
    <w:uiPriority w:val="99"/>
    <w:rsid w:val="007C3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6C8"/>
    <w:pPr>
      <w:tabs>
        <w:tab w:val="center" w:pos="4680"/>
        <w:tab w:val="right" w:pos="9360"/>
      </w:tabs>
      <w:spacing w:line="240" w:lineRule="auto"/>
    </w:pPr>
  </w:style>
  <w:style w:type="character" w:customStyle="1" w:styleId="HeaderChar">
    <w:name w:val="Header Char"/>
    <w:basedOn w:val="DefaultParagraphFont"/>
    <w:link w:val="Header"/>
    <w:uiPriority w:val="99"/>
    <w:rsid w:val="007C36C8"/>
  </w:style>
  <w:style w:type="paragraph" w:styleId="Footer">
    <w:name w:val="footer"/>
    <w:basedOn w:val="Normal"/>
    <w:link w:val="FooterChar"/>
    <w:uiPriority w:val="99"/>
    <w:unhideWhenUsed/>
    <w:rsid w:val="007C36C8"/>
    <w:pPr>
      <w:tabs>
        <w:tab w:val="center" w:pos="4680"/>
        <w:tab w:val="right" w:pos="9360"/>
      </w:tabs>
      <w:spacing w:line="240" w:lineRule="auto"/>
    </w:pPr>
  </w:style>
  <w:style w:type="character" w:customStyle="1" w:styleId="FooterChar">
    <w:name w:val="Footer Char"/>
    <w:basedOn w:val="DefaultParagraphFont"/>
    <w:link w:val="Footer"/>
    <w:uiPriority w:val="99"/>
    <w:rsid w:val="007C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2013-09-30T14:44:00Z</cp:lastPrinted>
  <dcterms:created xsi:type="dcterms:W3CDTF">2013-09-30T14:38:00Z</dcterms:created>
  <dcterms:modified xsi:type="dcterms:W3CDTF">2013-09-30T14:49:00Z</dcterms:modified>
</cp:coreProperties>
</file>