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E84715" w:rsidP="00176DE0">
      <w:pPr>
        <w:rPr>
          <w:sz w:val="24"/>
          <w:szCs w:val="24"/>
        </w:rPr>
      </w:pPr>
      <w:r>
        <w:rPr>
          <w:sz w:val="24"/>
          <w:szCs w:val="24"/>
        </w:rPr>
        <w:t xml:space="preserve">Cheryl </w:t>
      </w:r>
      <w:proofErr w:type="spellStart"/>
      <w:r>
        <w:rPr>
          <w:sz w:val="24"/>
          <w:szCs w:val="24"/>
        </w:rPr>
        <w:t>Harbuagh</w:t>
      </w:r>
      <w:proofErr w:type="spellEnd"/>
      <w:r>
        <w:rPr>
          <w:sz w:val="24"/>
          <w:szCs w:val="24"/>
        </w:rPr>
        <w:tab/>
      </w:r>
      <w:r w:rsidR="00176DE0">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w:t>
      </w:r>
      <w:r w:rsidR="00967502">
        <w:rPr>
          <w:sz w:val="24"/>
          <w:szCs w:val="24"/>
        </w:rPr>
        <w:t>3</w:t>
      </w:r>
      <w:r>
        <w:rPr>
          <w:sz w:val="24"/>
          <w:szCs w:val="24"/>
        </w:rPr>
        <w:t>-2</w:t>
      </w:r>
      <w:r w:rsidR="00967502">
        <w:rPr>
          <w:sz w:val="24"/>
          <w:szCs w:val="24"/>
        </w:rPr>
        <w:t>3</w:t>
      </w:r>
      <w:r w:rsidR="00E84715">
        <w:rPr>
          <w:sz w:val="24"/>
          <w:szCs w:val="24"/>
        </w:rPr>
        <w:t>64639</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786751" w:rsidP="00176DE0">
      <w:pPr>
        <w:rPr>
          <w:sz w:val="24"/>
          <w:szCs w:val="24"/>
        </w:rPr>
      </w:pPr>
      <w:r>
        <w:rPr>
          <w:sz w:val="24"/>
          <w:szCs w:val="24"/>
        </w:rPr>
        <w:t>PECO Energy Company</w:t>
      </w:r>
      <w:r>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871CAF" w:rsidP="00176DE0">
      <w:pPr>
        <w:jc w:val="center"/>
        <w:rPr>
          <w:b/>
          <w:sz w:val="24"/>
          <w:szCs w:val="24"/>
          <w:u w:val="single"/>
        </w:rPr>
      </w:pPr>
      <w:r>
        <w:rPr>
          <w:b/>
          <w:sz w:val="24"/>
          <w:szCs w:val="24"/>
          <w:u w:val="single"/>
        </w:rPr>
        <w:t>PREHEARING</w:t>
      </w:r>
      <w:r w:rsidR="00060932">
        <w:rPr>
          <w:b/>
          <w:sz w:val="24"/>
          <w:szCs w:val="24"/>
          <w:u w:val="single"/>
        </w:rPr>
        <w:t xml:space="preserve"> </w:t>
      </w:r>
      <w:r w:rsidR="00176DE0" w:rsidRPr="00C81100">
        <w:rPr>
          <w:b/>
          <w:sz w:val="24"/>
          <w:szCs w:val="24"/>
          <w:u w:val="single"/>
        </w:rPr>
        <w:t>ORDER</w:t>
      </w:r>
    </w:p>
    <w:p w:rsidR="00176DE0" w:rsidRPr="00C81100" w:rsidRDefault="00176DE0" w:rsidP="00176DE0">
      <w:pPr>
        <w:jc w:val="center"/>
        <w:rPr>
          <w:sz w:val="24"/>
          <w:szCs w:val="24"/>
        </w:rPr>
      </w:pPr>
    </w:p>
    <w:p w:rsidR="00ED3EC8" w:rsidRDefault="00ED3EC8" w:rsidP="00ED3EC8">
      <w:pPr>
        <w:jc w:val="center"/>
        <w:rPr>
          <w:b/>
        </w:rPr>
      </w:pPr>
    </w:p>
    <w:p w:rsidR="00967502" w:rsidRDefault="00ED3EC8" w:rsidP="00060932">
      <w:pPr>
        <w:spacing w:line="360" w:lineRule="auto"/>
        <w:rPr>
          <w:sz w:val="24"/>
          <w:szCs w:val="24"/>
        </w:rPr>
      </w:pPr>
      <w:r>
        <w:rPr>
          <w:sz w:val="24"/>
          <w:szCs w:val="24"/>
        </w:rPr>
        <w:tab/>
      </w:r>
      <w:r>
        <w:rPr>
          <w:sz w:val="24"/>
          <w:szCs w:val="24"/>
        </w:rPr>
        <w:tab/>
      </w:r>
      <w:r w:rsidR="00E74140">
        <w:rPr>
          <w:sz w:val="24"/>
          <w:szCs w:val="24"/>
        </w:rPr>
        <w:t xml:space="preserve">On </w:t>
      </w:r>
      <w:r w:rsidR="00E84715">
        <w:rPr>
          <w:sz w:val="24"/>
          <w:szCs w:val="24"/>
        </w:rPr>
        <w:t xml:space="preserve">September 27, </w:t>
      </w:r>
      <w:r w:rsidR="00E74140">
        <w:rPr>
          <w:sz w:val="24"/>
          <w:szCs w:val="24"/>
        </w:rPr>
        <w:t>201</w:t>
      </w:r>
      <w:r w:rsidR="00967502">
        <w:rPr>
          <w:sz w:val="24"/>
          <w:szCs w:val="24"/>
        </w:rPr>
        <w:t>3</w:t>
      </w:r>
      <w:r w:rsidR="00E74140">
        <w:rPr>
          <w:sz w:val="24"/>
          <w:szCs w:val="24"/>
        </w:rPr>
        <w:t>, a</w:t>
      </w:r>
      <w:r w:rsidR="00E84715">
        <w:rPr>
          <w:sz w:val="24"/>
          <w:szCs w:val="24"/>
        </w:rPr>
        <w:t xml:space="preserve"> telephonic </w:t>
      </w:r>
      <w:r w:rsidR="00E74140">
        <w:rPr>
          <w:sz w:val="24"/>
          <w:szCs w:val="24"/>
        </w:rPr>
        <w:t xml:space="preserve">hearing in the above-captioned matter </w:t>
      </w:r>
      <w:r w:rsidR="00967502">
        <w:rPr>
          <w:sz w:val="24"/>
          <w:szCs w:val="24"/>
        </w:rPr>
        <w:t>convened</w:t>
      </w:r>
      <w:r w:rsidR="008C7D99">
        <w:rPr>
          <w:sz w:val="24"/>
          <w:szCs w:val="24"/>
        </w:rPr>
        <w:t xml:space="preserve"> pursuant to Notice</w:t>
      </w:r>
      <w:r w:rsidR="00967502">
        <w:rPr>
          <w:sz w:val="24"/>
          <w:szCs w:val="24"/>
        </w:rPr>
        <w:t xml:space="preserve"> in </w:t>
      </w:r>
      <w:r w:rsidR="00E74140">
        <w:rPr>
          <w:sz w:val="24"/>
          <w:szCs w:val="24"/>
        </w:rPr>
        <w:t>Hearing Room No. 2 of the Commission’s Offices at 400 North Street, Harrisburg, Pennsylvania.  This Order is issued to confirm my verbal ruling</w:t>
      </w:r>
      <w:r w:rsidR="00E84715">
        <w:rPr>
          <w:sz w:val="24"/>
          <w:szCs w:val="24"/>
        </w:rPr>
        <w:t>s</w:t>
      </w:r>
      <w:r w:rsidR="00E74140">
        <w:rPr>
          <w:sz w:val="24"/>
          <w:szCs w:val="24"/>
        </w:rPr>
        <w:t xml:space="preserve"> made at that hearing p</w:t>
      </w:r>
      <w:r w:rsidR="00060932">
        <w:rPr>
          <w:sz w:val="24"/>
          <w:szCs w:val="24"/>
        </w:rPr>
        <w:t>ursuant to my authority as Presiding Officer under 52 Pa. Code § 5.483</w:t>
      </w:r>
      <w:r w:rsidR="00967502">
        <w:rPr>
          <w:sz w:val="24"/>
          <w:szCs w:val="24"/>
        </w:rPr>
        <w:t>.</w:t>
      </w:r>
    </w:p>
    <w:p w:rsidR="00967502" w:rsidRDefault="00967502" w:rsidP="00060932">
      <w:pPr>
        <w:spacing w:line="360" w:lineRule="auto"/>
        <w:rPr>
          <w:sz w:val="24"/>
          <w:szCs w:val="24"/>
        </w:rPr>
      </w:pPr>
    </w:p>
    <w:p w:rsidR="00871CAF" w:rsidRDefault="00967502" w:rsidP="00E84715">
      <w:pPr>
        <w:spacing w:line="360" w:lineRule="auto"/>
        <w:rPr>
          <w:sz w:val="24"/>
          <w:szCs w:val="24"/>
        </w:rPr>
      </w:pPr>
      <w:r>
        <w:rPr>
          <w:sz w:val="24"/>
          <w:szCs w:val="24"/>
        </w:rPr>
        <w:tab/>
      </w:r>
      <w:r>
        <w:rPr>
          <w:sz w:val="24"/>
          <w:szCs w:val="24"/>
        </w:rPr>
        <w:tab/>
      </w:r>
      <w:r w:rsidR="008C7D99">
        <w:rPr>
          <w:sz w:val="24"/>
          <w:szCs w:val="24"/>
        </w:rPr>
        <w:t>At the conclusion of Complainant’s case in chief, i</w:t>
      </w:r>
      <w:r w:rsidR="00E84715">
        <w:rPr>
          <w:sz w:val="24"/>
          <w:szCs w:val="24"/>
        </w:rPr>
        <w:t xml:space="preserve">t was necessary for me to continue this hearing, the reason being that the Complainant had not received the proposed exhibits that counsel for PECO Energy Company (PECO) had pre-served in this case.  The failure of receipt was not the fault of PECO’s counsel, however.  In fact, Cheryl </w:t>
      </w:r>
      <w:proofErr w:type="spellStart"/>
      <w:r w:rsidR="00E84715">
        <w:rPr>
          <w:sz w:val="24"/>
          <w:szCs w:val="24"/>
        </w:rPr>
        <w:t>Harbaugh</w:t>
      </w:r>
      <w:proofErr w:type="spellEnd"/>
      <w:r w:rsidR="00E84715">
        <w:rPr>
          <w:sz w:val="24"/>
          <w:szCs w:val="24"/>
        </w:rPr>
        <w:t xml:space="preserve"> (Complainant) had moved from her service address, apparently without informing PECO, so when the proposed exhibits arrived </w:t>
      </w:r>
      <w:r w:rsidR="00AE31FF">
        <w:rPr>
          <w:sz w:val="24"/>
          <w:szCs w:val="24"/>
        </w:rPr>
        <w:t xml:space="preserve">at the service address, </w:t>
      </w:r>
      <w:r w:rsidR="00E84715">
        <w:rPr>
          <w:sz w:val="24"/>
          <w:szCs w:val="24"/>
        </w:rPr>
        <w:t>they were returned to PECO as undeliverable.</w:t>
      </w:r>
    </w:p>
    <w:p w:rsidR="00E84715" w:rsidRDefault="00E84715" w:rsidP="00E84715">
      <w:pPr>
        <w:spacing w:line="360" w:lineRule="auto"/>
        <w:rPr>
          <w:sz w:val="24"/>
          <w:szCs w:val="24"/>
        </w:rPr>
      </w:pPr>
    </w:p>
    <w:p w:rsidR="00E84715" w:rsidRDefault="00E84715" w:rsidP="00E84715">
      <w:pPr>
        <w:spacing w:line="360" w:lineRule="auto"/>
        <w:rPr>
          <w:sz w:val="24"/>
          <w:szCs w:val="24"/>
        </w:rPr>
      </w:pPr>
      <w:r>
        <w:rPr>
          <w:sz w:val="24"/>
          <w:szCs w:val="24"/>
        </w:rPr>
        <w:tab/>
      </w:r>
      <w:r>
        <w:rPr>
          <w:sz w:val="24"/>
          <w:szCs w:val="24"/>
        </w:rPr>
        <w:tab/>
        <w:t xml:space="preserve">Counsel for PECO objected to my continuing this hearing on the grounds that PECO had complied with the Commission’s service requirements under the procedural rules in 52 Ps. Code, Chapter 5.  </w:t>
      </w:r>
      <w:r w:rsidR="008C7D99">
        <w:rPr>
          <w:sz w:val="24"/>
          <w:szCs w:val="24"/>
        </w:rPr>
        <w:t xml:space="preserve">I over-ruled that objection and denied counsel’s strident request to go on with the hearing.  </w:t>
      </w:r>
      <w:r>
        <w:rPr>
          <w:sz w:val="24"/>
          <w:szCs w:val="24"/>
        </w:rPr>
        <w:t xml:space="preserve">While I understand counsel’s argument—and frustration— the Commission has granted wide latitude to </w:t>
      </w:r>
      <w:r w:rsidRPr="00AE31FF">
        <w:rPr>
          <w:i/>
          <w:sz w:val="24"/>
          <w:szCs w:val="24"/>
        </w:rPr>
        <w:t>pro se</w:t>
      </w:r>
      <w:r>
        <w:rPr>
          <w:sz w:val="24"/>
          <w:szCs w:val="24"/>
        </w:rPr>
        <w:t xml:space="preserve"> litigants in the past, and every </w:t>
      </w:r>
      <w:r w:rsidRPr="00E84715">
        <w:rPr>
          <w:i/>
          <w:sz w:val="24"/>
          <w:szCs w:val="24"/>
        </w:rPr>
        <w:t>reasonable</w:t>
      </w:r>
      <w:r>
        <w:rPr>
          <w:sz w:val="24"/>
          <w:szCs w:val="24"/>
        </w:rPr>
        <w:t xml:space="preserve"> effort should be made to afford the Complainant due process of law.</w:t>
      </w:r>
    </w:p>
    <w:p w:rsidR="00E84715" w:rsidRDefault="00E84715" w:rsidP="00E84715">
      <w:pPr>
        <w:spacing w:line="360" w:lineRule="auto"/>
        <w:rPr>
          <w:sz w:val="24"/>
          <w:szCs w:val="24"/>
        </w:rPr>
      </w:pPr>
    </w:p>
    <w:p w:rsidR="00AE31FF" w:rsidRDefault="00E84715" w:rsidP="00E84715">
      <w:pPr>
        <w:spacing w:line="360" w:lineRule="auto"/>
        <w:rPr>
          <w:sz w:val="24"/>
          <w:szCs w:val="24"/>
        </w:rPr>
      </w:pPr>
      <w:r>
        <w:rPr>
          <w:sz w:val="24"/>
          <w:szCs w:val="24"/>
        </w:rPr>
        <w:tab/>
      </w:r>
      <w:r>
        <w:rPr>
          <w:sz w:val="24"/>
          <w:szCs w:val="24"/>
        </w:rPr>
        <w:tab/>
        <w:t xml:space="preserve">That being said, the Complainant’s conduct thus far in this proceeding is a cause for serious concern.  Complainant has been </w:t>
      </w:r>
      <w:r w:rsidR="002E44E3">
        <w:rPr>
          <w:sz w:val="24"/>
          <w:szCs w:val="24"/>
        </w:rPr>
        <w:t xml:space="preserve">unjustifiably </w:t>
      </w:r>
      <w:r>
        <w:rPr>
          <w:sz w:val="24"/>
          <w:szCs w:val="24"/>
        </w:rPr>
        <w:t xml:space="preserve">confrontational with both </w:t>
      </w:r>
      <w:proofErr w:type="gramStart"/>
      <w:r>
        <w:rPr>
          <w:sz w:val="24"/>
          <w:szCs w:val="24"/>
        </w:rPr>
        <w:t>counsel</w:t>
      </w:r>
      <w:proofErr w:type="gramEnd"/>
      <w:r>
        <w:rPr>
          <w:sz w:val="24"/>
          <w:szCs w:val="24"/>
        </w:rPr>
        <w:t xml:space="preserve"> for PECO and with this Presiding Officer.  I have already had to invoke the provision at 52 Pa. Code </w:t>
      </w:r>
    </w:p>
    <w:p w:rsidR="00E84715" w:rsidRDefault="00E84715" w:rsidP="00E84715">
      <w:pPr>
        <w:spacing w:line="360" w:lineRule="auto"/>
        <w:rPr>
          <w:sz w:val="24"/>
          <w:szCs w:val="24"/>
        </w:rPr>
      </w:pPr>
      <w:r>
        <w:rPr>
          <w:sz w:val="24"/>
          <w:szCs w:val="24"/>
        </w:rPr>
        <w:lastRenderedPageBreak/>
        <w:t xml:space="preserve">§ 5.245(c) relative to obstructive and disorderly conduct inimical to the public interest both on and off the record with this Complainant. Complainant has been repeatedly cautioned and is again placed on notice that further disrespectful or obstructive behavior will result in the termination of this proceeding and </w:t>
      </w:r>
      <w:r w:rsidR="00CA30B5">
        <w:rPr>
          <w:sz w:val="24"/>
          <w:szCs w:val="24"/>
        </w:rPr>
        <w:t xml:space="preserve">the </w:t>
      </w:r>
      <w:r>
        <w:rPr>
          <w:sz w:val="24"/>
          <w:szCs w:val="24"/>
        </w:rPr>
        <w:t>dismissal of her Complaint.  The groundless refusal to reply to relevant, appropriate questions</w:t>
      </w:r>
      <w:r w:rsidR="00AE31FF">
        <w:rPr>
          <w:sz w:val="24"/>
          <w:szCs w:val="24"/>
        </w:rPr>
        <w:t xml:space="preserve"> at hearing</w:t>
      </w:r>
      <w:r>
        <w:rPr>
          <w:sz w:val="24"/>
          <w:szCs w:val="24"/>
        </w:rPr>
        <w:t xml:space="preserve">, or any refusal to accept delivery of pre-served exhibits, or any further </w:t>
      </w:r>
      <w:r w:rsidR="00CA30B5">
        <w:rPr>
          <w:sz w:val="24"/>
          <w:szCs w:val="24"/>
        </w:rPr>
        <w:t xml:space="preserve">personal attacks or </w:t>
      </w:r>
      <w:r>
        <w:rPr>
          <w:sz w:val="24"/>
          <w:szCs w:val="24"/>
        </w:rPr>
        <w:t xml:space="preserve">derogatory comments with respect to </w:t>
      </w:r>
      <w:r w:rsidR="00CA30B5">
        <w:rPr>
          <w:sz w:val="24"/>
          <w:szCs w:val="24"/>
        </w:rPr>
        <w:t xml:space="preserve">counsel, PECO representatives and witnesses, or </w:t>
      </w:r>
      <w:r>
        <w:rPr>
          <w:sz w:val="24"/>
          <w:szCs w:val="24"/>
        </w:rPr>
        <w:t xml:space="preserve">the impartiality of the Presiding Officer </w:t>
      </w:r>
      <w:r w:rsidRPr="00E84715">
        <w:rPr>
          <w:sz w:val="24"/>
          <w:szCs w:val="24"/>
          <w:u w:val="single"/>
        </w:rPr>
        <w:t>will</w:t>
      </w:r>
      <w:r>
        <w:rPr>
          <w:sz w:val="24"/>
          <w:szCs w:val="24"/>
        </w:rPr>
        <w:t xml:space="preserve"> have consequences.</w:t>
      </w:r>
    </w:p>
    <w:p w:rsidR="00575B99" w:rsidRDefault="00575B99" w:rsidP="00871CAF">
      <w:pPr>
        <w:spacing w:line="360" w:lineRule="auto"/>
        <w:rPr>
          <w:sz w:val="24"/>
          <w:szCs w:val="24"/>
        </w:rPr>
      </w:pPr>
    </w:p>
    <w:p w:rsidR="00575B99" w:rsidRPr="00575B99" w:rsidRDefault="00575B99" w:rsidP="00575B99">
      <w:pPr>
        <w:spacing w:line="360" w:lineRule="auto"/>
        <w:jc w:val="center"/>
        <w:rPr>
          <w:sz w:val="24"/>
          <w:szCs w:val="24"/>
          <w:u w:val="single"/>
        </w:rPr>
      </w:pPr>
      <w:r>
        <w:rPr>
          <w:sz w:val="24"/>
          <w:szCs w:val="24"/>
          <w:u w:val="single"/>
        </w:rPr>
        <w:t>ORDER</w:t>
      </w:r>
    </w:p>
    <w:p w:rsidR="00575B99" w:rsidRPr="00871CAF" w:rsidRDefault="00575B99" w:rsidP="00871CAF">
      <w:pPr>
        <w:spacing w:line="360" w:lineRule="auto"/>
        <w:rPr>
          <w:sz w:val="24"/>
          <w:szCs w:val="24"/>
        </w:rPr>
      </w:pPr>
    </w:p>
    <w:p w:rsidR="00871CAF" w:rsidRPr="00871CAF" w:rsidRDefault="00871CAF" w:rsidP="00871CAF">
      <w:pPr>
        <w:spacing w:line="360" w:lineRule="auto"/>
        <w:rPr>
          <w:sz w:val="24"/>
          <w:szCs w:val="24"/>
        </w:rPr>
      </w:pPr>
      <w:r w:rsidRPr="00871CAF">
        <w:rPr>
          <w:sz w:val="24"/>
          <w:szCs w:val="24"/>
        </w:rPr>
        <w:tab/>
      </w:r>
      <w:r w:rsidRPr="00871CAF">
        <w:rPr>
          <w:sz w:val="24"/>
          <w:szCs w:val="24"/>
        </w:rPr>
        <w:tab/>
        <w:t>THEREFORE,</w:t>
      </w:r>
    </w:p>
    <w:p w:rsidR="00871CAF" w:rsidRPr="00871CAF" w:rsidRDefault="00871CAF" w:rsidP="00871CAF">
      <w:pPr>
        <w:spacing w:line="360" w:lineRule="auto"/>
        <w:rPr>
          <w:sz w:val="24"/>
          <w:szCs w:val="24"/>
        </w:rPr>
      </w:pPr>
    </w:p>
    <w:p w:rsidR="00871CAF" w:rsidRPr="00871CAF" w:rsidRDefault="00871CAF" w:rsidP="00871CAF">
      <w:pPr>
        <w:spacing w:line="360" w:lineRule="auto"/>
        <w:rPr>
          <w:sz w:val="24"/>
          <w:szCs w:val="24"/>
        </w:rPr>
      </w:pPr>
      <w:r w:rsidRPr="00871CAF">
        <w:rPr>
          <w:sz w:val="24"/>
          <w:szCs w:val="24"/>
        </w:rPr>
        <w:tab/>
      </w:r>
      <w:r w:rsidRPr="00871CAF">
        <w:rPr>
          <w:sz w:val="24"/>
          <w:szCs w:val="24"/>
        </w:rPr>
        <w:tab/>
        <w:t>IT IS ORDERED:</w:t>
      </w:r>
    </w:p>
    <w:p w:rsidR="00871CAF" w:rsidRPr="00871CAF" w:rsidRDefault="00871CAF" w:rsidP="00871CAF">
      <w:pPr>
        <w:spacing w:line="360" w:lineRule="auto"/>
        <w:rPr>
          <w:sz w:val="24"/>
          <w:szCs w:val="24"/>
        </w:rPr>
      </w:pPr>
    </w:p>
    <w:p w:rsidR="00871CAF" w:rsidRDefault="00871CAF" w:rsidP="00871CAF">
      <w:pPr>
        <w:spacing w:line="360" w:lineRule="auto"/>
        <w:rPr>
          <w:sz w:val="24"/>
          <w:szCs w:val="24"/>
        </w:rPr>
      </w:pPr>
      <w:r w:rsidRPr="00871CAF">
        <w:rPr>
          <w:sz w:val="24"/>
          <w:szCs w:val="24"/>
        </w:rPr>
        <w:tab/>
      </w:r>
      <w:r w:rsidRPr="00871CAF">
        <w:rPr>
          <w:sz w:val="24"/>
          <w:szCs w:val="24"/>
        </w:rPr>
        <w:tab/>
        <w:t>1.</w:t>
      </w:r>
      <w:r w:rsidRPr="00871CAF">
        <w:rPr>
          <w:sz w:val="24"/>
          <w:szCs w:val="24"/>
        </w:rPr>
        <w:tab/>
        <w:t xml:space="preserve">That the hearing </w:t>
      </w:r>
      <w:r w:rsidR="00CA30B5">
        <w:rPr>
          <w:sz w:val="24"/>
          <w:szCs w:val="24"/>
        </w:rPr>
        <w:t>of</w:t>
      </w:r>
      <w:r w:rsidRPr="00871CAF">
        <w:rPr>
          <w:sz w:val="24"/>
          <w:szCs w:val="24"/>
        </w:rPr>
        <w:t xml:space="preserve"> </w:t>
      </w:r>
      <w:r w:rsidR="0001716E">
        <w:rPr>
          <w:sz w:val="24"/>
          <w:szCs w:val="24"/>
        </w:rPr>
        <w:t>September 27</w:t>
      </w:r>
      <w:r>
        <w:rPr>
          <w:sz w:val="24"/>
          <w:szCs w:val="24"/>
        </w:rPr>
        <w:t>,</w:t>
      </w:r>
      <w:r w:rsidRPr="00871CAF">
        <w:rPr>
          <w:sz w:val="24"/>
          <w:szCs w:val="24"/>
        </w:rPr>
        <w:t xml:space="preserve"> 2013 be and hereby is continued </w:t>
      </w:r>
      <w:r>
        <w:rPr>
          <w:sz w:val="24"/>
          <w:szCs w:val="24"/>
        </w:rPr>
        <w:t xml:space="preserve">and will be re-scheduled as a </w:t>
      </w:r>
      <w:r w:rsidR="0001716E">
        <w:rPr>
          <w:sz w:val="24"/>
          <w:szCs w:val="24"/>
        </w:rPr>
        <w:t xml:space="preserve">further </w:t>
      </w:r>
      <w:r>
        <w:rPr>
          <w:sz w:val="24"/>
          <w:szCs w:val="24"/>
        </w:rPr>
        <w:t>telephonic hearing</w:t>
      </w:r>
      <w:r w:rsidRPr="00871CAF">
        <w:rPr>
          <w:sz w:val="24"/>
          <w:szCs w:val="24"/>
        </w:rPr>
        <w:t>.</w:t>
      </w:r>
    </w:p>
    <w:p w:rsidR="00871CAF" w:rsidRDefault="00871CAF" w:rsidP="00871CAF">
      <w:pPr>
        <w:spacing w:line="360" w:lineRule="auto"/>
        <w:rPr>
          <w:sz w:val="24"/>
          <w:szCs w:val="24"/>
        </w:rPr>
      </w:pPr>
    </w:p>
    <w:p w:rsidR="00575B99" w:rsidRDefault="00871CAF" w:rsidP="00871CAF">
      <w:pPr>
        <w:spacing w:line="360" w:lineRule="auto"/>
        <w:rPr>
          <w:sz w:val="24"/>
          <w:szCs w:val="24"/>
        </w:rPr>
      </w:pPr>
      <w:r>
        <w:rPr>
          <w:sz w:val="24"/>
          <w:szCs w:val="24"/>
        </w:rPr>
        <w:tab/>
      </w:r>
      <w:r>
        <w:rPr>
          <w:sz w:val="24"/>
          <w:szCs w:val="24"/>
        </w:rPr>
        <w:tab/>
        <w:t>2.</w:t>
      </w:r>
      <w:r>
        <w:rPr>
          <w:sz w:val="24"/>
          <w:szCs w:val="24"/>
        </w:rPr>
        <w:tab/>
        <w:t>Th</w:t>
      </w:r>
      <w:r w:rsidR="00575B99">
        <w:rPr>
          <w:sz w:val="24"/>
          <w:szCs w:val="24"/>
        </w:rPr>
        <w:t xml:space="preserve">at </w:t>
      </w:r>
      <w:r w:rsidR="0001716E">
        <w:rPr>
          <w:sz w:val="24"/>
          <w:szCs w:val="24"/>
        </w:rPr>
        <w:t>PECO Energy Company is directed to re-serve its proposed exhibits on the Complainant at the address provided at hearing.</w:t>
      </w:r>
    </w:p>
    <w:p w:rsidR="00575B99" w:rsidRDefault="00575B99" w:rsidP="00871CAF">
      <w:pPr>
        <w:spacing w:line="360" w:lineRule="auto"/>
        <w:rPr>
          <w:sz w:val="24"/>
          <w:szCs w:val="24"/>
        </w:rPr>
      </w:pPr>
    </w:p>
    <w:p w:rsidR="00575B99" w:rsidRDefault="00575B99" w:rsidP="00871CAF">
      <w:pPr>
        <w:spacing w:line="360" w:lineRule="auto"/>
        <w:rPr>
          <w:sz w:val="24"/>
          <w:szCs w:val="24"/>
        </w:rPr>
      </w:pPr>
      <w:r>
        <w:rPr>
          <w:sz w:val="24"/>
          <w:szCs w:val="24"/>
        </w:rPr>
        <w:tab/>
      </w:r>
      <w:r>
        <w:rPr>
          <w:sz w:val="24"/>
          <w:szCs w:val="24"/>
        </w:rPr>
        <w:tab/>
        <w:t>3.</w:t>
      </w:r>
      <w:r>
        <w:rPr>
          <w:sz w:val="24"/>
          <w:szCs w:val="24"/>
        </w:rPr>
        <w:tab/>
        <w:t xml:space="preserve">That the </w:t>
      </w:r>
      <w:r w:rsidR="00871CAF">
        <w:rPr>
          <w:sz w:val="24"/>
          <w:szCs w:val="24"/>
        </w:rPr>
        <w:t xml:space="preserve">Complainant is cautioned that any </w:t>
      </w:r>
      <w:r w:rsidR="0001716E">
        <w:rPr>
          <w:sz w:val="24"/>
          <w:szCs w:val="24"/>
        </w:rPr>
        <w:t>further obstructive or discourteous comments will result in the termination of this proceeding and the dismissal of her Complaint.</w:t>
      </w:r>
    </w:p>
    <w:p w:rsidR="0001716E" w:rsidRDefault="0001716E" w:rsidP="00871CAF">
      <w:pPr>
        <w:spacing w:line="360" w:lineRule="auto"/>
        <w:rPr>
          <w:sz w:val="24"/>
          <w:szCs w:val="24"/>
        </w:rPr>
      </w:pPr>
    </w:p>
    <w:p w:rsidR="00AE31FF" w:rsidRDefault="00575B99" w:rsidP="00575B99">
      <w:pPr>
        <w:spacing w:line="360" w:lineRule="auto"/>
        <w:rPr>
          <w:sz w:val="24"/>
          <w:szCs w:val="24"/>
        </w:rPr>
      </w:pPr>
      <w:r>
        <w:rPr>
          <w:sz w:val="24"/>
          <w:szCs w:val="24"/>
        </w:rPr>
        <w:tab/>
      </w:r>
      <w:r>
        <w:rPr>
          <w:sz w:val="24"/>
          <w:szCs w:val="24"/>
        </w:rPr>
        <w:tab/>
      </w:r>
      <w:r w:rsidRPr="00575B99">
        <w:rPr>
          <w:sz w:val="24"/>
          <w:szCs w:val="24"/>
        </w:rPr>
        <w:t>4.</w:t>
      </w:r>
      <w:r w:rsidRPr="00575B99">
        <w:rPr>
          <w:sz w:val="24"/>
          <w:szCs w:val="24"/>
        </w:rPr>
        <w:tab/>
        <w:t>Th</w:t>
      </w:r>
      <w:r w:rsidR="0001716E">
        <w:rPr>
          <w:sz w:val="24"/>
          <w:szCs w:val="24"/>
        </w:rPr>
        <w:t>at th</w:t>
      </w:r>
      <w:r w:rsidRPr="00575B99">
        <w:rPr>
          <w:sz w:val="24"/>
          <w:szCs w:val="24"/>
        </w:rPr>
        <w:t xml:space="preserve">e parties should take note that a </w:t>
      </w:r>
      <w:r>
        <w:rPr>
          <w:sz w:val="24"/>
          <w:szCs w:val="24"/>
        </w:rPr>
        <w:t>Presiding O</w:t>
      </w:r>
      <w:r w:rsidRPr="00575B99">
        <w:rPr>
          <w:sz w:val="24"/>
          <w:szCs w:val="24"/>
        </w:rPr>
        <w:t xml:space="preserve">fficer's orders must be complied with, and a lack of compliance presents a sufficient basis to dismiss a complaint. </w:t>
      </w:r>
      <w:proofErr w:type="spellStart"/>
      <w:r w:rsidRPr="00575B99">
        <w:rPr>
          <w:i/>
          <w:sz w:val="24"/>
          <w:szCs w:val="24"/>
        </w:rPr>
        <w:t>Treffinger</w:t>
      </w:r>
      <w:proofErr w:type="spellEnd"/>
      <w:r w:rsidRPr="00575B99">
        <w:rPr>
          <w:i/>
          <w:sz w:val="24"/>
          <w:szCs w:val="24"/>
        </w:rPr>
        <w:t xml:space="preserve"> v. PPL Electric Utilities Corp</w:t>
      </w:r>
      <w:r w:rsidRPr="00575B99">
        <w:rPr>
          <w:sz w:val="24"/>
          <w:szCs w:val="24"/>
        </w:rPr>
        <w:t xml:space="preserve">., Docket No. C-20027978 (Order entered March 3, 2003); </w:t>
      </w:r>
      <w:proofErr w:type="spellStart"/>
      <w:r w:rsidRPr="00575B99">
        <w:rPr>
          <w:i/>
          <w:sz w:val="24"/>
          <w:szCs w:val="24"/>
        </w:rPr>
        <w:t>Snyderville</w:t>
      </w:r>
      <w:proofErr w:type="spellEnd"/>
      <w:r w:rsidRPr="00575B99">
        <w:rPr>
          <w:i/>
          <w:sz w:val="24"/>
          <w:szCs w:val="24"/>
        </w:rPr>
        <w:t xml:space="preserve"> Community Development Corp. v. PGW</w:t>
      </w:r>
      <w:r w:rsidRPr="00575B99">
        <w:rPr>
          <w:sz w:val="24"/>
          <w:szCs w:val="24"/>
        </w:rPr>
        <w:t xml:space="preserve">, Docket No. C-20055032 (Order entered July </w:t>
      </w:r>
    </w:p>
    <w:p w:rsidR="00AE31FF" w:rsidRDefault="00AE31FF" w:rsidP="00575B99">
      <w:pPr>
        <w:spacing w:line="360" w:lineRule="auto"/>
        <w:rPr>
          <w:sz w:val="24"/>
          <w:szCs w:val="24"/>
        </w:rPr>
      </w:pPr>
    </w:p>
    <w:p w:rsidR="00AE31FF" w:rsidRDefault="00AE31FF" w:rsidP="00575B99">
      <w:pPr>
        <w:spacing w:line="360" w:lineRule="auto"/>
        <w:rPr>
          <w:sz w:val="24"/>
          <w:szCs w:val="24"/>
        </w:rPr>
      </w:pPr>
    </w:p>
    <w:p w:rsidR="00AE31FF" w:rsidRDefault="00AE31FF" w:rsidP="00575B99">
      <w:pPr>
        <w:spacing w:line="360" w:lineRule="auto"/>
        <w:rPr>
          <w:sz w:val="24"/>
          <w:szCs w:val="24"/>
        </w:rPr>
      </w:pPr>
    </w:p>
    <w:p w:rsidR="00575B99" w:rsidRDefault="00575B99" w:rsidP="00575B99">
      <w:pPr>
        <w:spacing w:line="360" w:lineRule="auto"/>
        <w:rPr>
          <w:sz w:val="24"/>
          <w:szCs w:val="24"/>
        </w:rPr>
      </w:pPr>
      <w:r w:rsidRPr="00575B99">
        <w:rPr>
          <w:sz w:val="24"/>
          <w:szCs w:val="24"/>
        </w:rPr>
        <w:lastRenderedPageBreak/>
        <w:t xml:space="preserve">31, 2006); </w:t>
      </w:r>
      <w:r w:rsidRPr="00575B99">
        <w:rPr>
          <w:i/>
          <w:sz w:val="24"/>
          <w:szCs w:val="24"/>
        </w:rPr>
        <w:t>Application of Black Diamond Cab Co</w:t>
      </w:r>
      <w:r w:rsidRPr="00575B99">
        <w:rPr>
          <w:sz w:val="24"/>
          <w:szCs w:val="24"/>
        </w:rPr>
        <w:t xml:space="preserve">., Docket No. </w:t>
      </w:r>
      <w:proofErr w:type="gramStart"/>
      <w:r w:rsidRPr="00575B99">
        <w:rPr>
          <w:sz w:val="24"/>
          <w:szCs w:val="24"/>
        </w:rPr>
        <w:t>A-00122566 (Order entered December 1, 1966).</w:t>
      </w:r>
      <w:proofErr w:type="gramEnd"/>
    </w:p>
    <w:p w:rsidR="00AE31FF" w:rsidRDefault="00AE31FF" w:rsidP="00575B99">
      <w:pPr>
        <w:spacing w:line="360" w:lineRule="auto"/>
        <w:rPr>
          <w:sz w:val="24"/>
          <w:szCs w:val="24"/>
        </w:rPr>
      </w:pPr>
    </w:p>
    <w:p w:rsidR="00871CAF" w:rsidRPr="00871CAF" w:rsidRDefault="00871CAF" w:rsidP="00871CAF">
      <w:pPr>
        <w:spacing w:line="360" w:lineRule="auto"/>
        <w:rPr>
          <w:sz w:val="24"/>
          <w:szCs w:val="24"/>
        </w:rPr>
      </w:pPr>
    </w:p>
    <w:tbl>
      <w:tblPr>
        <w:tblW w:w="0" w:type="auto"/>
        <w:tblLayout w:type="fixed"/>
        <w:tblLook w:val="0000" w:firstRow="0" w:lastRow="0" w:firstColumn="0" w:lastColumn="0" w:noHBand="0" w:noVBand="0"/>
      </w:tblPr>
      <w:tblGrid>
        <w:gridCol w:w="1098"/>
        <w:gridCol w:w="2340"/>
        <w:gridCol w:w="1890"/>
        <w:gridCol w:w="4248"/>
      </w:tblGrid>
      <w:tr w:rsidR="00871CAF" w:rsidRPr="00871CAF" w:rsidTr="00002C93">
        <w:tc>
          <w:tcPr>
            <w:tcW w:w="1098" w:type="dxa"/>
          </w:tcPr>
          <w:p w:rsidR="00871CAF" w:rsidRPr="00871CAF" w:rsidRDefault="00871CAF" w:rsidP="002636FF">
            <w:pPr>
              <w:rPr>
                <w:sz w:val="24"/>
                <w:szCs w:val="24"/>
              </w:rPr>
            </w:pPr>
            <w:r w:rsidRPr="00871CAF">
              <w:rPr>
                <w:sz w:val="24"/>
                <w:szCs w:val="24"/>
              </w:rPr>
              <w:t>Date:</w:t>
            </w:r>
          </w:p>
        </w:tc>
        <w:tc>
          <w:tcPr>
            <w:tcW w:w="2340" w:type="dxa"/>
          </w:tcPr>
          <w:p w:rsidR="00871CAF" w:rsidRPr="00871CAF" w:rsidRDefault="0001716E" w:rsidP="0001716E">
            <w:pPr>
              <w:rPr>
                <w:sz w:val="24"/>
                <w:szCs w:val="24"/>
                <w:u w:val="single"/>
              </w:rPr>
            </w:pPr>
            <w:r>
              <w:rPr>
                <w:sz w:val="24"/>
                <w:szCs w:val="24"/>
                <w:u w:val="single"/>
              </w:rPr>
              <w:t>September 30</w:t>
            </w:r>
            <w:r w:rsidR="00871CAF" w:rsidRPr="00871CAF">
              <w:rPr>
                <w:sz w:val="24"/>
                <w:szCs w:val="24"/>
                <w:u w:val="single"/>
              </w:rPr>
              <w:t>, 2013</w:t>
            </w:r>
          </w:p>
        </w:tc>
        <w:tc>
          <w:tcPr>
            <w:tcW w:w="1890" w:type="dxa"/>
            <w:tcBorders>
              <w:left w:val="nil"/>
            </w:tcBorders>
          </w:tcPr>
          <w:p w:rsidR="00871CAF" w:rsidRPr="00871CAF" w:rsidRDefault="00871CAF" w:rsidP="002636FF">
            <w:pPr>
              <w:rPr>
                <w:sz w:val="24"/>
                <w:szCs w:val="24"/>
              </w:rPr>
            </w:pPr>
            <w:r w:rsidRPr="00871CAF">
              <w:rPr>
                <w:sz w:val="24"/>
                <w:szCs w:val="24"/>
              </w:rPr>
              <w:t xml:space="preserve">  </w:t>
            </w:r>
          </w:p>
        </w:tc>
        <w:tc>
          <w:tcPr>
            <w:tcW w:w="4248" w:type="dxa"/>
            <w:tcBorders>
              <w:bottom w:val="single" w:sz="6" w:space="0" w:color="auto"/>
            </w:tcBorders>
          </w:tcPr>
          <w:p w:rsidR="00871CAF" w:rsidRPr="00871CAF" w:rsidRDefault="00871CAF" w:rsidP="002636FF">
            <w:pPr>
              <w:rPr>
                <w:sz w:val="24"/>
                <w:szCs w:val="24"/>
              </w:rPr>
            </w:pPr>
          </w:p>
        </w:tc>
      </w:tr>
      <w:tr w:rsidR="00871CAF" w:rsidRPr="00871CAF" w:rsidTr="00002C93">
        <w:tc>
          <w:tcPr>
            <w:tcW w:w="1098" w:type="dxa"/>
          </w:tcPr>
          <w:p w:rsidR="00871CAF" w:rsidRPr="00871CAF" w:rsidRDefault="00871CAF" w:rsidP="002636FF">
            <w:pPr>
              <w:rPr>
                <w:sz w:val="24"/>
                <w:szCs w:val="24"/>
              </w:rPr>
            </w:pPr>
          </w:p>
        </w:tc>
        <w:tc>
          <w:tcPr>
            <w:tcW w:w="2340" w:type="dxa"/>
          </w:tcPr>
          <w:p w:rsidR="00871CAF" w:rsidRPr="00871CAF" w:rsidRDefault="00871CAF" w:rsidP="002636FF">
            <w:pPr>
              <w:rPr>
                <w:sz w:val="24"/>
                <w:szCs w:val="24"/>
              </w:rPr>
            </w:pPr>
          </w:p>
        </w:tc>
        <w:tc>
          <w:tcPr>
            <w:tcW w:w="1890" w:type="dxa"/>
          </w:tcPr>
          <w:p w:rsidR="00871CAF" w:rsidRPr="00871CAF" w:rsidRDefault="00871CAF" w:rsidP="002636FF">
            <w:pPr>
              <w:rPr>
                <w:sz w:val="24"/>
                <w:szCs w:val="24"/>
              </w:rPr>
            </w:pPr>
          </w:p>
        </w:tc>
        <w:tc>
          <w:tcPr>
            <w:tcW w:w="4248" w:type="dxa"/>
          </w:tcPr>
          <w:p w:rsidR="00871CAF" w:rsidRPr="00871CAF" w:rsidRDefault="00871CAF" w:rsidP="002636FF">
            <w:pPr>
              <w:rPr>
                <w:sz w:val="24"/>
                <w:szCs w:val="24"/>
              </w:rPr>
            </w:pPr>
            <w:r w:rsidRPr="00871CAF">
              <w:rPr>
                <w:sz w:val="24"/>
                <w:szCs w:val="24"/>
              </w:rPr>
              <w:t>Dennis J. Buckley</w:t>
            </w:r>
          </w:p>
          <w:p w:rsidR="00871CAF" w:rsidRPr="00871CAF" w:rsidRDefault="00871CAF" w:rsidP="002636FF">
            <w:pPr>
              <w:rPr>
                <w:sz w:val="24"/>
                <w:szCs w:val="24"/>
              </w:rPr>
            </w:pPr>
            <w:r w:rsidRPr="00871CAF">
              <w:rPr>
                <w:sz w:val="24"/>
                <w:szCs w:val="24"/>
              </w:rPr>
              <w:t>Administrative Law Judge</w:t>
            </w:r>
          </w:p>
        </w:tc>
      </w:tr>
    </w:tbl>
    <w:p w:rsidR="00392616" w:rsidRDefault="00392616" w:rsidP="00060932">
      <w:pPr>
        <w:spacing w:line="360" w:lineRule="auto"/>
        <w:rPr>
          <w:sz w:val="24"/>
          <w:szCs w:val="24"/>
        </w:rPr>
        <w:sectPr w:rsidR="00392616" w:rsidSect="00ED3EC8">
          <w:footerReference w:type="even" r:id="rId8"/>
          <w:footerReference w:type="default" r:id="rId9"/>
          <w:pgSz w:w="12240" w:h="15840"/>
          <w:pgMar w:top="1296" w:right="1296" w:bottom="1296" w:left="1296" w:header="720" w:footer="720" w:gutter="0"/>
          <w:cols w:space="720"/>
          <w:titlePg/>
          <w:docGrid w:linePitch="360"/>
        </w:sectPr>
      </w:pPr>
    </w:p>
    <w:p w:rsidR="00392616" w:rsidRDefault="00392616" w:rsidP="00392616">
      <w:pPr>
        <w:contextualSpacing/>
        <w:rPr>
          <w:rFonts w:ascii="Microsoft Sans Serif"/>
          <w:b/>
          <w:sz w:val="24"/>
          <w:u w:val="single"/>
        </w:rPr>
      </w:pPr>
      <w:r>
        <w:rPr>
          <w:rFonts w:ascii="Microsoft Sans Serif"/>
          <w:b/>
          <w:sz w:val="24"/>
          <w:u w:val="single"/>
        </w:rPr>
        <w:lastRenderedPageBreak/>
        <w:t>C-2013-2364639 - CHERYL HARBAUGH v. PECO ENERGY COMPANY (</w:t>
      </w:r>
      <w:r>
        <w:rPr>
          <w:rFonts w:ascii="Microsoft Sans Serif"/>
          <w:b/>
          <w:i/>
          <w:sz w:val="24"/>
          <w:u w:val="single"/>
        </w:rPr>
        <w:t>Revised</w:t>
      </w:r>
      <w:r>
        <w:rPr>
          <w:rFonts w:ascii="Microsoft Sans Serif"/>
          <w:b/>
          <w:i/>
          <w:sz w:val="24"/>
          <w:u w:val="single"/>
        </w:rPr>
        <w:t> </w:t>
      </w:r>
      <w:r>
        <w:rPr>
          <w:rFonts w:ascii="Microsoft Sans Serif"/>
          <w:b/>
          <w:i/>
          <w:sz w:val="24"/>
          <w:u w:val="single"/>
        </w:rPr>
        <w:t>10/1/13</w:t>
      </w:r>
      <w:r>
        <w:rPr>
          <w:rFonts w:ascii="Microsoft Sans Serif"/>
          <w:b/>
          <w:sz w:val="24"/>
          <w:u w:val="single"/>
        </w:rPr>
        <w:t>)</w:t>
      </w:r>
    </w:p>
    <w:p w:rsidR="00392616" w:rsidRDefault="00392616" w:rsidP="00392616">
      <w:pPr>
        <w:contextualSpacing/>
        <w:rPr>
          <w:rFonts w:ascii="Microsoft Sans Serif"/>
          <w:b/>
          <w:sz w:val="24"/>
          <w:u w:val="single"/>
        </w:rPr>
      </w:pPr>
    </w:p>
    <w:p w:rsidR="00392616" w:rsidRDefault="00392616" w:rsidP="00392616">
      <w:pPr>
        <w:contextualSpacing/>
        <w:rPr>
          <w:rFonts w:ascii="Microsoft Sans Serif"/>
          <w:sz w:val="24"/>
        </w:rPr>
      </w:pPr>
      <w:r>
        <w:rPr>
          <w:rFonts w:ascii="Microsoft Sans Serif"/>
          <w:sz w:val="24"/>
        </w:rPr>
        <w:t>CHERYL HARBAUGH</w:t>
      </w:r>
    </w:p>
    <w:p w:rsidR="00392616" w:rsidRDefault="00392616" w:rsidP="00392616">
      <w:pPr>
        <w:contextualSpacing/>
        <w:rPr>
          <w:rFonts w:ascii="Microsoft Sans Serif"/>
          <w:sz w:val="24"/>
        </w:rPr>
      </w:pPr>
      <w:r>
        <w:rPr>
          <w:rFonts w:ascii="Microsoft Sans Serif"/>
          <w:sz w:val="24"/>
        </w:rPr>
        <w:t>1700 DUTTON MILL COURT</w:t>
      </w:r>
    </w:p>
    <w:p w:rsidR="00392616" w:rsidRDefault="00392616" w:rsidP="00392616">
      <w:pPr>
        <w:contextualSpacing/>
        <w:rPr>
          <w:rFonts w:ascii="Microsoft Sans Serif"/>
          <w:sz w:val="24"/>
        </w:rPr>
      </w:pPr>
      <w:r>
        <w:rPr>
          <w:rFonts w:ascii="Microsoft Sans Serif"/>
          <w:sz w:val="24"/>
        </w:rPr>
        <w:t>ASTON PA  19014</w:t>
      </w:r>
    </w:p>
    <w:p w:rsidR="00392616" w:rsidRDefault="00392616" w:rsidP="00392616">
      <w:pPr>
        <w:contextualSpacing/>
        <w:rPr>
          <w:rFonts w:ascii="Microsoft Sans Serif"/>
          <w:sz w:val="24"/>
        </w:rPr>
      </w:pPr>
      <w:r>
        <w:rPr>
          <w:rFonts w:ascii="Microsoft Sans Serif"/>
          <w:sz w:val="24"/>
        </w:rPr>
        <w:t>610-990-1798</w:t>
      </w:r>
    </w:p>
    <w:p w:rsidR="00392616" w:rsidRDefault="00392616" w:rsidP="00392616">
      <w:pPr>
        <w:contextualSpacing/>
        <w:rPr>
          <w:rFonts w:ascii="Microsoft Sans Serif"/>
          <w:sz w:val="24"/>
        </w:rPr>
      </w:pPr>
    </w:p>
    <w:p w:rsidR="00392616" w:rsidRDefault="00392616" w:rsidP="00392616">
      <w:pPr>
        <w:contextualSpacing/>
        <w:rPr>
          <w:rFonts w:ascii="Microsoft Sans Serif"/>
          <w:sz w:val="24"/>
        </w:rPr>
      </w:pPr>
      <w:bookmarkStart w:id="0" w:name="_GoBack"/>
      <w:r>
        <w:rPr>
          <w:rFonts w:ascii="Microsoft Sans Serif"/>
          <w:sz w:val="24"/>
        </w:rPr>
        <w:t>DANIEL HARBAUGH</w:t>
      </w:r>
    </w:p>
    <w:p w:rsidR="00392616" w:rsidRDefault="00392616" w:rsidP="00392616">
      <w:pPr>
        <w:contextualSpacing/>
        <w:rPr>
          <w:rFonts w:ascii="Microsoft Sans Serif"/>
          <w:sz w:val="24"/>
        </w:rPr>
      </w:pPr>
      <w:r>
        <w:rPr>
          <w:rFonts w:ascii="Microsoft Sans Serif"/>
          <w:sz w:val="24"/>
        </w:rPr>
        <w:t>2103 OPAL AVENUE</w:t>
      </w:r>
    </w:p>
    <w:p w:rsidR="00392616" w:rsidRDefault="00392616" w:rsidP="00392616">
      <w:pPr>
        <w:contextualSpacing/>
        <w:rPr>
          <w:rFonts w:ascii="Microsoft Sans Serif"/>
          <w:sz w:val="24"/>
        </w:rPr>
      </w:pPr>
      <w:r>
        <w:rPr>
          <w:rFonts w:ascii="Microsoft Sans Serif"/>
          <w:sz w:val="24"/>
        </w:rPr>
        <w:t>BOOTHWYN PA  19068</w:t>
      </w:r>
    </w:p>
    <w:bookmarkEnd w:id="0"/>
    <w:p w:rsidR="00392616" w:rsidRDefault="00392616" w:rsidP="00392616">
      <w:pPr>
        <w:contextualSpacing/>
        <w:rPr>
          <w:rFonts w:ascii="Microsoft Sans Serif"/>
          <w:sz w:val="24"/>
        </w:rPr>
      </w:pPr>
    </w:p>
    <w:p w:rsidR="00392616" w:rsidRDefault="00392616" w:rsidP="00392616">
      <w:pPr>
        <w:contextualSpacing/>
        <w:rPr>
          <w:rFonts w:ascii="Microsoft Sans Serif"/>
          <w:sz w:val="24"/>
        </w:rPr>
      </w:pPr>
      <w:r>
        <w:rPr>
          <w:rFonts w:ascii="Microsoft Sans Serif"/>
          <w:sz w:val="24"/>
        </w:rPr>
        <w:t>SHAWANE L LEE ESQUIRE</w:t>
      </w:r>
    </w:p>
    <w:p w:rsidR="00392616" w:rsidRDefault="00392616" w:rsidP="00392616">
      <w:pPr>
        <w:contextualSpacing/>
        <w:rPr>
          <w:rFonts w:ascii="Microsoft Sans Serif"/>
          <w:sz w:val="24"/>
        </w:rPr>
      </w:pPr>
      <w:r>
        <w:rPr>
          <w:rFonts w:ascii="Microsoft Sans Serif"/>
          <w:sz w:val="24"/>
        </w:rPr>
        <w:t>EXELON BUSINESS SERVICES</w:t>
      </w:r>
    </w:p>
    <w:p w:rsidR="00392616" w:rsidRDefault="00392616" w:rsidP="00392616">
      <w:pPr>
        <w:contextualSpacing/>
        <w:rPr>
          <w:rFonts w:ascii="Microsoft Sans Serif"/>
          <w:sz w:val="24"/>
        </w:rPr>
      </w:pPr>
      <w:r>
        <w:rPr>
          <w:rFonts w:ascii="Microsoft Sans Serif"/>
          <w:sz w:val="24"/>
        </w:rPr>
        <w:t>2301 MARKET STREET S23-1</w:t>
      </w:r>
    </w:p>
    <w:p w:rsidR="00392616" w:rsidRDefault="00392616" w:rsidP="00392616">
      <w:pPr>
        <w:contextualSpacing/>
        <w:rPr>
          <w:rFonts w:ascii="Microsoft Sans Serif"/>
          <w:sz w:val="24"/>
        </w:rPr>
      </w:pPr>
      <w:r>
        <w:rPr>
          <w:rFonts w:ascii="Microsoft Sans Serif"/>
          <w:sz w:val="24"/>
        </w:rPr>
        <w:t>PHILADELPHIA PA  19103</w:t>
      </w:r>
    </w:p>
    <w:p w:rsidR="00392616" w:rsidRDefault="00392616" w:rsidP="00392616">
      <w:pPr>
        <w:contextualSpacing/>
        <w:rPr>
          <w:rFonts w:ascii="Microsoft Sans Serif"/>
          <w:sz w:val="24"/>
        </w:rPr>
      </w:pPr>
      <w:r>
        <w:rPr>
          <w:rFonts w:ascii="Microsoft Sans Serif"/>
          <w:sz w:val="24"/>
        </w:rPr>
        <w:t>215-841-6841</w:t>
      </w:r>
    </w:p>
    <w:p w:rsidR="00392616" w:rsidRDefault="00392616" w:rsidP="00392616">
      <w:pPr>
        <w:contextualSpacing/>
        <w:rPr>
          <w:rFonts w:ascii="Microsoft Sans Serif"/>
          <w:sz w:val="24"/>
        </w:rPr>
      </w:pPr>
      <w:r>
        <w:rPr>
          <w:rFonts w:ascii="Microsoft Sans Serif"/>
          <w:b/>
          <w:i/>
          <w:sz w:val="24"/>
          <w:u w:val="single"/>
        </w:rPr>
        <w:t>E-Serve</w:t>
      </w:r>
    </w:p>
    <w:p w:rsidR="00392616" w:rsidRDefault="00392616" w:rsidP="00392616">
      <w:pPr>
        <w:contextualSpacing/>
        <w:rPr>
          <w:rFonts w:asciiTheme="minorHAnsi"/>
          <w:sz w:val="22"/>
        </w:rPr>
      </w:pPr>
    </w:p>
    <w:p w:rsidR="00392616" w:rsidRDefault="00392616" w:rsidP="00392616">
      <w:pPr>
        <w:contextualSpacing/>
      </w:pPr>
    </w:p>
    <w:p w:rsidR="00871CAF" w:rsidRDefault="00871CAF" w:rsidP="00060932">
      <w:pPr>
        <w:spacing w:line="360" w:lineRule="auto"/>
        <w:rPr>
          <w:sz w:val="24"/>
          <w:szCs w:val="24"/>
        </w:rPr>
      </w:pPr>
    </w:p>
    <w:sectPr w:rsidR="00871CAF"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3A" w:rsidRDefault="009C193A">
      <w:r>
        <w:separator/>
      </w:r>
    </w:p>
  </w:endnote>
  <w:endnote w:type="continuationSeparator" w:id="0">
    <w:p w:rsidR="009C193A" w:rsidRDefault="009C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392616">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3A" w:rsidRDefault="009C193A">
      <w:r>
        <w:separator/>
      </w:r>
    </w:p>
  </w:footnote>
  <w:footnote w:type="continuationSeparator" w:id="0">
    <w:p w:rsidR="009C193A" w:rsidRDefault="009C1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1716E"/>
    <w:rsid w:val="0002105C"/>
    <w:rsid w:val="00026731"/>
    <w:rsid w:val="00035BB8"/>
    <w:rsid w:val="000541C0"/>
    <w:rsid w:val="000576ED"/>
    <w:rsid w:val="000576F6"/>
    <w:rsid w:val="000605B6"/>
    <w:rsid w:val="00060932"/>
    <w:rsid w:val="00061278"/>
    <w:rsid w:val="000634EB"/>
    <w:rsid w:val="00063801"/>
    <w:rsid w:val="00067CBC"/>
    <w:rsid w:val="000902E3"/>
    <w:rsid w:val="0009220F"/>
    <w:rsid w:val="00092B4E"/>
    <w:rsid w:val="00092E44"/>
    <w:rsid w:val="00093562"/>
    <w:rsid w:val="000A770B"/>
    <w:rsid w:val="000B339A"/>
    <w:rsid w:val="000C1EFC"/>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63D55"/>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36FF"/>
    <w:rsid w:val="0026705F"/>
    <w:rsid w:val="002704DD"/>
    <w:rsid w:val="002761A2"/>
    <w:rsid w:val="00284760"/>
    <w:rsid w:val="0029096F"/>
    <w:rsid w:val="0029353E"/>
    <w:rsid w:val="00297286"/>
    <w:rsid w:val="002A05C6"/>
    <w:rsid w:val="002A5F4D"/>
    <w:rsid w:val="002B754D"/>
    <w:rsid w:val="002C4F02"/>
    <w:rsid w:val="002E1B09"/>
    <w:rsid w:val="002E44E3"/>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92616"/>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3C1"/>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B99"/>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8470A"/>
    <w:rsid w:val="00786751"/>
    <w:rsid w:val="00787AF1"/>
    <w:rsid w:val="007B1039"/>
    <w:rsid w:val="007C60BB"/>
    <w:rsid w:val="007D5B1C"/>
    <w:rsid w:val="007E0ADA"/>
    <w:rsid w:val="007E5866"/>
    <w:rsid w:val="00804065"/>
    <w:rsid w:val="008317F0"/>
    <w:rsid w:val="00840A53"/>
    <w:rsid w:val="008427B3"/>
    <w:rsid w:val="0085047D"/>
    <w:rsid w:val="008524EA"/>
    <w:rsid w:val="00857642"/>
    <w:rsid w:val="00857F8E"/>
    <w:rsid w:val="0086268A"/>
    <w:rsid w:val="00864B15"/>
    <w:rsid w:val="00865C18"/>
    <w:rsid w:val="0086621E"/>
    <w:rsid w:val="00871CAF"/>
    <w:rsid w:val="00882CB8"/>
    <w:rsid w:val="00884650"/>
    <w:rsid w:val="00890848"/>
    <w:rsid w:val="00893901"/>
    <w:rsid w:val="008A41C8"/>
    <w:rsid w:val="008B19B1"/>
    <w:rsid w:val="008B2982"/>
    <w:rsid w:val="008C03AD"/>
    <w:rsid w:val="008C1485"/>
    <w:rsid w:val="008C7D99"/>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502"/>
    <w:rsid w:val="00972738"/>
    <w:rsid w:val="00980958"/>
    <w:rsid w:val="00987014"/>
    <w:rsid w:val="00990C56"/>
    <w:rsid w:val="00997443"/>
    <w:rsid w:val="009A146B"/>
    <w:rsid w:val="009A68E7"/>
    <w:rsid w:val="009B66C0"/>
    <w:rsid w:val="009C193A"/>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1DF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31FF"/>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A30B5"/>
    <w:rsid w:val="00CA42D7"/>
    <w:rsid w:val="00CC1659"/>
    <w:rsid w:val="00CC30C3"/>
    <w:rsid w:val="00CE047D"/>
    <w:rsid w:val="00CE7731"/>
    <w:rsid w:val="00CF6A79"/>
    <w:rsid w:val="00CF7CCE"/>
    <w:rsid w:val="00D02D5A"/>
    <w:rsid w:val="00D06F2D"/>
    <w:rsid w:val="00D13B2D"/>
    <w:rsid w:val="00D16E7D"/>
    <w:rsid w:val="00D17731"/>
    <w:rsid w:val="00D21DFB"/>
    <w:rsid w:val="00D23D53"/>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2993"/>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74140"/>
    <w:rsid w:val="00E80333"/>
    <w:rsid w:val="00E8107B"/>
    <w:rsid w:val="00E84715"/>
    <w:rsid w:val="00E9310C"/>
    <w:rsid w:val="00E9501F"/>
    <w:rsid w:val="00E9676A"/>
    <w:rsid w:val="00E96920"/>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99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67502"/>
    <w:rPr>
      <w:sz w:val="20"/>
      <w:szCs w:val="20"/>
    </w:rPr>
  </w:style>
  <w:style w:type="character" w:customStyle="1" w:styleId="FootnoteTextChar">
    <w:name w:val="Footnote Text Char"/>
    <w:basedOn w:val="DefaultParagraphFont"/>
    <w:link w:val="FootnoteText"/>
    <w:uiPriority w:val="99"/>
    <w:semiHidden/>
    <w:rsid w:val="00967502"/>
    <w:rPr>
      <w:rFonts w:eastAsia="Times New Roman"/>
    </w:rPr>
  </w:style>
  <w:style w:type="character" w:styleId="FootnoteReference">
    <w:name w:val="footnote reference"/>
    <w:basedOn w:val="DefaultParagraphFont"/>
    <w:uiPriority w:val="99"/>
    <w:semiHidden/>
    <w:unhideWhenUsed/>
    <w:rsid w:val="009675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99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67502"/>
    <w:rPr>
      <w:sz w:val="20"/>
      <w:szCs w:val="20"/>
    </w:rPr>
  </w:style>
  <w:style w:type="character" w:customStyle="1" w:styleId="FootnoteTextChar">
    <w:name w:val="Footnote Text Char"/>
    <w:basedOn w:val="DefaultParagraphFont"/>
    <w:link w:val="FootnoteText"/>
    <w:uiPriority w:val="99"/>
    <w:semiHidden/>
    <w:rsid w:val="00967502"/>
    <w:rPr>
      <w:rFonts w:eastAsia="Times New Roman"/>
    </w:rPr>
  </w:style>
  <w:style w:type="character" w:styleId="FootnoteReference">
    <w:name w:val="footnote reference"/>
    <w:basedOn w:val="DefaultParagraphFont"/>
    <w:uiPriority w:val="99"/>
    <w:semiHidden/>
    <w:unhideWhenUsed/>
    <w:rsid w:val="00967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8431-2C31-41A1-9B5E-C29299A3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2013-10-01T17:36:00Z</cp:lastPrinted>
  <dcterms:created xsi:type="dcterms:W3CDTF">2013-10-01T17:36:00Z</dcterms:created>
  <dcterms:modified xsi:type="dcterms:W3CDTF">2013-10-01T17:43:00Z</dcterms:modified>
</cp:coreProperties>
</file>