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601F5F" w:rsidRDefault="00FE4A06" w:rsidP="00CF4780">
      <w:r>
        <w:t xml:space="preserve">Pearl </w:t>
      </w:r>
      <w:proofErr w:type="spellStart"/>
      <w:r>
        <w:t>Dikens</w:t>
      </w:r>
      <w:proofErr w:type="spellEnd"/>
      <w:r>
        <w:tab/>
      </w:r>
      <w:r>
        <w:tab/>
      </w:r>
      <w:r w:rsidR="00AA04D1">
        <w:tab/>
      </w:r>
      <w:r w:rsidR="00601F5F">
        <w:tab/>
      </w:r>
      <w:r w:rsidR="00601F5F">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1E5B71">
        <w:t>3</w:t>
      </w:r>
      <w:r w:rsidR="000962F2">
        <w:t>-2</w:t>
      </w:r>
      <w:r w:rsidR="007575B7">
        <w:t>3</w:t>
      </w:r>
      <w:r w:rsidR="00FE4A06">
        <w:t>67268</w:t>
      </w:r>
    </w:p>
    <w:p w:rsidR="00CF4780" w:rsidRDefault="00CF4780" w:rsidP="00CF4780">
      <w:r>
        <w:tab/>
      </w:r>
      <w:r>
        <w:tab/>
      </w:r>
      <w:r>
        <w:tab/>
      </w:r>
      <w:r>
        <w:tab/>
      </w:r>
      <w:r>
        <w:tab/>
      </w:r>
      <w:r>
        <w:tab/>
        <w:t>:</w:t>
      </w:r>
    </w:p>
    <w:p w:rsidR="00CF4780" w:rsidRDefault="00D73441" w:rsidP="00CF4780">
      <w:r>
        <w:t>Pennsylvania American Water Company</w:t>
      </w:r>
      <w:r w:rsidR="00CF4780">
        <w:tab/>
        <w:t>:</w:t>
      </w:r>
    </w:p>
    <w:p w:rsidR="00CF4780" w:rsidRDefault="00CF4780" w:rsidP="00CF4780"/>
    <w:p w:rsidR="00CF4780" w:rsidRDefault="00CF4780" w:rsidP="00CF4780"/>
    <w:p w:rsidR="001E5B71" w:rsidRDefault="001E5B71" w:rsidP="00CF4780"/>
    <w:p w:rsidR="00841336" w:rsidRPr="00F83F79" w:rsidRDefault="001E5B71" w:rsidP="001E5B71">
      <w:pPr>
        <w:tabs>
          <w:tab w:val="center" w:pos="0"/>
        </w:tabs>
        <w:suppressAutoHyphens/>
        <w:ind w:right="-720"/>
        <w:rPr>
          <w:b/>
          <w:bCs/>
          <w:spacing w:val="-3"/>
        </w:rPr>
      </w:pPr>
      <w:r>
        <w:rPr>
          <w:b/>
          <w:bCs/>
          <w:spacing w:val="-3"/>
        </w:rPr>
        <w:tab/>
      </w:r>
      <w:r>
        <w:rPr>
          <w:b/>
          <w:bCs/>
          <w:spacing w:val="-3"/>
        </w:rPr>
        <w:tab/>
      </w:r>
      <w:r>
        <w:rPr>
          <w:b/>
          <w:bCs/>
          <w:spacing w:val="-3"/>
        </w:rPr>
        <w:tab/>
      </w:r>
      <w:r>
        <w:rPr>
          <w:b/>
          <w:bCs/>
          <w:spacing w:val="-3"/>
        </w:rPr>
        <w:tab/>
      </w:r>
      <w:r>
        <w:rPr>
          <w:b/>
          <w:bCs/>
          <w:spacing w:val="-3"/>
          <w:u w:val="single"/>
        </w:rPr>
        <w:t>O</w:t>
      </w:r>
      <w:r w:rsidR="00AA1D53">
        <w:rPr>
          <w:b/>
          <w:bCs/>
          <w:spacing w:val="-3"/>
          <w:u w:val="single"/>
        </w:rPr>
        <w:t xml:space="preserve">RDER </w:t>
      </w:r>
      <w:r w:rsidR="00DA413C">
        <w:rPr>
          <w:b/>
          <w:bCs/>
          <w:spacing w:val="-3"/>
          <w:u w:val="single"/>
        </w:rPr>
        <w:t>CONTINUING HEARING</w:t>
      </w:r>
    </w:p>
    <w:p w:rsidR="00F83F79" w:rsidRDefault="00F83F79" w:rsidP="00F83F79">
      <w:pPr>
        <w:tabs>
          <w:tab w:val="left" w:pos="-720"/>
        </w:tabs>
        <w:suppressAutoHyphens/>
        <w:autoSpaceDE w:val="0"/>
        <w:autoSpaceDN w:val="0"/>
        <w:spacing w:line="360" w:lineRule="auto"/>
        <w:ind w:right="-720"/>
      </w:pPr>
    </w:p>
    <w:p w:rsidR="00DA413C" w:rsidRDefault="00F83F79" w:rsidP="008B22BE">
      <w:pPr>
        <w:tabs>
          <w:tab w:val="left" w:pos="-720"/>
        </w:tabs>
        <w:suppressAutoHyphens/>
        <w:autoSpaceDE w:val="0"/>
        <w:autoSpaceDN w:val="0"/>
        <w:spacing w:line="360" w:lineRule="auto"/>
      </w:pPr>
      <w:r w:rsidRPr="00F83F79">
        <w:tab/>
      </w:r>
      <w:r w:rsidRPr="00F83F79">
        <w:tab/>
      </w:r>
      <w:r w:rsidR="00DA413C">
        <w:t xml:space="preserve">This Order </w:t>
      </w:r>
      <w:r w:rsidR="00B444BE">
        <w:t xml:space="preserve">confirms an informal decision rendered by e-mail on September 24, 2013, </w:t>
      </w:r>
      <w:r w:rsidR="00DA413C">
        <w:t>continu</w:t>
      </w:r>
      <w:r w:rsidR="00B444BE">
        <w:t>ing</w:t>
      </w:r>
      <w:r w:rsidR="00DA413C">
        <w:t xml:space="preserve"> the hearing in this case that was originally scheduled for </w:t>
      </w:r>
      <w:r w:rsidR="00FE4A06">
        <w:t>September 26, 2013</w:t>
      </w:r>
      <w:r w:rsidR="00DA413C">
        <w:t>.</w:t>
      </w:r>
      <w:r w:rsidR="00B444BE">
        <w:t xml:space="preserve">  This Order also provides additional guidance to the survivors of the Complainant, Pearl </w:t>
      </w:r>
      <w:proofErr w:type="spellStart"/>
      <w:r w:rsidR="00B444BE">
        <w:t>Dikens</w:t>
      </w:r>
      <w:proofErr w:type="spellEnd"/>
      <w:r w:rsidR="00B444BE">
        <w:t>.</w:t>
      </w:r>
    </w:p>
    <w:p w:rsidR="00DA413C" w:rsidRDefault="00DA413C" w:rsidP="008B22BE">
      <w:pPr>
        <w:tabs>
          <w:tab w:val="left" w:pos="-720"/>
        </w:tabs>
        <w:suppressAutoHyphens/>
        <w:autoSpaceDE w:val="0"/>
        <w:autoSpaceDN w:val="0"/>
        <w:spacing w:line="360" w:lineRule="auto"/>
      </w:pPr>
    </w:p>
    <w:p w:rsidR="001E5B71" w:rsidRDefault="001E5B71" w:rsidP="001E5B71">
      <w:pPr>
        <w:tabs>
          <w:tab w:val="left" w:pos="-720"/>
        </w:tabs>
        <w:suppressAutoHyphens/>
        <w:autoSpaceDE w:val="0"/>
        <w:autoSpaceDN w:val="0"/>
        <w:spacing w:line="360" w:lineRule="auto"/>
      </w:pPr>
      <w:r>
        <w:tab/>
      </w:r>
      <w:r>
        <w:tab/>
      </w:r>
      <w:r w:rsidR="00FE4A06">
        <w:t xml:space="preserve">On May 28, 2013, Pearl </w:t>
      </w:r>
      <w:proofErr w:type="spellStart"/>
      <w:r w:rsidR="00FE4A06">
        <w:t>Dikens</w:t>
      </w:r>
      <w:proofErr w:type="spellEnd"/>
      <w:r w:rsidR="00FE4A06">
        <w:t xml:space="preserve"> (Complainant) filed a formal Complaint against </w:t>
      </w:r>
      <w:r w:rsidR="00FE4A06" w:rsidRPr="00FE4A06">
        <w:t>Pennsylvania American Water Company</w:t>
      </w:r>
      <w:r w:rsidR="00FE4A06">
        <w:t xml:space="preserve"> (Respondent or PAWC) alleging that her bills for water service are too high.  On June 26, 2013, counsel for PAWC timely filed an Answer and New Matter to the Complaint.  Complainant did not file any responsive pleading to the New Matter.</w:t>
      </w:r>
    </w:p>
    <w:p w:rsidR="00FE4A06" w:rsidRDefault="00FE4A06" w:rsidP="001E5B71">
      <w:pPr>
        <w:tabs>
          <w:tab w:val="left" w:pos="-720"/>
        </w:tabs>
        <w:suppressAutoHyphens/>
        <w:autoSpaceDE w:val="0"/>
        <w:autoSpaceDN w:val="0"/>
        <w:spacing w:line="360" w:lineRule="auto"/>
      </w:pPr>
    </w:p>
    <w:p w:rsidR="00FE4A06" w:rsidRDefault="00FE4A06" w:rsidP="001E5B71">
      <w:pPr>
        <w:tabs>
          <w:tab w:val="left" w:pos="-720"/>
        </w:tabs>
        <w:suppressAutoHyphens/>
        <w:autoSpaceDE w:val="0"/>
        <w:autoSpaceDN w:val="0"/>
        <w:spacing w:line="360" w:lineRule="auto"/>
      </w:pPr>
      <w:r>
        <w:tab/>
      </w:r>
      <w:r>
        <w:tab/>
      </w:r>
      <w:proofErr w:type="gramStart"/>
      <w:r>
        <w:t>On August 1, 2013, a hearing Notice was issued setting September 26, 2013, as the date for a telephonic hearing in this case.</w:t>
      </w:r>
      <w:proofErr w:type="gramEnd"/>
    </w:p>
    <w:p w:rsidR="00FE4A06" w:rsidRDefault="00FE4A06" w:rsidP="001E5B71">
      <w:pPr>
        <w:tabs>
          <w:tab w:val="left" w:pos="-720"/>
        </w:tabs>
        <w:suppressAutoHyphens/>
        <w:autoSpaceDE w:val="0"/>
        <w:autoSpaceDN w:val="0"/>
        <w:spacing w:line="360" w:lineRule="auto"/>
      </w:pPr>
    </w:p>
    <w:p w:rsidR="00FE4A06" w:rsidRDefault="00FE4A06" w:rsidP="001E5B71">
      <w:pPr>
        <w:tabs>
          <w:tab w:val="left" w:pos="-720"/>
        </w:tabs>
        <w:suppressAutoHyphens/>
        <w:autoSpaceDE w:val="0"/>
        <w:autoSpaceDN w:val="0"/>
        <w:spacing w:line="360" w:lineRule="auto"/>
      </w:pPr>
      <w:r>
        <w:tab/>
      </w:r>
      <w:r>
        <w:tab/>
        <w:t xml:space="preserve">On September 24, 2013, counsel for PAWC notified the undersigned that in the process of reaching out to the Complainant to discuss possible settlement of the case, counsel learned from a member of the </w:t>
      </w:r>
      <w:proofErr w:type="spellStart"/>
      <w:r>
        <w:t>Dikens</w:t>
      </w:r>
      <w:proofErr w:type="spellEnd"/>
      <w:r>
        <w:t xml:space="preserve"> family that Complainant had passed away on September 15, 2013.  Counsel moved for a continuance</w:t>
      </w:r>
      <w:r w:rsidR="00511D48">
        <w:t xml:space="preserve"> of the hearing so as to allow the family of the Complainant </w:t>
      </w:r>
      <w:r w:rsidR="00B444BE">
        <w:t xml:space="preserve">time </w:t>
      </w:r>
      <w:r w:rsidR="00511D48">
        <w:t xml:space="preserve">to determine what to do with respect to the Complaint.  </w:t>
      </w:r>
      <w:r w:rsidR="00B444BE">
        <w:t>Counsel advise</w:t>
      </w:r>
      <w:r w:rsidR="003E5F0D">
        <w:t>d</w:t>
      </w:r>
      <w:r w:rsidR="00B444BE">
        <w:t xml:space="preserve"> </w:t>
      </w:r>
      <w:r w:rsidR="003E5F0D">
        <w:t xml:space="preserve">me that the </w:t>
      </w:r>
      <w:proofErr w:type="spellStart"/>
      <w:r w:rsidR="003E5F0D">
        <w:t>Dikens</w:t>
      </w:r>
      <w:proofErr w:type="spellEnd"/>
      <w:r w:rsidR="003E5F0D">
        <w:t xml:space="preserve"> family had no objection to the requested continuance.  </w:t>
      </w:r>
      <w:r w:rsidR="00511D48">
        <w:t xml:space="preserve">I granted the Motion provisionally, to be followed by this Order, and the hearing </w:t>
      </w:r>
      <w:r w:rsidR="003E5F0D">
        <w:t>w</w:t>
      </w:r>
      <w:r w:rsidR="00511D48">
        <w:t>as cancelled.  The hearing has now been re-scheduled for October 31, 2013.</w:t>
      </w:r>
    </w:p>
    <w:p w:rsidR="00511D48" w:rsidRDefault="00511D48" w:rsidP="001E5B71">
      <w:pPr>
        <w:tabs>
          <w:tab w:val="left" w:pos="-720"/>
        </w:tabs>
        <w:suppressAutoHyphens/>
        <w:autoSpaceDE w:val="0"/>
        <w:autoSpaceDN w:val="0"/>
        <w:spacing w:line="360" w:lineRule="auto"/>
      </w:pPr>
    </w:p>
    <w:p w:rsidR="003E5F0D" w:rsidRDefault="00511D48" w:rsidP="001E5B71">
      <w:pPr>
        <w:tabs>
          <w:tab w:val="left" w:pos="-720"/>
        </w:tabs>
        <w:suppressAutoHyphens/>
        <w:autoSpaceDE w:val="0"/>
        <w:autoSpaceDN w:val="0"/>
        <w:spacing w:line="360" w:lineRule="auto"/>
        <w:rPr>
          <w:spacing w:val="-3"/>
          <w:szCs w:val="20"/>
        </w:rPr>
      </w:pPr>
      <w:r>
        <w:lastRenderedPageBreak/>
        <w:tab/>
      </w:r>
      <w:r>
        <w:tab/>
        <w:t>First, I ex</w:t>
      </w:r>
      <w:r w:rsidR="003E5F0D">
        <w:t>tend</w:t>
      </w:r>
      <w:r>
        <w:t xml:space="preserve"> my condolences to the </w:t>
      </w:r>
      <w:proofErr w:type="spellStart"/>
      <w:r>
        <w:t>Dikens</w:t>
      </w:r>
      <w:proofErr w:type="spellEnd"/>
      <w:r>
        <w:t xml:space="preserve"> family.  I also wish to bring to their attention a principle of law relevant to this case.  </w:t>
      </w:r>
      <w:r w:rsidRPr="00511D48">
        <w:rPr>
          <w:spacing w:val="-3"/>
          <w:szCs w:val="20"/>
        </w:rPr>
        <w:t xml:space="preserve">As a general principle, causes of action abate upon the death of a complainant, though it is possible that the matter might be revived by survivors.  See </w:t>
      </w:r>
      <w:r w:rsidRPr="00511D48">
        <w:rPr>
          <w:i/>
          <w:spacing w:val="-3"/>
          <w:szCs w:val="20"/>
        </w:rPr>
        <w:t xml:space="preserve">Freeman v. </w:t>
      </w:r>
      <w:proofErr w:type="spellStart"/>
      <w:r w:rsidRPr="00511D48">
        <w:rPr>
          <w:i/>
          <w:spacing w:val="-3"/>
          <w:szCs w:val="20"/>
        </w:rPr>
        <w:t>Giacomo</w:t>
      </w:r>
      <w:proofErr w:type="spellEnd"/>
      <w:r w:rsidRPr="00511D48">
        <w:rPr>
          <w:i/>
          <w:spacing w:val="-3"/>
          <w:szCs w:val="20"/>
        </w:rPr>
        <w:t xml:space="preserve"> Costa Fu Andrea</w:t>
      </w:r>
      <w:r w:rsidRPr="00511D48">
        <w:rPr>
          <w:spacing w:val="-3"/>
          <w:szCs w:val="20"/>
        </w:rPr>
        <w:t xml:space="preserve">, </w:t>
      </w:r>
      <w:proofErr w:type="gramStart"/>
      <w:r w:rsidRPr="00511D48">
        <w:rPr>
          <w:spacing w:val="-3"/>
          <w:szCs w:val="20"/>
        </w:rPr>
        <w:t xml:space="preserve">282 </w:t>
      </w:r>
      <w:proofErr w:type="spellStart"/>
      <w:r w:rsidRPr="00511D48">
        <w:rPr>
          <w:spacing w:val="-3"/>
          <w:szCs w:val="20"/>
        </w:rPr>
        <w:t>F.Supp</w:t>
      </w:r>
      <w:proofErr w:type="spellEnd"/>
      <w:proofErr w:type="gramEnd"/>
      <w:r w:rsidRPr="00511D48">
        <w:rPr>
          <w:spacing w:val="-3"/>
          <w:szCs w:val="20"/>
        </w:rPr>
        <w:t xml:space="preserve">. (E.D. Pa 1968); </w:t>
      </w:r>
      <w:r w:rsidRPr="00511D48">
        <w:rPr>
          <w:i/>
          <w:spacing w:val="-3"/>
          <w:szCs w:val="20"/>
        </w:rPr>
        <w:t xml:space="preserve">Johnson v. Peoples First Nat’l. </w:t>
      </w:r>
      <w:proofErr w:type="gramStart"/>
      <w:r w:rsidRPr="00511D48">
        <w:rPr>
          <w:i/>
          <w:spacing w:val="-3"/>
          <w:szCs w:val="20"/>
        </w:rPr>
        <w:t>Bank &amp; Trust Co</w:t>
      </w:r>
      <w:r w:rsidRPr="00511D48">
        <w:rPr>
          <w:spacing w:val="-3"/>
          <w:szCs w:val="20"/>
        </w:rPr>
        <w:t>., 394 Pa. 116, 145 A.2d 716 (1958).</w:t>
      </w:r>
      <w:proofErr w:type="gramEnd"/>
      <w:r w:rsidRPr="00511D48">
        <w:rPr>
          <w:spacing w:val="-3"/>
          <w:szCs w:val="20"/>
        </w:rPr>
        <w:t xml:space="preserve">  </w:t>
      </w:r>
      <w:r>
        <w:rPr>
          <w:spacing w:val="-3"/>
          <w:szCs w:val="20"/>
        </w:rPr>
        <w:t xml:space="preserve"> </w:t>
      </w:r>
      <w:r w:rsidR="00B444BE">
        <w:rPr>
          <w:spacing w:val="-3"/>
          <w:szCs w:val="20"/>
        </w:rPr>
        <w:t xml:space="preserve">Therefore, </w:t>
      </w:r>
      <w:r>
        <w:rPr>
          <w:spacing w:val="-3"/>
          <w:szCs w:val="20"/>
        </w:rPr>
        <w:t xml:space="preserve">Ms. </w:t>
      </w:r>
      <w:proofErr w:type="spellStart"/>
      <w:r>
        <w:rPr>
          <w:spacing w:val="-3"/>
          <w:szCs w:val="20"/>
        </w:rPr>
        <w:t>Diken’s</w:t>
      </w:r>
      <w:proofErr w:type="spellEnd"/>
      <w:r>
        <w:rPr>
          <w:spacing w:val="-3"/>
          <w:szCs w:val="20"/>
        </w:rPr>
        <w:t xml:space="preserve"> </w:t>
      </w:r>
      <w:r w:rsidR="00B444BE">
        <w:rPr>
          <w:spacing w:val="-3"/>
          <w:szCs w:val="20"/>
        </w:rPr>
        <w:t>survivors</w:t>
      </w:r>
      <w:r>
        <w:rPr>
          <w:spacing w:val="-3"/>
          <w:szCs w:val="20"/>
        </w:rPr>
        <w:t xml:space="preserve">, preferably </w:t>
      </w:r>
      <w:r w:rsidR="00B444BE">
        <w:rPr>
          <w:spacing w:val="-3"/>
          <w:szCs w:val="20"/>
        </w:rPr>
        <w:t xml:space="preserve">through </w:t>
      </w:r>
      <w:r w:rsidR="005D3B69">
        <w:rPr>
          <w:spacing w:val="-3"/>
          <w:szCs w:val="20"/>
        </w:rPr>
        <w:t xml:space="preserve">a legal representative or </w:t>
      </w:r>
      <w:r>
        <w:rPr>
          <w:spacing w:val="-3"/>
          <w:szCs w:val="20"/>
        </w:rPr>
        <w:t>the Executor of her estate, should contact counsel for PAWC and the undersigned b</w:t>
      </w:r>
      <w:r w:rsidR="00B444BE">
        <w:rPr>
          <w:spacing w:val="-3"/>
          <w:szCs w:val="20"/>
        </w:rPr>
        <w:t>y</w:t>
      </w:r>
      <w:r>
        <w:rPr>
          <w:spacing w:val="-3"/>
          <w:szCs w:val="20"/>
        </w:rPr>
        <w:t xml:space="preserve"> October </w:t>
      </w:r>
      <w:r w:rsidR="00BA69BB">
        <w:rPr>
          <w:spacing w:val="-3"/>
          <w:szCs w:val="20"/>
        </w:rPr>
        <w:t>2</w:t>
      </w:r>
      <w:r>
        <w:rPr>
          <w:spacing w:val="-3"/>
          <w:szCs w:val="20"/>
        </w:rPr>
        <w:t>1, 2013, to indicate whether they want</w:t>
      </w:r>
      <w:r w:rsidR="003E5F0D">
        <w:rPr>
          <w:spacing w:val="-3"/>
          <w:szCs w:val="20"/>
        </w:rPr>
        <w:t xml:space="preserve"> to pursue this matter</w:t>
      </w:r>
      <w:r>
        <w:rPr>
          <w:spacing w:val="-3"/>
          <w:szCs w:val="20"/>
        </w:rPr>
        <w:t>.</w:t>
      </w:r>
      <w:r w:rsidR="005D3B69">
        <w:rPr>
          <w:spacing w:val="-3"/>
          <w:szCs w:val="20"/>
        </w:rPr>
        <w:t xml:space="preserve">  If they do</w:t>
      </w:r>
      <w:r w:rsidR="00291DF6">
        <w:rPr>
          <w:spacing w:val="-3"/>
          <w:szCs w:val="20"/>
        </w:rPr>
        <w:t xml:space="preserve"> wish to pursue the Complaint</w:t>
      </w:r>
      <w:r w:rsidR="005D3B69">
        <w:rPr>
          <w:spacing w:val="-3"/>
          <w:szCs w:val="20"/>
        </w:rPr>
        <w:t>, the</w:t>
      </w:r>
      <w:r w:rsidR="00291DF6">
        <w:rPr>
          <w:spacing w:val="-3"/>
          <w:szCs w:val="20"/>
        </w:rPr>
        <w:t>n the</w:t>
      </w:r>
      <w:r w:rsidR="005D3B69">
        <w:rPr>
          <w:spacing w:val="-3"/>
          <w:szCs w:val="20"/>
        </w:rPr>
        <w:t xml:space="preserve"> hearing scheduled for October 31, 2013, will go forward.</w:t>
      </w:r>
      <w:r>
        <w:rPr>
          <w:spacing w:val="-3"/>
          <w:szCs w:val="20"/>
        </w:rPr>
        <w:t xml:space="preserve">  </w:t>
      </w:r>
    </w:p>
    <w:p w:rsidR="003E5F0D" w:rsidRDefault="003E5F0D" w:rsidP="001E5B71">
      <w:pPr>
        <w:tabs>
          <w:tab w:val="left" w:pos="-720"/>
        </w:tabs>
        <w:suppressAutoHyphens/>
        <w:autoSpaceDE w:val="0"/>
        <w:autoSpaceDN w:val="0"/>
        <w:spacing w:line="360" w:lineRule="auto"/>
        <w:rPr>
          <w:spacing w:val="-3"/>
          <w:szCs w:val="20"/>
        </w:rPr>
      </w:pPr>
    </w:p>
    <w:p w:rsidR="00511D48" w:rsidRDefault="003E5F0D" w:rsidP="001E5B71">
      <w:pPr>
        <w:tabs>
          <w:tab w:val="left" w:pos="-720"/>
        </w:tabs>
        <w:suppressAutoHyphens/>
        <w:autoSpaceDE w:val="0"/>
        <w:autoSpaceDN w:val="0"/>
        <w:spacing w:line="360" w:lineRule="auto"/>
      </w:pPr>
      <w:r>
        <w:rPr>
          <w:spacing w:val="-3"/>
          <w:szCs w:val="20"/>
        </w:rPr>
        <w:tab/>
      </w:r>
      <w:r>
        <w:rPr>
          <w:spacing w:val="-3"/>
          <w:szCs w:val="20"/>
        </w:rPr>
        <w:tab/>
        <w:t xml:space="preserve">NOTE:  </w:t>
      </w:r>
      <w:r w:rsidR="00511D48">
        <w:rPr>
          <w:spacing w:val="-3"/>
          <w:szCs w:val="20"/>
        </w:rPr>
        <w:t>The Complaint may be open for a Motion to Dismiss</w:t>
      </w:r>
      <w:r w:rsidR="005D3B69">
        <w:rPr>
          <w:spacing w:val="-3"/>
          <w:szCs w:val="20"/>
        </w:rPr>
        <w:t xml:space="preserve"> or dismissal by authority of the Presiding Officer</w:t>
      </w:r>
      <w:r w:rsidR="00511D48">
        <w:rPr>
          <w:spacing w:val="-3"/>
          <w:szCs w:val="20"/>
        </w:rPr>
        <w:t xml:space="preserve"> if the hearing goes forward but the Complaint is not prosecuted.</w:t>
      </w:r>
    </w:p>
    <w:p w:rsidR="00DA413C" w:rsidRDefault="001E5B71" w:rsidP="001E5B71">
      <w:pPr>
        <w:tabs>
          <w:tab w:val="left" w:pos="-720"/>
        </w:tabs>
        <w:suppressAutoHyphens/>
        <w:autoSpaceDE w:val="0"/>
        <w:autoSpaceDN w:val="0"/>
        <w:spacing w:line="360" w:lineRule="auto"/>
      </w:pPr>
      <w:r>
        <w:tab/>
      </w:r>
      <w:r>
        <w:tab/>
      </w:r>
      <w:r w:rsidR="00DA413C">
        <w:tab/>
      </w:r>
      <w:r w:rsidR="00DA413C">
        <w:tab/>
      </w:r>
    </w:p>
    <w:p w:rsidR="00DA413C" w:rsidRPr="00DA413C" w:rsidRDefault="00373572" w:rsidP="00DA413C">
      <w:pPr>
        <w:tabs>
          <w:tab w:val="left" w:pos="-720"/>
        </w:tabs>
        <w:suppressAutoHyphens/>
        <w:autoSpaceDE w:val="0"/>
        <w:autoSpaceDN w:val="0"/>
        <w:spacing w:line="360" w:lineRule="auto"/>
      </w:pPr>
      <w:r>
        <w:tab/>
      </w:r>
      <w:r>
        <w:tab/>
      </w:r>
      <w:r w:rsidR="003E5F0D">
        <w:t>With respect to the requested continuance, t</w:t>
      </w:r>
      <w:r w:rsidR="00DA413C" w:rsidRPr="00DA413C">
        <w:t xml:space="preserve">he Commission’s Rules of Administrative Practice and Procedure at 52 Pa. Code § 1.15(b) state that, “Only for good cause shown will requests for continuance be considered.”   </w:t>
      </w:r>
      <w:r w:rsidR="00A355F9">
        <w:t>Counsel for PAWC showed not only good cause but good judgment and laudable consideration in moving that the hearing set for September 26, 2013</w:t>
      </w:r>
      <w:r w:rsidR="005D3B69">
        <w:t>,</w:t>
      </w:r>
      <w:r w:rsidR="00A355F9">
        <w:t xml:space="preserve"> be continued</w:t>
      </w:r>
      <w:r w:rsidR="00DA413C" w:rsidRPr="00DA413C">
        <w:t>.</w:t>
      </w:r>
      <w:r w:rsidR="00B444BE">
        <w:t xml:space="preserve">  </w:t>
      </w:r>
    </w:p>
    <w:p w:rsidR="00DA413C" w:rsidRPr="00DA413C" w:rsidRDefault="00DA413C" w:rsidP="00DA413C">
      <w:pPr>
        <w:tabs>
          <w:tab w:val="left" w:pos="-720"/>
        </w:tabs>
        <w:suppressAutoHyphens/>
        <w:autoSpaceDE w:val="0"/>
        <w:autoSpaceDN w:val="0"/>
        <w:spacing w:line="360" w:lineRule="auto"/>
      </w:pPr>
    </w:p>
    <w:p w:rsidR="00DA413C" w:rsidRPr="00DA413C" w:rsidRDefault="00DA413C" w:rsidP="00DA413C">
      <w:pPr>
        <w:tabs>
          <w:tab w:val="left" w:pos="-720"/>
        </w:tabs>
        <w:suppressAutoHyphens/>
        <w:autoSpaceDE w:val="0"/>
        <w:autoSpaceDN w:val="0"/>
        <w:spacing w:line="360" w:lineRule="auto"/>
      </w:pPr>
      <w:r w:rsidRPr="00DA413C">
        <w:tab/>
      </w:r>
      <w:r w:rsidRPr="00DA413C">
        <w:tab/>
        <w:t>THEREFORE,</w:t>
      </w:r>
    </w:p>
    <w:p w:rsidR="00DA413C" w:rsidRPr="00DA413C" w:rsidRDefault="00DA413C" w:rsidP="00DA413C">
      <w:pPr>
        <w:tabs>
          <w:tab w:val="left" w:pos="-720"/>
        </w:tabs>
        <w:suppressAutoHyphens/>
        <w:autoSpaceDE w:val="0"/>
        <w:autoSpaceDN w:val="0"/>
        <w:spacing w:line="360" w:lineRule="auto"/>
      </w:pPr>
    </w:p>
    <w:p w:rsidR="00DA413C" w:rsidRPr="00DA413C" w:rsidRDefault="00DA413C" w:rsidP="00DA413C">
      <w:pPr>
        <w:tabs>
          <w:tab w:val="left" w:pos="-720"/>
        </w:tabs>
        <w:suppressAutoHyphens/>
        <w:autoSpaceDE w:val="0"/>
        <w:autoSpaceDN w:val="0"/>
        <w:spacing w:line="360" w:lineRule="auto"/>
      </w:pPr>
      <w:r w:rsidRPr="00DA413C">
        <w:tab/>
      </w:r>
      <w:r w:rsidRPr="00DA413C">
        <w:tab/>
        <w:t>IT IS ORDERED:</w:t>
      </w:r>
    </w:p>
    <w:p w:rsidR="00DA413C" w:rsidRPr="00DA413C" w:rsidRDefault="00DA413C" w:rsidP="00DA413C">
      <w:pPr>
        <w:tabs>
          <w:tab w:val="left" w:pos="-720"/>
        </w:tabs>
        <w:suppressAutoHyphens/>
        <w:autoSpaceDE w:val="0"/>
        <w:autoSpaceDN w:val="0"/>
        <w:spacing w:line="360" w:lineRule="auto"/>
      </w:pPr>
    </w:p>
    <w:p w:rsidR="00DA413C" w:rsidRDefault="00A355F9" w:rsidP="00DA413C">
      <w:pPr>
        <w:tabs>
          <w:tab w:val="left" w:pos="-720"/>
        </w:tabs>
        <w:suppressAutoHyphens/>
        <w:autoSpaceDE w:val="0"/>
        <w:autoSpaceDN w:val="0"/>
        <w:spacing w:line="360" w:lineRule="auto"/>
      </w:pPr>
      <w:r>
        <w:tab/>
      </w:r>
      <w:r>
        <w:tab/>
        <w:t>1.</w:t>
      </w:r>
      <w:r>
        <w:tab/>
        <w:t xml:space="preserve">That the decision </w:t>
      </w:r>
      <w:r w:rsidR="005D3B69">
        <w:t xml:space="preserve">informally rendered September 24, 2013, </w:t>
      </w:r>
      <w:r>
        <w:t>continuing the h</w:t>
      </w:r>
      <w:r w:rsidR="00DA413C" w:rsidRPr="00DA413C">
        <w:t xml:space="preserve">earing scheduled for </w:t>
      </w:r>
      <w:r>
        <w:t>September 26</w:t>
      </w:r>
      <w:r w:rsidR="00373572">
        <w:t>, 2013</w:t>
      </w:r>
      <w:r w:rsidR="00DA413C" w:rsidRPr="00DA413C">
        <w:t xml:space="preserve">, is </w:t>
      </w:r>
      <w:r>
        <w:t>confirmed</w:t>
      </w:r>
      <w:r w:rsidR="00DA413C" w:rsidRPr="00DA413C">
        <w:t>.</w:t>
      </w:r>
    </w:p>
    <w:p w:rsidR="00BA69BB" w:rsidRDefault="00BA69BB" w:rsidP="00DA413C">
      <w:pPr>
        <w:tabs>
          <w:tab w:val="left" w:pos="-720"/>
        </w:tabs>
        <w:suppressAutoHyphens/>
        <w:autoSpaceDE w:val="0"/>
        <w:autoSpaceDN w:val="0"/>
        <w:spacing w:line="360" w:lineRule="auto"/>
      </w:pPr>
    </w:p>
    <w:p w:rsidR="00BA69BB" w:rsidRDefault="00BA69BB" w:rsidP="00DA413C">
      <w:pPr>
        <w:tabs>
          <w:tab w:val="left" w:pos="-720"/>
        </w:tabs>
        <w:suppressAutoHyphens/>
        <w:autoSpaceDE w:val="0"/>
        <w:autoSpaceDN w:val="0"/>
        <w:spacing w:line="360" w:lineRule="auto"/>
      </w:pPr>
      <w:r>
        <w:tab/>
      </w:r>
      <w:r>
        <w:tab/>
        <w:t>2.</w:t>
      </w:r>
      <w:r>
        <w:tab/>
        <w:t xml:space="preserve">That the survivors of the Complainant, Pearl Dickens, </w:t>
      </w:r>
      <w:r w:rsidR="005D3B69">
        <w:t xml:space="preserve">are to </w:t>
      </w:r>
      <w:r>
        <w:t>advise the undersigned and counsel for P</w:t>
      </w:r>
      <w:r w:rsidR="00B444BE">
        <w:t xml:space="preserve">ennsylvania </w:t>
      </w:r>
      <w:r>
        <w:t>A</w:t>
      </w:r>
      <w:r w:rsidR="00B444BE">
        <w:t xml:space="preserve">merican </w:t>
      </w:r>
      <w:r>
        <w:t>W</w:t>
      </w:r>
      <w:r w:rsidR="00B444BE">
        <w:t xml:space="preserve">ater </w:t>
      </w:r>
      <w:r>
        <w:t>C</w:t>
      </w:r>
      <w:r w:rsidR="00B444BE">
        <w:t>ompany</w:t>
      </w:r>
      <w:r>
        <w:t xml:space="preserve"> b</w:t>
      </w:r>
      <w:r w:rsidR="005D3B69">
        <w:t>y</w:t>
      </w:r>
      <w:r>
        <w:t xml:space="preserve"> October 21, 2013, whether they wish to continue the prosecution of the formal Complaint.</w:t>
      </w:r>
    </w:p>
    <w:p w:rsidR="00BA69BB" w:rsidRDefault="00BA69BB" w:rsidP="00DA413C">
      <w:pPr>
        <w:tabs>
          <w:tab w:val="left" w:pos="-720"/>
        </w:tabs>
        <w:suppressAutoHyphens/>
        <w:autoSpaceDE w:val="0"/>
        <w:autoSpaceDN w:val="0"/>
        <w:spacing w:line="360" w:lineRule="auto"/>
      </w:pPr>
    </w:p>
    <w:p w:rsidR="00BA69BB" w:rsidRPr="00DA413C" w:rsidRDefault="00BA69BB" w:rsidP="00DA413C">
      <w:pPr>
        <w:tabs>
          <w:tab w:val="left" w:pos="-720"/>
        </w:tabs>
        <w:suppressAutoHyphens/>
        <w:autoSpaceDE w:val="0"/>
        <w:autoSpaceDN w:val="0"/>
        <w:spacing w:line="360" w:lineRule="auto"/>
      </w:pPr>
      <w:r>
        <w:lastRenderedPageBreak/>
        <w:tab/>
      </w:r>
      <w:r>
        <w:tab/>
        <w:t>3.</w:t>
      </w:r>
      <w:r>
        <w:tab/>
        <w:t xml:space="preserve">That in the event that the survivors of the Complainant, Pearl </w:t>
      </w:r>
      <w:proofErr w:type="spellStart"/>
      <w:r>
        <w:t>Dikens</w:t>
      </w:r>
      <w:proofErr w:type="spellEnd"/>
      <w:r>
        <w:t>, do not advise counsel for P</w:t>
      </w:r>
      <w:r w:rsidR="00B444BE">
        <w:t xml:space="preserve">ennsylvania </w:t>
      </w:r>
      <w:r>
        <w:t>A</w:t>
      </w:r>
      <w:r w:rsidR="00B444BE">
        <w:t xml:space="preserve">merican </w:t>
      </w:r>
      <w:r>
        <w:t>W</w:t>
      </w:r>
      <w:r w:rsidR="00B444BE">
        <w:t xml:space="preserve">ater </w:t>
      </w:r>
      <w:r>
        <w:t>C</w:t>
      </w:r>
      <w:r w:rsidR="00B444BE">
        <w:t>ompany</w:t>
      </w:r>
      <w:r>
        <w:t xml:space="preserve"> and the undersigned of a decision to with respect to continuing the</w:t>
      </w:r>
      <w:r w:rsidR="005D3B69">
        <w:t xml:space="preserve"> prosecution of the </w:t>
      </w:r>
      <w:r>
        <w:t>Complaint, the hearing now scheduled for October 31, 2013, will go forward.</w:t>
      </w:r>
    </w:p>
    <w:p w:rsidR="00DA413C" w:rsidRPr="00DA413C" w:rsidRDefault="00DA413C" w:rsidP="00DA413C">
      <w:pPr>
        <w:tabs>
          <w:tab w:val="left" w:pos="-720"/>
        </w:tabs>
        <w:suppressAutoHyphens/>
        <w:autoSpaceDE w:val="0"/>
        <w:autoSpaceDN w:val="0"/>
        <w:spacing w:line="360" w:lineRule="auto"/>
      </w:pPr>
    </w:p>
    <w:p w:rsidR="00DA413C" w:rsidRPr="00DA413C" w:rsidRDefault="00DA413C" w:rsidP="00DA413C">
      <w:pPr>
        <w:tabs>
          <w:tab w:val="left" w:pos="-720"/>
        </w:tabs>
        <w:suppressAutoHyphens/>
        <w:autoSpaceDE w:val="0"/>
        <w:autoSpaceDN w:val="0"/>
        <w:spacing w:line="360" w:lineRule="auto"/>
      </w:pPr>
    </w:p>
    <w:p w:rsidR="00DA413C" w:rsidRPr="00DA413C" w:rsidRDefault="00DA413C" w:rsidP="00DA413C">
      <w:pPr>
        <w:tabs>
          <w:tab w:val="left" w:pos="-720"/>
        </w:tabs>
        <w:suppressAutoHyphens/>
        <w:autoSpaceDE w:val="0"/>
        <w:autoSpaceDN w:val="0"/>
        <w:spacing w:line="360" w:lineRule="auto"/>
      </w:pPr>
    </w:p>
    <w:tbl>
      <w:tblPr>
        <w:tblW w:w="0" w:type="auto"/>
        <w:tblLayout w:type="fixed"/>
        <w:tblLook w:val="0000" w:firstRow="0" w:lastRow="0" w:firstColumn="0" w:lastColumn="0" w:noHBand="0" w:noVBand="0"/>
      </w:tblPr>
      <w:tblGrid>
        <w:gridCol w:w="1098"/>
        <w:gridCol w:w="2340"/>
        <w:gridCol w:w="1890"/>
        <w:gridCol w:w="4248"/>
      </w:tblGrid>
      <w:tr w:rsidR="00DA413C" w:rsidRPr="00DA413C" w:rsidTr="003D2627">
        <w:tc>
          <w:tcPr>
            <w:tcW w:w="1098" w:type="dxa"/>
          </w:tcPr>
          <w:p w:rsidR="00DA413C" w:rsidRPr="00DA413C" w:rsidRDefault="00DA413C" w:rsidP="00373572">
            <w:pPr>
              <w:tabs>
                <w:tab w:val="left" w:pos="-720"/>
              </w:tabs>
              <w:suppressAutoHyphens/>
              <w:autoSpaceDE w:val="0"/>
              <w:autoSpaceDN w:val="0"/>
            </w:pPr>
            <w:r w:rsidRPr="00DA413C">
              <w:t>Date:</w:t>
            </w:r>
          </w:p>
        </w:tc>
        <w:tc>
          <w:tcPr>
            <w:tcW w:w="2340" w:type="dxa"/>
          </w:tcPr>
          <w:p w:rsidR="00DA413C" w:rsidRPr="00373572" w:rsidRDefault="00AC68EB" w:rsidP="00AC68EB">
            <w:pPr>
              <w:tabs>
                <w:tab w:val="left" w:pos="-720"/>
              </w:tabs>
              <w:suppressAutoHyphens/>
              <w:autoSpaceDE w:val="0"/>
              <w:autoSpaceDN w:val="0"/>
              <w:rPr>
                <w:u w:val="single"/>
              </w:rPr>
            </w:pPr>
            <w:r>
              <w:rPr>
                <w:u w:val="single"/>
              </w:rPr>
              <w:t>October</w:t>
            </w:r>
            <w:r w:rsidR="00D73441">
              <w:rPr>
                <w:u w:val="single"/>
              </w:rPr>
              <w:t xml:space="preserve"> </w:t>
            </w:r>
            <w:r>
              <w:rPr>
                <w:u w:val="single"/>
              </w:rPr>
              <w:t>1</w:t>
            </w:r>
            <w:r w:rsidR="00373572" w:rsidRPr="00373572">
              <w:rPr>
                <w:u w:val="single"/>
              </w:rPr>
              <w:t xml:space="preserve">, </w:t>
            </w:r>
            <w:r w:rsidR="00DA413C" w:rsidRPr="00373572">
              <w:rPr>
                <w:u w:val="single"/>
              </w:rPr>
              <w:t>201</w:t>
            </w:r>
            <w:r w:rsidR="00373572" w:rsidRPr="00373572">
              <w:rPr>
                <w:u w:val="single"/>
              </w:rPr>
              <w:t>3</w:t>
            </w:r>
          </w:p>
        </w:tc>
        <w:tc>
          <w:tcPr>
            <w:tcW w:w="1890" w:type="dxa"/>
            <w:tcBorders>
              <w:left w:val="nil"/>
            </w:tcBorders>
          </w:tcPr>
          <w:p w:rsidR="00DA413C" w:rsidRPr="00DA413C" w:rsidRDefault="007E4048" w:rsidP="00373572">
            <w:pPr>
              <w:tabs>
                <w:tab w:val="left" w:pos="-720"/>
              </w:tabs>
              <w:suppressAutoHyphens/>
              <w:autoSpaceDE w:val="0"/>
              <w:autoSpaceDN w:val="0"/>
            </w:pPr>
            <w:r>
              <w:t xml:space="preserve">  </w:t>
            </w:r>
          </w:p>
        </w:tc>
        <w:tc>
          <w:tcPr>
            <w:tcW w:w="4248" w:type="dxa"/>
            <w:tcBorders>
              <w:bottom w:val="single" w:sz="6" w:space="0" w:color="auto"/>
            </w:tcBorders>
          </w:tcPr>
          <w:p w:rsidR="00DA413C" w:rsidRPr="00DA413C" w:rsidRDefault="00DA413C" w:rsidP="00373572">
            <w:pPr>
              <w:tabs>
                <w:tab w:val="left" w:pos="-720"/>
              </w:tabs>
              <w:suppressAutoHyphens/>
              <w:autoSpaceDE w:val="0"/>
              <w:autoSpaceDN w:val="0"/>
            </w:pPr>
          </w:p>
        </w:tc>
      </w:tr>
      <w:tr w:rsidR="00DA413C" w:rsidRPr="00DA413C" w:rsidTr="003D2627">
        <w:tc>
          <w:tcPr>
            <w:tcW w:w="1098" w:type="dxa"/>
          </w:tcPr>
          <w:p w:rsidR="00DA413C" w:rsidRPr="00DA413C" w:rsidRDefault="00DA413C" w:rsidP="00373572">
            <w:pPr>
              <w:tabs>
                <w:tab w:val="left" w:pos="-720"/>
              </w:tabs>
              <w:suppressAutoHyphens/>
              <w:autoSpaceDE w:val="0"/>
              <w:autoSpaceDN w:val="0"/>
            </w:pPr>
          </w:p>
        </w:tc>
        <w:tc>
          <w:tcPr>
            <w:tcW w:w="2340" w:type="dxa"/>
          </w:tcPr>
          <w:p w:rsidR="00DA413C" w:rsidRPr="00DA413C" w:rsidRDefault="00DA413C" w:rsidP="00373572">
            <w:pPr>
              <w:tabs>
                <w:tab w:val="left" w:pos="-720"/>
              </w:tabs>
              <w:suppressAutoHyphens/>
              <w:autoSpaceDE w:val="0"/>
              <w:autoSpaceDN w:val="0"/>
            </w:pPr>
          </w:p>
        </w:tc>
        <w:tc>
          <w:tcPr>
            <w:tcW w:w="1890" w:type="dxa"/>
          </w:tcPr>
          <w:p w:rsidR="00DA413C" w:rsidRPr="00DA413C" w:rsidRDefault="00DA413C" w:rsidP="00373572">
            <w:pPr>
              <w:tabs>
                <w:tab w:val="left" w:pos="-720"/>
              </w:tabs>
              <w:suppressAutoHyphens/>
              <w:autoSpaceDE w:val="0"/>
              <w:autoSpaceDN w:val="0"/>
            </w:pPr>
          </w:p>
        </w:tc>
        <w:tc>
          <w:tcPr>
            <w:tcW w:w="4248" w:type="dxa"/>
          </w:tcPr>
          <w:p w:rsidR="00DA413C" w:rsidRPr="00DA413C" w:rsidRDefault="00DA413C" w:rsidP="00373572">
            <w:pPr>
              <w:tabs>
                <w:tab w:val="left" w:pos="-720"/>
              </w:tabs>
              <w:suppressAutoHyphens/>
              <w:autoSpaceDE w:val="0"/>
              <w:autoSpaceDN w:val="0"/>
            </w:pPr>
            <w:r w:rsidRPr="00DA413C">
              <w:t>Dennis J. Buckley</w:t>
            </w:r>
          </w:p>
          <w:p w:rsidR="00DA413C" w:rsidRPr="00DA413C" w:rsidRDefault="00DA413C" w:rsidP="00373572">
            <w:pPr>
              <w:tabs>
                <w:tab w:val="left" w:pos="-720"/>
              </w:tabs>
              <w:suppressAutoHyphens/>
              <w:autoSpaceDE w:val="0"/>
              <w:autoSpaceDN w:val="0"/>
            </w:pPr>
            <w:r w:rsidRPr="00DA413C">
              <w:t>Administrative Law Judge</w:t>
            </w:r>
          </w:p>
        </w:tc>
      </w:tr>
    </w:tbl>
    <w:p w:rsidR="00827604" w:rsidRDefault="00827604" w:rsidP="008B22BE">
      <w:pPr>
        <w:tabs>
          <w:tab w:val="left" w:pos="-720"/>
        </w:tabs>
        <w:suppressAutoHyphens/>
        <w:autoSpaceDE w:val="0"/>
        <w:autoSpaceDN w:val="0"/>
        <w:spacing w:line="360" w:lineRule="auto"/>
        <w:sectPr w:rsidR="00827604" w:rsidSect="00827604">
          <w:footerReference w:type="even" r:id="rId9"/>
          <w:footerReference w:type="default" r:id="rId10"/>
          <w:pgSz w:w="12240" w:h="15840"/>
          <w:pgMar w:top="1440" w:right="1440" w:bottom="1440" w:left="1440" w:header="720" w:footer="720" w:gutter="0"/>
          <w:cols w:space="720"/>
          <w:titlePg/>
          <w:docGrid w:linePitch="360"/>
        </w:sectPr>
      </w:pPr>
    </w:p>
    <w:p w:rsidR="00827604" w:rsidRDefault="00827604" w:rsidP="00827604">
      <w:pPr>
        <w:contextualSpacing/>
        <w:rPr>
          <w:rFonts w:ascii="Microsoft Sans Serif"/>
          <w:b/>
          <w:u w:val="single"/>
        </w:rPr>
      </w:pPr>
      <w:r>
        <w:rPr>
          <w:rFonts w:ascii="Microsoft Sans Serif"/>
          <w:b/>
          <w:u w:val="single"/>
        </w:rPr>
        <w:lastRenderedPageBreak/>
        <w:t>C-2013-2367268 - PEARL DIKENS v. PENNSYLVANIA AMERICAN WATER COMPANY</w:t>
      </w:r>
    </w:p>
    <w:p w:rsidR="00827604" w:rsidRDefault="00827604" w:rsidP="00827604">
      <w:pPr>
        <w:contextualSpacing/>
        <w:rPr>
          <w:rFonts w:ascii="Microsoft Sans Serif"/>
          <w:b/>
          <w:u w:val="single"/>
        </w:rPr>
      </w:pPr>
    </w:p>
    <w:p w:rsidR="00827604" w:rsidRDefault="00827604" w:rsidP="00827604">
      <w:pPr>
        <w:contextualSpacing/>
        <w:rPr>
          <w:rFonts w:ascii="Microsoft Sans Serif"/>
        </w:rPr>
      </w:pPr>
      <w:r>
        <w:rPr>
          <w:rFonts w:ascii="Microsoft Sans Serif"/>
        </w:rPr>
        <w:t xml:space="preserve"> </w:t>
      </w:r>
    </w:p>
    <w:p w:rsidR="00827604" w:rsidRDefault="00827604" w:rsidP="00827604">
      <w:pPr>
        <w:contextualSpacing/>
        <w:rPr>
          <w:rFonts w:ascii="Microsoft Sans Serif"/>
        </w:rPr>
      </w:pPr>
      <w:r>
        <w:rPr>
          <w:rFonts w:ascii="Microsoft Sans Serif"/>
        </w:rPr>
        <w:t>PEARL DIKENS</w:t>
      </w:r>
      <w:bookmarkStart w:id="0" w:name="_GoBack"/>
      <w:bookmarkEnd w:id="0"/>
    </w:p>
    <w:p w:rsidR="00827604" w:rsidRDefault="00827604" w:rsidP="00827604">
      <w:pPr>
        <w:contextualSpacing/>
        <w:rPr>
          <w:rFonts w:ascii="Microsoft Sans Serif"/>
        </w:rPr>
      </w:pPr>
      <w:r>
        <w:rPr>
          <w:rFonts w:ascii="Microsoft Sans Serif"/>
        </w:rPr>
        <w:t>225 E PENN STREET</w:t>
      </w:r>
    </w:p>
    <w:p w:rsidR="00827604" w:rsidRDefault="00827604" w:rsidP="00827604">
      <w:pPr>
        <w:contextualSpacing/>
        <w:rPr>
          <w:rFonts w:ascii="Microsoft Sans Serif"/>
        </w:rPr>
      </w:pPr>
      <w:r>
        <w:rPr>
          <w:rFonts w:ascii="Microsoft Sans Serif"/>
        </w:rPr>
        <w:t>NORRISTOWN PA  19401</w:t>
      </w:r>
    </w:p>
    <w:p w:rsidR="00827604" w:rsidRDefault="00827604" w:rsidP="00827604">
      <w:pPr>
        <w:contextualSpacing/>
        <w:rPr>
          <w:rFonts w:ascii="Microsoft Sans Serif"/>
        </w:rPr>
      </w:pPr>
      <w:r>
        <w:rPr>
          <w:rFonts w:ascii="Microsoft Sans Serif"/>
        </w:rPr>
        <w:t>484-681-4371</w:t>
      </w:r>
    </w:p>
    <w:p w:rsidR="00827604" w:rsidRDefault="00827604" w:rsidP="00827604">
      <w:pPr>
        <w:contextualSpacing/>
        <w:rPr>
          <w:rFonts w:ascii="Microsoft Sans Serif"/>
          <w:b/>
          <w:i/>
          <w:u w:val="single"/>
        </w:rPr>
      </w:pPr>
      <w:r>
        <w:rPr>
          <w:rFonts w:ascii="Microsoft Sans Serif"/>
          <w:b/>
          <w:i/>
          <w:u w:val="single"/>
        </w:rPr>
        <w:t>E-Serve</w:t>
      </w:r>
    </w:p>
    <w:p w:rsidR="00827604" w:rsidRDefault="00827604" w:rsidP="00827604">
      <w:pPr>
        <w:contextualSpacing/>
        <w:rPr>
          <w:rFonts w:asciiTheme="minorHAnsi"/>
          <w:sz w:val="22"/>
        </w:rPr>
      </w:pPr>
    </w:p>
    <w:p w:rsidR="00827604" w:rsidRDefault="00827604" w:rsidP="00827604">
      <w:pPr>
        <w:contextualSpacing/>
        <w:rPr>
          <w:rFonts w:ascii="Microsoft Sans Serif"/>
        </w:rPr>
      </w:pPr>
      <w:r>
        <w:rPr>
          <w:rFonts w:ascii="Microsoft Sans Serif"/>
        </w:rPr>
        <w:t>MICHAEL A GRUIN ESQUIRE</w:t>
      </w:r>
    </w:p>
    <w:p w:rsidR="00827604" w:rsidRDefault="00827604" w:rsidP="00827604">
      <w:pPr>
        <w:contextualSpacing/>
        <w:rPr>
          <w:rFonts w:ascii="Microsoft Sans Serif"/>
        </w:rPr>
      </w:pPr>
      <w:r>
        <w:rPr>
          <w:rFonts w:ascii="Microsoft Sans Serif"/>
        </w:rPr>
        <w:t>STEVENS &amp; LEE</w:t>
      </w:r>
    </w:p>
    <w:p w:rsidR="00827604" w:rsidRDefault="00827604" w:rsidP="00827604">
      <w:pPr>
        <w:contextualSpacing/>
        <w:rPr>
          <w:rFonts w:ascii="Microsoft Sans Serif"/>
        </w:rPr>
      </w:pPr>
      <w:r>
        <w:rPr>
          <w:rFonts w:ascii="Microsoft Sans Serif"/>
        </w:rPr>
        <w:t>16TH FLOOR</w:t>
      </w:r>
    </w:p>
    <w:p w:rsidR="00827604" w:rsidRDefault="00827604" w:rsidP="00827604">
      <w:pPr>
        <w:contextualSpacing/>
        <w:rPr>
          <w:rFonts w:ascii="Microsoft Sans Serif"/>
        </w:rPr>
      </w:pPr>
      <w:r>
        <w:rPr>
          <w:rFonts w:ascii="Microsoft Sans Serif"/>
        </w:rPr>
        <w:t xml:space="preserve">17 NORTH SECOND </w:t>
      </w:r>
      <w:proofErr w:type="gramStart"/>
      <w:r>
        <w:rPr>
          <w:rFonts w:ascii="Microsoft Sans Serif"/>
        </w:rPr>
        <w:t>STREET</w:t>
      </w:r>
      <w:proofErr w:type="gramEnd"/>
    </w:p>
    <w:p w:rsidR="00827604" w:rsidRDefault="00827604" w:rsidP="00827604">
      <w:pPr>
        <w:contextualSpacing/>
        <w:rPr>
          <w:rFonts w:ascii="Microsoft Sans Serif"/>
        </w:rPr>
      </w:pPr>
      <w:r>
        <w:rPr>
          <w:rFonts w:ascii="Microsoft Sans Serif"/>
        </w:rPr>
        <w:t>HARRISBURG PA  17101</w:t>
      </w:r>
    </w:p>
    <w:p w:rsidR="00827604" w:rsidRDefault="00827604" w:rsidP="00827604">
      <w:pPr>
        <w:contextualSpacing/>
        <w:rPr>
          <w:rFonts w:ascii="Microsoft Sans Serif"/>
        </w:rPr>
      </w:pPr>
      <w:r>
        <w:rPr>
          <w:rFonts w:ascii="Microsoft Sans Serif"/>
        </w:rPr>
        <w:t>717-255-7365</w:t>
      </w:r>
    </w:p>
    <w:p w:rsidR="00827604" w:rsidRDefault="00827604" w:rsidP="00827604">
      <w:pPr>
        <w:contextualSpacing/>
        <w:rPr>
          <w:rFonts w:asciiTheme="minorHAnsi"/>
          <w:b/>
          <w:i/>
          <w:sz w:val="22"/>
          <w:u w:val="single"/>
        </w:rPr>
      </w:pPr>
      <w:r>
        <w:rPr>
          <w:rFonts w:ascii="Microsoft Sans Serif"/>
          <w:b/>
          <w:i/>
          <w:u w:val="single"/>
        </w:rPr>
        <w:t>E-Serve</w:t>
      </w:r>
    </w:p>
    <w:p w:rsidR="00DA413C" w:rsidRDefault="00DA413C" w:rsidP="008B22BE">
      <w:pPr>
        <w:tabs>
          <w:tab w:val="left" w:pos="-720"/>
        </w:tabs>
        <w:suppressAutoHyphens/>
        <w:autoSpaceDE w:val="0"/>
        <w:autoSpaceDN w:val="0"/>
        <w:spacing w:line="360" w:lineRule="auto"/>
      </w:pPr>
    </w:p>
    <w:sectPr w:rsidR="00DA41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05" w:rsidRDefault="009A6B05">
      <w:r>
        <w:separator/>
      </w:r>
    </w:p>
  </w:endnote>
  <w:endnote w:type="continuationSeparator" w:id="0">
    <w:p w:rsidR="009A6B05" w:rsidRDefault="009A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346627"/>
      <w:docPartObj>
        <w:docPartGallery w:val="Page Numbers (Bottom of Page)"/>
        <w:docPartUnique/>
      </w:docPartObj>
    </w:sdtPr>
    <w:sdtEndPr>
      <w:rPr>
        <w:noProof/>
      </w:rPr>
    </w:sdtEndPr>
    <w:sdtContent>
      <w:p w:rsidR="00827604" w:rsidRDefault="0082760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04" w:rsidRDefault="00827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05" w:rsidRDefault="009A6B05">
      <w:r>
        <w:separator/>
      </w:r>
    </w:p>
  </w:footnote>
  <w:footnote w:type="continuationSeparator" w:id="0">
    <w:p w:rsidR="009A6B05" w:rsidRDefault="009A6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566E7"/>
    <w:rsid w:val="00061CCC"/>
    <w:rsid w:val="0007460B"/>
    <w:rsid w:val="0007524A"/>
    <w:rsid w:val="000757AD"/>
    <w:rsid w:val="00076C46"/>
    <w:rsid w:val="00077E32"/>
    <w:rsid w:val="000806AD"/>
    <w:rsid w:val="000831AA"/>
    <w:rsid w:val="00085155"/>
    <w:rsid w:val="00085C0D"/>
    <w:rsid w:val="000868D6"/>
    <w:rsid w:val="000901CB"/>
    <w:rsid w:val="000928E5"/>
    <w:rsid w:val="000936AA"/>
    <w:rsid w:val="00093F1C"/>
    <w:rsid w:val="00094A2B"/>
    <w:rsid w:val="000962F2"/>
    <w:rsid w:val="000965CD"/>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287"/>
    <w:rsid w:val="00113B84"/>
    <w:rsid w:val="00114141"/>
    <w:rsid w:val="00115C12"/>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34C"/>
    <w:rsid w:val="001274BA"/>
    <w:rsid w:val="00130550"/>
    <w:rsid w:val="001311DF"/>
    <w:rsid w:val="00132A1C"/>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B71"/>
    <w:rsid w:val="001E5C7B"/>
    <w:rsid w:val="001F2162"/>
    <w:rsid w:val="001F2E47"/>
    <w:rsid w:val="001F38DD"/>
    <w:rsid w:val="001F627F"/>
    <w:rsid w:val="001F6805"/>
    <w:rsid w:val="001F7426"/>
    <w:rsid w:val="002040B2"/>
    <w:rsid w:val="0020452F"/>
    <w:rsid w:val="0020455D"/>
    <w:rsid w:val="002049CE"/>
    <w:rsid w:val="00204E2B"/>
    <w:rsid w:val="00205B61"/>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DF6"/>
    <w:rsid w:val="00291FFF"/>
    <w:rsid w:val="00296273"/>
    <w:rsid w:val="002A60FF"/>
    <w:rsid w:val="002A6EDE"/>
    <w:rsid w:val="002A78AA"/>
    <w:rsid w:val="002A7B2E"/>
    <w:rsid w:val="002B0301"/>
    <w:rsid w:val="002B0A5C"/>
    <w:rsid w:val="002B2612"/>
    <w:rsid w:val="002B2735"/>
    <w:rsid w:val="002B2A86"/>
    <w:rsid w:val="002B2FD2"/>
    <w:rsid w:val="002B406F"/>
    <w:rsid w:val="002B4D3C"/>
    <w:rsid w:val="002B5408"/>
    <w:rsid w:val="002B69F6"/>
    <w:rsid w:val="002B725F"/>
    <w:rsid w:val="002B7335"/>
    <w:rsid w:val="002B78DD"/>
    <w:rsid w:val="002C0106"/>
    <w:rsid w:val="002C0B24"/>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447D"/>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1D84"/>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3572"/>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5F0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881"/>
    <w:rsid w:val="00426CEB"/>
    <w:rsid w:val="0043010B"/>
    <w:rsid w:val="00430E36"/>
    <w:rsid w:val="00434EFE"/>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45"/>
    <w:rsid w:val="005011AF"/>
    <w:rsid w:val="00502443"/>
    <w:rsid w:val="00503B86"/>
    <w:rsid w:val="00503E54"/>
    <w:rsid w:val="00504EB6"/>
    <w:rsid w:val="00505A90"/>
    <w:rsid w:val="00505EEE"/>
    <w:rsid w:val="0050663A"/>
    <w:rsid w:val="0050721B"/>
    <w:rsid w:val="00507EDD"/>
    <w:rsid w:val="00511CE3"/>
    <w:rsid w:val="00511D48"/>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200"/>
    <w:rsid w:val="005675B1"/>
    <w:rsid w:val="00567A3A"/>
    <w:rsid w:val="00572CAC"/>
    <w:rsid w:val="005747F6"/>
    <w:rsid w:val="00574E2F"/>
    <w:rsid w:val="00582597"/>
    <w:rsid w:val="005829ED"/>
    <w:rsid w:val="00582F1E"/>
    <w:rsid w:val="00583043"/>
    <w:rsid w:val="0058421D"/>
    <w:rsid w:val="00586449"/>
    <w:rsid w:val="00586718"/>
    <w:rsid w:val="00586AEE"/>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3B69"/>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1D3A"/>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1EA3"/>
    <w:rsid w:val="006B252A"/>
    <w:rsid w:val="006B3FBF"/>
    <w:rsid w:val="006B4635"/>
    <w:rsid w:val="006C06F9"/>
    <w:rsid w:val="006C095B"/>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048"/>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5EDC"/>
    <w:rsid w:val="00807663"/>
    <w:rsid w:val="00807959"/>
    <w:rsid w:val="00807D17"/>
    <w:rsid w:val="00812D1B"/>
    <w:rsid w:val="00814C30"/>
    <w:rsid w:val="00815510"/>
    <w:rsid w:val="00816FE5"/>
    <w:rsid w:val="0081720D"/>
    <w:rsid w:val="00820A0C"/>
    <w:rsid w:val="00825C97"/>
    <w:rsid w:val="00827604"/>
    <w:rsid w:val="00827F90"/>
    <w:rsid w:val="008304C8"/>
    <w:rsid w:val="00830CFD"/>
    <w:rsid w:val="00831192"/>
    <w:rsid w:val="008324DA"/>
    <w:rsid w:val="008341BA"/>
    <w:rsid w:val="00834B0B"/>
    <w:rsid w:val="008355D3"/>
    <w:rsid w:val="00836757"/>
    <w:rsid w:val="00837B3B"/>
    <w:rsid w:val="00837F6A"/>
    <w:rsid w:val="00841336"/>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F67"/>
    <w:rsid w:val="008A70B4"/>
    <w:rsid w:val="008A7B2B"/>
    <w:rsid w:val="008A7DB0"/>
    <w:rsid w:val="008B1335"/>
    <w:rsid w:val="008B22BE"/>
    <w:rsid w:val="008B56B6"/>
    <w:rsid w:val="008C0E60"/>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B05"/>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6E81"/>
    <w:rsid w:val="009F7E45"/>
    <w:rsid w:val="00A008DB"/>
    <w:rsid w:val="00A00AA7"/>
    <w:rsid w:val="00A00F2D"/>
    <w:rsid w:val="00A011DB"/>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55F9"/>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04D1"/>
    <w:rsid w:val="00AA1646"/>
    <w:rsid w:val="00AA1D53"/>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8EB"/>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AF7F9A"/>
    <w:rsid w:val="00B0780B"/>
    <w:rsid w:val="00B07A6C"/>
    <w:rsid w:val="00B07B2E"/>
    <w:rsid w:val="00B103BF"/>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2DBB"/>
    <w:rsid w:val="00B43E27"/>
    <w:rsid w:val="00B444BE"/>
    <w:rsid w:val="00B44BF7"/>
    <w:rsid w:val="00B44BF8"/>
    <w:rsid w:val="00B4523E"/>
    <w:rsid w:val="00B46B86"/>
    <w:rsid w:val="00B46BFF"/>
    <w:rsid w:val="00B51AB1"/>
    <w:rsid w:val="00B51B4D"/>
    <w:rsid w:val="00B521DC"/>
    <w:rsid w:val="00B5348C"/>
    <w:rsid w:val="00B5491E"/>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9BB"/>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275DF"/>
    <w:rsid w:val="00C3124E"/>
    <w:rsid w:val="00C33327"/>
    <w:rsid w:val="00C334FF"/>
    <w:rsid w:val="00C337E0"/>
    <w:rsid w:val="00C40F59"/>
    <w:rsid w:val="00C4154F"/>
    <w:rsid w:val="00C41C20"/>
    <w:rsid w:val="00C43E8C"/>
    <w:rsid w:val="00C44469"/>
    <w:rsid w:val="00C4555E"/>
    <w:rsid w:val="00C477F6"/>
    <w:rsid w:val="00C50693"/>
    <w:rsid w:val="00C5245D"/>
    <w:rsid w:val="00C525AE"/>
    <w:rsid w:val="00C52CF5"/>
    <w:rsid w:val="00C52EBE"/>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214"/>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6DC7"/>
    <w:rsid w:val="00D2790D"/>
    <w:rsid w:val="00D31FF1"/>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44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13C"/>
    <w:rsid w:val="00DA453A"/>
    <w:rsid w:val="00DA4C57"/>
    <w:rsid w:val="00DA65E9"/>
    <w:rsid w:val="00DA734C"/>
    <w:rsid w:val="00DA7CD3"/>
    <w:rsid w:val="00DB09EB"/>
    <w:rsid w:val="00DB0E1A"/>
    <w:rsid w:val="00DB303E"/>
    <w:rsid w:val="00DB4421"/>
    <w:rsid w:val="00DB6F9D"/>
    <w:rsid w:val="00DC0281"/>
    <w:rsid w:val="00DC058A"/>
    <w:rsid w:val="00DC155E"/>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256FA"/>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3164"/>
    <w:rsid w:val="00FD5B47"/>
    <w:rsid w:val="00FD6AC7"/>
    <w:rsid w:val="00FE14AD"/>
    <w:rsid w:val="00FE153E"/>
    <w:rsid w:val="00FE1D5C"/>
    <w:rsid w:val="00FE2D3A"/>
    <w:rsid w:val="00FE449A"/>
    <w:rsid w:val="00FE4A06"/>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827604"/>
    <w:pPr>
      <w:tabs>
        <w:tab w:val="center" w:pos="4680"/>
        <w:tab w:val="right" w:pos="9360"/>
      </w:tabs>
    </w:pPr>
  </w:style>
  <w:style w:type="character" w:customStyle="1" w:styleId="HeaderChar">
    <w:name w:val="Header Char"/>
    <w:basedOn w:val="DefaultParagraphFont"/>
    <w:link w:val="Header"/>
    <w:rsid w:val="00827604"/>
    <w:rPr>
      <w:sz w:val="24"/>
      <w:szCs w:val="24"/>
    </w:rPr>
  </w:style>
  <w:style w:type="character" w:customStyle="1" w:styleId="FooterChar">
    <w:name w:val="Footer Char"/>
    <w:basedOn w:val="DefaultParagraphFont"/>
    <w:link w:val="Footer"/>
    <w:uiPriority w:val="99"/>
    <w:rsid w:val="008276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827604"/>
    <w:pPr>
      <w:tabs>
        <w:tab w:val="center" w:pos="4680"/>
        <w:tab w:val="right" w:pos="9360"/>
      </w:tabs>
    </w:pPr>
  </w:style>
  <w:style w:type="character" w:customStyle="1" w:styleId="HeaderChar">
    <w:name w:val="Header Char"/>
    <w:basedOn w:val="DefaultParagraphFont"/>
    <w:link w:val="Header"/>
    <w:rsid w:val="00827604"/>
    <w:rPr>
      <w:sz w:val="24"/>
      <w:szCs w:val="24"/>
    </w:rPr>
  </w:style>
  <w:style w:type="character" w:customStyle="1" w:styleId="FooterChar">
    <w:name w:val="Footer Char"/>
    <w:basedOn w:val="DefaultParagraphFont"/>
    <w:link w:val="Footer"/>
    <w:uiPriority w:val="99"/>
    <w:rsid w:val="008276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8359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288F-900A-4697-96E0-7A683D24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2013-10-01T17:57:00Z</cp:lastPrinted>
  <dcterms:created xsi:type="dcterms:W3CDTF">2013-10-01T17:54:00Z</dcterms:created>
  <dcterms:modified xsi:type="dcterms:W3CDTF">2013-10-01T17:59:00Z</dcterms:modified>
</cp:coreProperties>
</file>