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7A567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BE7BBD" wp14:editId="379DEA6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CA797D" w:rsidRDefault="00DC352B" w:rsidP="007F1A0B">
      <w:pPr>
        <w:ind w:right="-576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C-20027195</w:t>
      </w:r>
    </w:p>
    <w:p w:rsidR="00656596" w:rsidRDefault="00656596" w:rsidP="006721B8">
      <w:pPr>
        <w:ind w:left="7920" w:right="-630" w:firstLine="270"/>
        <w:jc w:val="center"/>
      </w:pPr>
    </w:p>
    <w:p w:rsidR="006721B8" w:rsidRDefault="00BE294A" w:rsidP="006721B8">
      <w:pPr>
        <w:ind w:left="720" w:hanging="720"/>
        <w:jc w:val="center"/>
        <w:rPr>
          <w:sz w:val="24"/>
          <w:szCs w:val="26"/>
        </w:rPr>
      </w:pPr>
      <w:r>
        <w:rPr>
          <w:sz w:val="24"/>
          <w:szCs w:val="26"/>
        </w:rPr>
        <w:t>October 3, 2013</w:t>
      </w:r>
    </w:p>
    <w:p w:rsidR="006721B8" w:rsidRDefault="006721B8" w:rsidP="000C3831">
      <w:pPr>
        <w:ind w:left="720" w:hanging="720"/>
        <w:rPr>
          <w:sz w:val="24"/>
          <w:szCs w:val="26"/>
        </w:rPr>
      </w:pPr>
    </w:p>
    <w:p w:rsidR="00AF31DA" w:rsidRDefault="00AF31DA" w:rsidP="004C0816">
      <w:pPr>
        <w:ind w:left="720" w:hanging="720"/>
        <w:rPr>
          <w:rFonts w:eastAsia="Calibri"/>
          <w:b/>
          <w:sz w:val="24"/>
          <w:szCs w:val="22"/>
        </w:rPr>
      </w:pPr>
    </w:p>
    <w:p w:rsidR="004C0816" w:rsidRPr="004C0816" w:rsidRDefault="004C0816" w:rsidP="004C0816">
      <w:pPr>
        <w:ind w:left="720" w:hanging="720"/>
        <w:rPr>
          <w:rFonts w:eastAsia="Calibri"/>
          <w:sz w:val="24"/>
          <w:szCs w:val="22"/>
        </w:rPr>
      </w:pPr>
      <w:r w:rsidRPr="004C0816">
        <w:rPr>
          <w:rFonts w:eastAsia="Calibri"/>
          <w:b/>
          <w:sz w:val="24"/>
          <w:szCs w:val="22"/>
        </w:rPr>
        <w:t>RE:</w:t>
      </w:r>
      <w:r w:rsidRPr="004C0816">
        <w:rPr>
          <w:rFonts w:eastAsia="Calibri"/>
          <w:b/>
          <w:sz w:val="24"/>
          <w:szCs w:val="22"/>
        </w:rPr>
        <w:tab/>
      </w:r>
      <w:r w:rsidR="00D86997" w:rsidRPr="00D86997">
        <w:rPr>
          <w:rFonts w:eastAsia="Calibri"/>
          <w:b/>
          <w:sz w:val="24"/>
          <w:szCs w:val="22"/>
        </w:rPr>
        <w:t>AT&amp;T C</w:t>
      </w:r>
      <w:r w:rsidR="00D86997">
        <w:rPr>
          <w:rFonts w:eastAsia="Calibri"/>
          <w:b/>
          <w:sz w:val="24"/>
          <w:szCs w:val="22"/>
        </w:rPr>
        <w:t xml:space="preserve">ommunications of Pennsylvania, Inc. v. Verizon North, Inc. and Verizon </w:t>
      </w:r>
      <w:r w:rsidR="00DC352B">
        <w:rPr>
          <w:rFonts w:eastAsia="Calibri"/>
          <w:b/>
          <w:sz w:val="24"/>
          <w:szCs w:val="22"/>
        </w:rPr>
        <w:t>Pennsylvania Inc.</w:t>
      </w:r>
      <w:r w:rsidR="00D621E5">
        <w:rPr>
          <w:rFonts w:eastAsia="Calibri"/>
          <w:b/>
          <w:sz w:val="24"/>
          <w:szCs w:val="22"/>
        </w:rPr>
        <w:t xml:space="preserve">; </w:t>
      </w:r>
      <w:r w:rsidR="00D621E5" w:rsidRPr="004C0816">
        <w:rPr>
          <w:rFonts w:eastAsia="Calibri"/>
          <w:b/>
          <w:sz w:val="24"/>
          <w:szCs w:val="22"/>
        </w:rPr>
        <w:t>Docket No.</w:t>
      </w:r>
      <w:r w:rsidR="00D621E5">
        <w:rPr>
          <w:rFonts w:eastAsia="Calibri"/>
          <w:b/>
          <w:sz w:val="24"/>
          <w:szCs w:val="22"/>
        </w:rPr>
        <w:t xml:space="preserve"> C-20027195</w:t>
      </w:r>
    </w:p>
    <w:p w:rsidR="00D55A27" w:rsidRDefault="00D55A27" w:rsidP="00D55A27">
      <w:pPr>
        <w:ind w:left="720" w:hanging="720"/>
        <w:rPr>
          <w:rFonts w:eastAsia="Calibri"/>
          <w:sz w:val="24"/>
          <w:szCs w:val="22"/>
        </w:rPr>
      </w:pPr>
    </w:p>
    <w:p w:rsidR="00AF31DA" w:rsidRDefault="00AF31DA" w:rsidP="00D55A27">
      <w:pPr>
        <w:ind w:left="720" w:hanging="720"/>
        <w:rPr>
          <w:rFonts w:eastAsia="Calibri"/>
          <w:sz w:val="24"/>
          <w:szCs w:val="22"/>
        </w:rPr>
      </w:pPr>
    </w:p>
    <w:p w:rsidR="00AF31DA" w:rsidRDefault="00AF31DA" w:rsidP="00D55A27">
      <w:pPr>
        <w:ind w:left="720" w:hanging="720"/>
        <w:rPr>
          <w:rFonts w:eastAsia="Calibri"/>
          <w:sz w:val="24"/>
          <w:szCs w:val="22"/>
        </w:rPr>
      </w:pPr>
    </w:p>
    <w:p w:rsidR="00D55A27" w:rsidRDefault="00D55A27" w:rsidP="00D55A27">
      <w:pPr>
        <w:ind w:left="720" w:hanging="720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To All Parties of Record:</w:t>
      </w:r>
    </w:p>
    <w:p w:rsidR="00D55A27" w:rsidRDefault="00D55A27" w:rsidP="00D55A27">
      <w:pPr>
        <w:rPr>
          <w:rFonts w:eastAsia="Calibri"/>
          <w:sz w:val="16"/>
          <w:szCs w:val="16"/>
        </w:rPr>
      </w:pPr>
    </w:p>
    <w:p w:rsidR="00F00A9E" w:rsidRDefault="00F64F5C" w:rsidP="00F64F5C">
      <w:pPr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ab/>
      </w:r>
      <w:r w:rsidR="00F00A9E">
        <w:rPr>
          <w:rFonts w:eastAsia="Calibri"/>
          <w:sz w:val="24"/>
          <w:szCs w:val="22"/>
        </w:rPr>
        <w:t xml:space="preserve">In our Opinion and Order entered </w:t>
      </w:r>
      <w:r w:rsidR="00F00A9E" w:rsidRPr="00F00A9E">
        <w:rPr>
          <w:rFonts w:eastAsia="Calibri"/>
          <w:sz w:val="24"/>
          <w:szCs w:val="22"/>
        </w:rPr>
        <w:t>May 11, 2010</w:t>
      </w:r>
      <w:r w:rsidR="00F00A9E">
        <w:rPr>
          <w:rFonts w:eastAsia="Calibri"/>
          <w:sz w:val="24"/>
          <w:szCs w:val="22"/>
        </w:rPr>
        <w:t xml:space="preserve">, </w:t>
      </w:r>
      <w:r w:rsidR="0058384D">
        <w:rPr>
          <w:rFonts w:eastAsia="Calibri"/>
          <w:sz w:val="24"/>
          <w:szCs w:val="22"/>
        </w:rPr>
        <w:t xml:space="preserve">concerning </w:t>
      </w:r>
      <w:r w:rsidR="00F00A9E">
        <w:rPr>
          <w:rFonts w:eastAsia="Calibri"/>
          <w:sz w:val="24"/>
          <w:szCs w:val="22"/>
        </w:rPr>
        <w:t xml:space="preserve">the investigation of </w:t>
      </w:r>
      <w:r w:rsidR="00B06709">
        <w:rPr>
          <w:rFonts w:eastAsia="Calibri"/>
          <w:sz w:val="24"/>
          <w:szCs w:val="22"/>
        </w:rPr>
        <w:t xml:space="preserve">the switched access charges of </w:t>
      </w:r>
      <w:r w:rsidR="00F00A9E">
        <w:rPr>
          <w:rFonts w:eastAsia="Calibri"/>
          <w:sz w:val="24"/>
          <w:szCs w:val="22"/>
        </w:rPr>
        <w:t xml:space="preserve">Verizon Pennsylvania Inc. and Verizon North Inc. </w:t>
      </w:r>
      <w:r w:rsidR="000F75AD">
        <w:rPr>
          <w:rFonts w:eastAsia="Calibri"/>
          <w:sz w:val="24"/>
          <w:szCs w:val="22"/>
        </w:rPr>
        <w:t>(now Verizon North LLC) (collectively, Verizon Companies)</w:t>
      </w:r>
      <w:r w:rsidR="00427CA6">
        <w:rPr>
          <w:rFonts w:eastAsia="Calibri"/>
          <w:sz w:val="24"/>
          <w:szCs w:val="22"/>
        </w:rPr>
        <w:t>,</w:t>
      </w:r>
      <w:r w:rsidR="00F00A9E">
        <w:rPr>
          <w:rFonts w:eastAsia="Calibri"/>
          <w:sz w:val="24"/>
          <w:szCs w:val="22"/>
        </w:rPr>
        <w:t xml:space="preserve"> </w:t>
      </w:r>
      <w:r w:rsidR="00F00A9E" w:rsidRPr="00F00A9E">
        <w:rPr>
          <w:rFonts w:eastAsia="Calibri"/>
          <w:sz w:val="24"/>
          <w:szCs w:val="22"/>
        </w:rPr>
        <w:t xml:space="preserve">at the above captioned docket, </w:t>
      </w:r>
      <w:r w:rsidR="00F00A9E">
        <w:rPr>
          <w:rFonts w:eastAsia="Calibri"/>
          <w:sz w:val="24"/>
          <w:szCs w:val="22"/>
        </w:rPr>
        <w:t xml:space="preserve">we lifted </w:t>
      </w:r>
      <w:r w:rsidR="00427CA6">
        <w:rPr>
          <w:rFonts w:eastAsia="Calibri"/>
          <w:sz w:val="24"/>
          <w:szCs w:val="22"/>
        </w:rPr>
        <w:t xml:space="preserve">our </w:t>
      </w:r>
      <w:proofErr w:type="gramStart"/>
      <w:r w:rsidR="00F00A9E">
        <w:rPr>
          <w:rFonts w:eastAsia="Calibri"/>
          <w:sz w:val="24"/>
          <w:szCs w:val="22"/>
        </w:rPr>
        <w:t>previous</w:t>
      </w:r>
      <w:proofErr w:type="gramEnd"/>
      <w:r w:rsidR="00F00A9E">
        <w:rPr>
          <w:rFonts w:eastAsia="Calibri"/>
          <w:sz w:val="24"/>
          <w:szCs w:val="22"/>
        </w:rPr>
        <w:t xml:space="preserve"> </w:t>
      </w:r>
      <w:r w:rsidR="00F00A9E" w:rsidRPr="00F00A9E">
        <w:rPr>
          <w:rFonts w:eastAsia="Calibri"/>
          <w:sz w:val="24"/>
          <w:szCs w:val="22"/>
        </w:rPr>
        <w:t xml:space="preserve">stay of the </w:t>
      </w:r>
      <w:r w:rsidR="00F00A9E">
        <w:rPr>
          <w:rFonts w:eastAsia="Calibri"/>
          <w:sz w:val="24"/>
          <w:szCs w:val="22"/>
        </w:rPr>
        <w:t xml:space="preserve">proceedings and assigned the </w:t>
      </w:r>
      <w:r w:rsidR="00884CAC">
        <w:rPr>
          <w:rFonts w:eastAsia="Calibri"/>
          <w:sz w:val="24"/>
          <w:szCs w:val="22"/>
        </w:rPr>
        <w:t xml:space="preserve">investigation to </w:t>
      </w:r>
      <w:r w:rsidR="00F00A9E" w:rsidRPr="00F00A9E">
        <w:rPr>
          <w:rFonts w:eastAsia="Calibri"/>
          <w:sz w:val="24"/>
          <w:szCs w:val="22"/>
        </w:rPr>
        <w:t xml:space="preserve">the Office of Administrative Law Judge </w:t>
      </w:r>
      <w:r w:rsidR="00884CAC">
        <w:rPr>
          <w:rFonts w:eastAsia="Calibri"/>
          <w:sz w:val="24"/>
          <w:szCs w:val="22"/>
        </w:rPr>
        <w:t xml:space="preserve">(OALJ) </w:t>
      </w:r>
      <w:r w:rsidR="00F00A9E" w:rsidRPr="00F00A9E">
        <w:rPr>
          <w:rFonts w:eastAsia="Calibri"/>
          <w:sz w:val="24"/>
          <w:szCs w:val="22"/>
        </w:rPr>
        <w:t xml:space="preserve">for the development of </w:t>
      </w:r>
      <w:r w:rsidR="00B06709">
        <w:rPr>
          <w:rFonts w:eastAsia="Calibri"/>
          <w:sz w:val="24"/>
          <w:szCs w:val="22"/>
        </w:rPr>
        <w:t>an</w:t>
      </w:r>
      <w:r w:rsidR="00F00A9E" w:rsidRPr="00F00A9E">
        <w:rPr>
          <w:rFonts w:eastAsia="Calibri"/>
          <w:sz w:val="24"/>
          <w:szCs w:val="22"/>
        </w:rPr>
        <w:t xml:space="preserve"> appropriate evidentiary record and the issuance of a Recommended Decision. </w:t>
      </w:r>
      <w:r w:rsidR="00884CAC">
        <w:rPr>
          <w:rFonts w:eastAsia="Calibri"/>
          <w:sz w:val="24"/>
          <w:szCs w:val="22"/>
        </w:rPr>
        <w:t xml:space="preserve"> In order to make the most efficient use of resources, we further directed that </w:t>
      </w:r>
      <w:r w:rsidR="00F00A9E" w:rsidRPr="00F00A9E">
        <w:rPr>
          <w:rFonts w:eastAsia="Calibri"/>
          <w:sz w:val="24"/>
          <w:szCs w:val="22"/>
        </w:rPr>
        <w:t xml:space="preserve">hearings not be held until after the issuance of a Recommended Decision by the Presiding Administrative Law </w:t>
      </w:r>
      <w:r>
        <w:rPr>
          <w:rFonts w:eastAsia="Calibri"/>
          <w:sz w:val="24"/>
          <w:szCs w:val="22"/>
        </w:rPr>
        <w:t xml:space="preserve">Judge </w:t>
      </w:r>
      <w:r w:rsidR="00F00A9E" w:rsidRPr="00F00A9E">
        <w:rPr>
          <w:rFonts w:eastAsia="Calibri"/>
          <w:sz w:val="24"/>
          <w:szCs w:val="22"/>
        </w:rPr>
        <w:t>in the</w:t>
      </w:r>
      <w:r w:rsidR="00884CAC">
        <w:rPr>
          <w:rFonts w:eastAsia="Calibri"/>
          <w:sz w:val="24"/>
          <w:szCs w:val="22"/>
        </w:rPr>
        <w:t xml:space="preserve"> then</w:t>
      </w:r>
      <w:r w:rsidR="00B06709">
        <w:rPr>
          <w:rFonts w:eastAsia="Calibri"/>
          <w:sz w:val="24"/>
          <w:szCs w:val="22"/>
        </w:rPr>
        <w:t>-</w:t>
      </w:r>
      <w:r w:rsidR="00884CAC">
        <w:rPr>
          <w:rFonts w:eastAsia="Calibri"/>
          <w:sz w:val="24"/>
          <w:szCs w:val="22"/>
        </w:rPr>
        <w:t>pending</w:t>
      </w:r>
      <w:r w:rsidR="00F00A9E" w:rsidRPr="00F00A9E">
        <w:rPr>
          <w:rFonts w:eastAsia="Calibri"/>
          <w:sz w:val="24"/>
          <w:szCs w:val="22"/>
        </w:rPr>
        <w:t xml:space="preserve"> Rural ILEC Access Charge Investigation at Docket No. </w:t>
      </w:r>
      <w:proofErr w:type="gramStart"/>
      <w:r w:rsidR="00F00A9E" w:rsidRPr="00F00A9E">
        <w:rPr>
          <w:rFonts w:eastAsia="Calibri"/>
          <w:sz w:val="24"/>
          <w:szCs w:val="22"/>
        </w:rPr>
        <w:t>I-00040105.</w:t>
      </w:r>
      <w:proofErr w:type="gramEnd"/>
      <w:r>
        <w:rPr>
          <w:rFonts w:eastAsia="Calibri"/>
          <w:sz w:val="24"/>
          <w:szCs w:val="22"/>
        </w:rPr>
        <w:t xml:space="preserve">  Hearings were subsequently held before ALJ</w:t>
      </w:r>
      <w:r w:rsidR="007624B6">
        <w:rPr>
          <w:rFonts w:eastAsia="Calibri"/>
          <w:sz w:val="24"/>
          <w:szCs w:val="22"/>
        </w:rPr>
        <w:t xml:space="preserve"> </w:t>
      </w:r>
      <w:r w:rsidR="007624B6" w:rsidRPr="007624B6">
        <w:rPr>
          <w:rFonts w:eastAsia="Calibri"/>
          <w:sz w:val="24"/>
          <w:szCs w:val="22"/>
        </w:rPr>
        <w:t>Cynthia Fordham</w:t>
      </w:r>
      <w:r>
        <w:rPr>
          <w:rFonts w:eastAsia="Calibri"/>
          <w:sz w:val="24"/>
          <w:szCs w:val="22"/>
        </w:rPr>
        <w:t xml:space="preserve"> and the proceeding is presently in the briefing stage.</w:t>
      </w:r>
    </w:p>
    <w:p w:rsidR="00F64F5C" w:rsidRDefault="00F64F5C" w:rsidP="00F64F5C">
      <w:pPr>
        <w:rPr>
          <w:rFonts w:eastAsia="Calibri"/>
          <w:sz w:val="24"/>
          <w:szCs w:val="22"/>
        </w:rPr>
      </w:pPr>
    </w:p>
    <w:p w:rsidR="00331495" w:rsidRDefault="007624B6" w:rsidP="00331495">
      <w:pPr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ab/>
      </w:r>
      <w:r w:rsidR="00D55A27">
        <w:rPr>
          <w:rFonts w:eastAsia="Calibri"/>
          <w:sz w:val="24"/>
          <w:szCs w:val="22"/>
        </w:rPr>
        <w:t>On November 18, 2011</w:t>
      </w:r>
      <w:r>
        <w:rPr>
          <w:rFonts w:eastAsia="Calibri"/>
          <w:sz w:val="24"/>
          <w:szCs w:val="22"/>
        </w:rPr>
        <w:t>,</w:t>
      </w:r>
      <w:r w:rsidR="00D55A27">
        <w:rPr>
          <w:rFonts w:eastAsia="Calibri"/>
          <w:sz w:val="24"/>
          <w:szCs w:val="22"/>
        </w:rPr>
        <w:t xml:space="preserve"> the Federal Communications Commission (FCC) released its extensive </w:t>
      </w:r>
      <w:r w:rsidR="00D55A27">
        <w:rPr>
          <w:rFonts w:eastAsia="Calibri"/>
          <w:i/>
          <w:sz w:val="24"/>
          <w:szCs w:val="22"/>
        </w:rPr>
        <w:t>USF/ICC Transformation Order</w:t>
      </w:r>
      <w:r w:rsidR="00D55A27">
        <w:rPr>
          <w:rFonts w:eastAsia="Calibri"/>
          <w:sz w:val="24"/>
          <w:szCs w:val="22"/>
        </w:rPr>
        <w:t xml:space="preserve"> that had been adopted on October 27, 2011.</w:t>
      </w:r>
      <w:r w:rsidR="00D55A27">
        <w:rPr>
          <w:rFonts w:eastAsia="Calibri"/>
          <w:sz w:val="24"/>
          <w:szCs w:val="22"/>
          <w:vertAlign w:val="superscript"/>
        </w:rPr>
        <w:footnoteReference w:id="1"/>
      </w:r>
      <w:r w:rsidR="00D55A27">
        <w:rPr>
          <w:rFonts w:eastAsia="Calibri"/>
          <w:sz w:val="24"/>
          <w:szCs w:val="22"/>
        </w:rPr>
        <w:t xml:space="preserve">  Although the </w:t>
      </w:r>
      <w:r w:rsidR="00D55A27">
        <w:rPr>
          <w:rFonts w:eastAsia="Calibri"/>
          <w:i/>
          <w:sz w:val="24"/>
          <w:szCs w:val="22"/>
        </w:rPr>
        <w:t>USF/ICC Transformation Order</w:t>
      </w:r>
      <w:r w:rsidR="00D55A27">
        <w:rPr>
          <w:rFonts w:eastAsia="Calibri"/>
          <w:sz w:val="24"/>
          <w:szCs w:val="22"/>
        </w:rPr>
        <w:t xml:space="preserve"> is currently under appeal</w:t>
      </w:r>
      <w:r w:rsidR="00E10FAD">
        <w:rPr>
          <w:rFonts w:eastAsia="Calibri"/>
          <w:sz w:val="24"/>
          <w:szCs w:val="22"/>
        </w:rPr>
        <w:t>,</w:t>
      </w:r>
      <w:r w:rsidR="00D55A27">
        <w:rPr>
          <w:rFonts w:eastAsia="Calibri"/>
          <w:sz w:val="24"/>
          <w:szCs w:val="22"/>
          <w:vertAlign w:val="superscript"/>
        </w:rPr>
        <w:footnoteReference w:id="2"/>
      </w:r>
      <w:r w:rsidR="00D55A27">
        <w:rPr>
          <w:rFonts w:eastAsia="Calibri"/>
          <w:sz w:val="24"/>
          <w:szCs w:val="22"/>
        </w:rPr>
        <w:t xml:space="preserve"> it has not been legally stayed and is being implemented by this Commission and other state utility commissions.</w:t>
      </w:r>
      <w:r w:rsidR="00D55A27">
        <w:rPr>
          <w:rFonts w:eastAsia="Calibri"/>
          <w:sz w:val="24"/>
          <w:szCs w:val="22"/>
          <w:vertAlign w:val="superscript"/>
        </w:rPr>
        <w:footnoteReference w:id="3"/>
      </w:r>
      <w:r w:rsidR="00D55A27">
        <w:rPr>
          <w:rFonts w:eastAsia="Calibri"/>
          <w:sz w:val="24"/>
          <w:szCs w:val="22"/>
        </w:rPr>
        <w:t xml:space="preserve">  </w:t>
      </w:r>
      <w:r>
        <w:rPr>
          <w:rFonts w:eastAsia="Calibri"/>
          <w:sz w:val="24"/>
          <w:szCs w:val="22"/>
        </w:rPr>
        <w:t>Duri</w:t>
      </w:r>
      <w:r w:rsidR="009E5C5F">
        <w:rPr>
          <w:rFonts w:eastAsia="Calibri"/>
          <w:sz w:val="24"/>
          <w:szCs w:val="22"/>
        </w:rPr>
        <w:t>ng the pendency of the Verizon C</w:t>
      </w:r>
      <w:r>
        <w:rPr>
          <w:rFonts w:eastAsia="Calibri"/>
          <w:sz w:val="24"/>
          <w:szCs w:val="22"/>
        </w:rPr>
        <w:t xml:space="preserve">ompanies’ access charge investigation </w:t>
      </w:r>
      <w:r w:rsidR="00370701">
        <w:rPr>
          <w:rFonts w:eastAsia="Calibri"/>
          <w:sz w:val="24"/>
          <w:szCs w:val="22"/>
        </w:rPr>
        <w:t>before us, V</w:t>
      </w:r>
      <w:r w:rsidR="00331495" w:rsidRPr="00331495">
        <w:rPr>
          <w:rFonts w:eastAsia="Calibri"/>
          <w:sz w:val="24"/>
          <w:szCs w:val="22"/>
        </w:rPr>
        <w:t xml:space="preserve">erizon PA and Verizon North </w:t>
      </w:r>
      <w:r w:rsidR="00331495">
        <w:rPr>
          <w:rFonts w:eastAsia="Calibri"/>
          <w:sz w:val="24"/>
          <w:szCs w:val="22"/>
        </w:rPr>
        <w:t xml:space="preserve">simultaneously </w:t>
      </w:r>
      <w:r w:rsidR="00331495" w:rsidRPr="00331495">
        <w:rPr>
          <w:rFonts w:eastAsia="Calibri"/>
          <w:sz w:val="24"/>
          <w:szCs w:val="22"/>
        </w:rPr>
        <w:t xml:space="preserve">have been following the directives of the FCC </w:t>
      </w:r>
      <w:r w:rsidR="00331495" w:rsidRPr="00331495">
        <w:rPr>
          <w:rFonts w:eastAsia="Calibri"/>
          <w:i/>
          <w:sz w:val="24"/>
          <w:szCs w:val="22"/>
        </w:rPr>
        <w:t>USF/ICC Transformation Order</w:t>
      </w:r>
      <w:r w:rsidR="00331495" w:rsidRPr="00331495">
        <w:rPr>
          <w:rFonts w:eastAsia="Calibri"/>
          <w:sz w:val="24"/>
          <w:szCs w:val="22"/>
        </w:rPr>
        <w:t xml:space="preserve"> as well as directives of this Commission </w:t>
      </w:r>
      <w:r w:rsidR="00331495">
        <w:rPr>
          <w:rFonts w:eastAsia="Calibri"/>
          <w:sz w:val="24"/>
          <w:szCs w:val="22"/>
        </w:rPr>
        <w:t xml:space="preserve">in </w:t>
      </w:r>
      <w:r w:rsidR="00331495" w:rsidRPr="00331495">
        <w:rPr>
          <w:rFonts w:eastAsia="Calibri"/>
          <w:sz w:val="24"/>
          <w:szCs w:val="22"/>
        </w:rPr>
        <w:t xml:space="preserve">implementing the </w:t>
      </w:r>
      <w:r w:rsidR="007573D4" w:rsidRPr="007573D4">
        <w:rPr>
          <w:rFonts w:eastAsia="Calibri"/>
          <w:i/>
          <w:sz w:val="24"/>
          <w:szCs w:val="22"/>
        </w:rPr>
        <w:t xml:space="preserve">USF/ICC </w:t>
      </w:r>
      <w:r w:rsidR="00331495" w:rsidRPr="007573D4">
        <w:rPr>
          <w:rFonts w:eastAsia="Calibri"/>
          <w:i/>
          <w:sz w:val="24"/>
          <w:szCs w:val="22"/>
        </w:rPr>
        <w:t>Transformation Order</w:t>
      </w:r>
      <w:r w:rsidR="007573D4" w:rsidRPr="007573D4">
        <w:rPr>
          <w:rFonts w:eastAsia="Calibri"/>
          <w:sz w:val="24"/>
          <w:szCs w:val="22"/>
        </w:rPr>
        <w:t>.</w:t>
      </w:r>
      <w:r w:rsidR="007573D4">
        <w:rPr>
          <w:rFonts w:eastAsia="Calibri"/>
          <w:sz w:val="24"/>
          <w:szCs w:val="22"/>
        </w:rPr>
        <w:t xml:space="preserve"> </w:t>
      </w:r>
      <w:r w:rsidR="00370701">
        <w:rPr>
          <w:rFonts w:eastAsia="Calibri"/>
          <w:sz w:val="24"/>
          <w:szCs w:val="22"/>
        </w:rPr>
        <w:t xml:space="preserve"> As </w:t>
      </w:r>
      <w:r w:rsidR="00737444">
        <w:rPr>
          <w:rFonts w:eastAsia="Calibri"/>
          <w:sz w:val="24"/>
          <w:szCs w:val="22"/>
        </w:rPr>
        <w:t xml:space="preserve">a result, </w:t>
      </w:r>
      <w:r w:rsidR="00370701">
        <w:rPr>
          <w:rFonts w:eastAsia="Calibri"/>
          <w:sz w:val="24"/>
          <w:szCs w:val="22"/>
        </w:rPr>
        <w:t xml:space="preserve">Verizon PA’s and Verizon North’s </w:t>
      </w:r>
      <w:r w:rsidR="00331495" w:rsidRPr="00331495">
        <w:rPr>
          <w:rFonts w:eastAsia="Calibri"/>
          <w:sz w:val="24"/>
          <w:szCs w:val="22"/>
        </w:rPr>
        <w:t>terminating switched access rates have reached their equivalent federal counterpart levels</w:t>
      </w:r>
      <w:r w:rsidR="00737444">
        <w:rPr>
          <w:rFonts w:eastAsia="Calibri"/>
          <w:sz w:val="24"/>
          <w:szCs w:val="22"/>
        </w:rPr>
        <w:t xml:space="preserve"> </w:t>
      </w:r>
      <w:r w:rsidR="00737444" w:rsidRPr="00737444">
        <w:rPr>
          <w:rFonts w:eastAsia="Calibri"/>
          <w:sz w:val="24"/>
          <w:szCs w:val="22"/>
        </w:rPr>
        <w:t>as of July 2013</w:t>
      </w:r>
      <w:r w:rsidR="00331495" w:rsidRPr="00331495">
        <w:rPr>
          <w:rFonts w:eastAsia="Calibri"/>
          <w:sz w:val="24"/>
          <w:szCs w:val="22"/>
        </w:rPr>
        <w:t>.</w:t>
      </w:r>
    </w:p>
    <w:p w:rsidR="00737444" w:rsidRDefault="00737444" w:rsidP="00331495">
      <w:pPr>
        <w:rPr>
          <w:rFonts w:eastAsia="Calibri"/>
          <w:sz w:val="24"/>
          <w:szCs w:val="22"/>
        </w:rPr>
      </w:pPr>
    </w:p>
    <w:p w:rsidR="00046E06" w:rsidRDefault="00737444" w:rsidP="00046E06">
      <w:pPr>
        <w:keepNext/>
        <w:keepLines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lastRenderedPageBreak/>
        <w:tab/>
      </w:r>
    </w:p>
    <w:p w:rsidR="00046E06" w:rsidRDefault="00046E06" w:rsidP="00046E06">
      <w:pPr>
        <w:keepNext/>
        <w:keepLines/>
        <w:rPr>
          <w:rFonts w:eastAsia="Calibri"/>
          <w:sz w:val="24"/>
          <w:szCs w:val="22"/>
        </w:rPr>
      </w:pPr>
    </w:p>
    <w:p w:rsidR="00046E06" w:rsidRDefault="00046E06" w:rsidP="00046E06">
      <w:pPr>
        <w:keepNext/>
        <w:keepLines/>
        <w:rPr>
          <w:rFonts w:eastAsia="Calibri"/>
          <w:sz w:val="24"/>
          <w:szCs w:val="22"/>
        </w:rPr>
      </w:pPr>
    </w:p>
    <w:p w:rsidR="00370701" w:rsidRPr="00331495" w:rsidRDefault="00046E06" w:rsidP="00046E06">
      <w:pPr>
        <w:keepNext/>
        <w:keepLines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ab/>
      </w:r>
      <w:r w:rsidR="00F30FA9">
        <w:rPr>
          <w:rFonts w:eastAsia="Calibri"/>
          <w:sz w:val="24"/>
          <w:szCs w:val="22"/>
        </w:rPr>
        <w:t xml:space="preserve">In light of </w:t>
      </w:r>
      <w:r w:rsidR="000F75AD">
        <w:rPr>
          <w:rFonts w:eastAsia="Calibri"/>
          <w:sz w:val="24"/>
          <w:szCs w:val="22"/>
        </w:rPr>
        <w:t xml:space="preserve">the Verizon </w:t>
      </w:r>
      <w:r w:rsidR="009E5C5F">
        <w:rPr>
          <w:rFonts w:eastAsia="Calibri"/>
          <w:sz w:val="24"/>
          <w:szCs w:val="22"/>
        </w:rPr>
        <w:t>C</w:t>
      </w:r>
      <w:r w:rsidR="000F75AD">
        <w:rPr>
          <w:rFonts w:eastAsia="Calibri"/>
          <w:sz w:val="24"/>
          <w:szCs w:val="22"/>
        </w:rPr>
        <w:t xml:space="preserve">ompanies’ compliance with </w:t>
      </w:r>
      <w:r w:rsidR="00F30FA9">
        <w:rPr>
          <w:rFonts w:eastAsia="Calibri"/>
          <w:sz w:val="24"/>
          <w:szCs w:val="22"/>
        </w:rPr>
        <w:t xml:space="preserve">the </w:t>
      </w:r>
      <w:r w:rsidR="00F30FA9" w:rsidRPr="00F30FA9">
        <w:rPr>
          <w:rFonts w:eastAsia="Calibri"/>
          <w:i/>
          <w:sz w:val="24"/>
          <w:szCs w:val="22"/>
        </w:rPr>
        <w:t>USF/ICC Transformation Order</w:t>
      </w:r>
      <w:r w:rsidR="00514F8C">
        <w:rPr>
          <w:rFonts w:eastAsia="Calibri"/>
          <w:i/>
          <w:sz w:val="24"/>
          <w:szCs w:val="22"/>
        </w:rPr>
        <w:t xml:space="preserve"> </w:t>
      </w:r>
      <w:r w:rsidR="00514F8C">
        <w:rPr>
          <w:rFonts w:eastAsia="Calibri"/>
          <w:sz w:val="24"/>
          <w:szCs w:val="22"/>
        </w:rPr>
        <w:t xml:space="preserve">and </w:t>
      </w:r>
      <w:r w:rsidR="000F75AD">
        <w:rPr>
          <w:rFonts w:eastAsia="Calibri"/>
          <w:sz w:val="24"/>
          <w:szCs w:val="22"/>
        </w:rPr>
        <w:t xml:space="preserve">our associated implementation orders, </w:t>
      </w:r>
      <w:r w:rsidR="00F30FA9">
        <w:rPr>
          <w:rFonts w:eastAsia="Calibri"/>
          <w:sz w:val="24"/>
          <w:szCs w:val="22"/>
        </w:rPr>
        <w:t xml:space="preserve">we </w:t>
      </w:r>
      <w:r w:rsidR="000F75AD">
        <w:rPr>
          <w:rFonts w:eastAsia="Calibri"/>
          <w:sz w:val="24"/>
          <w:szCs w:val="22"/>
        </w:rPr>
        <w:t xml:space="preserve">hereby </w:t>
      </w:r>
      <w:r w:rsidR="009E5C5F">
        <w:rPr>
          <w:rFonts w:eastAsia="Calibri"/>
          <w:sz w:val="24"/>
          <w:szCs w:val="22"/>
        </w:rPr>
        <w:t>request</w:t>
      </w:r>
      <w:r w:rsidR="00F30FA9">
        <w:rPr>
          <w:rFonts w:eastAsia="Calibri"/>
          <w:sz w:val="24"/>
          <w:szCs w:val="22"/>
        </w:rPr>
        <w:t xml:space="preserve"> </w:t>
      </w:r>
      <w:r w:rsidR="0050048C">
        <w:rPr>
          <w:rFonts w:eastAsia="Calibri"/>
          <w:sz w:val="24"/>
          <w:szCs w:val="22"/>
        </w:rPr>
        <w:t xml:space="preserve">each </w:t>
      </w:r>
      <w:r w:rsidR="009E5C5F">
        <w:rPr>
          <w:rFonts w:eastAsia="Calibri"/>
          <w:sz w:val="24"/>
          <w:szCs w:val="22"/>
        </w:rPr>
        <w:t>P</w:t>
      </w:r>
      <w:r w:rsidR="00F30FA9">
        <w:rPr>
          <w:rFonts w:eastAsia="Calibri"/>
          <w:sz w:val="24"/>
          <w:szCs w:val="22"/>
        </w:rPr>
        <w:t>art</w:t>
      </w:r>
      <w:r w:rsidR="0050048C">
        <w:rPr>
          <w:rFonts w:eastAsia="Calibri"/>
          <w:sz w:val="24"/>
          <w:szCs w:val="22"/>
        </w:rPr>
        <w:t>y</w:t>
      </w:r>
      <w:r w:rsidR="00F30FA9">
        <w:rPr>
          <w:rFonts w:eastAsia="Calibri"/>
          <w:sz w:val="24"/>
          <w:szCs w:val="22"/>
        </w:rPr>
        <w:t xml:space="preserve"> to this proceeding to respond within twenty (20) days </w:t>
      </w:r>
      <w:r w:rsidR="000F75AD">
        <w:rPr>
          <w:rFonts w:eastAsia="Calibri"/>
          <w:sz w:val="24"/>
          <w:szCs w:val="22"/>
        </w:rPr>
        <w:t xml:space="preserve">of </w:t>
      </w:r>
      <w:r w:rsidR="00F30FA9">
        <w:rPr>
          <w:rFonts w:eastAsia="Calibri"/>
          <w:sz w:val="24"/>
          <w:szCs w:val="22"/>
        </w:rPr>
        <w:t>the date of this Secretarial Lette</w:t>
      </w:r>
      <w:r w:rsidR="000F75AD">
        <w:rPr>
          <w:rFonts w:eastAsia="Calibri"/>
          <w:sz w:val="24"/>
          <w:szCs w:val="22"/>
        </w:rPr>
        <w:t>r</w:t>
      </w:r>
      <w:r w:rsidR="00F30FA9">
        <w:rPr>
          <w:rFonts w:eastAsia="Calibri"/>
          <w:sz w:val="24"/>
          <w:szCs w:val="22"/>
        </w:rPr>
        <w:t xml:space="preserve"> </w:t>
      </w:r>
      <w:r w:rsidR="0050048C">
        <w:rPr>
          <w:rFonts w:eastAsia="Calibri"/>
          <w:sz w:val="24"/>
          <w:szCs w:val="22"/>
        </w:rPr>
        <w:t xml:space="preserve">with </w:t>
      </w:r>
      <w:r w:rsidR="008060BC">
        <w:rPr>
          <w:rFonts w:eastAsia="Calibri"/>
          <w:sz w:val="24"/>
          <w:szCs w:val="22"/>
        </w:rPr>
        <w:t xml:space="preserve">its opinion and supporting rationale on </w:t>
      </w:r>
      <w:r w:rsidR="00BB59E9">
        <w:rPr>
          <w:rFonts w:eastAsia="Calibri"/>
          <w:sz w:val="24"/>
          <w:szCs w:val="22"/>
        </w:rPr>
        <w:t xml:space="preserve">what it believes is </w:t>
      </w:r>
      <w:r w:rsidR="008060BC">
        <w:rPr>
          <w:rFonts w:eastAsia="Calibri"/>
          <w:sz w:val="24"/>
          <w:szCs w:val="22"/>
        </w:rPr>
        <w:t>the best way to proceed with the instant investigation.  Options include</w:t>
      </w:r>
      <w:r w:rsidR="00BB59E9">
        <w:rPr>
          <w:rFonts w:eastAsia="Calibri"/>
          <w:sz w:val="24"/>
          <w:szCs w:val="22"/>
        </w:rPr>
        <w:t>,</w:t>
      </w:r>
      <w:r w:rsidR="008060BC">
        <w:rPr>
          <w:rFonts w:eastAsia="Calibri"/>
          <w:sz w:val="24"/>
          <w:szCs w:val="22"/>
        </w:rPr>
        <w:t xml:space="preserve"> but are not limited to</w:t>
      </w:r>
      <w:r w:rsidR="00BB59E9">
        <w:rPr>
          <w:rFonts w:eastAsia="Calibri"/>
          <w:sz w:val="24"/>
          <w:szCs w:val="22"/>
        </w:rPr>
        <w:t>,</w:t>
      </w:r>
      <w:r w:rsidR="008060BC">
        <w:rPr>
          <w:rFonts w:eastAsia="Calibri"/>
          <w:sz w:val="24"/>
          <w:szCs w:val="22"/>
        </w:rPr>
        <w:t xml:space="preserve"> </w:t>
      </w:r>
      <w:r w:rsidR="0050048C">
        <w:rPr>
          <w:rFonts w:eastAsia="Calibri"/>
          <w:sz w:val="24"/>
          <w:szCs w:val="22"/>
        </w:rPr>
        <w:t xml:space="preserve">whether </w:t>
      </w:r>
      <w:r w:rsidR="000F75AD">
        <w:rPr>
          <w:rFonts w:eastAsia="Calibri"/>
          <w:sz w:val="24"/>
          <w:szCs w:val="22"/>
        </w:rPr>
        <w:t xml:space="preserve">the </w:t>
      </w:r>
      <w:r w:rsidR="00F30FA9" w:rsidRPr="00F30FA9">
        <w:rPr>
          <w:rFonts w:eastAsia="Calibri"/>
          <w:sz w:val="24"/>
          <w:szCs w:val="22"/>
        </w:rPr>
        <w:t>Verizon</w:t>
      </w:r>
      <w:r w:rsidR="009E5C5F">
        <w:rPr>
          <w:rFonts w:eastAsia="Calibri"/>
          <w:sz w:val="24"/>
          <w:szCs w:val="22"/>
        </w:rPr>
        <w:t xml:space="preserve"> Companies’</w:t>
      </w:r>
      <w:r w:rsidR="00F30FA9" w:rsidRPr="00F30FA9">
        <w:rPr>
          <w:rFonts w:eastAsia="Calibri"/>
          <w:sz w:val="24"/>
          <w:szCs w:val="22"/>
        </w:rPr>
        <w:t xml:space="preserve"> Access Charge Investigation </w:t>
      </w:r>
      <w:r w:rsidR="00F30FA9">
        <w:rPr>
          <w:rFonts w:eastAsia="Calibri"/>
          <w:sz w:val="24"/>
          <w:szCs w:val="22"/>
        </w:rPr>
        <w:t xml:space="preserve">at the above captioned docket </w:t>
      </w:r>
      <w:r w:rsidR="00F30FA9" w:rsidRPr="00F30FA9">
        <w:rPr>
          <w:rFonts w:eastAsia="Calibri"/>
          <w:sz w:val="24"/>
          <w:szCs w:val="22"/>
        </w:rPr>
        <w:t>should be held in abeyance</w:t>
      </w:r>
      <w:r w:rsidR="008060BC">
        <w:rPr>
          <w:rFonts w:eastAsia="Calibri"/>
          <w:sz w:val="24"/>
          <w:szCs w:val="22"/>
        </w:rPr>
        <w:t>, pending completion of the pending federal appeals and/or a final FCC determination on originating access charges,</w:t>
      </w:r>
      <w:r w:rsidR="00F30FA9" w:rsidRPr="00F30FA9">
        <w:rPr>
          <w:rFonts w:eastAsia="Calibri"/>
          <w:sz w:val="24"/>
          <w:szCs w:val="22"/>
        </w:rPr>
        <w:t xml:space="preserve"> </w:t>
      </w:r>
      <w:r w:rsidR="008060BC">
        <w:rPr>
          <w:rFonts w:eastAsia="Calibri"/>
          <w:sz w:val="24"/>
          <w:szCs w:val="22"/>
        </w:rPr>
        <w:t>or</w:t>
      </w:r>
      <w:r w:rsidR="00F30FA9" w:rsidRPr="00F30FA9">
        <w:rPr>
          <w:rFonts w:eastAsia="Calibri"/>
          <w:sz w:val="24"/>
          <w:szCs w:val="22"/>
        </w:rPr>
        <w:t xml:space="preserve"> </w:t>
      </w:r>
      <w:r w:rsidR="008060BC">
        <w:rPr>
          <w:rFonts w:eastAsia="Calibri"/>
          <w:sz w:val="24"/>
          <w:szCs w:val="22"/>
        </w:rPr>
        <w:t xml:space="preserve">whether the investigation should </w:t>
      </w:r>
      <w:r w:rsidR="00BB59E9">
        <w:rPr>
          <w:rFonts w:eastAsia="Calibri"/>
          <w:sz w:val="24"/>
          <w:szCs w:val="22"/>
        </w:rPr>
        <w:t xml:space="preserve">just </w:t>
      </w:r>
      <w:r w:rsidR="000F75AD">
        <w:rPr>
          <w:rFonts w:eastAsia="Calibri"/>
          <w:sz w:val="24"/>
          <w:szCs w:val="22"/>
        </w:rPr>
        <w:t xml:space="preserve">be marked </w:t>
      </w:r>
      <w:r w:rsidR="009E5C5F">
        <w:rPr>
          <w:rFonts w:eastAsia="Calibri"/>
          <w:sz w:val="24"/>
          <w:szCs w:val="22"/>
        </w:rPr>
        <w:t>closed</w:t>
      </w:r>
      <w:r w:rsidR="0050048C">
        <w:rPr>
          <w:rFonts w:eastAsia="Calibri"/>
          <w:sz w:val="24"/>
          <w:szCs w:val="22"/>
        </w:rPr>
        <w:t xml:space="preserve"> at this time</w:t>
      </w:r>
      <w:r w:rsidR="009E5C5F">
        <w:rPr>
          <w:rFonts w:eastAsia="Calibri"/>
          <w:sz w:val="24"/>
          <w:szCs w:val="22"/>
        </w:rPr>
        <w:t>.</w:t>
      </w:r>
      <w:r w:rsidR="008060BC">
        <w:rPr>
          <w:rFonts w:eastAsia="Calibri"/>
          <w:sz w:val="24"/>
          <w:szCs w:val="22"/>
        </w:rPr>
        <w:t xml:space="preserve">  Upon our review of the responses, we will issue an order addressing the path we will take.</w:t>
      </w:r>
    </w:p>
    <w:p w:rsidR="00331495" w:rsidRDefault="00331495" w:rsidP="00D55A27">
      <w:pPr>
        <w:rPr>
          <w:rFonts w:eastAsia="Calibri"/>
          <w:sz w:val="24"/>
          <w:szCs w:val="22"/>
        </w:rPr>
      </w:pPr>
    </w:p>
    <w:p w:rsidR="00D55A27" w:rsidRDefault="00D55A27" w:rsidP="00D55A27">
      <w:pPr>
        <w:ind w:firstLine="720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For any additional information regarding this matter please contact </w:t>
      </w:r>
      <w:r w:rsidR="001052A6">
        <w:rPr>
          <w:rFonts w:eastAsia="Calibri"/>
          <w:sz w:val="24"/>
          <w:szCs w:val="22"/>
        </w:rPr>
        <w:t>Bert Marinko</w:t>
      </w:r>
      <w:r w:rsidR="00EC6032">
        <w:rPr>
          <w:rFonts w:eastAsia="Calibri"/>
          <w:sz w:val="24"/>
          <w:szCs w:val="22"/>
        </w:rPr>
        <w:t xml:space="preserve"> of the Office of Special Assistants</w:t>
      </w:r>
      <w:r>
        <w:rPr>
          <w:rFonts w:eastAsia="Calibri"/>
          <w:sz w:val="24"/>
          <w:szCs w:val="22"/>
        </w:rPr>
        <w:t xml:space="preserve"> at (</w:t>
      </w:r>
      <w:r w:rsidR="001052A6">
        <w:rPr>
          <w:rFonts w:eastAsia="Calibri"/>
          <w:sz w:val="24"/>
          <w:szCs w:val="22"/>
        </w:rPr>
        <w:t>717</w:t>
      </w:r>
      <w:r>
        <w:rPr>
          <w:rFonts w:eastAsia="Calibri"/>
          <w:sz w:val="24"/>
          <w:szCs w:val="22"/>
        </w:rPr>
        <w:t xml:space="preserve">) </w:t>
      </w:r>
      <w:r w:rsidR="001052A6">
        <w:rPr>
          <w:rFonts w:eastAsia="Calibri"/>
          <w:sz w:val="24"/>
          <w:szCs w:val="22"/>
        </w:rPr>
        <w:t>975</w:t>
      </w:r>
      <w:r w:rsidR="00393920">
        <w:rPr>
          <w:rFonts w:eastAsia="Calibri"/>
          <w:sz w:val="24"/>
          <w:szCs w:val="22"/>
        </w:rPr>
        <w:t>-</w:t>
      </w:r>
      <w:r w:rsidR="001052A6">
        <w:rPr>
          <w:rFonts w:eastAsia="Calibri"/>
          <w:sz w:val="24"/>
          <w:szCs w:val="22"/>
        </w:rPr>
        <w:t>9725</w:t>
      </w:r>
      <w:r>
        <w:rPr>
          <w:rFonts w:eastAsia="Calibri"/>
          <w:sz w:val="24"/>
          <w:szCs w:val="22"/>
        </w:rPr>
        <w:t xml:space="preserve"> or </w:t>
      </w:r>
      <w:r w:rsidR="001052A6">
        <w:rPr>
          <w:rFonts w:eastAsia="Calibri"/>
          <w:sz w:val="24"/>
          <w:szCs w:val="22"/>
        </w:rPr>
        <w:t>rmarinko</w:t>
      </w:r>
      <w:r>
        <w:rPr>
          <w:rFonts w:eastAsia="Calibri"/>
          <w:sz w:val="24"/>
          <w:szCs w:val="22"/>
        </w:rPr>
        <w:t>@pa.gov.</w:t>
      </w:r>
    </w:p>
    <w:p w:rsidR="00D55A27" w:rsidRDefault="00D55A27" w:rsidP="00D55A27">
      <w:pPr>
        <w:ind w:firstLine="720"/>
        <w:rPr>
          <w:rFonts w:eastAsia="Calibri"/>
          <w:sz w:val="24"/>
          <w:szCs w:val="22"/>
        </w:rPr>
      </w:pPr>
    </w:p>
    <w:p w:rsidR="00D55A27" w:rsidRDefault="00BE294A" w:rsidP="00D55A27">
      <w:pPr>
        <w:ind w:firstLine="720"/>
        <w:rPr>
          <w:rFonts w:eastAsia="Calibri"/>
          <w:sz w:val="24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43DA1A2" wp14:editId="7B6ECCD1">
            <wp:simplePos x="0" y="0"/>
            <wp:positionH relativeFrom="column">
              <wp:posOffset>3434080</wp:posOffset>
            </wp:positionH>
            <wp:positionV relativeFrom="paragraph">
              <wp:posOffset>147320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55A27" w:rsidRDefault="00D55A27" w:rsidP="00D55A27">
      <w:pPr>
        <w:ind w:left="5760"/>
        <w:rPr>
          <w:rFonts w:eastAsia="Calibri"/>
          <w:b/>
          <w:sz w:val="24"/>
          <w:szCs w:val="22"/>
        </w:rPr>
      </w:pPr>
      <w:r>
        <w:rPr>
          <w:rFonts w:eastAsia="Calibri"/>
          <w:b/>
          <w:sz w:val="24"/>
          <w:szCs w:val="22"/>
        </w:rPr>
        <w:t>BY THE COMMISSION,</w:t>
      </w:r>
    </w:p>
    <w:p w:rsidR="00046E06" w:rsidRDefault="00046E06" w:rsidP="00D55A27">
      <w:pPr>
        <w:ind w:left="5760"/>
        <w:rPr>
          <w:rFonts w:eastAsia="Calibri"/>
          <w:sz w:val="24"/>
          <w:szCs w:val="22"/>
        </w:rPr>
      </w:pPr>
    </w:p>
    <w:p w:rsidR="00D55A27" w:rsidRDefault="00D55A27" w:rsidP="00D55A27">
      <w:pPr>
        <w:ind w:left="5760"/>
        <w:rPr>
          <w:rFonts w:eastAsia="Calibri"/>
          <w:sz w:val="24"/>
          <w:szCs w:val="22"/>
        </w:rPr>
      </w:pPr>
    </w:p>
    <w:p w:rsidR="00E10FAD" w:rsidRDefault="00E10FAD" w:rsidP="00D55A27">
      <w:pPr>
        <w:ind w:left="5760"/>
        <w:rPr>
          <w:rFonts w:eastAsia="Calibri"/>
          <w:sz w:val="24"/>
          <w:szCs w:val="22"/>
        </w:rPr>
      </w:pPr>
    </w:p>
    <w:p w:rsidR="00D55A27" w:rsidRDefault="00D55A27" w:rsidP="00D55A27">
      <w:pPr>
        <w:ind w:left="5760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Rosemary Chiavetta</w:t>
      </w:r>
    </w:p>
    <w:p w:rsidR="00D55A27" w:rsidRDefault="00D55A27" w:rsidP="00D55A27">
      <w:pPr>
        <w:ind w:left="5760"/>
        <w:rPr>
          <w:sz w:val="24"/>
          <w:szCs w:val="26"/>
        </w:rPr>
      </w:pPr>
      <w:r>
        <w:rPr>
          <w:rFonts w:eastAsia="Calibri"/>
          <w:sz w:val="24"/>
          <w:szCs w:val="22"/>
        </w:rPr>
        <w:t>Secretary</w:t>
      </w:r>
    </w:p>
    <w:sectPr w:rsidR="00D55A27" w:rsidSect="002A1408">
      <w:footerReference w:type="default" r:id="rId11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79" w:rsidRDefault="00060479">
      <w:r>
        <w:separator/>
      </w:r>
    </w:p>
  </w:endnote>
  <w:endnote w:type="continuationSeparator" w:id="0">
    <w:p w:rsidR="00060479" w:rsidRDefault="0006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16" w:rsidRPr="009426D5" w:rsidRDefault="004C0816">
    <w:pPr>
      <w:pStyle w:val="Footer"/>
      <w:jc w:val="center"/>
      <w:rPr>
        <w:sz w:val="16"/>
        <w:szCs w:val="16"/>
      </w:rPr>
    </w:pPr>
  </w:p>
  <w:p w:rsidR="004C0816" w:rsidRPr="009426D5" w:rsidRDefault="004C0816">
    <w:pPr>
      <w:pStyle w:val="Footer"/>
      <w:jc w:val="center"/>
    </w:pPr>
    <w:r w:rsidRPr="009426D5">
      <w:fldChar w:fldCharType="begin"/>
    </w:r>
    <w:r w:rsidRPr="009426D5">
      <w:instrText xml:space="preserve"> PAGE   \* MERGEFORMAT </w:instrText>
    </w:r>
    <w:r w:rsidRPr="009426D5">
      <w:fldChar w:fldCharType="separate"/>
    </w:r>
    <w:r w:rsidR="00BE294A">
      <w:rPr>
        <w:noProof/>
      </w:rPr>
      <w:t>2</w:t>
    </w:r>
    <w:r w:rsidRPr="009426D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79" w:rsidRDefault="00060479">
      <w:r>
        <w:separator/>
      </w:r>
    </w:p>
  </w:footnote>
  <w:footnote w:type="continuationSeparator" w:id="0">
    <w:p w:rsidR="00060479" w:rsidRDefault="00060479">
      <w:r>
        <w:continuationSeparator/>
      </w:r>
    </w:p>
  </w:footnote>
  <w:footnote w:id="1">
    <w:p w:rsidR="00D55A27" w:rsidRDefault="00D55A27" w:rsidP="00D55A27">
      <w:pPr>
        <w:pStyle w:val="FootnoteTex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In re Connect America Fund, et al.</w:t>
      </w:r>
      <w:r>
        <w:rPr>
          <w:sz w:val="24"/>
          <w:szCs w:val="24"/>
        </w:rPr>
        <w:t xml:space="preserve">, WC Docket No. 10-90 </w:t>
      </w:r>
      <w:r>
        <w:rPr>
          <w:i/>
          <w:sz w:val="24"/>
          <w:szCs w:val="24"/>
        </w:rPr>
        <w:t>et al.</w:t>
      </w:r>
      <w:r>
        <w:rPr>
          <w:sz w:val="24"/>
          <w:szCs w:val="24"/>
        </w:rPr>
        <w:t xml:space="preserve"> (FCC, Rel. Nov. 18, 2011), Report and Order and Further Notice of Proposed Rulemaking, </w:t>
      </w:r>
      <w:r>
        <w:rPr>
          <w:i/>
          <w:sz w:val="24"/>
          <w:szCs w:val="24"/>
        </w:rPr>
        <w:t>slip op.</w:t>
      </w:r>
      <w:r>
        <w:rPr>
          <w:sz w:val="24"/>
          <w:szCs w:val="24"/>
        </w:rPr>
        <w:t xml:space="preserve"> FCC 11</w:t>
      </w:r>
      <w:r>
        <w:rPr>
          <w:sz w:val="24"/>
          <w:szCs w:val="24"/>
        </w:rPr>
        <w:noBreakHyphen/>
        <w:t xml:space="preserve">61, 26 FCC Rcd 17663 (2011), and subsequent Reconsideration and Clarification rulings (collectively </w:t>
      </w:r>
      <w:r>
        <w:rPr>
          <w:i/>
          <w:sz w:val="24"/>
          <w:szCs w:val="24"/>
        </w:rPr>
        <w:t>USF/ICC Transformation Order</w:t>
      </w:r>
      <w:r>
        <w:rPr>
          <w:sz w:val="24"/>
          <w:szCs w:val="24"/>
        </w:rPr>
        <w:t xml:space="preserve">), </w:t>
      </w:r>
      <w:r>
        <w:rPr>
          <w:i/>
          <w:sz w:val="24"/>
          <w:szCs w:val="24"/>
        </w:rPr>
        <w:t>appeals pending</w:t>
      </w:r>
      <w:r>
        <w:rPr>
          <w:sz w:val="24"/>
          <w:szCs w:val="24"/>
        </w:rPr>
        <w:t>.</w:t>
      </w:r>
    </w:p>
  </w:footnote>
  <w:footnote w:id="2">
    <w:p w:rsidR="00D55A27" w:rsidRDefault="00D55A27" w:rsidP="00D55A27">
      <w:pPr>
        <w:pStyle w:val="FootnoteTex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See generally, Pa. Pub. Util. Comm’n v. FCC</w:t>
      </w:r>
      <w:r>
        <w:rPr>
          <w:sz w:val="24"/>
          <w:szCs w:val="24"/>
        </w:rPr>
        <w:t>, Docket No. 11-9585 (10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Cir.,</w:t>
      </w:r>
      <w:proofErr w:type="gramEnd"/>
      <w:r>
        <w:rPr>
          <w:sz w:val="24"/>
          <w:szCs w:val="24"/>
        </w:rPr>
        <w:t xml:space="preserve"> December 5, 2011).</w:t>
      </w:r>
    </w:p>
  </w:footnote>
  <w:footnote w:id="3">
    <w:p w:rsidR="00D55A27" w:rsidRDefault="00D55A27" w:rsidP="00D55A27">
      <w:pPr>
        <w:pStyle w:val="FootnoteTex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See generally, Implementation of the Federal Communications Commission’s Order of November 18, 2011 As Amended </w:t>
      </w:r>
      <w:proofErr w:type="gramStart"/>
      <w:r>
        <w:rPr>
          <w:i/>
          <w:sz w:val="24"/>
          <w:szCs w:val="24"/>
        </w:rPr>
        <w:t>Or</w:t>
      </w:r>
      <w:proofErr w:type="gramEnd"/>
      <w:r>
        <w:rPr>
          <w:i/>
          <w:sz w:val="24"/>
          <w:szCs w:val="24"/>
        </w:rPr>
        <w:t xml:space="preserve"> Revised And Coordination With Certain Intrastate Matters</w:t>
      </w:r>
      <w:r>
        <w:rPr>
          <w:sz w:val="24"/>
          <w:szCs w:val="24"/>
        </w:rPr>
        <w:t xml:space="preserve">, Docket No. M-2012-2291824 (Order entered March 22, 2012); </w:t>
      </w:r>
      <w:r>
        <w:rPr>
          <w:i/>
          <w:sz w:val="24"/>
          <w:szCs w:val="24"/>
        </w:rPr>
        <w:t xml:space="preserve">Investigation Regarding Intrastate Access Charges and IntraLATA Toll Rates of Rural Carriers and the Pennsylvania Universal Service Fund, et al. </w:t>
      </w:r>
      <w:r>
        <w:rPr>
          <w:sz w:val="24"/>
          <w:szCs w:val="24"/>
        </w:rPr>
        <w:t>Docket Nos. I-00040105</w:t>
      </w:r>
      <w:r>
        <w:rPr>
          <w:i/>
          <w:sz w:val="24"/>
          <w:szCs w:val="24"/>
        </w:rPr>
        <w:t>et al.</w:t>
      </w:r>
      <w:r>
        <w:rPr>
          <w:sz w:val="24"/>
          <w:szCs w:val="24"/>
        </w:rPr>
        <w:t>, (Consolidated Short Form and Protective Order entered May 10, 2012).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1D0649F"/>
    <w:multiLevelType w:val="hybridMultilevel"/>
    <w:tmpl w:val="F1446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B2C0DED"/>
    <w:multiLevelType w:val="hybridMultilevel"/>
    <w:tmpl w:val="DED08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02F7"/>
    <w:rsid w:val="00004D77"/>
    <w:rsid w:val="00006A62"/>
    <w:rsid w:val="000122BD"/>
    <w:rsid w:val="00016793"/>
    <w:rsid w:val="000352A0"/>
    <w:rsid w:val="00035BAB"/>
    <w:rsid w:val="000464E2"/>
    <w:rsid w:val="00046E06"/>
    <w:rsid w:val="00060479"/>
    <w:rsid w:val="000774AF"/>
    <w:rsid w:val="000865F3"/>
    <w:rsid w:val="000A5ADF"/>
    <w:rsid w:val="000A659E"/>
    <w:rsid w:val="000C3831"/>
    <w:rsid w:val="000D020B"/>
    <w:rsid w:val="000D26F3"/>
    <w:rsid w:val="000D6753"/>
    <w:rsid w:val="000E32E1"/>
    <w:rsid w:val="000E3737"/>
    <w:rsid w:val="000F03BA"/>
    <w:rsid w:val="000F0916"/>
    <w:rsid w:val="000F75AD"/>
    <w:rsid w:val="000F7684"/>
    <w:rsid w:val="001052A6"/>
    <w:rsid w:val="00105E0E"/>
    <w:rsid w:val="00114529"/>
    <w:rsid w:val="001209F1"/>
    <w:rsid w:val="001352D9"/>
    <w:rsid w:val="001368E7"/>
    <w:rsid w:val="00136BAB"/>
    <w:rsid w:val="00145471"/>
    <w:rsid w:val="00157590"/>
    <w:rsid w:val="001737A8"/>
    <w:rsid w:val="0018285B"/>
    <w:rsid w:val="00186DF9"/>
    <w:rsid w:val="00192A0E"/>
    <w:rsid w:val="00192CA7"/>
    <w:rsid w:val="001C1E78"/>
    <w:rsid w:val="001E512D"/>
    <w:rsid w:val="001E6BA6"/>
    <w:rsid w:val="001F480A"/>
    <w:rsid w:val="001F6235"/>
    <w:rsid w:val="00201137"/>
    <w:rsid w:val="00201518"/>
    <w:rsid w:val="00211BED"/>
    <w:rsid w:val="0021794B"/>
    <w:rsid w:val="002229C3"/>
    <w:rsid w:val="002462B6"/>
    <w:rsid w:val="00246F3A"/>
    <w:rsid w:val="00257A86"/>
    <w:rsid w:val="0026602D"/>
    <w:rsid w:val="00280CC0"/>
    <w:rsid w:val="00287550"/>
    <w:rsid w:val="00291197"/>
    <w:rsid w:val="0029471C"/>
    <w:rsid w:val="00295B24"/>
    <w:rsid w:val="0029781B"/>
    <w:rsid w:val="002A1408"/>
    <w:rsid w:val="002C6659"/>
    <w:rsid w:val="002D695B"/>
    <w:rsid w:val="002E17A8"/>
    <w:rsid w:val="002E1B6E"/>
    <w:rsid w:val="002E28AA"/>
    <w:rsid w:val="002F0883"/>
    <w:rsid w:val="003049C8"/>
    <w:rsid w:val="00305BC6"/>
    <w:rsid w:val="003267D4"/>
    <w:rsid w:val="00331495"/>
    <w:rsid w:val="0033738E"/>
    <w:rsid w:val="00341563"/>
    <w:rsid w:val="0034399B"/>
    <w:rsid w:val="00356A9D"/>
    <w:rsid w:val="0036305D"/>
    <w:rsid w:val="00364199"/>
    <w:rsid w:val="003677ED"/>
    <w:rsid w:val="00370701"/>
    <w:rsid w:val="003864DF"/>
    <w:rsid w:val="00390497"/>
    <w:rsid w:val="00391858"/>
    <w:rsid w:val="00393920"/>
    <w:rsid w:val="00396503"/>
    <w:rsid w:val="003A072B"/>
    <w:rsid w:val="003A3D25"/>
    <w:rsid w:val="003A50C3"/>
    <w:rsid w:val="003C12B0"/>
    <w:rsid w:val="003D2057"/>
    <w:rsid w:val="003E04EE"/>
    <w:rsid w:val="003E2571"/>
    <w:rsid w:val="003E2A66"/>
    <w:rsid w:val="003E3BF1"/>
    <w:rsid w:val="003E67DD"/>
    <w:rsid w:val="003E7ACE"/>
    <w:rsid w:val="003F053B"/>
    <w:rsid w:val="00402500"/>
    <w:rsid w:val="0042345D"/>
    <w:rsid w:val="00427CA6"/>
    <w:rsid w:val="00430047"/>
    <w:rsid w:val="00430574"/>
    <w:rsid w:val="004324B2"/>
    <w:rsid w:val="00435B44"/>
    <w:rsid w:val="004446DC"/>
    <w:rsid w:val="00445B6A"/>
    <w:rsid w:val="00450B06"/>
    <w:rsid w:val="00455D47"/>
    <w:rsid w:val="00466663"/>
    <w:rsid w:val="00467573"/>
    <w:rsid w:val="00474FC3"/>
    <w:rsid w:val="00476FA3"/>
    <w:rsid w:val="004849EF"/>
    <w:rsid w:val="00497654"/>
    <w:rsid w:val="004A07E5"/>
    <w:rsid w:val="004C0816"/>
    <w:rsid w:val="004E2174"/>
    <w:rsid w:val="004E7F64"/>
    <w:rsid w:val="0050048C"/>
    <w:rsid w:val="00501CC5"/>
    <w:rsid w:val="005050D4"/>
    <w:rsid w:val="00514F8C"/>
    <w:rsid w:val="0051689D"/>
    <w:rsid w:val="00530441"/>
    <w:rsid w:val="00575439"/>
    <w:rsid w:val="00576EB4"/>
    <w:rsid w:val="0058384D"/>
    <w:rsid w:val="00593F13"/>
    <w:rsid w:val="005A37A2"/>
    <w:rsid w:val="005A67AD"/>
    <w:rsid w:val="005B5AA7"/>
    <w:rsid w:val="005C1783"/>
    <w:rsid w:val="005D2A29"/>
    <w:rsid w:val="005D4825"/>
    <w:rsid w:val="005D6619"/>
    <w:rsid w:val="005E25C5"/>
    <w:rsid w:val="005F565B"/>
    <w:rsid w:val="0060010C"/>
    <w:rsid w:val="00601B8D"/>
    <w:rsid w:val="006302E3"/>
    <w:rsid w:val="00636D03"/>
    <w:rsid w:val="006430DB"/>
    <w:rsid w:val="00656596"/>
    <w:rsid w:val="0066634A"/>
    <w:rsid w:val="006721B8"/>
    <w:rsid w:val="006755C0"/>
    <w:rsid w:val="0067650D"/>
    <w:rsid w:val="00683D7A"/>
    <w:rsid w:val="006A1B5E"/>
    <w:rsid w:val="006A4CBA"/>
    <w:rsid w:val="006B0DE7"/>
    <w:rsid w:val="006B410F"/>
    <w:rsid w:val="006B6701"/>
    <w:rsid w:val="006B7CDE"/>
    <w:rsid w:val="006D0288"/>
    <w:rsid w:val="006D2C48"/>
    <w:rsid w:val="006D3665"/>
    <w:rsid w:val="006D3B4A"/>
    <w:rsid w:val="006E31DA"/>
    <w:rsid w:val="00706FBE"/>
    <w:rsid w:val="007133EF"/>
    <w:rsid w:val="00726821"/>
    <w:rsid w:val="00737444"/>
    <w:rsid w:val="007542CE"/>
    <w:rsid w:val="0075719D"/>
    <w:rsid w:val="007573D4"/>
    <w:rsid w:val="007624B6"/>
    <w:rsid w:val="00762E1D"/>
    <w:rsid w:val="00763F66"/>
    <w:rsid w:val="007726C0"/>
    <w:rsid w:val="00776DC9"/>
    <w:rsid w:val="00782184"/>
    <w:rsid w:val="00794C32"/>
    <w:rsid w:val="007A5676"/>
    <w:rsid w:val="007B5EAF"/>
    <w:rsid w:val="007D1483"/>
    <w:rsid w:val="007D2A84"/>
    <w:rsid w:val="007D39E8"/>
    <w:rsid w:val="007D663A"/>
    <w:rsid w:val="007E463D"/>
    <w:rsid w:val="007F1A0B"/>
    <w:rsid w:val="00801B2B"/>
    <w:rsid w:val="008060BC"/>
    <w:rsid w:val="00806A5B"/>
    <w:rsid w:val="00807300"/>
    <w:rsid w:val="00816AFB"/>
    <w:rsid w:val="00851948"/>
    <w:rsid w:val="008532AF"/>
    <w:rsid w:val="008563AA"/>
    <w:rsid w:val="00864980"/>
    <w:rsid w:val="008737BF"/>
    <w:rsid w:val="00884CAC"/>
    <w:rsid w:val="00887C03"/>
    <w:rsid w:val="00895AF3"/>
    <w:rsid w:val="008A3D86"/>
    <w:rsid w:val="008A7E23"/>
    <w:rsid w:val="008C645A"/>
    <w:rsid w:val="008D17D5"/>
    <w:rsid w:val="008F1B59"/>
    <w:rsid w:val="008F27DC"/>
    <w:rsid w:val="009029ED"/>
    <w:rsid w:val="0091252F"/>
    <w:rsid w:val="00914D71"/>
    <w:rsid w:val="00946474"/>
    <w:rsid w:val="009520ED"/>
    <w:rsid w:val="009521C2"/>
    <w:rsid w:val="00954D80"/>
    <w:rsid w:val="009639DE"/>
    <w:rsid w:val="00980429"/>
    <w:rsid w:val="00990374"/>
    <w:rsid w:val="009D7663"/>
    <w:rsid w:val="009E5C5F"/>
    <w:rsid w:val="009F2BE8"/>
    <w:rsid w:val="009F5F66"/>
    <w:rsid w:val="009F723A"/>
    <w:rsid w:val="00A02585"/>
    <w:rsid w:val="00A15B68"/>
    <w:rsid w:val="00A1650B"/>
    <w:rsid w:val="00A16BD8"/>
    <w:rsid w:val="00A43D2E"/>
    <w:rsid w:val="00A46364"/>
    <w:rsid w:val="00A54E58"/>
    <w:rsid w:val="00A65B48"/>
    <w:rsid w:val="00A7019E"/>
    <w:rsid w:val="00A83049"/>
    <w:rsid w:val="00AA5EF6"/>
    <w:rsid w:val="00AA618A"/>
    <w:rsid w:val="00AB05CA"/>
    <w:rsid w:val="00AB245E"/>
    <w:rsid w:val="00AB25C8"/>
    <w:rsid w:val="00AE4380"/>
    <w:rsid w:val="00AE54EE"/>
    <w:rsid w:val="00AE6BDD"/>
    <w:rsid w:val="00AF31DA"/>
    <w:rsid w:val="00B01349"/>
    <w:rsid w:val="00B06709"/>
    <w:rsid w:val="00B1313D"/>
    <w:rsid w:val="00B24444"/>
    <w:rsid w:val="00B2588C"/>
    <w:rsid w:val="00B3131B"/>
    <w:rsid w:val="00B54C9E"/>
    <w:rsid w:val="00B62617"/>
    <w:rsid w:val="00B665C0"/>
    <w:rsid w:val="00BA0548"/>
    <w:rsid w:val="00BB54D6"/>
    <w:rsid w:val="00BB59E9"/>
    <w:rsid w:val="00BC2FB9"/>
    <w:rsid w:val="00BC3334"/>
    <w:rsid w:val="00BD1065"/>
    <w:rsid w:val="00BE294A"/>
    <w:rsid w:val="00BE5119"/>
    <w:rsid w:val="00BF12CB"/>
    <w:rsid w:val="00BF2F0E"/>
    <w:rsid w:val="00BF4AB3"/>
    <w:rsid w:val="00C013A1"/>
    <w:rsid w:val="00C24EB9"/>
    <w:rsid w:val="00C402A0"/>
    <w:rsid w:val="00C7308B"/>
    <w:rsid w:val="00C74A51"/>
    <w:rsid w:val="00C77630"/>
    <w:rsid w:val="00C81BD4"/>
    <w:rsid w:val="00CA50D1"/>
    <w:rsid w:val="00CA797D"/>
    <w:rsid w:val="00CB5738"/>
    <w:rsid w:val="00CB640F"/>
    <w:rsid w:val="00CC369B"/>
    <w:rsid w:val="00CC3BBB"/>
    <w:rsid w:val="00CC4949"/>
    <w:rsid w:val="00CD008C"/>
    <w:rsid w:val="00CD0D33"/>
    <w:rsid w:val="00CD2026"/>
    <w:rsid w:val="00CD2E00"/>
    <w:rsid w:val="00CD4B72"/>
    <w:rsid w:val="00CF73EC"/>
    <w:rsid w:val="00D12C93"/>
    <w:rsid w:val="00D17649"/>
    <w:rsid w:val="00D26C3C"/>
    <w:rsid w:val="00D42512"/>
    <w:rsid w:val="00D55A27"/>
    <w:rsid w:val="00D621E5"/>
    <w:rsid w:val="00D62DCF"/>
    <w:rsid w:val="00D77740"/>
    <w:rsid w:val="00D86997"/>
    <w:rsid w:val="00DB2119"/>
    <w:rsid w:val="00DB6D5A"/>
    <w:rsid w:val="00DC2605"/>
    <w:rsid w:val="00DC352B"/>
    <w:rsid w:val="00DD4DF4"/>
    <w:rsid w:val="00DD6A44"/>
    <w:rsid w:val="00DE3F4B"/>
    <w:rsid w:val="00DE4157"/>
    <w:rsid w:val="00DE6FF9"/>
    <w:rsid w:val="00DF0D09"/>
    <w:rsid w:val="00E06CDF"/>
    <w:rsid w:val="00E10FAD"/>
    <w:rsid w:val="00E229FE"/>
    <w:rsid w:val="00E32D3B"/>
    <w:rsid w:val="00E346F6"/>
    <w:rsid w:val="00E4103B"/>
    <w:rsid w:val="00E41821"/>
    <w:rsid w:val="00E528E4"/>
    <w:rsid w:val="00E55A3B"/>
    <w:rsid w:val="00E57330"/>
    <w:rsid w:val="00E60B2E"/>
    <w:rsid w:val="00E63F99"/>
    <w:rsid w:val="00E70913"/>
    <w:rsid w:val="00E77445"/>
    <w:rsid w:val="00E82EBA"/>
    <w:rsid w:val="00E87F23"/>
    <w:rsid w:val="00E90D5D"/>
    <w:rsid w:val="00E928F1"/>
    <w:rsid w:val="00E9545B"/>
    <w:rsid w:val="00EB13E4"/>
    <w:rsid w:val="00EB6F1D"/>
    <w:rsid w:val="00EC6032"/>
    <w:rsid w:val="00EC7F84"/>
    <w:rsid w:val="00EE7EB6"/>
    <w:rsid w:val="00EF3F2F"/>
    <w:rsid w:val="00EF3FBF"/>
    <w:rsid w:val="00EF7F10"/>
    <w:rsid w:val="00F00A9E"/>
    <w:rsid w:val="00F04CF8"/>
    <w:rsid w:val="00F07F03"/>
    <w:rsid w:val="00F10506"/>
    <w:rsid w:val="00F15FF4"/>
    <w:rsid w:val="00F255A3"/>
    <w:rsid w:val="00F30FA9"/>
    <w:rsid w:val="00F42C1D"/>
    <w:rsid w:val="00F50FDD"/>
    <w:rsid w:val="00F649C8"/>
    <w:rsid w:val="00F64F5C"/>
    <w:rsid w:val="00F65AE7"/>
    <w:rsid w:val="00F7094C"/>
    <w:rsid w:val="00F8044D"/>
    <w:rsid w:val="00F90E04"/>
    <w:rsid w:val="00F912E6"/>
    <w:rsid w:val="00F9452A"/>
    <w:rsid w:val="00F9546C"/>
    <w:rsid w:val="00FA2411"/>
    <w:rsid w:val="00FA7D17"/>
    <w:rsid w:val="00FD52BB"/>
    <w:rsid w:val="00FE0954"/>
    <w:rsid w:val="00FE0C46"/>
    <w:rsid w:val="00FE5827"/>
    <w:rsid w:val="00FF2C6F"/>
    <w:rsid w:val="00FF6387"/>
    <w:rsid w:val="00FF7440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408"/>
  </w:style>
  <w:style w:type="paragraph" w:styleId="Heading1">
    <w:name w:val="heading 1"/>
    <w:basedOn w:val="Normal"/>
    <w:next w:val="Normal"/>
    <w:qFormat/>
    <w:rsid w:val="002A140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1408"/>
    <w:pPr>
      <w:ind w:left="360"/>
    </w:pPr>
    <w:rPr>
      <w:sz w:val="24"/>
    </w:rPr>
  </w:style>
  <w:style w:type="paragraph" w:styleId="Header">
    <w:name w:val="header"/>
    <w:basedOn w:val="Normal"/>
    <w:rsid w:val="002A1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14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396503"/>
  </w:style>
  <w:style w:type="character" w:customStyle="1" w:styleId="FootnoteTextChar">
    <w:name w:val="Footnote Text Char"/>
    <w:basedOn w:val="DefaultParagraphFont"/>
    <w:link w:val="FootnoteText"/>
    <w:rsid w:val="00396503"/>
  </w:style>
  <w:style w:type="character" w:styleId="FootnoteReference">
    <w:name w:val="footnote reference"/>
    <w:uiPriority w:val="99"/>
    <w:rsid w:val="00396503"/>
    <w:rPr>
      <w:vertAlign w:val="superscript"/>
    </w:rPr>
  </w:style>
  <w:style w:type="character" w:styleId="CommentReference">
    <w:name w:val="annotation reference"/>
    <w:basedOn w:val="DefaultParagraphFont"/>
    <w:rsid w:val="007A56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5676"/>
  </w:style>
  <w:style w:type="character" w:customStyle="1" w:styleId="CommentTextChar">
    <w:name w:val="Comment Text Char"/>
    <w:basedOn w:val="DefaultParagraphFont"/>
    <w:link w:val="CommentText"/>
    <w:rsid w:val="007A5676"/>
  </w:style>
  <w:style w:type="paragraph" w:styleId="CommentSubject">
    <w:name w:val="annotation subject"/>
    <w:basedOn w:val="CommentText"/>
    <w:next w:val="CommentText"/>
    <w:link w:val="CommentSubjectChar"/>
    <w:rsid w:val="007A5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5676"/>
    <w:rPr>
      <w:b/>
      <w:bCs/>
    </w:rPr>
  </w:style>
  <w:style w:type="paragraph" w:styleId="ListParagraph">
    <w:name w:val="List Paragraph"/>
    <w:basedOn w:val="Normal"/>
    <w:uiPriority w:val="34"/>
    <w:qFormat/>
    <w:rsid w:val="00E10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408"/>
  </w:style>
  <w:style w:type="paragraph" w:styleId="Heading1">
    <w:name w:val="heading 1"/>
    <w:basedOn w:val="Normal"/>
    <w:next w:val="Normal"/>
    <w:qFormat/>
    <w:rsid w:val="002A140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1408"/>
    <w:pPr>
      <w:ind w:left="360"/>
    </w:pPr>
    <w:rPr>
      <w:sz w:val="24"/>
    </w:rPr>
  </w:style>
  <w:style w:type="paragraph" w:styleId="Header">
    <w:name w:val="header"/>
    <w:basedOn w:val="Normal"/>
    <w:rsid w:val="002A1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14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396503"/>
  </w:style>
  <w:style w:type="character" w:customStyle="1" w:styleId="FootnoteTextChar">
    <w:name w:val="Footnote Text Char"/>
    <w:basedOn w:val="DefaultParagraphFont"/>
    <w:link w:val="FootnoteText"/>
    <w:rsid w:val="00396503"/>
  </w:style>
  <w:style w:type="character" w:styleId="FootnoteReference">
    <w:name w:val="footnote reference"/>
    <w:uiPriority w:val="99"/>
    <w:rsid w:val="00396503"/>
    <w:rPr>
      <w:vertAlign w:val="superscript"/>
    </w:rPr>
  </w:style>
  <w:style w:type="character" w:styleId="CommentReference">
    <w:name w:val="annotation reference"/>
    <w:basedOn w:val="DefaultParagraphFont"/>
    <w:rsid w:val="007A56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5676"/>
  </w:style>
  <w:style w:type="character" w:customStyle="1" w:styleId="CommentTextChar">
    <w:name w:val="Comment Text Char"/>
    <w:basedOn w:val="DefaultParagraphFont"/>
    <w:link w:val="CommentText"/>
    <w:rsid w:val="007A5676"/>
  </w:style>
  <w:style w:type="paragraph" w:styleId="CommentSubject">
    <w:name w:val="annotation subject"/>
    <w:basedOn w:val="CommentText"/>
    <w:next w:val="CommentText"/>
    <w:link w:val="CommentSubjectChar"/>
    <w:rsid w:val="007A5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5676"/>
    <w:rPr>
      <w:b/>
      <w:bCs/>
    </w:rPr>
  </w:style>
  <w:style w:type="paragraph" w:styleId="ListParagraph">
    <w:name w:val="List Paragraph"/>
    <w:basedOn w:val="Normal"/>
    <w:uiPriority w:val="34"/>
    <w:qFormat/>
    <w:rsid w:val="00E10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AE249-9006-4D3B-A0C4-108EC1C7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</dc:creator>
  <cp:lastModifiedBy>Hinds, Margaret</cp:lastModifiedBy>
  <cp:revision>3</cp:revision>
  <cp:lastPrinted>2013-10-03T11:16:00Z</cp:lastPrinted>
  <dcterms:created xsi:type="dcterms:W3CDTF">2013-10-02T16:06:00Z</dcterms:created>
  <dcterms:modified xsi:type="dcterms:W3CDTF">2013-10-03T11:17:00Z</dcterms:modified>
</cp:coreProperties>
</file>