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p w:rsidR="00E4068A" w:rsidRDefault="00E4068A" w:rsidP="00E4068A">
      <w:pPr>
        <w:spacing w:line="240" w:lineRule="auto"/>
        <w:rPr>
          <w:b/>
        </w:rPr>
      </w:pPr>
      <w:r>
        <w:rPr>
          <w:b/>
        </w:rPr>
        <w:t>BEFORE THE</w:t>
      </w:r>
    </w:p>
    <w:p w:rsidR="00E4068A" w:rsidRDefault="00E4068A" w:rsidP="00E4068A">
      <w:pPr>
        <w:spacing w:line="240" w:lineRule="auto"/>
        <w:rPr>
          <w:b/>
        </w:rPr>
      </w:pPr>
      <w:r>
        <w:rPr>
          <w:b/>
        </w:rPr>
        <w:t>PENNSYLVANIA PUBLIC UTILITY COMMISSION</w:t>
      </w:r>
    </w:p>
    <w:p w:rsidR="00E4068A" w:rsidRDefault="00E4068A" w:rsidP="00E4068A">
      <w:pPr>
        <w:spacing w:line="240" w:lineRule="auto"/>
        <w:rPr>
          <w:b/>
        </w:rPr>
      </w:pPr>
    </w:p>
    <w:p w:rsidR="00E4068A" w:rsidRDefault="00E4068A" w:rsidP="00E4068A">
      <w:pPr>
        <w:spacing w:line="240" w:lineRule="auto"/>
        <w:rPr>
          <w:b/>
        </w:rPr>
      </w:pPr>
    </w:p>
    <w:p w:rsidR="00E4068A" w:rsidRDefault="00E4068A" w:rsidP="00E4068A">
      <w:pPr>
        <w:spacing w:line="240" w:lineRule="auto"/>
        <w:jc w:val="left"/>
      </w:pPr>
      <w:r>
        <w:t>Petition of Little Washington Wastewater</w:t>
      </w:r>
      <w:r>
        <w:tab/>
      </w:r>
      <w:r>
        <w:tab/>
        <w:t>:</w:t>
      </w:r>
    </w:p>
    <w:p w:rsidR="00E4068A" w:rsidRDefault="00E4068A" w:rsidP="00E4068A">
      <w:pPr>
        <w:spacing w:line="240" w:lineRule="auto"/>
        <w:jc w:val="left"/>
      </w:pPr>
      <w:r>
        <w:t>Company for Approval of its Long-Term</w:t>
      </w:r>
      <w:r>
        <w:tab/>
      </w:r>
      <w:r>
        <w:tab/>
        <w:t>:</w:t>
      </w:r>
      <w:r>
        <w:tab/>
      </w:r>
      <w:r>
        <w:tab/>
      </w:r>
      <w:r>
        <w:tab/>
        <w:t>P-2013-2366873</w:t>
      </w:r>
    </w:p>
    <w:p w:rsidR="00E4068A" w:rsidRDefault="00E4068A" w:rsidP="00E4068A">
      <w:pPr>
        <w:spacing w:line="240" w:lineRule="auto"/>
        <w:jc w:val="left"/>
      </w:pPr>
      <w:r>
        <w:t>Infrastructure Improvement Plan</w:t>
      </w:r>
      <w:r>
        <w:tab/>
      </w:r>
      <w:r>
        <w:tab/>
      </w:r>
      <w:r>
        <w:tab/>
        <w:t>:</w:t>
      </w:r>
    </w:p>
    <w:p w:rsidR="00E4068A" w:rsidRDefault="00E4068A" w:rsidP="00E4068A">
      <w:pPr>
        <w:spacing w:line="240" w:lineRule="auto"/>
        <w:jc w:val="left"/>
      </w:pPr>
    </w:p>
    <w:p w:rsidR="00E4068A" w:rsidRDefault="00E4068A" w:rsidP="00E4068A">
      <w:pPr>
        <w:spacing w:line="240" w:lineRule="auto"/>
        <w:jc w:val="left"/>
      </w:pPr>
      <w:r>
        <w:t>Petition of Little Washington Wastewater</w:t>
      </w:r>
      <w:r>
        <w:tab/>
      </w:r>
      <w:r>
        <w:tab/>
        <w:t>:</w:t>
      </w:r>
    </w:p>
    <w:p w:rsidR="00E4068A" w:rsidRDefault="00E4068A" w:rsidP="00E4068A">
      <w:pPr>
        <w:spacing w:line="240" w:lineRule="auto"/>
        <w:jc w:val="left"/>
      </w:pPr>
      <w:r>
        <w:t xml:space="preserve">Company for Approval of a Distribution </w:t>
      </w:r>
      <w:r>
        <w:tab/>
      </w:r>
      <w:r>
        <w:tab/>
        <w:t>:</w:t>
      </w:r>
      <w:r>
        <w:tab/>
      </w:r>
      <w:r>
        <w:tab/>
      </w:r>
      <w:r>
        <w:tab/>
        <w:t>P-2013-2366873</w:t>
      </w:r>
    </w:p>
    <w:p w:rsidR="00E4068A" w:rsidRDefault="00E4068A" w:rsidP="00E4068A">
      <w:pPr>
        <w:spacing w:line="240" w:lineRule="auto"/>
        <w:jc w:val="left"/>
      </w:pPr>
      <w:r>
        <w:t>System Improvement Charge</w:t>
      </w:r>
      <w:r>
        <w:tab/>
      </w:r>
      <w:r>
        <w:tab/>
      </w:r>
      <w:r>
        <w:tab/>
      </w:r>
      <w:r>
        <w:tab/>
        <w:t>:</w:t>
      </w:r>
    </w:p>
    <w:p w:rsidR="00F679C1" w:rsidRDefault="00F679C1" w:rsidP="00E4068A">
      <w:pPr>
        <w:spacing w:line="240" w:lineRule="auto"/>
        <w:jc w:val="left"/>
      </w:pPr>
    </w:p>
    <w:p w:rsidR="00E4068A" w:rsidRDefault="00F679C1" w:rsidP="00E4068A">
      <w:pPr>
        <w:spacing w:line="240" w:lineRule="auto"/>
        <w:jc w:val="left"/>
      </w:pPr>
      <w:r>
        <w:t>Office of Small Business Advocate</w:t>
      </w:r>
      <w:r>
        <w:tab/>
      </w:r>
      <w:r>
        <w:tab/>
      </w:r>
      <w:r>
        <w:tab/>
        <w:t>:</w:t>
      </w:r>
      <w:r>
        <w:tab/>
      </w:r>
      <w:r>
        <w:tab/>
      </w:r>
      <w:r>
        <w:tab/>
        <w:t>C-2013-</w:t>
      </w:r>
      <w:r w:rsidR="0036323D">
        <w:t>2369886</w:t>
      </w:r>
    </w:p>
    <w:p w:rsidR="0036323D" w:rsidRDefault="0036323D" w:rsidP="00E4068A">
      <w:pPr>
        <w:spacing w:line="240" w:lineRule="auto"/>
        <w:jc w:val="left"/>
      </w:pPr>
    </w:p>
    <w:p w:rsidR="00E4068A" w:rsidRDefault="00E4068A" w:rsidP="00E4068A">
      <w:pPr>
        <w:spacing w:line="240" w:lineRule="auto"/>
        <w:jc w:val="left"/>
      </w:pPr>
    </w:p>
    <w:p w:rsidR="00E4068A" w:rsidRDefault="00E4068A" w:rsidP="00E4068A">
      <w:pPr>
        <w:spacing w:line="240" w:lineRule="auto"/>
        <w:rPr>
          <w:b/>
        </w:rPr>
      </w:pPr>
      <w:r>
        <w:rPr>
          <w:b/>
        </w:rPr>
        <w:t>SCHEDULING ORDER</w:t>
      </w:r>
    </w:p>
    <w:p w:rsidR="00E4068A" w:rsidRDefault="00E4068A" w:rsidP="00E4068A">
      <w:pPr>
        <w:spacing w:line="240" w:lineRule="auto"/>
        <w:rPr>
          <w:b/>
        </w:rPr>
      </w:pPr>
    </w:p>
    <w:p w:rsidR="00E4068A" w:rsidRDefault="00E4068A" w:rsidP="00E4068A">
      <w:pPr>
        <w:spacing w:line="240" w:lineRule="auto"/>
        <w:rPr>
          <w:b/>
        </w:rPr>
      </w:pPr>
    </w:p>
    <w:p w:rsidR="00E4068A" w:rsidRDefault="00E4068A" w:rsidP="00E4068A">
      <w:pPr>
        <w:jc w:val="left"/>
      </w:pPr>
      <w:r>
        <w:tab/>
      </w:r>
      <w:r>
        <w:tab/>
        <w:t>At its Public Meeting of September 12, 2013, the Pennsylvania Public Utility Commission (PUC or Commission) adopted an Opinion and Order</w:t>
      </w:r>
      <w:r w:rsidR="001D013B">
        <w:t>, entered on September 12, 2013, which approved the above-captioned petitions subject to the disposition of the formal Complaint filed by the Office of Consumer Advocate (OCA)</w:t>
      </w:r>
      <w:r w:rsidR="004E547F">
        <w:t xml:space="preserve"> at Docket No. </w:t>
      </w:r>
      <w:proofErr w:type="gramStart"/>
      <w:r w:rsidR="004E547F">
        <w:t>C-2013-2369886</w:t>
      </w:r>
      <w:r w:rsidR="001D013B">
        <w:t>.</w:t>
      </w:r>
      <w:proofErr w:type="gramEnd"/>
      <w:r w:rsidR="001D013B">
        <w:t xml:space="preserve">  Specifically, the September 12, 2013 Order referred the petitions to the Office of Administrative Law Judge (OALJ) for proceedings </w:t>
      </w:r>
      <w:r w:rsidR="004E547F">
        <w:t>result</w:t>
      </w:r>
      <w:r w:rsidR="001D013B">
        <w:t>ing in</w:t>
      </w:r>
      <w:r w:rsidR="004E547F">
        <w:t xml:space="preserve"> the</w:t>
      </w:r>
      <w:r w:rsidR="001D013B">
        <w:t xml:space="preserve"> issuance of a recommended decision on the following issues:  (1) impact of accumulated deferre</w:t>
      </w:r>
      <w:r w:rsidR="0036323D">
        <w:t xml:space="preserve">d income taxes associated with </w:t>
      </w:r>
      <w:r w:rsidR="001D013B">
        <w:t>D</w:t>
      </w:r>
      <w:r w:rsidR="0036323D">
        <w:t>S</w:t>
      </w:r>
      <w:r w:rsidR="001D013B">
        <w:t xml:space="preserve">IC investments; and (2) calculation of state income tax component of the DSIC revenue requirement.  </w:t>
      </w:r>
    </w:p>
    <w:p w:rsidR="001D013B" w:rsidRDefault="001D013B" w:rsidP="00E4068A">
      <w:pPr>
        <w:jc w:val="left"/>
      </w:pPr>
    </w:p>
    <w:p w:rsidR="004E547F" w:rsidRDefault="001D013B" w:rsidP="004E547F">
      <w:pPr>
        <w:jc w:val="left"/>
      </w:pPr>
      <w:r>
        <w:tab/>
      </w:r>
      <w:r>
        <w:tab/>
        <w:t xml:space="preserve">The </w:t>
      </w:r>
      <w:r w:rsidR="004E547F">
        <w:t xml:space="preserve">matter was assigned to me and by Notice issued September 16, </w:t>
      </w:r>
      <w:proofErr w:type="gramStart"/>
      <w:r w:rsidR="004E547F">
        <w:t>2013,</w:t>
      </w:r>
      <w:proofErr w:type="gramEnd"/>
      <w:r w:rsidR="004E547F">
        <w:t xml:space="preserve"> a prehearing conference was scheduled for October 8, 2013.</w:t>
      </w:r>
      <w:r w:rsidR="004E547F">
        <w:rPr>
          <w:rStyle w:val="FootnoteReference"/>
        </w:rPr>
        <w:footnoteReference w:id="1"/>
      </w:r>
      <w:r w:rsidR="004E547F">
        <w:t xml:space="preserve">  By email, Carrie Wright, Esq., of the Commission's Bureau of Investigation &amp; Enforcement and Elizabeth Triscari, Esq., of the Office of Small Business Advocate, informed me that neither office would be participating in this portion of the case and both c</w:t>
      </w:r>
      <w:r w:rsidR="007C7485">
        <w:t>ould</w:t>
      </w:r>
      <w:r w:rsidR="004E547F">
        <w:t xml:space="preserve"> be removed from the service list.</w:t>
      </w:r>
      <w:r w:rsidR="007C7485">
        <w:t xml:space="preserve">  </w:t>
      </w:r>
    </w:p>
    <w:p w:rsidR="007C7485" w:rsidRDefault="007C7485" w:rsidP="004E547F">
      <w:pPr>
        <w:jc w:val="left"/>
      </w:pPr>
    </w:p>
    <w:p w:rsidR="007C7485" w:rsidRDefault="007C7485" w:rsidP="004E547F">
      <w:pPr>
        <w:jc w:val="left"/>
      </w:pPr>
      <w:r>
        <w:lastRenderedPageBreak/>
        <w:tab/>
      </w:r>
      <w:r>
        <w:tab/>
        <w:t>The prehearing conference was held as scheduled on October 8, 2013.  Little Washington Wastewater</w:t>
      </w:r>
      <w:r w:rsidR="0036323D">
        <w:t xml:space="preserve"> Company</w:t>
      </w:r>
      <w:r>
        <w:t xml:space="preserve"> was represented by Thomas T. Niesen, Esq., and Mary </w:t>
      </w:r>
      <w:proofErr w:type="spellStart"/>
      <w:r>
        <w:t>McFall</w:t>
      </w:r>
      <w:proofErr w:type="spellEnd"/>
      <w:r>
        <w:t xml:space="preserve"> Hopper, Esq., and the OCA was represented by Erin L. Gannon, Esq.  The parties agreed to a litigation schedule, which will be adopted here.  </w:t>
      </w:r>
      <w:proofErr w:type="gramStart"/>
      <w:r>
        <w:t>Neither party sought modifications to the discovery rules</w:t>
      </w:r>
      <w:r w:rsidR="0036323D">
        <w:t>,</w:t>
      </w:r>
      <w:r>
        <w:t xml:space="preserve"> and</w:t>
      </w:r>
      <w:proofErr w:type="gramEnd"/>
      <w:r>
        <w:t xml:space="preserve"> neither sought a protective order.  </w:t>
      </w:r>
    </w:p>
    <w:p w:rsidR="00F679C1" w:rsidRDefault="00F679C1" w:rsidP="004E547F">
      <w:pPr>
        <w:jc w:val="left"/>
      </w:pPr>
    </w:p>
    <w:p w:rsidR="00F679C1" w:rsidRDefault="00F679C1" w:rsidP="004E547F">
      <w:pPr>
        <w:jc w:val="left"/>
      </w:pPr>
      <w:r>
        <w:tab/>
      </w:r>
      <w:r>
        <w:tab/>
        <w:t>The informal electronic contact list for this matter is as follows:</w:t>
      </w:r>
    </w:p>
    <w:p w:rsidR="00F679C1" w:rsidRPr="0036323D" w:rsidRDefault="00A35B70" w:rsidP="004E547F">
      <w:pPr>
        <w:jc w:val="left"/>
      </w:pPr>
      <w:hyperlink r:id="rId8" w:history="1">
        <w:r w:rsidR="00F679C1" w:rsidRPr="0036323D">
          <w:rPr>
            <w:rStyle w:val="Hyperlink"/>
            <w:color w:val="auto"/>
          </w:rPr>
          <w:t>tniesen@thomaslonglaw.com</w:t>
        </w:r>
      </w:hyperlink>
    </w:p>
    <w:p w:rsidR="00F679C1" w:rsidRPr="0036323D" w:rsidRDefault="00A35B70" w:rsidP="004E547F">
      <w:pPr>
        <w:jc w:val="left"/>
      </w:pPr>
      <w:hyperlink r:id="rId9" w:history="1">
        <w:r w:rsidR="00F679C1" w:rsidRPr="0036323D">
          <w:rPr>
            <w:rStyle w:val="Hyperlink"/>
            <w:color w:val="auto"/>
          </w:rPr>
          <w:t>mmhopper@aquaamerica.com</w:t>
        </w:r>
      </w:hyperlink>
    </w:p>
    <w:p w:rsidR="00F679C1" w:rsidRPr="0036323D" w:rsidRDefault="00A35B70" w:rsidP="004E547F">
      <w:pPr>
        <w:jc w:val="left"/>
      </w:pPr>
      <w:hyperlink r:id="rId10" w:history="1">
        <w:r w:rsidR="00F679C1" w:rsidRPr="0036323D">
          <w:rPr>
            <w:rStyle w:val="Hyperlink"/>
            <w:color w:val="auto"/>
          </w:rPr>
          <w:t>egannon@paoca.org</w:t>
        </w:r>
      </w:hyperlink>
    </w:p>
    <w:p w:rsidR="00F679C1" w:rsidRPr="0036323D" w:rsidRDefault="00F679C1" w:rsidP="004E547F">
      <w:pPr>
        <w:jc w:val="left"/>
        <w:rPr>
          <w:u w:val="single"/>
        </w:rPr>
      </w:pPr>
      <w:r w:rsidRPr="0036323D">
        <w:rPr>
          <w:u w:val="single"/>
        </w:rPr>
        <w:t>choover@paoca.org</w:t>
      </w:r>
    </w:p>
    <w:p w:rsidR="00F679C1" w:rsidRPr="0036323D" w:rsidRDefault="00F679C1" w:rsidP="004E547F">
      <w:pPr>
        <w:jc w:val="left"/>
      </w:pPr>
      <w:hyperlink r:id="rId11" w:history="1">
        <w:r w:rsidRPr="0036323D">
          <w:rPr>
            <w:rStyle w:val="Hyperlink"/>
            <w:color w:val="auto"/>
          </w:rPr>
          <w:t>mkreszswick@aquaamerica.com</w:t>
        </w:r>
      </w:hyperlink>
    </w:p>
    <w:p w:rsidR="007C7485" w:rsidRDefault="007C7485" w:rsidP="004E547F">
      <w:pPr>
        <w:jc w:val="left"/>
      </w:pPr>
    </w:p>
    <w:p w:rsidR="007C7485" w:rsidRDefault="007C7485" w:rsidP="004E547F">
      <w:pPr>
        <w:jc w:val="left"/>
      </w:pPr>
      <w:r>
        <w:tab/>
      </w:r>
      <w:r>
        <w:tab/>
        <w:t xml:space="preserve">OCA asked that the record reflect that its formal Complaint </w:t>
      </w:r>
      <w:r w:rsidR="00F679C1">
        <w:t>is</w:t>
      </w:r>
      <w:r>
        <w:t xml:space="preserve"> consolidated with the petitions, as the September 12, 2013 Order did not specify that it had been</w:t>
      </w:r>
      <w:r w:rsidR="0036323D">
        <w:t>, and that request is granted</w:t>
      </w:r>
      <w:r>
        <w:t xml:space="preserve">.  </w:t>
      </w:r>
    </w:p>
    <w:p w:rsidR="007C7485" w:rsidRDefault="007C7485" w:rsidP="004E547F">
      <w:pPr>
        <w:jc w:val="left"/>
      </w:pPr>
    </w:p>
    <w:p w:rsidR="0036323D" w:rsidRDefault="0036323D" w:rsidP="004E547F">
      <w:pPr>
        <w:jc w:val="left"/>
      </w:pPr>
    </w:p>
    <w:p w:rsidR="0036323D" w:rsidRDefault="0036323D" w:rsidP="004E547F">
      <w:pPr>
        <w:jc w:val="left"/>
      </w:pPr>
    </w:p>
    <w:p w:rsidR="007C7485" w:rsidRDefault="007C7485" w:rsidP="004E547F">
      <w:pPr>
        <w:jc w:val="left"/>
      </w:pPr>
      <w:r>
        <w:tab/>
      </w:r>
      <w:r>
        <w:tab/>
        <w:t>THEREFORE,</w:t>
      </w:r>
    </w:p>
    <w:p w:rsidR="007C7485" w:rsidRDefault="007C7485" w:rsidP="004E547F">
      <w:pPr>
        <w:jc w:val="left"/>
      </w:pPr>
    </w:p>
    <w:p w:rsidR="007C7485" w:rsidRDefault="007C7485" w:rsidP="004E547F">
      <w:pPr>
        <w:jc w:val="left"/>
      </w:pPr>
      <w:r>
        <w:tab/>
      </w:r>
      <w:r>
        <w:tab/>
        <w:t>IT IS ORDERED:</w:t>
      </w:r>
    </w:p>
    <w:p w:rsidR="007C7485" w:rsidRDefault="007C7485" w:rsidP="004E547F">
      <w:pPr>
        <w:jc w:val="left"/>
      </w:pPr>
    </w:p>
    <w:p w:rsidR="00E4068A" w:rsidRDefault="007C7485" w:rsidP="00E4068A">
      <w:pPr>
        <w:jc w:val="left"/>
      </w:pPr>
      <w:r>
        <w:tab/>
      </w:r>
      <w:r>
        <w:tab/>
      </w:r>
      <w:r w:rsidR="00E4068A">
        <w:t>1.</w:t>
      </w:r>
      <w:r w:rsidR="00E4068A">
        <w:tab/>
        <w:t xml:space="preserve">That the </w:t>
      </w:r>
      <w:r>
        <w:t xml:space="preserve">Complaint filed by the Office of Consumer Advocate at Docket No. C-2013-2369886 is consolidated with both petitions filed at Docket No. </w:t>
      </w:r>
      <w:proofErr w:type="gramStart"/>
      <w:r>
        <w:t>P-2013-2366873.</w:t>
      </w:r>
      <w:proofErr w:type="gramEnd"/>
    </w:p>
    <w:p w:rsidR="00E4068A" w:rsidRDefault="00E4068A" w:rsidP="00E4068A">
      <w:pPr>
        <w:contextualSpacing/>
        <w:jc w:val="left"/>
      </w:pPr>
    </w:p>
    <w:p w:rsidR="00E4068A" w:rsidRDefault="00E4068A" w:rsidP="00E4068A">
      <w:pPr>
        <w:contextualSpacing/>
        <w:jc w:val="left"/>
      </w:pPr>
      <w:r>
        <w:tab/>
      </w:r>
      <w:r>
        <w:tab/>
        <w:t>2.</w:t>
      </w:r>
      <w:r>
        <w:tab/>
        <w:t>That the following litigation schedule is adopted:</w:t>
      </w:r>
    </w:p>
    <w:p w:rsidR="00E4068A" w:rsidRDefault="00E4068A" w:rsidP="00E4068A">
      <w:pPr>
        <w:contextualSpacing/>
        <w:jc w:val="left"/>
      </w:pPr>
    </w:p>
    <w:p w:rsidR="00E4068A" w:rsidRDefault="00E4068A" w:rsidP="00E4068A">
      <w:pPr>
        <w:contextualSpacing/>
        <w:jc w:val="left"/>
      </w:pPr>
      <w:r>
        <w:tab/>
      </w:r>
      <w:r w:rsidR="007C7485">
        <w:t xml:space="preserve">Supplemental </w:t>
      </w:r>
      <w:r>
        <w:t>direct testimony</w:t>
      </w:r>
      <w:r>
        <w:tab/>
      </w:r>
      <w:r>
        <w:tab/>
      </w:r>
      <w:r w:rsidR="007C7485">
        <w:t>October 22, 2013</w:t>
      </w:r>
    </w:p>
    <w:p w:rsidR="00E4068A" w:rsidRDefault="007C7485" w:rsidP="00E4068A">
      <w:pPr>
        <w:contextualSpacing/>
        <w:jc w:val="left"/>
      </w:pPr>
      <w:r>
        <w:tab/>
        <w:t>D</w:t>
      </w:r>
      <w:r w:rsidR="00E4068A">
        <w:t>irect testimony</w:t>
      </w:r>
      <w:r w:rsidR="00E4068A">
        <w:tab/>
      </w:r>
      <w:r w:rsidR="00E4068A">
        <w:tab/>
      </w:r>
      <w:r>
        <w:tab/>
      </w:r>
      <w:r>
        <w:tab/>
        <w:t>November 21, 2013</w:t>
      </w:r>
    </w:p>
    <w:p w:rsidR="00E4068A" w:rsidRDefault="00E4068A" w:rsidP="00E4068A">
      <w:pPr>
        <w:contextualSpacing/>
        <w:jc w:val="left"/>
      </w:pPr>
      <w:r>
        <w:tab/>
      </w:r>
      <w:r w:rsidR="00F86D23">
        <w:t>Rebuttal testimony</w:t>
      </w:r>
      <w:r>
        <w:tab/>
      </w:r>
      <w:r>
        <w:tab/>
      </w:r>
      <w:r>
        <w:tab/>
      </w:r>
      <w:r>
        <w:tab/>
      </w:r>
      <w:r w:rsidR="00F86D23">
        <w:t>December 20, 2013</w:t>
      </w:r>
    </w:p>
    <w:p w:rsidR="00E4068A" w:rsidRDefault="00E4068A" w:rsidP="00E4068A">
      <w:pPr>
        <w:contextualSpacing/>
        <w:jc w:val="left"/>
      </w:pPr>
      <w:r>
        <w:lastRenderedPageBreak/>
        <w:tab/>
        <w:t>Surrebuttal testimony</w:t>
      </w:r>
      <w:r>
        <w:tab/>
      </w:r>
      <w:r>
        <w:tab/>
      </w:r>
      <w:r>
        <w:tab/>
      </w:r>
      <w:r>
        <w:tab/>
      </w:r>
      <w:r w:rsidR="00F86D23">
        <w:t>January 21, 2014</w:t>
      </w:r>
    </w:p>
    <w:p w:rsidR="00F86D23" w:rsidRDefault="00F86D23" w:rsidP="00E4068A">
      <w:pPr>
        <w:contextualSpacing/>
        <w:jc w:val="left"/>
      </w:pPr>
      <w:r>
        <w:tab/>
        <w:t>Writt</w:t>
      </w:r>
      <w:r w:rsidR="0036323D">
        <w:t>en rejoinder</w:t>
      </w:r>
      <w:r w:rsidR="0036323D">
        <w:tab/>
      </w:r>
      <w:r w:rsidR="0036323D">
        <w:tab/>
      </w:r>
      <w:r w:rsidR="0036323D">
        <w:tab/>
      </w:r>
      <w:r w:rsidR="0036323D">
        <w:tab/>
        <w:t>February 4, 2014</w:t>
      </w:r>
    </w:p>
    <w:p w:rsidR="00E4068A" w:rsidRDefault="00E4068A" w:rsidP="00E4068A">
      <w:pPr>
        <w:contextualSpacing/>
        <w:jc w:val="left"/>
      </w:pPr>
      <w:r>
        <w:tab/>
        <w:t>Evidentiary hearing</w:t>
      </w:r>
      <w:r>
        <w:tab/>
      </w:r>
      <w:r>
        <w:tab/>
      </w:r>
      <w:r>
        <w:tab/>
      </w:r>
      <w:r>
        <w:tab/>
        <w:t xml:space="preserve">February </w:t>
      </w:r>
      <w:r w:rsidR="00F86D23">
        <w:t>11</w:t>
      </w:r>
      <w:r w:rsidR="0036323D">
        <w:t>,</w:t>
      </w:r>
      <w:r w:rsidR="00F86D23">
        <w:t xml:space="preserve"> 2014</w:t>
      </w:r>
    </w:p>
    <w:p w:rsidR="00E4068A" w:rsidRDefault="00E4068A" w:rsidP="00E4068A">
      <w:pPr>
        <w:contextualSpacing/>
        <w:jc w:val="left"/>
      </w:pPr>
      <w:r>
        <w:tab/>
        <w:t>Main brief</w:t>
      </w:r>
      <w:r>
        <w:tab/>
      </w:r>
      <w:r>
        <w:tab/>
      </w:r>
      <w:r>
        <w:tab/>
      </w:r>
      <w:r>
        <w:tab/>
      </w:r>
      <w:r>
        <w:tab/>
        <w:t xml:space="preserve">March </w:t>
      </w:r>
      <w:r w:rsidR="00F86D23">
        <w:t>1</w:t>
      </w:r>
      <w:r>
        <w:t>1, 201</w:t>
      </w:r>
      <w:r w:rsidR="00F86D23">
        <w:t>4</w:t>
      </w:r>
    </w:p>
    <w:p w:rsidR="00E4068A" w:rsidRDefault="00E4068A" w:rsidP="00E4068A">
      <w:pPr>
        <w:contextualSpacing/>
        <w:jc w:val="left"/>
      </w:pPr>
      <w:r>
        <w:tab/>
        <w:t>Reply brief</w:t>
      </w:r>
      <w:r>
        <w:tab/>
      </w:r>
      <w:r>
        <w:tab/>
      </w:r>
      <w:r>
        <w:tab/>
      </w:r>
      <w:r>
        <w:tab/>
      </w:r>
      <w:r>
        <w:tab/>
        <w:t xml:space="preserve">April </w:t>
      </w:r>
      <w:r w:rsidR="00F86D23">
        <w:t>8</w:t>
      </w:r>
      <w:r>
        <w:t>, 201</w:t>
      </w:r>
      <w:r w:rsidR="00F86D23">
        <w:t>4</w:t>
      </w:r>
    </w:p>
    <w:p w:rsidR="00E4068A" w:rsidRDefault="00E4068A" w:rsidP="00E4068A">
      <w:pPr>
        <w:contextualSpacing/>
        <w:jc w:val="left"/>
      </w:pPr>
    </w:p>
    <w:p w:rsidR="00E4068A" w:rsidRDefault="00E4068A" w:rsidP="00E4068A">
      <w:pPr>
        <w:jc w:val="left"/>
      </w:pPr>
      <w:r>
        <w:tab/>
      </w:r>
      <w:r>
        <w:tab/>
        <w:t>3.</w:t>
      </w:r>
      <w:r>
        <w:tab/>
      </w:r>
      <w:r w:rsidRPr="002B31D0">
        <w:t xml:space="preserve">That the Commission’s regulations regarding discovery at 52 Pa. Code </w:t>
      </w:r>
    </w:p>
    <w:p w:rsidR="00E4068A" w:rsidRDefault="00E4068A" w:rsidP="00E4068A">
      <w:pPr>
        <w:jc w:val="left"/>
      </w:pPr>
      <w:r w:rsidRPr="002B31D0">
        <w:t xml:space="preserve">§ 5.342(d) are modified for the purposes of this proceeding to provide that objections to discovery are in lieu of answers, and not in addition to answers.  </w:t>
      </w:r>
    </w:p>
    <w:p w:rsidR="00E4068A" w:rsidRDefault="00E4068A" w:rsidP="00E4068A">
      <w:pPr>
        <w:jc w:val="left"/>
      </w:pPr>
    </w:p>
    <w:p w:rsidR="00E4068A" w:rsidRDefault="00E4068A" w:rsidP="00E4068A">
      <w:pPr>
        <w:jc w:val="left"/>
      </w:pPr>
      <w:r>
        <w:tab/>
      </w:r>
      <w:r>
        <w:tab/>
        <w:t>4.</w:t>
      </w:r>
      <w:r>
        <w:tab/>
      </w:r>
      <w:r w:rsidRPr="002B31D0">
        <w:t xml:space="preserve">That due dates are in-hand, service of discovery requests, testimony, exhibits and briefs may be by electronic means on the due date if transmission occurs before </w:t>
      </w:r>
    </w:p>
    <w:p w:rsidR="00E4068A" w:rsidRPr="002B31D0" w:rsidRDefault="00E4068A" w:rsidP="00E4068A">
      <w:pPr>
        <w:jc w:val="left"/>
      </w:pPr>
      <w:r w:rsidRPr="002B31D0">
        <w:t xml:space="preserve">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E4068A" w:rsidRDefault="00E4068A" w:rsidP="00E4068A">
      <w:pPr>
        <w:jc w:val="left"/>
      </w:pPr>
    </w:p>
    <w:p w:rsidR="00E4068A" w:rsidRPr="002B31D0" w:rsidRDefault="00E4068A" w:rsidP="00E4068A">
      <w:pPr>
        <w:jc w:val="left"/>
      </w:pPr>
      <w:r>
        <w:tab/>
      </w:r>
      <w:r>
        <w:tab/>
      </w:r>
      <w:r w:rsidR="00F86D23">
        <w:t>5</w:t>
      </w:r>
      <w:r w:rsidRPr="002B31D0">
        <w:t>.</w:t>
      </w:r>
      <w:r w:rsidRPr="002B31D0">
        <w:tab/>
        <w:t>That discovery disputes may be resolved via telephone conference with the presiding officer without need of a motion to compel, although the propounding party may choose to file a formal motion to compel.</w:t>
      </w:r>
    </w:p>
    <w:p w:rsidR="00E4068A" w:rsidRDefault="00E4068A" w:rsidP="00E4068A">
      <w:pPr>
        <w:jc w:val="left"/>
      </w:pPr>
    </w:p>
    <w:p w:rsidR="00E4068A" w:rsidRDefault="00E4068A" w:rsidP="00E4068A">
      <w:pPr>
        <w:jc w:val="left"/>
      </w:pPr>
      <w:r>
        <w:tab/>
      </w:r>
      <w:r>
        <w:tab/>
      </w:r>
      <w:r w:rsidR="00F86D23">
        <w:t>6</w:t>
      </w:r>
      <w:r>
        <w:t>.</w:t>
      </w:r>
      <w:r>
        <w:tab/>
      </w:r>
      <w:r w:rsidR="00F86D23">
        <w:t>P</w:t>
      </w:r>
      <w:r w:rsidRPr="002B31D0">
        <w:t>arties are directed to comply with the provisions of 52 Pa. Code</w:t>
      </w:r>
    </w:p>
    <w:p w:rsidR="00E4068A" w:rsidRDefault="00E4068A" w:rsidP="00E4068A">
      <w:pPr>
        <w:jc w:val="left"/>
      </w:pPr>
      <w:r w:rsidRPr="002B31D0">
        <w:t>§ 5.243(e) which prohibits the introduction of evidence during rebuttal or surrebuttal which should have been included in the case-in-chief or which substantially varies from the case-in-chief, unless the evidence is introduced in support of a proposed settlement.</w:t>
      </w:r>
    </w:p>
    <w:p w:rsidR="00F86D23" w:rsidRDefault="00F86D23" w:rsidP="00E4068A">
      <w:pPr>
        <w:jc w:val="left"/>
      </w:pPr>
    </w:p>
    <w:p w:rsidR="00F86D23" w:rsidRPr="002B31D0" w:rsidRDefault="00F86D23" w:rsidP="00E4068A">
      <w:pPr>
        <w:jc w:val="left"/>
      </w:pPr>
      <w:r>
        <w:tab/>
      </w:r>
      <w:r>
        <w:tab/>
        <w:t>7.</w:t>
      </w:r>
      <w:r>
        <w:tab/>
      </w:r>
      <w:r w:rsidR="00F679C1">
        <w:t>Parties shall submit their testimony in electronic format to the Commission's Secretary c</w:t>
      </w:r>
      <w:r>
        <w:t xml:space="preserve">onsistent with the Commission </w:t>
      </w:r>
      <w:r w:rsidR="00F679C1">
        <w:t xml:space="preserve">Order at Docket No. </w:t>
      </w:r>
      <w:proofErr w:type="gramStart"/>
      <w:r w:rsidR="00F679C1">
        <w:t>M-2012-2331973 (Order of January 10, 2013)</w:t>
      </w:r>
      <w:r>
        <w:t>,</w:t>
      </w:r>
      <w:r w:rsidR="00F679C1">
        <w:t xml:space="preserve"> within thirty days of the evidentiary hearing.</w:t>
      </w:r>
      <w:proofErr w:type="gramEnd"/>
      <w:r>
        <w:t xml:space="preserve"> </w:t>
      </w:r>
    </w:p>
    <w:p w:rsidR="0036323D" w:rsidRDefault="0036323D">
      <w:pPr>
        <w:rPr>
          <w:b/>
        </w:rPr>
      </w:pPr>
      <w:r>
        <w:rPr>
          <w:b/>
        </w:rPr>
        <w:br w:type="page"/>
      </w:r>
    </w:p>
    <w:p w:rsidR="00E4068A" w:rsidRPr="00D133F8" w:rsidRDefault="00E4068A" w:rsidP="00E4068A">
      <w:pPr>
        <w:ind w:left="720"/>
        <w:jc w:val="left"/>
        <w:rPr>
          <w:b/>
        </w:rPr>
      </w:pPr>
    </w:p>
    <w:p w:rsidR="00E4068A" w:rsidRDefault="00E4068A" w:rsidP="00E4068A">
      <w:pPr>
        <w:jc w:val="left"/>
      </w:pPr>
      <w:r>
        <w:tab/>
      </w:r>
      <w:r>
        <w:tab/>
        <w:t>10.</w:t>
      </w:r>
      <w:r>
        <w:tab/>
        <w:t xml:space="preserve">Briefs must comply with 52 Pa. Code §§ 5.501 and 5.502.  </w:t>
      </w:r>
    </w:p>
    <w:p w:rsidR="00E4068A" w:rsidRDefault="00E4068A" w:rsidP="00E4068A">
      <w:pPr>
        <w:ind w:left="720"/>
        <w:jc w:val="left"/>
      </w:pPr>
    </w:p>
    <w:p w:rsidR="00E4068A" w:rsidRDefault="00E4068A" w:rsidP="00E4068A">
      <w:pPr>
        <w:ind w:left="720"/>
        <w:jc w:val="left"/>
      </w:pPr>
      <w:r>
        <w:tab/>
      </w:r>
    </w:p>
    <w:p w:rsidR="00E4068A" w:rsidRDefault="00E4068A" w:rsidP="00E4068A">
      <w:pPr>
        <w:ind w:left="720"/>
        <w:jc w:val="left"/>
      </w:pPr>
    </w:p>
    <w:p w:rsidR="00E4068A" w:rsidRDefault="00E4068A" w:rsidP="00E4068A">
      <w:pPr>
        <w:spacing w:line="240" w:lineRule="auto"/>
        <w:jc w:val="left"/>
      </w:pPr>
      <w:r>
        <w:t xml:space="preserve"> Dated: </w:t>
      </w:r>
      <w:r w:rsidR="00F86D23">
        <w:rPr>
          <w:u w:val="single"/>
        </w:rPr>
        <w:t>October 8, 2013</w:t>
      </w:r>
      <w:r>
        <w:tab/>
      </w:r>
      <w:r>
        <w:tab/>
      </w:r>
      <w:r>
        <w:tab/>
      </w:r>
      <w:r>
        <w:tab/>
        <w:t>_________________________________</w:t>
      </w:r>
    </w:p>
    <w:p w:rsidR="00E4068A" w:rsidRDefault="00E4068A" w:rsidP="00E4068A">
      <w:pPr>
        <w:spacing w:line="240" w:lineRule="auto"/>
        <w:jc w:val="left"/>
      </w:pPr>
      <w:r>
        <w:tab/>
      </w:r>
      <w:r>
        <w:tab/>
      </w:r>
      <w:r>
        <w:tab/>
      </w:r>
      <w:r>
        <w:tab/>
      </w:r>
      <w:r>
        <w:tab/>
      </w:r>
      <w:r>
        <w:tab/>
      </w:r>
      <w:r>
        <w:tab/>
        <w:t>Susan D. Colwell</w:t>
      </w:r>
    </w:p>
    <w:p w:rsidR="00E4068A" w:rsidRPr="000B62AC" w:rsidRDefault="00E4068A" w:rsidP="00E4068A">
      <w:pPr>
        <w:spacing w:line="240" w:lineRule="auto"/>
        <w:jc w:val="left"/>
      </w:pPr>
      <w:r>
        <w:tab/>
      </w:r>
      <w:r>
        <w:tab/>
      </w:r>
      <w:r>
        <w:tab/>
      </w:r>
      <w:r>
        <w:tab/>
      </w:r>
      <w:r>
        <w:tab/>
      </w:r>
      <w:r>
        <w:tab/>
      </w:r>
      <w:r>
        <w:tab/>
        <w:t>Administrative Law Judge</w:t>
      </w:r>
    </w:p>
    <w:p w:rsidR="00E4068A" w:rsidRPr="00691DC1" w:rsidRDefault="00E4068A" w:rsidP="00E4068A">
      <w:pPr>
        <w:contextualSpacing/>
        <w:jc w:val="left"/>
      </w:pPr>
      <w:r>
        <w:tab/>
        <w:t xml:space="preserve">  </w:t>
      </w:r>
      <w:r>
        <w:tab/>
      </w:r>
    </w:p>
    <w:p w:rsidR="00E4068A" w:rsidRPr="00691DC1" w:rsidRDefault="00E4068A" w:rsidP="00E4068A">
      <w:pPr>
        <w:contextualSpacing/>
        <w:jc w:val="left"/>
      </w:pPr>
      <w:r>
        <w:tab/>
      </w:r>
    </w:p>
    <w:p w:rsidR="00C2463C" w:rsidRDefault="00C2463C">
      <w:pPr>
        <w:sectPr w:rsidR="00C2463C" w:rsidSect="00F679C1">
          <w:footerReference w:type="default" r:id="rId12"/>
          <w:pgSz w:w="12240" w:h="15840"/>
          <w:pgMar w:top="1440" w:right="1440" w:bottom="1440" w:left="1440" w:header="720" w:footer="720" w:gutter="0"/>
          <w:cols w:space="720"/>
          <w:titlePg/>
          <w:docGrid w:linePitch="360"/>
        </w:sectPr>
      </w:pPr>
    </w:p>
    <w:p w:rsidR="00C2463C" w:rsidRPr="004B529C" w:rsidRDefault="00C2463C" w:rsidP="00C2463C">
      <w:pPr>
        <w:autoSpaceDN w:val="0"/>
        <w:spacing w:line="240" w:lineRule="auto"/>
        <w:jc w:val="left"/>
        <w:rPr>
          <w:rFonts w:ascii="Microsoft Sans Serif" w:eastAsia="Times New Roman" w:hAnsi="Microsoft Sans Serif" w:cs="Microsoft Sans Serif"/>
          <w:color w:val="0D0D0D"/>
        </w:rPr>
      </w:pPr>
      <w:r>
        <w:rPr>
          <w:rFonts w:ascii="Microsoft Sans Serif" w:hAnsi="Microsoft Sans Serif" w:cs="Microsoft Sans Serif"/>
          <w:b/>
          <w:u w:val="single"/>
        </w:rPr>
        <w:lastRenderedPageBreak/>
        <w:t xml:space="preserve">P-2013-2366873 – PETITION OF LITTLE WASHINGTON WASTEWATER COMPANY - </w:t>
      </w:r>
      <w:r w:rsidRPr="004B529C">
        <w:rPr>
          <w:rFonts w:ascii="Microsoft Sans Serif" w:eastAsia="Times New Roman" w:hAnsi="Microsoft Sans Serif" w:cs="Microsoft Sans Serif"/>
          <w:b/>
          <w:color w:val="0D0D0D"/>
          <w:u w:val="single"/>
        </w:rPr>
        <w:t>FOR APPROVAL OF ITS LONG-TERM INFRASTRUCTURE IMPROVEMENT PLAN</w:t>
      </w:r>
    </w:p>
    <w:p w:rsidR="00C2463C" w:rsidRPr="004B529C" w:rsidRDefault="00C2463C" w:rsidP="00C2463C">
      <w:pPr>
        <w:spacing w:line="240" w:lineRule="auto"/>
        <w:jc w:val="left"/>
        <w:rPr>
          <w:rFonts w:ascii="Microsoft Sans Serif" w:hAnsi="Microsoft Sans Serif" w:cs="Microsoft Sans Serif"/>
          <w:b/>
          <w:u w:val="single"/>
        </w:rPr>
      </w:pPr>
      <w:r w:rsidRPr="004B529C">
        <w:rPr>
          <w:rFonts w:ascii="Microsoft Sans Serif" w:hAnsi="Microsoft Sans Serif" w:cs="Microsoft Sans Serif"/>
          <w:b/>
          <w:u w:val="single"/>
        </w:rPr>
        <w:cr/>
      </w:r>
    </w:p>
    <w:p w:rsidR="00C2463C" w:rsidRPr="004B529C" w:rsidRDefault="00C2463C" w:rsidP="00C2463C">
      <w:pPr>
        <w:spacing w:line="240" w:lineRule="auto"/>
        <w:jc w:val="left"/>
        <w:rPr>
          <w:rFonts w:ascii="Microsoft Sans Serif" w:hAnsi="Microsoft Sans Serif" w:cs="Microsoft Sans Serif"/>
          <w:b/>
          <w:u w:val="single"/>
        </w:rPr>
      </w:pPr>
    </w:p>
    <w:p w:rsidR="00C2463C" w:rsidRDefault="00C2463C" w:rsidP="00C2463C">
      <w:pPr>
        <w:spacing w:line="240" w:lineRule="auto"/>
        <w:jc w:val="left"/>
        <w:rPr>
          <w:rFonts w:ascii="Microsoft Sans Serif" w:hAnsi="Microsoft Sans Serif" w:cs="Microsoft Sans Serif"/>
        </w:rPr>
      </w:pPr>
      <w:r w:rsidRPr="004B529C">
        <w:rPr>
          <w:rFonts w:ascii="Microsoft Sans Serif" w:hAnsi="Microsoft Sans Serif" w:cs="Microsoft Sans Serif"/>
        </w:rPr>
        <w:t>THOMAS T NIESEN ESQUIRE</w:t>
      </w:r>
      <w:r w:rsidRPr="004B529C">
        <w:rPr>
          <w:rFonts w:ascii="Microsoft Sans Serif" w:hAnsi="Microsoft Sans Serif" w:cs="Microsoft Sans Serif"/>
        </w:rPr>
        <w:cr/>
        <w:t>THOMAS LONG NIESEN &amp; KENNARD</w:t>
      </w:r>
      <w:r w:rsidRPr="004B529C">
        <w:rPr>
          <w:rFonts w:ascii="Microsoft Sans Serif" w:hAnsi="Microsoft Sans Serif" w:cs="Microsoft Sans Serif"/>
        </w:rPr>
        <w:cr/>
        <w:t>PO BOX 9500</w:t>
      </w:r>
      <w:r w:rsidRPr="004B529C">
        <w:rPr>
          <w:rFonts w:ascii="Microsoft Sans Serif" w:hAnsi="Microsoft Sans Serif" w:cs="Microsoft Sans Serif"/>
        </w:rPr>
        <w:cr/>
        <w:t>HARRISBURG PA  17108-9500</w:t>
      </w:r>
      <w:r w:rsidRPr="004B529C">
        <w:rPr>
          <w:rFonts w:ascii="Microsoft Sans Serif" w:hAnsi="Microsoft Sans Serif" w:cs="Microsoft Sans Serif"/>
        </w:rPr>
        <w:cr/>
      </w:r>
      <w:r w:rsidRPr="004B529C">
        <w:rPr>
          <w:rFonts w:ascii="Microsoft Sans Serif" w:hAnsi="Microsoft Sans Serif" w:cs="Microsoft Sans Serif"/>
          <w:b/>
        </w:rPr>
        <w:t>717.255.7600</w:t>
      </w:r>
      <w:r w:rsidRPr="004B529C">
        <w:rPr>
          <w:rFonts w:ascii="Microsoft Sans Serif" w:hAnsi="Microsoft Sans Serif" w:cs="Microsoft Sans Serif"/>
          <w:b/>
        </w:rPr>
        <w:cr/>
      </w:r>
      <w:proofErr w:type="spellStart"/>
      <w:proofErr w:type="gramStart"/>
      <w:r w:rsidRPr="00FF405D">
        <w:rPr>
          <w:rFonts w:ascii="Microsoft Sans Serif" w:hAnsi="Microsoft Sans Serif" w:cs="Microsoft Sans Serif"/>
          <w:b/>
          <w:i/>
          <w:u w:val="single"/>
        </w:rPr>
        <w:t>eServ</w:t>
      </w:r>
      <w:r>
        <w:rPr>
          <w:rFonts w:ascii="Microsoft Sans Serif" w:hAnsi="Microsoft Sans Serif" w:cs="Microsoft Sans Serif"/>
          <w:b/>
          <w:i/>
          <w:u w:val="single"/>
        </w:rPr>
        <w:t>e</w:t>
      </w:r>
      <w:proofErr w:type="spellEnd"/>
      <w:proofErr w:type="gramEnd"/>
      <w:r w:rsidRPr="004B529C">
        <w:rPr>
          <w:rFonts w:ascii="Microsoft Sans Serif" w:hAnsi="Microsoft Sans Serif" w:cs="Microsoft Sans Serif"/>
        </w:rPr>
        <w:t xml:space="preserve"> </w:t>
      </w:r>
    </w:p>
    <w:p w:rsidR="00C2463C" w:rsidRDefault="00C2463C" w:rsidP="00C2463C">
      <w:pPr>
        <w:spacing w:line="240" w:lineRule="auto"/>
        <w:jc w:val="left"/>
        <w:rPr>
          <w:rFonts w:ascii="Microsoft Sans Serif" w:hAnsi="Microsoft Sans Serif" w:cs="Microsoft Sans Serif"/>
        </w:rPr>
      </w:pPr>
    </w:p>
    <w:p w:rsidR="00C2463C" w:rsidRDefault="00C2463C" w:rsidP="00C2463C">
      <w:pPr>
        <w:spacing w:line="240" w:lineRule="auto"/>
        <w:jc w:val="left"/>
        <w:rPr>
          <w:rFonts w:ascii="Microsoft Sans Serif" w:hAnsi="Microsoft Sans Serif" w:cs="Microsoft Sans Serif"/>
        </w:rPr>
      </w:pPr>
      <w:r w:rsidRPr="004B529C">
        <w:rPr>
          <w:rFonts w:ascii="Microsoft Sans Serif" w:hAnsi="Microsoft Sans Serif" w:cs="Microsoft Sans Serif"/>
        </w:rPr>
        <w:t>ERIN L GANNON ESQUIRE</w:t>
      </w:r>
      <w:r w:rsidRPr="004B529C">
        <w:rPr>
          <w:rFonts w:ascii="Microsoft Sans Serif" w:hAnsi="Microsoft Sans Serif" w:cs="Microsoft Sans Serif"/>
        </w:rPr>
        <w:cr/>
        <w:t>OFFICE OF CONSUMER ADVOCATE</w:t>
      </w:r>
      <w:r w:rsidRPr="004B529C">
        <w:rPr>
          <w:rFonts w:ascii="Microsoft Sans Serif" w:hAnsi="Microsoft Sans Serif" w:cs="Microsoft Sans Serif"/>
        </w:rPr>
        <w:cr/>
        <w:t xml:space="preserve">555 WALNUT STREET </w:t>
      </w:r>
    </w:p>
    <w:p w:rsidR="00C2463C" w:rsidRDefault="00C2463C" w:rsidP="00C2463C">
      <w:pPr>
        <w:spacing w:line="240" w:lineRule="auto"/>
        <w:jc w:val="left"/>
        <w:rPr>
          <w:rFonts w:ascii="Microsoft Sans Serif" w:hAnsi="Microsoft Sans Serif" w:cs="Microsoft Sans Serif"/>
        </w:rPr>
      </w:pPr>
      <w:r w:rsidRPr="004B529C">
        <w:rPr>
          <w:rFonts w:ascii="Microsoft Sans Serif" w:hAnsi="Microsoft Sans Serif" w:cs="Microsoft Sans Serif"/>
        </w:rPr>
        <w:t>5</w:t>
      </w:r>
      <w:r w:rsidRPr="0044167B">
        <w:rPr>
          <w:rFonts w:ascii="Microsoft Sans Serif" w:hAnsi="Microsoft Sans Serif" w:cs="Microsoft Sans Serif"/>
          <w:vertAlign w:val="superscript"/>
        </w:rPr>
        <w:t>TH</w:t>
      </w:r>
      <w:r>
        <w:rPr>
          <w:rFonts w:ascii="Microsoft Sans Serif" w:hAnsi="Microsoft Sans Serif" w:cs="Microsoft Sans Serif"/>
        </w:rPr>
        <w:t xml:space="preserve"> </w:t>
      </w:r>
      <w:r w:rsidRPr="004B529C">
        <w:rPr>
          <w:rFonts w:ascii="Microsoft Sans Serif" w:hAnsi="Microsoft Sans Serif" w:cs="Microsoft Sans Serif"/>
        </w:rPr>
        <w:t>FLOOR FORUM PLACE</w:t>
      </w:r>
      <w:r w:rsidRPr="004B529C">
        <w:rPr>
          <w:rFonts w:ascii="Microsoft Sans Serif" w:hAnsi="Microsoft Sans Serif" w:cs="Microsoft Sans Serif"/>
        </w:rPr>
        <w:cr/>
        <w:t>HARRISBURG PA  19101-1923</w:t>
      </w:r>
    </w:p>
    <w:p w:rsidR="00C2463C" w:rsidRPr="004B529C" w:rsidRDefault="00C2463C" w:rsidP="00C2463C">
      <w:pPr>
        <w:spacing w:line="240" w:lineRule="auto"/>
        <w:jc w:val="left"/>
        <w:rPr>
          <w:rFonts w:ascii="Microsoft Sans Serif" w:hAnsi="Microsoft Sans Serif" w:cs="Microsoft Sans Serif"/>
          <w:b/>
        </w:rPr>
      </w:pPr>
      <w:r>
        <w:rPr>
          <w:rFonts w:ascii="Microsoft Sans Serif" w:hAnsi="Microsoft Sans Serif" w:cs="Microsoft Sans Serif"/>
          <w:b/>
        </w:rPr>
        <w:t>C-2013-2366873</w:t>
      </w:r>
    </w:p>
    <w:p w:rsidR="00C2463C" w:rsidRPr="004B529C" w:rsidRDefault="00C2463C" w:rsidP="00C2463C">
      <w:pPr>
        <w:spacing w:line="240" w:lineRule="auto"/>
        <w:jc w:val="left"/>
        <w:rPr>
          <w:rFonts w:ascii="Microsoft Sans Serif" w:hAnsi="Microsoft Sans Serif" w:cs="Microsoft Sans Serif"/>
        </w:rPr>
      </w:pPr>
    </w:p>
    <w:p w:rsidR="00C2463C" w:rsidRDefault="00C2463C" w:rsidP="00C2463C">
      <w:pPr>
        <w:spacing w:line="240" w:lineRule="auto"/>
        <w:jc w:val="left"/>
        <w:rPr>
          <w:rFonts w:ascii="Microsoft Sans Serif" w:hAnsi="Microsoft Sans Serif" w:cs="Microsoft Sans Serif"/>
        </w:rPr>
      </w:pPr>
      <w:r w:rsidRPr="004B529C">
        <w:rPr>
          <w:rFonts w:ascii="Microsoft Sans Serif" w:hAnsi="Microsoft Sans Serif" w:cs="Microsoft Sans Serif"/>
        </w:rPr>
        <w:t>JOHN R EVANS</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SMALL BUSINESS ADVOCATE</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300 NORTH 2</w:t>
      </w:r>
      <w:r w:rsidRPr="004B529C">
        <w:rPr>
          <w:rFonts w:ascii="Microsoft Sans Serif" w:hAnsi="Microsoft Sans Serif" w:cs="Microsoft Sans Serif"/>
          <w:vertAlign w:val="superscript"/>
        </w:rPr>
        <w:t>ND</w:t>
      </w:r>
      <w:r>
        <w:rPr>
          <w:rFonts w:ascii="Microsoft Sans Serif" w:hAnsi="Microsoft Sans Serif" w:cs="Microsoft Sans Serif"/>
        </w:rPr>
        <w:t xml:space="preserve"> STREET STE 1102</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HARRISBURG PA  17101</w:t>
      </w:r>
    </w:p>
    <w:p w:rsidR="00C2463C" w:rsidRDefault="00C2463C" w:rsidP="00C2463C">
      <w:pPr>
        <w:spacing w:line="240" w:lineRule="auto"/>
        <w:jc w:val="left"/>
        <w:rPr>
          <w:rFonts w:ascii="Microsoft Sans Serif" w:hAnsi="Microsoft Sans Serif" w:cs="Microsoft Sans Serif"/>
        </w:rPr>
      </w:pP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JOHNNIE E SIMMS</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PA PUC BI&amp;E</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PO BOX 3265</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HARRISBURG PA  17105-3265</w:t>
      </w:r>
    </w:p>
    <w:p w:rsidR="00C2463C" w:rsidRDefault="00C2463C" w:rsidP="00C2463C">
      <w:pPr>
        <w:spacing w:line="240" w:lineRule="auto"/>
        <w:jc w:val="left"/>
        <w:rPr>
          <w:rFonts w:ascii="Microsoft Sans Serif" w:hAnsi="Microsoft Sans Serif" w:cs="Microsoft Sans Serif"/>
        </w:rPr>
      </w:pPr>
    </w:p>
    <w:p w:rsidR="00C2463C" w:rsidRDefault="00C2463C" w:rsidP="00C2463C">
      <w:pPr>
        <w:spacing w:line="240" w:lineRule="auto"/>
        <w:jc w:val="left"/>
        <w:rPr>
          <w:rFonts w:ascii="Microsoft Sans Serif" w:hAnsi="Microsoft Sans Serif" w:cs="Microsoft Sans Serif"/>
        </w:rPr>
      </w:pPr>
      <w:bookmarkStart w:id="0" w:name="_GoBack"/>
      <w:r>
        <w:rPr>
          <w:rFonts w:ascii="Microsoft Sans Serif" w:hAnsi="Microsoft Sans Serif" w:cs="Microsoft Sans Serif"/>
        </w:rPr>
        <w:t>ARNOLD M KRING</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83 WINTERBERRY DRIVE</w:t>
      </w:r>
    </w:p>
    <w:p w:rsidR="00C2463C" w:rsidRDefault="00C2463C" w:rsidP="00C2463C">
      <w:pPr>
        <w:spacing w:line="240" w:lineRule="auto"/>
        <w:jc w:val="left"/>
        <w:rPr>
          <w:rFonts w:ascii="Microsoft Sans Serif" w:hAnsi="Microsoft Sans Serif" w:cs="Microsoft Sans Serif"/>
        </w:rPr>
      </w:pPr>
      <w:r>
        <w:rPr>
          <w:rFonts w:ascii="Microsoft Sans Serif" w:hAnsi="Microsoft Sans Serif" w:cs="Microsoft Sans Serif"/>
        </w:rPr>
        <w:t>DOWNINGTOWN PA  19335</w:t>
      </w:r>
    </w:p>
    <w:bookmarkEnd w:id="0"/>
    <w:p w:rsidR="00C2463C" w:rsidRPr="003C0418" w:rsidRDefault="00C2463C" w:rsidP="00C2463C">
      <w:pPr>
        <w:spacing w:line="240" w:lineRule="auto"/>
        <w:jc w:val="left"/>
        <w:rPr>
          <w:rFonts w:ascii="Microsoft Sans Serif" w:hAnsi="Microsoft Sans Serif" w:cs="Microsoft Sans Serif"/>
          <w:b/>
        </w:rPr>
      </w:pPr>
      <w:r>
        <w:rPr>
          <w:rFonts w:ascii="Microsoft Sans Serif" w:hAnsi="Microsoft Sans Serif" w:cs="Microsoft Sans Serif"/>
          <w:b/>
        </w:rPr>
        <w:t>C-2013-2366873</w:t>
      </w:r>
    </w:p>
    <w:p w:rsidR="00E4068A" w:rsidRDefault="00E4068A" w:rsidP="00C2463C">
      <w:pPr>
        <w:jc w:val="left"/>
      </w:pPr>
    </w:p>
    <w:sectPr w:rsidR="00E406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B70" w:rsidRDefault="00A35B70" w:rsidP="004E547F">
      <w:pPr>
        <w:spacing w:line="240" w:lineRule="auto"/>
      </w:pPr>
      <w:r>
        <w:separator/>
      </w:r>
    </w:p>
  </w:endnote>
  <w:endnote w:type="continuationSeparator" w:id="0">
    <w:p w:rsidR="00A35B70" w:rsidRDefault="00A35B70" w:rsidP="004E5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632876"/>
      <w:docPartObj>
        <w:docPartGallery w:val="Page Numbers (Bottom of Page)"/>
        <w:docPartUnique/>
      </w:docPartObj>
    </w:sdtPr>
    <w:sdtEndPr>
      <w:rPr>
        <w:noProof/>
      </w:rPr>
    </w:sdtEndPr>
    <w:sdtContent>
      <w:p w:rsidR="00F679C1" w:rsidRDefault="00F679C1">
        <w:pPr>
          <w:pStyle w:val="Footer"/>
        </w:pPr>
        <w:r>
          <w:fldChar w:fldCharType="begin"/>
        </w:r>
        <w:r>
          <w:instrText xml:space="preserve"> PAGE   \* MERGEFORMAT </w:instrText>
        </w:r>
        <w:r>
          <w:fldChar w:fldCharType="separate"/>
        </w:r>
        <w:r w:rsidR="00F2520E">
          <w:rPr>
            <w:noProof/>
          </w:rPr>
          <w:t>5</w:t>
        </w:r>
        <w:r>
          <w:rPr>
            <w:noProof/>
          </w:rPr>
          <w:fldChar w:fldCharType="end"/>
        </w:r>
      </w:p>
    </w:sdtContent>
  </w:sdt>
  <w:p w:rsidR="00F679C1" w:rsidRDefault="00F67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B70" w:rsidRDefault="00A35B70" w:rsidP="004E547F">
      <w:pPr>
        <w:spacing w:line="240" w:lineRule="auto"/>
      </w:pPr>
      <w:r>
        <w:separator/>
      </w:r>
    </w:p>
  </w:footnote>
  <w:footnote w:type="continuationSeparator" w:id="0">
    <w:p w:rsidR="00A35B70" w:rsidRDefault="00A35B70" w:rsidP="004E547F">
      <w:pPr>
        <w:spacing w:line="240" w:lineRule="auto"/>
      </w:pPr>
      <w:r>
        <w:continuationSeparator/>
      </w:r>
    </w:p>
  </w:footnote>
  <w:footnote w:id="1">
    <w:p w:rsidR="004E547F" w:rsidRDefault="004E547F" w:rsidP="004E547F">
      <w:pPr>
        <w:pStyle w:val="FootnoteText"/>
        <w:jc w:val="left"/>
      </w:pPr>
      <w:r>
        <w:rPr>
          <w:rStyle w:val="FootnoteReference"/>
        </w:rPr>
        <w:footnoteRef/>
      </w:r>
      <w:r>
        <w:t xml:space="preserve"> The September 16, 2013 Notice set the date for the prehearing conference for Wednesday, October 8, 2013.  As October 8, 2013, is a Tuesday, a Corrected Notice was issued September 18,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8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13B"/>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23D"/>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47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C748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E83"/>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5B70"/>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463C"/>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068A"/>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046"/>
    <w:rsid w:val="00F16EF8"/>
    <w:rsid w:val="00F16FAB"/>
    <w:rsid w:val="00F170B7"/>
    <w:rsid w:val="00F21CA5"/>
    <w:rsid w:val="00F2520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79C1"/>
    <w:rsid w:val="00F70887"/>
    <w:rsid w:val="00F70A7D"/>
    <w:rsid w:val="00F748DD"/>
    <w:rsid w:val="00F76633"/>
    <w:rsid w:val="00F77EEC"/>
    <w:rsid w:val="00F81710"/>
    <w:rsid w:val="00F81FF7"/>
    <w:rsid w:val="00F83E64"/>
    <w:rsid w:val="00F86D2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7F"/>
    <w:pPr>
      <w:spacing w:line="240" w:lineRule="auto"/>
    </w:pPr>
    <w:rPr>
      <w:sz w:val="20"/>
      <w:szCs w:val="20"/>
    </w:rPr>
  </w:style>
  <w:style w:type="character" w:customStyle="1" w:styleId="FootnoteTextChar">
    <w:name w:val="Footnote Text Char"/>
    <w:basedOn w:val="DefaultParagraphFont"/>
    <w:link w:val="FootnoteText"/>
    <w:uiPriority w:val="99"/>
    <w:semiHidden/>
    <w:rsid w:val="004E547F"/>
    <w:rPr>
      <w:sz w:val="20"/>
      <w:szCs w:val="20"/>
    </w:rPr>
  </w:style>
  <w:style w:type="character" w:styleId="FootnoteReference">
    <w:name w:val="footnote reference"/>
    <w:basedOn w:val="DefaultParagraphFont"/>
    <w:uiPriority w:val="99"/>
    <w:semiHidden/>
    <w:unhideWhenUsed/>
    <w:rsid w:val="004E547F"/>
    <w:rPr>
      <w:vertAlign w:val="superscript"/>
    </w:rPr>
  </w:style>
  <w:style w:type="character" w:styleId="Hyperlink">
    <w:name w:val="Hyperlink"/>
    <w:basedOn w:val="DefaultParagraphFont"/>
    <w:uiPriority w:val="99"/>
    <w:unhideWhenUsed/>
    <w:rsid w:val="00F679C1"/>
    <w:rPr>
      <w:color w:val="0000FF" w:themeColor="hyperlink"/>
      <w:u w:val="single"/>
    </w:rPr>
  </w:style>
  <w:style w:type="paragraph" w:styleId="Header">
    <w:name w:val="header"/>
    <w:basedOn w:val="Normal"/>
    <w:link w:val="HeaderChar"/>
    <w:uiPriority w:val="99"/>
    <w:unhideWhenUsed/>
    <w:rsid w:val="00F679C1"/>
    <w:pPr>
      <w:tabs>
        <w:tab w:val="center" w:pos="4680"/>
        <w:tab w:val="right" w:pos="9360"/>
      </w:tabs>
      <w:spacing w:line="240" w:lineRule="auto"/>
    </w:pPr>
  </w:style>
  <w:style w:type="character" w:customStyle="1" w:styleId="HeaderChar">
    <w:name w:val="Header Char"/>
    <w:basedOn w:val="DefaultParagraphFont"/>
    <w:link w:val="Header"/>
    <w:uiPriority w:val="99"/>
    <w:rsid w:val="00F679C1"/>
  </w:style>
  <w:style w:type="paragraph" w:styleId="Footer">
    <w:name w:val="footer"/>
    <w:basedOn w:val="Normal"/>
    <w:link w:val="FooterChar"/>
    <w:uiPriority w:val="99"/>
    <w:unhideWhenUsed/>
    <w:rsid w:val="00F679C1"/>
    <w:pPr>
      <w:tabs>
        <w:tab w:val="center" w:pos="4680"/>
        <w:tab w:val="right" w:pos="9360"/>
      </w:tabs>
      <w:spacing w:line="240" w:lineRule="auto"/>
    </w:pPr>
  </w:style>
  <w:style w:type="character" w:customStyle="1" w:styleId="FooterChar">
    <w:name w:val="Footer Char"/>
    <w:basedOn w:val="DefaultParagraphFont"/>
    <w:link w:val="Footer"/>
    <w:uiPriority w:val="99"/>
    <w:rsid w:val="00F679C1"/>
  </w:style>
  <w:style w:type="paragraph" w:styleId="BalloonText">
    <w:name w:val="Balloon Text"/>
    <w:basedOn w:val="Normal"/>
    <w:link w:val="BalloonTextChar"/>
    <w:uiPriority w:val="99"/>
    <w:semiHidden/>
    <w:unhideWhenUsed/>
    <w:rsid w:val="003632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547F"/>
    <w:pPr>
      <w:spacing w:line="240" w:lineRule="auto"/>
    </w:pPr>
    <w:rPr>
      <w:sz w:val="20"/>
      <w:szCs w:val="20"/>
    </w:rPr>
  </w:style>
  <w:style w:type="character" w:customStyle="1" w:styleId="FootnoteTextChar">
    <w:name w:val="Footnote Text Char"/>
    <w:basedOn w:val="DefaultParagraphFont"/>
    <w:link w:val="FootnoteText"/>
    <w:uiPriority w:val="99"/>
    <w:semiHidden/>
    <w:rsid w:val="004E547F"/>
    <w:rPr>
      <w:sz w:val="20"/>
      <w:szCs w:val="20"/>
    </w:rPr>
  </w:style>
  <w:style w:type="character" w:styleId="FootnoteReference">
    <w:name w:val="footnote reference"/>
    <w:basedOn w:val="DefaultParagraphFont"/>
    <w:uiPriority w:val="99"/>
    <w:semiHidden/>
    <w:unhideWhenUsed/>
    <w:rsid w:val="004E547F"/>
    <w:rPr>
      <w:vertAlign w:val="superscript"/>
    </w:rPr>
  </w:style>
  <w:style w:type="character" w:styleId="Hyperlink">
    <w:name w:val="Hyperlink"/>
    <w:basedOn w:val="DefaultParagraphFont"/>
    <w:uiPriority w:val="99"/>
    <w:unhideWhenUsed/>
    <w:rsid w:val="00F679C1"/>
    <w:rPr>
      <w:color w:val="0000FF" w:themeColor="hyperlink"/>
      <w:u w:val="single"/>
    </w:rPr>
  </w:style>
  <w:style w:type="paragraph" w:styleId="Header">
    <w:name w:val="header"/>
    <w:basedOn w:val="Normal"/>
    <w:link w:val="HeaderChar"/>
    <w:uiPriority w:val="99"/>
    <w:unhideWhenUsed/>
    <w:rsid w:val="00F679C1"/>
    <w:pPr>
      <w:tabs>
        <w:tab w:val="center" w:pos="4680"/>
        <w:tab w:val="right" w:pos="9360"/>
      </w:tabs>
      <w:spacing w:line="240" w:lineRule="auto"/>
    </w:pPr>
  </w:style>
  <w:style w:type="character" w:customStyle="1" w:styleId="HeaderChar">
    <w:name w:val="Header Char"/>
    <w:basedOn w:val="DefaultParagraphFont"/>
    <w:link w:val="Header"/>
    <w:uiPriority w:val="99"/>
    <w:rsid w:val="00F679C1"/>
  </w:style>
  <w:style w:type="paragraph" w:styleId="Footer">
    <w:name w:val="footer"/>
    <w:basedOn w:val="Normal"/>
    <w:link w:val="FooterChar"/>
    <w:uiPriority w:val="99"/>
    <w:unhideWhenUsed/>
    <w:rsid w:val="00F679C1"/>
    <w:pPr>
      <w:tabs>
        <w:tab w:val="center" w:pos="4680"/>
        <w:tab w:val="right" w:pos="9360"/>
      </w:tabs>
      <w:spacing w:line="240" w:lineRule="auto"/>
    </w:pPr>
  </w:style>
  <w:style w:type="character" w:customStyle="1" w:styleId="FooterChar">
    <w:name w:val="Footer Char"/>
    <w:basedOn w:val="DefaultParagraphFont"/>
    <w:link w:val="Footer"/>
    <w:uiPriority w:val="99"/>
    <w:rsid w:val="00F679C1"/>
  </w:style>
  <w:style w:type="paragraph" w:styleId="BalloonText">
    <w:name w:val="Balloon Text"/>
    <w:basedOn w:val="Normal"/>
    <w:link w:val="BalloonTextChar"/>
    <w:uiPriority w:val="99"/>
    <w:semiHidden/>
    <w:unhideWhenUsed/>
    <w:rsid w:val="003632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iesen@thomaslonglaw.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reszswick@aquaamerica.com" TargetMode="External"/><Relationship Id="rId5" Type="http://schemas.openxmlformats.org/officeDocument/2006/relationships/webSettings" Target="webSettings.xml"/><Relationship Id="rId10" Type="http://schemas.openxmlformats.org/officeDocument/2006/relationships/hyperlink" Target="mailto:egannon@paoca.org" TargetMode="External"/><Relationship Id="rId4" Type="http://schemas.openxmlformats.org/officeDocument/2006/relationships/settings" Target="settings.xml"/><Relationship Id="rId9" Type="http://schemas.openxmlformats.org/officeDocument/2006/relationships/hyperlink" Target="mailto:mmhopper@aquaameric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626D6-4C66-4477-84E9-1C8CFADE8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2013-10-08T18:14:00Z</cp:lastPrinted>
  <dcterms:created xsi:type="dcterms:W3CDTF">2013-10-08T18:11:00Z</dcterms:created>
  <dcterms:modified xsi:type="dcterms:W3CDTF">2013-10-08T18:27:00Z</dcterms:modified>
</cp:coreProperties>
</file>